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6B4FDCBF" w:rsidR="0012388D" w:rsidRPr="008B4D6A" w:rsidRDefault="00772BDC" w:rsidP="006E51EF">
      <w:pPr>
        <w:widowControl/>
        <w:rPr>
          <w:rFonts w:cs="Arial"/>
        </w:rPr>
      </w:pPr>
      <w:r w:rsidRPr="008B4D6A">
        <w:rPr>
          <w:rFonts w:cs="Arial"/>
          <w:noProof/>
          <w:lang w:eastAsia="en-GB" w:bidi="ar-SA"/>
        </w:rPr>
        <w:drawing>
          <wp:inline distT="0" distB="0" distL="0" distR="0" wp14:anchorId="32DB846A" wp14:editId="71D47841">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2"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8B4D6A" w:rsidRDefault="00A671E6" w:rsidP="006E51EF">
      <w:pPr>
        <w:widowControl/>
      </w:pPr>
    </w:p>
    <w:p w14:paraId="6A2AC4E8" w14:textId="27CABC33" w:rsidR="00A671E6" w:rsidRPr="008B4D6A" w:rsidRDefault="00C45130" w:rsidP="006E51EF">
      <w:pPr>
        <w:widowControl/>
        <w:rPr>
          <w:b/>
          <w:sz w:val="28"/>
          <w:szCs w:val="28"/>
        </w:rPr>
      </w:pPr>
      <w:r>
        <w:rPr>
          <w:b/>
          <w:sz w:val="28"/>
          <w:szCs w:val="28"/>
        </w:rPr>
        <w:t>15</w:t>
      </w:r>
      <w:r w:rsidR="00A671E6" w:rsidRPr="008B4D6A">
        <w:rPr>
          <w:b/>
          <w:sz w:val="28"/>
          <w:szCs w:val="28"/>
        </w:rPr>
        <w:t xml:space="preserve"> </w:t>
      </w:r>
      <w:r>
        <w:rPr>
          <w:b/>
          <w:sz w:val="28"/>
          <w:szCs w:val="28"/>
        </w:rPr>
        <w:t>December</w:t>
      </w:r>
      <w:r w:rsidR="008B4D6A" w:rsidRPr="008B4D6A">
        <w:rPr>
          <w:b/>
          <w:sz w:val="28"/>
          <w:szCs w:val="28"/>
        </w:rPr>
        <w:t xml:space="preserve"> 2020</w:t>
      </w:r>
    </w:p>
    <w:p w14:paraId="05D0F5F1" w14:textId="61E4FA49" w:rsidR="00A671E6" w:rsidRPr="008B4D6A" w:rsidRDefault="00A671E6" w:rsidP="006E51EF">
      <w:pPr>
        <w:widowControl/>
        <w:rPr>
          <w:b/>
          <w:sz w:val="28"/>
          <w:szCs w:val="28"/>
        </w:rPr>
      </w:pPr>
      <w:r w:rsidRPr="008B4D6A">
        <w:rPr>
          <w:b/>
          <w:sz w:val="28"/>
          <w:szCs w:val="28"/>
        </w:rPr>
        <w:t>[</w:t>
      </w:r>
      <w:r w:rsidR="00C45130">
        <w:rPr>
          <w:b/>
          <w:sz w:val="28"/>
          <w:szCs w:val="28"/>
        </w:rPr>
        <w:t>145</w:t>
      </w:r>
      <w:r w:rsidR="00831154" w:rsidRPr="008B4D6A">
        <w:rPr>
          <w:b/>
          <w:sz w:val="28"/>
          <w:szCs w:val="28"/>
        </w:rPr>
        <w:t>-</w:t>
      </w:r>
      <w:r w:rsidR="008B4D6A" w:rsidRPr="008B4D6A">
        <w:rPr>
          <w:b/>
          <w:sz w:val="28"/>
          <w:szCs w:val="28"/>
        </w:rPr>
        <w:t>20</w:t>
      </w:r>
      <w:r w:rsidRPr="008B4D6A">
        <w:rPr>
          <w:b/>
          <w:sz w:val="28"/>
          <w:szCs w:val="28"/>
        </w:rPr>
        <w:t>]</w:t>
      </w:r>
    </w:p>
    <w:p w14:paraId="3C77C31E" w14:textId="77777777" w:rsidR="00A671E6" w:rsidRPr="008B4D6A" w:rsidRDefault="00A671E6" w:rsidP="006E51EF">
      <w:pPr>
        <w:widowControl/>
      </w:pPr>
    </w:p>
    <w:p w14:paraId="598521F3" w14:textId="2D728CA1" w:rsidR="0012388D" w:rsidRPr="008B4D6A" w:rsidRDefault="00B425AA" w:rsidP="006E51EF">
      <w:pPr>
        <w:pStyle w:val="FSTitle"/>
        <w:widowControl/>
      </w:pPr>
      <w:r w:rsidRPr="008B4D6A">
        <w:t>A</w:t>
      </w:r>
      <w:r w:rsidR="00DD265C" w:rsidRPr="008B4D6A">
        <w:t>pproval</w:t>
      </w:r>
      <w:r w:rsidRPr="008B4D6A">
        <w:t xml:space="preserve"> </w:t>
      </w:r>
      <w:r w:rsidR="00B77C18" w:rsidRPr="008B4D6A">
        <w:t>r</w:t>
      </w:r>
      <w:r w:rsidR="00DD265C" w:rsidRPr="008B4D6A">
        <w:t>eport</w:t>
      </w:r>
      <w:r w:rsidRPr="008B4D6A">
        <w:t xml:space="preserve"> – </w:t>
      </w:r>
      <w:r w:rsidR="00EB6590" w:rsidRPr="008B4D6A">
        <w:t>A</w:t>
      </w:r>
      <w:r w:rsidR="00DD265C" w:rsidRPr="008B4D6A">
        <w:t>pplication</w:t>
      </w:r>
      <w:r w:rsidR="00CA5734" w:rsidRPr="008B4D6A">
        <w:t xml:space="preserve"> </w:t>
      </w:r>
      <w:r w:rsidR="00D15A08" w:rsidRPr="008B4D6A">
        <w:t>A</w:t>
      </w:r>
      <w:r w:rsidR="00140E67" w:rsidRPr="008B4D6A">
        <w:t>1186</w:t>
      </w:r>
    </w:p>
    <w:p w14:paraId="63744F20" w14:textId="77777777" w:rsidR="003A7B84" w:rsidRPr="008B4D6A" w:rsidRDefault="003A7B84" w:rsidP="006E51EF">
      <w:pPr>
        <w:widowControl/>
      </w:pPr>
    </w:p>
    <w:p w14:paraId="000C7564" w14:textId="661E21E0" w:rsidR="0012388D" w:rsidRPr="00140E67" w:rsidRDefault="00140E67" w:rsidP="006E51EF">
      <w:pPr>
        <w:pStyle w:val="FSTitle"/>
        <w:widowControl/>
      </w:pPr>
      <w:r w:rsidRPr="008B4D6A">
        <w:t xml:space="preserve">Soy leghemoglobin in meat </w:t>
      </w:r>
      <w:r w:rsidRPr="00140E67">
        <w:t>analogue products</w:t>
      </w:r>
    </w:p>
    <w:p w14:paraId="79002CFB" w14:textId="77777777" w:rsidR="003A7B84" w:rsidRPr="00E327A6" w:rsidRDefault="003A7B84" w:rsidP="006E51EF">
      <w:pPr>
        <w:widowControl/>
        <w:pBdr>
          <w:bottom w:val="single" w:sz="12" w:space="1" w:color="auto"/>
        </w:pBdr>
        <w:tabs>
          <w:tab w:val="left" w:pos="1140"/>
        </w:tabs>
        <w:rPr>
          <w:rFonts w:cs="Arial"/>
          <w:bCs/>
        </w:rPr>
      </w:pPr>
    </w:p>
    <w:p w14:paraId="16CA871C" w14:textId="77777777" w:rsidR="003A7B84" w:rsidRPr="00613871" w:rsidRDefault="003A7B84" w:rsidP="006E51EF">
      <w:pPr>
        <w:widowControl/>
      </w:pPr>
    </w:p>
    <w:p w14:paraId="72ADE9E7" w14:textId="5AC70DC5" w:rsidR="00EB6590" w:rsidRPr="00613871" w:rsidRDefault="000F3CFE" w:rsidP="006E51EF">
      <w:pPr>
        <w:widowControl/>
      </w:pPr>
      <w:r w:rsidRPr="00613871">
        <w:t>Food Standards Australia New Zealand (FSANZ) has</w:t>
      </w:r>
      <w:r w:rsidR="00081B0A" w:rsidRPr="00613871">
        <w:t xml:space="preserve"> assessed an application</w:t>
      </w:r>
      <w:r w:rsidR="00CA5734" w:rsidRPr="00613871">
        <w:t xml:space="preserve"> </w:t>
      </w:r>
      <w:r w:rsidR="00081B0A" w:rsidRPr="00613871">
        <w:t xml:space="preserve">made by </w:t>
      </w:r>
      <w:r w:rsidR="00140E67" w:rsidRPr="00613871">
        <w:t>Impossible Foods Inc.</w:t>
      </w:r>
      <w:r w:rsidR="00613871" w:rsidRPr="00613871">
        <w:t xml:space="preserve"> for the voluntary addition of soy leghemoglobin, produced by microbial fermentation, in meat analogue products.</w:t>
      </w:r>
    </w:p>
    <w:p w14:paraId="14F32D9E" w14:textId="77777777" w:rsidR="00CA5734" w:rsidRDefault="00CA5734" w:rsidP="006E51EF">
      <w:pPr>
        <w:widowControl/>
      </w:pPr>
    </w:p>
    <w:p w14:paraId="5029D30D" w14:textId="4519C1CB" w:rsidR="00081B0A" w:rsidRPr="00613871" w:rsidRDefault="00081B0A" w:rsidP="006E51EF">
      <w:pPr>
        <w:widowControl/>
      </w:pPr>
      <w:r w:rsidRPr="00613871">
        <w:t xml:space="preserve">On </w:t>
      </w:r>
      <w:r w:rsidR="00140E67" w:rsidRPr="00613871">
        <w:t>6 August 2020</w:t>
      </w:r>
      <w:r w:rsidR="003A7B84" w:rsidRPr="00613871">
        <w:t>,</w:t>
      </w:r>
      <w:r w:rsidRPr="00613871">
        <w:t xml:space="preserve"> FSANZ sought </w:t>
      </w:r>
      <w:r w:rsidR="003A7B84" w:rsidRPr="00613871">
        <w:t xml:space="preserve">submissions </w:t>
      </w:r>
      <w:r w:rsidR="00A671E6" w:rsidRPr="00613871">
        <w:t xml:space="preserve">on </w:t>
      </w:r>
      <w:r w:rsidR="00F526BD" w:rsidRPr="00613871">
        <w:t xml:space="preserve">a draft </w:t>
      </w:r>
      <w:r w:rsidR="00E30092" w:rsidRPr="00613871">
        <w:t xml:space="preserve">variation </w:t>
      </w:r>
      <w:r w:rsidR="003A7B84" w:rsidRPr="00613871">
        <w:t xml:space="preserve">and published an </w:t>
      </w:r>
      <w:r w:rsidR="00EC21DF" w:rsidRPr="00613871">
        <w:t>associated r</w:t>
      </w:r>
      <w:r w:rsidR="003A7B84" w:rsidRPr="00613871">
        <w:t>eport</w:t>
      </w:r>
      <w:r w:rsidRPr="00613871">
        <w:t>.</w:t>
      </w:r>
      <w:r w:rsidR="00F526BD" w:rsidRPr="00613871">
        <w:t xml:space="preserve"> FSANZ received </w:t>
      </w:r>
      <w:r w:rsidR="00613871" w:rsidRPr="00613871">
        <w:t xml:space="preserve">15 </w:t>
      </w:r>
      <w:r w:rsidR="00F526BD" w:rsidRPr="00613871">
        <w:t>submissions.</w:t>
      </w:r>
    </w:p>
    <w:p w14:paraId="6F926C97" w14:textId="77777777" w:rsidR="00CA5734" w:rsidRPr="00613871" w:rsidRDefault="00CA5734" w:rsidP="006E51EF">
      <w:pPr>
        <w:widowControl/>
      </w:pPr>
    </w:p>
    <w:p w14:paraId="5F5CD903" w14:textId="0C7185C2" w:rsidR="00081B0A" w:rsidRPr="00613871" w:rsidRDefault="00081B0A" w:rsidP="006E51EF">
      <w:pPr>
        <w:widowControl/>
      </w:pPr>
      <w:r w:rsidRPr="00613871">
        <w:t xml:space="preserve">FSANZ approved the draft </w:t>
      </w:r>
      <w:r w:rsidR="00E30092" w:rsidRPr="00613871">
        <w:t xml:space="preserve">variation </w:t>
      </w:r>
      <w:r w:rsidR="0012388D" w:rsidRPr="00613871">
        <w:t xml:space="preserve">on </w:t>
      </w:r>
      <w:r w:rsidR="00C45130">
        <w:t>1 December 2020</w:t>
      </w:r>
      <w:r w:rsidRPr="00613871">
        <w:t xml:space="preserve">. </w:t>
      </w:r>
      <w:r w:rsidR="003A7B84" w:rsidRPr="00613871">
        <w:t xml:space="preserve">The </w:t>
      </w:r>
      <w:r w:rsidR="00011187" w:rsidRPr="00613871">
        <w:rPr>
          <w:rFonts w:cs="Helvetica"/>
          <w:lang w:val="en-AU"/>
        </w:rPr>
        <w:t xml:space="preserve">Australia and New Zealand Ministerial Forum on Food </w:t>
      </w:r>
      <w:r w:rsidR="00011187" w:rsidRPr="00613871">
        <w:rPr>
          <w:rFonts w:cs="Arial"/>
        </w:rPr>
        <w:t>Regulation</w:t>
      </w:r>
      <w:r w:rsidR="003A7B84" w:rsidRPr="00613871">
        <w:t xml:space="preserve"> was n</w:t>
      </w:r>
      <w:r w:rsidR="00C45130">
        <w:t>otified of FSANZ’s decision on 15 December 2020</w:t>
      </w:r>
      <w:r w:rsidR="003A7B84" w:rsidRPr="00613871">
        <w:t>.</w:t>
      </w:r>
    </w:p>
    <w:p w14:paraId="07FE212F" w14:textId="77777777" w:rsidR="00CA5734" w:rsidRDefault="00CA5734" w:rsidP="006E51EF">
      <w:pPr>
        <w:widowControl/>
      </w:pPr>
    </w:p>
    <w:p w14:paraId="3B4BBA6D" w14:textId="5654C414" w:rsidR="00E160B9" w:rsidRDefault="003A7B84" w:rsidP="006E51EF">
      <w:pPr>
        <w:widowControl/>
      </w:pPr>
      <w:r>
        <w:t>This R</w:t>
      </w:r>
      <w:r w:rsidR="00B425AA">
        <w:t xml:space="preserve">eport is provided pursuant to </w:t>
      </w:r>
      <w:r w:rsidR="009A2699" w:rsidRPr="00140E67">
        <w:t>paragraph</w:t>
      </w:r>
      <w:r w:rsidR="00081B0A" w:rsidRPr="00140E67">
        <w:t xml:space="preserve"> 33(1)(b) of the </w:t>
      </w:r>
      <w:r w:rsidR="00081B0A" w:rsidRPr="0012388D">
        <w:rPr>
          <w:i/>
        </w:rPr>
        <w:t>Food Standards Australia New Zealand Act 1991</w:t>
      </w:r>
      <w:r w:rsidR="00081B0A">
        <w:t xml:space="preserve"> (the FSANZ Act).</w:t>
      </w:r>
    </w:p>
    <w:p w14:paraId="0CF306AA" w14:textId="77777777" w:rsidR="00E160B9" w:rsidRDefault="00E160B9" w:rsidP="006E51EF">
      <w:pPr>
        <w:widowControl/>
      </w:pPr>
      <w:r>
        <w:br w:type="page"/>
      </w:r>
    </w:p>
    <w:p w14:paraId="0E518948" w14:textId="49421ADC" w:rsidR="0012388D" w:rsidRDefault="00D15A08" w:rsidP="006E51EF">
      <w:pPr>
        <w:widowControl/>
        <w:jc w:val="center"/>
        <w:rPr>
          <w:sz w:val="28"/>
          <w:szCs w:val="28"/>
        </w:rPr>
      </w:pPr>
      <w:r w:rsidRPr="00E77BDC">
        <w:rPr>
          <w:sz w:val="28"/>
          <w:szCs w:val="28"/>
        </w:rPr>
        <w:lastRenderedPageBreak/>
        <w:t xml:space="preserve">Table of </w:t>
      </w:r>
      <w:r w:rsidR="00B63BBA" w:rsidRPr="00E77BDC">
        <w:rPr>
          <w:sz w:val="28"/>
          <w:szCs w:val="28"/>
        </w:rPr>
        <w:t>c</w:t>
      </w:r>
      <w:r w:rsidRPr="00E77BDC">
        <w:rPr>
          <w:sz w:val="28"/>
          <w:szCs w:val="28"/>
        </w:rPr>
        <w:t>ontents</w:t>
      </w:r>
    </w:p>
    <w:p w14:paraId="508CFEE7" w14:textId="1C843B65" w:rsidR="00A73CFF"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8840783" w:history="1">
        <w:r w:rsidR="00A73CFF" w:rsidRPr="002B4310">
          <w:rPr>
            <w:rStyle w:val="Hyperlink"/>
            <w:noProof/>
          </w:rPr>
          <w:t>Executive summary</w:t>
        </w:r>
        <w:r w:rsidR="00A73CFF">
          <w:rPr>
            <w:noProof/>
            <w:webHidden/>
          </w:rPr>
          <w:tab/>
        </w:r>
        <w:r w:rsidR="00A73CFF">
          <w:rPr>
            <w:noProof/>
            <w:webHidden/>
          </w:rPr>
          <w:fldChar w:fldCharType="begin"/>
        </w:r>
        <w:r w:rsidR="00A73CFF">
          <w:rPr>
            <w:noProof/>
            <w:webHidden/>
          </w:rPr>
          <w:instrText xml:space="preserve"> PAGEREF _Toc58840783 \h </w:instrText>
        </w:r>
        <w:r w:rsidR="00A73CFF">
          <w:rPr>
            <w:noProof/>
            <w:webHidden/>
          </w:rPr>
        </w:r>
        <w:r w:rsidR="00A73CFF">
          <w:rPr>
            <w:noProof/>
            <w:webHidden/>
          </w:rPr>
          <w:fldChar w:fldCharType="separate"/>
        </w:r>
        <w:r w:rsidR="00655185">
          <w:rPr>
            <w:noProof/>
            <w:webHidden/>
          </w:rPr>
          <w:t>4</w:t>
        </w:r>
        <w:r w:rsidR="00A73CFF">
          <w:rPr>
            <w:noProof/>
            <w:webHidden/>
          </w:rPr>
          <w:fldChar w:fldCharType="end"/>
        </w:r>
      </w:hyperlink>
    </w:p>
    <w:p w14:paraId="4C1BD62F" w14:textId="508CB124" w:rsidR="00A73CFF" w:rsidRDefault="00B83C9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840784" w:history="1">
        <w:r w:rsidR="00A73CFF" w:rsidRPr="002B4310">
          <w:rPr>
            <w:rStyle w:val="Hyperlink"/>
            <w:noProof/>
          </w:rPr>
          <w:t>1</w:t>
        </w:r>
        <w:r w:rsidR="00A73CFF">
          <w:rPr>
            <w:rFonts w:eastAsiaTheme="minorEastAsia" w:cstheme="minorBidi"/>
            <w:b w:val="0"/>
            <w:bCs w:val="0"/>
            <w:caps w:val="0"/>
            <w:noProof/>
            <w:sz w:val="22"/>
            <w:szCs w:val="22"/>
            <w:lang w:eastAsia="en-GB" w:bidi="ar-SA"/>
          </w:rPr>
          <w:tab/>
        </w:r>
        <w:r w:rsidR="00A73CFF" w:rsidRPr="002B4310">
          <w:rPr>
            <w:rStyle w:val="Hyperlink"/>
            <w:noProof/>
          </w:rPr>
          <w:t>Introduction</w:t>
        </w:r>
        <w:r w:rsidR="00A73CFF">
          <w:rPr>
            <w:noProof/>
            <w:webHidden/>
          </w:rPr>
          <w:tab/>
        </w:r>
        <w:r w:rsidR="00A73CFF">
          <w:rPr>
            <w:noProof/>
            <w:webHidden/>
          </w:rPr>
          <w:fldChar w:fldCharType="begin"/>
        </w:r>
        <w:r w:rsidR="00A73CFF">
          <w:rPr>
            <w:noProof/>
            <w:webHidden/>
          </w:rPr>
          <w:instrText xml:space="preserve"> PAGEREF _Toc58840784 \h </w:instrText>
        </w:r>
        <w:r w:rsidR="00A73CFF">
          <w:rPr>
            <w:noProof/>
            <w:webHidden/>
          </w:rPr>
        </w:r>
        <w:r w:rsidR="00A73CFF">
          <w:rPr>
            <w:noProof/>
            <w:webHidden/>
          </w:rPr>
          <w:fldChar w:fldCharType="separate"/>
        </w:r>
        <w:r w:rsidR="00655185">
          <w:rPr>
            <w:noProof/>
            <w:webHidden/>
          </w:rPr>
          <w:t>7</w:t>
        </w:r>
        <w:r w:rsidR="00A73CFF">
          <w:rPr>
            <w:noProof/>
            <w:webHidden/>
          </w:rPr>
          <w:fldChar w:fldCharType="end"/>
        </w:r>
      </w:hyperlink>
    </w:p>
    <w:p w14:paraId="62F4A2FD" w14:textId="553F0FF1"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785" w:history="1">
        <w:r w:rsidR="00A73CFF" w:rsidRPr="002B4310">
          <w:rPr>
            <w:rStyle w:val="Hyperlink"/>
            <w:noProof/>
          </w:rPr>
          <w:t>1.1</w:t>
        </w:r>
        <w:r w:rsidR="00A73CFF">
          <w:rPr>
            <w:rFonts w:eastAsiaTheme="minorEastAsia" w:cstheme="minorBidi"/>
            <w:smallCaps w:val="0"/>
            <w:noProof/>
            <w:sz w:val="22"/>
            <w:szCs w:val="22"/>
            <w:lang w:eastAsia="en-GB" w:bidi="ar-SA"/>
          </w:rPr>
          <w:tab/>
        </w:r>
        <w:r w:rsidR="00A73CFF" w:rsidRPr="002B4310">
          <w:rPr>
            <w:rStyle w:val="Hyperlink"/>
            <w:noProof/>
          </w:rPr>
          <w:t>The Applicant</w:t>
        </w:r>
        <w:r w:rsidR="00A73CFF">
          <w:rPr>
            <w:noProof/>
            <w:webHidden/>
          </w:rPr>
          <w:tab/>
        </w:r>
        <w:r w:rsidR="00A73CFF">
          <w:rPr>
            <w:noProof/>
            <w:webHidden/>
          </w:rPr>
          <w:fldChar w:fldCharType="begin"/>
        </w:r>
        <w:r w:rsidR="00A73CFF">
          <w:rPr>
            <w:noProof/>
            <w:webHidden/>
          </w:rPr>
          <w:instrText xml:space="preserve"> PAGEREF _Toc58840785 \h </w:instrText>
        </w:r>
        <w:r w:rsidR="00A73CFF">
          <w:rPr>
            <w:noProof/>
            <w:webHidden/>
          </w:rPr>
        </w:r>
        <w:r w:rsidR="00A73CFF">
          <w:rPr>
            <w:noProof/>
            <w:webHidden/>
          </w:rPr>
          <w:fldChar w:fldCharType="separate"/>
        </w:r>
        <w:r w:rsidR="00655185">
          <w:rPr>
            <w:noProof/>
            <w:webHidden/>
          </w:rPr>
          <w:t>7</w:t>
        </w:r>
        <w:r w:rsidR="00A73CFF">
          <w:rPr>
            <w:noProof/>
            <w:webHidden/>
          </w:rPr>
          <w:fldChar w:fldCharType="end"/>
        </w:r>
      </w:hyperlink>
    </w:p>
    <w:p w14:paraId="5E1D9C8C" w14:textId="6F840038"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786" w:history="1">
        <w:r w:rsidR="00A73CFF" w:rsidRPr="002B4310">
          <w:rPr>
            <w:rStyle w:val="Hyperlink"/>
            <w:noProof/>
          </w:rPr>
          <w:t>1.2</w:t>
        </w:r>
        <w:r w:rsidR="00A73CFF">
          <w:rPr>
            <w:rFonts w:eastAsiaTheme="minorEastAsia" w:cstheme="minorBidi"/>
            <w:smallCaps w:val="0"/>
            <w:noProof/>
            <w:sz w:val="22"/>
            <w:szCs w:val="22"/>
            <w:lang w:eastAsia="en-GB" w:bidi="ar-SA"/>
          </w:rPr>
          <w:tab/>
        </w:r>
        <w:r w:rsidR="00A73CFF" w:rsidRPr="002B4310">
          <w:rPr>
            <w:rStyle w:val="Hyperlink"/>
            <w:noProof/>
          </w:rPr>
          <w:t>The Application</w:t>
        </w:r>
        <w:r w:rsidR="00A73CFF">
          <w:rPr>
            <w:noProof/>
            <w:webHidden/>
          </w:rPr>
          <w:tab/>
        </w:r>
        <w:r w:rsidR="00A73CFF">
          <w:rPr>
            <w:noProof/>
            <w:webHidden/>
          </w:rPr>
          <w:fldChar w:fldCharType="begin"/>
        </w:r>
        <w:r w:rsidR="00A73CFF">
          <w:rPr>
            <w:noProof/>
            <w:webHidden/>
          </w:rPr>
          <w:instrText xml:space="preserve"> PAGEREF _Toc58840786 \h </w:instrText>
        </w:r>
        <w:r w:rsidR="00A73CFF">
          <w:rPr>
            <w:noProof/>
            <w:webHidden/>
          </w:rPr>
        </w:r>
        <w:r w:rsidR="00A73CFF">
          <w:rPr>
            <w:noProof/>
            <w:webHidden/>
          </w:rPr>
          <w:fldChar w:fldCharType="separate"/>
        </w:r>
        <w:r w:rsidR="00655185">
          <w:rPr>
            <w:noProof/>
            <w:webHidden/>
          </w:rPr>
          <w:t>7</w:t>
        </w:r>
        <w:r w:rsidR="00A73CFF">
          <w:rPr>
            <w:noProof/>
            <w:webHidden/>
          </w:rPr>
          <w:fldChar w:fldCharType="end"/>
        </w:r>
      </w:hyperlink>
    </w:p>
    <w:p w14:paraId="310BA27E" w14:textId="20B6A85E"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787" w:history="1">
        <w:r w:rsidR="00A73CFF" w:rsidRPr="002B4310">
          <w:rPr>
            <w:rStyle w:val="Hyperlink"/>
            <w:noProof/>
          </w:rPr>
          <w:t>1.3</w:t>
        </w:r>
        <w:r w:rsidR="00A73CFF">
          <w:rPr>
            <w:rFonts w:eastAsiaTheme="minorEastAsia" w:cstheme="minorBidi"/>
            <w:smallCaps w:val="0"/>
            <w:noProof/>
            <w:sz w:val="22"/>
            <w:szCs w:val="22"/>
            <w:lang w:eastAsia="en-GB" w:bidi="ar-SA"/>
          </w:rPr>
          <w:tab/>
        </w:r>
        <w:r w:rsidR="00A73CFF" w:rsidRPr="002B4310">
          <w:rPr>
            <w:rStyle w:val="Hyperlink"/>
            <w:noProof/>
          </w:rPr>
          <w:t>The current standard</w:t>
        </w:r>
        <w:r w:rsidR="00A73CFF">
          <w:rPr>
            <w:noProof/>
            <w:webHidden/>
          </w:rPr>
          <w:tab/>
        </w:r>
        <w:r w:rsidR="00A73CFF">
          <w:rPr>
            <w:noProof/>
            <w:webHidden/>
          </w:rPr>
          <w:fldChar w:fldCharType="begin"/>
        </w:r>
        <w:r w:rsidR="00A73CFF">
          <w:rPr>
            <w:noProof/>
            <w:webHidden/>
          </w:rPr>
          <w:instrText xml:space="preserve"> PAGEREF _Toc58840787 \h </w:instrText>
        </w:r>
        <w:r w:rsidR="00A73CFF">
          <w:rPr>
            <w:noProof/>
            <w:webHidden/>
          </w:rPr>
        </w:r>
        <w:r w:rsidR="00A73CFF">
          <w:rPr>
            <w:noProof/>
            <w:webHidden/>
          </w:rPr>
          <w:fldChar w:fldCharType="separate"/>
        </w:r>
        <w:r w:rsidR="00655185">
          <w:rPr>
            <w:noProof/>
            <w:webHidden/>
          </w:rPr>
          <w:t>8</w:t>
        </w:r>
        <w:r w:rsidR="00A73CFF">
          <w:rPr>
            <w:noProof/>
            <w:webHidden/>
          </w:rPr>
          <w:fldChar w:fldCharType="end"/>
        </w:r>
      </w:hyperlink>
    </w:p>
    <w:p w14:paraId="26658A60" w14:textId="52B1300F"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788" w:history="1">
        <w:r w:rsidR="00A73CFF" w:rsidRPr="002B4310">
          <w:rPr>
            <w:rStyle w:val="Hyperlink"/>
            <w:noProof/>
          </w:rPr>
          <w:t>1.3.1</w:t>
        </w:r>
        <w:r w:rsidR="00A73CFF">
          <w:rPr>
            <w:rFonts w:eastAsiaTheme="minorEastAsia" w:cstheme="minorBidi"/>
            <w:i w:val="0"/>
            <w:iCs w:val="0"/>
            <w:noProof/>
            <w:sz w:val="22"/>
            <w:szCs w:val="22"/>
            <w:lang w:eastAsia="en-GB" w:bidi="ar-SA"/>
          </w:rPr>
          <w:tab/>
        </w:r>
        <w:r w:rsidR="00A73CFF" w:rsidRPr="002B4310">
          <w:rPr>
            <w:rStyle w:val="Hyperlink"/>
            <w:noProof/>
          </w:rPr>
          <w:t>Australia and New Zealand</w:t>
        </w:r>
        <w:r w:rsidR="00A73CFF">
          <w:rPr>
            <w:noProof/>
            <w:webHidden/>
          </w:rPr>
          <w:tab/>
        </w:r>
        <w:r w:rsidR="00A73CFF">
          <w:rPr>
            <w:noProof/>
            <w:webHidden/>
          </w:rPr>
          <w:fldChar w:fldCharType="begin"/>
        </w:r>
        <w:r w:rsidR="00A73CFF">
          <w:rPr>
            <w:noProof/>
            <w:webHidden/>
          </w:rPr>
          <w:instrText xml:space="preserve"> PAGEREF _Toc58840788 \h </w:instrText>
        </w:r>
        <w:r w:rsidR="00A73CFF">
          <w:rPr>
            <w:noProof/>
            <w:webHidden/>
          </w:rPr>
        </w:r>
        <w:r w:rsidR="00A73CFF">
          <w:rPr>
            <w:noProof/>
            <w:webHidden/>
          </w:rPr>
          <w:fldChar w:fldCharType="separate"/>
        </w:r>
        <w:r w:rsidR="00655185">
          <w:rPr>
            <w:noProof/>
            <w:webHidden/>
          </w:rPr>
          <w:t>8</w:t>
        </w:r>
        <w:r w:rsidR="00A73CFF">
          <w:rPr>
            <w:noProof/>
            <w:webHidden/>
          </w:rPr>
          <w:fldChar w:fldCharType="end"/>
        </w:r>
      </w:hyperlink>
    </w:p>
    <w:p w14:paraId="207A4D1C" w14:textId="3BB60399"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789" w:history="1">
        <w:r w:rsidR="00A73CFF" w:rsidRPr="002B4310">
          <w:rPr>
            <w:rStyle w:val="Hyperlink"/>
            <w:noProof/>
          </w:rPr>
          <w:t>1.3.2</w:t>
        </w:r>
        <w:r w:rsidR="00A73CFF">
          <w:rPr>
            <w:rFonts w:eastAsiaTheme="minorEastAsia" w:cstheme="minorBidi"/>
            <w:i w:val="0"/>
            <w:iCs w:val="0"/>
            <w:noProof/>
            <w:sz w:val="22"/>
            <w:szCs w:val="22"/>
            <w:lang w:eastAsia="en-GB" w:bidi="ar-SA"/>
          </w:rPr>
          <w:tab/>
        </w:r>
        <w:r w:rsidR="00A73CFF" w:rsidRPr="002B4310">
          <w:rPr>
            <w:rStyle w:val="Hyperlink"/>
            <w:noProof/>
          </w:rPr>
          <w:t>International Regulations</w:t>
        </w:r>
        <w:r w:rsidR="00A73CFF">
          <w:rPr>
            <w:noProof/>
            <w:webHidden/>
          </w:rPr>
          <w:tab/>
        </w:r>
        <w:r w:rsidR="00A73CFF">
          <w:rPr>
            <w:noProof/>
            <w:webHidden/>
          </w:rPr>
          <w:fldChar w:fldCharType="begin"/>
        </w:r>
        <w:r w:rsidR="00A73CFF">
          <w:rPr>
            <w:noProof/>
            <w:webHidden/>
          </w:rPr>
          <w:instrText xml:space="preserve"> PAGEREF _Toc58840789 \h </w:instrText>
        </w:r>
        <w:r w:rsidR="00A73CFF">
          <w:rPr>
            <w:noProof/>
            <w:webHidden/>
          </w:rPr>
        </w:r>
        <w:r w:rsidR="00A73CFF">
          <w:rPr>
            <w:noProof/>
            <w:webHidden/>
          </w:rPr>
          <w:fldChar w:fldCharType="separate"/>
        </w:r>
        <w:r w:rsidR="00655185">
          <w:rPr>
            <w:noProof/>
            <w:webHidden/>
          </w:rPr>
          <w:t>10</w:t>
        </w:r>
        <w:r w:rsidR="00A73CFF">
          <w:rPr>
            <w:noProof/>
            <w:webHidden/>
          </w:rPr>
          <w:fldChar w:fldCharType="end"/>
        </w:r>
      </w:hyperlink>
    </w:p>
    <w:p w14:paraId="0EECE28C" w14:textId="4427B987"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790" w:history="1">
        <w:r w:rsidR="00A73CFF" w:rsidRPr="002B4310">
          <w:rPr>
            <w:rStyle w:val="Hyperlink"/>
            <w:noProof/>
            <w:u w:color="FFFF00"/>
          </w:rPr>
          <w:t>1.4</w:t>
        </w:r>
        <w:r w:rsidR="00A73CFF">
          <w:rPr>
            <w:rFonts w:eastAsiaTheme="minorEastAsia" w:cstheme="minorBidi"/>
            <w:smallCaps w:val="0"/>
            <w:noProof/>
            <w:sz w:val="22"/>
            <w:szCs w:val="22"/>
            <w:lang w:eastAsia="en-GB" w:bidi="ar-SA"/>
          </w:rPr>
          <w:tab/>
        </w:r>
        <w:r w:rsidR="00A73CFF" w:rsidRPr="002B4310">
          <w:rPr>
            <w:rStyle w:val="Hyperlink"/>
            <w:noProof/>
            <w:u w:color="FFFF00"/>
          </w:rPr>
          <w:t>Reasons for accepting Application</w:t>
        </w:r>
        <w:r w:rsidR="00A73CFF">
          <w:rPr>
            <w:noProof/>
            <w:webHidden/>
          </w:rPr>
          <w:tab/>
        </w:r>
        <w:r w:rsidR="00A73CFF">
          <w:rPr>
            <w:noProof/>
            <w:webHidden/>
          </w:rPr>
          <w:fldChar w:fldCharType="begin"/>
        </w:r>
        <w:r w:rsidR="00A73CFF">
          <w:rPr>
            <w:noProof/>
            <w:webHidden/>
          </w:rPr>
          <w:instrText xml:space="preserve"> PAGEREF _Toc58840790 \h </w:instrText>
        </w:r>
        <w:r w:rsidR="00A73CFF">
          <w:rPr>
            <w:noProof/>
            <w:webHidden/>
          </w:rPr>
        </w:r>
        <w:r w:rsidR="00A73CFF">
          <w:rPr>
            <w:noProof/>
            <w:webHidden/>
          </w:rPr>
          <w:fldChar w:fldCharType="separate"/>
        </w:r>
        <w:r w:rsidR="00655185">
          <w:rPr>
            <w:noProof/>
            <w:webHidden/>
          </w:rPr>
          <w:t>11</w:t>
        </w:r>
        <w:r w:rsidR="00A73CFF">
          <w:rPr>
            <w:noProof/>
            <w:webHidden/>
          </w:rPr>
          <w:fldChar w:fldCharType="end"/>
        </w:r>
      </w:hyperlink>
    </w:p>
    <w:p w14:paraId="30BBD141" w14:textId="3F90D683"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791" w:history="1">
        <w:r w:rsidR="00A73CFF" w:rsidRPr="002B4310">
          <w:rPr>
            <w:rStyle w:val="Hyperlink"/>
            <w:noProof/>
          </w:rPr>
          <w:t>1.5</w:t>
        </w:r>
        <w:r w:rsidR="00A73CFF">
          <w:rPr>
            <w:rFonts w:eastAsiaTheme="minorEastAsia" w:cstheme="minorBidi"/>
            <w:smallCaps w:val="0"/>
            <w:noProof/>
            <w:sz w:val="22"/>
            <w:szCs w:val="22"/>
            <w:lang w:eastAsia="en-GB" w:bidi="ar-SA"/>
          </w:rPr>
          <w:tab/>
        </w:r>
        <w:r w:rsidR="00A73CFF" w:rsidRPr="002B4310">
          <w:rPr>
            <w:rStyle w:val="Hyperlink"/>
            <w:noProof/>
          </w:rPr>
          <w:t>Procedure for assessment</w:t>
        </w:r>
        <w:r w:rsidR="00A73CFF">
          <w:rPr>
            <w:noProof/>
            <w:webHidden/>
          </w:rPr>
          <w:tab/>
        </w:r>
        <w:r w:rsidR="00A73CFF">
          <w:rPr>
            <w:noProof/>
            <w:webHidden/>
          </w:rPr>
          <w:fldChar w:fldCharType="begin"/>
        </w:r>
        <w:r w:rsidR="00A73CFF">
          <w:rPr>
            <w:noProof/>
            <w:webHidden/>
          </w:rPr>
          <w:instrText xml:space="preserve"> PAGEREF _Toc58840791 \h </w:instrText>
        </w:r>
        <w:r w:rsidR="00A73CFF">
          <w:rPr>
            <w:noProof/>
            <w:webHidden/>
          </w:rPr>
        </w:r>
        <w:r w:rsidR="00A73CFF">
          <w:rPr>
            <w:noProof/>
            <w:webHidden/>
          </w:rPr>
          <w:fldChar w:fldCharType="separate"/>
        </w:r>
        <w:r w:rsidR="00655185">
          <w:rPr>
            <w:noProof/>
            <w:webHidden/>
          </w:rPr>
          <w:t>11</w:t>
        </w:r>
        <w:r w:rsidR="00A73CFF">
          <w:rPr>
            <w:noProof/>
            <w:webHidden/>
          </w:rPr>
          <w:fldChar w:fldCharType="end"/>
        </w:r>
      </w:hyperlink>
    </w:p>
    <w:p w14:paraId="30576D87" w14:textId="48078C76"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792" w:history="1">
        <w:r w:rsidR="00A73CFF" w:rsidRPr="002B4310">
          <w:rPr>
            <w:rStyle w:val="Hyperlink"/>
            <w:noProof/>
          </w:rPr>
          <w:t>1.6</w:t>
        </w:r>
        <w:r w:rsidR="00A73CFF">
          <w:rPr>
            <w:rFonts w:eastAsiaTheme="minorEastAsia" w:cstheme="minorBidi"/>
            <w:smallCaps w:val="0"/>
            <w:noProof/>
            <w:sz w:val="22"/>
            <w:szCs w:val="22"/>
            <w:lang w:eastAsia="en-GB" w:bidi="ar-SA"/>
          </w:rPr>
          <w:tab/>
        </w:r>
        <w:r w:rsidR="00A73CFF" w:rsidRPr="002B4310">
          <w:rPr>
            <w:rStyle w:val="Hyperlink"/>
            <w:noProof/>
          </w:rPr>
          <w:t>Decision</w:t>
        </w:r>
        <w:r w:rsidR="00A73CFF">
          <w:rPr>
            <w:noProof/>
            <w:webHidden/>
          </w:rPr>
          <w:tab/>
        </w:r>
        <w:r w:rsidR="00A73CFF">
          <w:rPr>
            <w:noProof/>
            <w:webHidden/>
          </w:rPr>
          <w:fldChar w:fldCharType="begin"/>
        </w:r>
        <w:r w:rsidR="00A73CFF">
          <w:rPr>
            <w:noProof/>
            <w:webHidden/>
          </w:rPr>
          <w:instrText xml:space="preserve"> PAGEREF _Toc58840792 \h </w:instrText>
        </w:r>
        <w:r w:rsidR="00A73CFF">
          <w:rPr>
            <w:noProof/>
            <w:webHidden/>
          </w:rPr>
        </w:r>
        <w:r w:rsidR="00A73CFF">
          <w:rPr>
            <w:noProof/>
            <w:webHidden/>
          </w:rPr>
          <w:fldChar w:fldCharType="separate"/>
        </w:r>
        <w:r w:rsidR="00655185">
          <w:rPr>
            <w:noProof/>
            <w:webHidden/>
          </w:rPr>
          <w:t>12</w:t>
        </w:r>
        <w:r w:rsidR="00A73CFF">
          <w:rPr>
            <w:noProof/>
            <w:webHidden/>
          </w:rPr>
          <w:fldChar w:fldCharType="end"/>
        </w:r>
      </w:hyperlink>
    </w:p>
    <w:p w14:paraId="25118F63" w14:textId="12987B57" w:rsidR="00A73CFF" w:rsidRDefault="00B83C9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840793" w:history="1">
        <w:r w:rsidR="00A73CFF" w:rsidRPr="002B4310">
          <w:rPr>
            <w:rStyle w:val="Hyperlink"/>
            <w:noProof/>
          </w:rPr>
          <w:t>2</w:t>
        </w:r>
        <w:r w:rsidR="00A73CFF">
          <w:rPr>
            <w:rFonts w:eastAsiaTheme="minorEastAsia" w:cstheme="minorBidi"/>
            <w:b w:val="0"/>
            <w:bCs w:val="0"/>
            <w:caps w:val="0"/>
            <w:noProof/>
            <w:sz w:val="22"/>
            <w:szCs w:val="22"/>
            <w:lang w:eastAsia="en-GB" w:bidi="ar-SA"/>
          </w:rPr>
          <w:tab/>
        </w:r>
        <w:r w:rsidR="00A73CFF" w:rsidRPr="002B4310">
          <w:rPr>
            <w:rStyle w:val="Hyperlink"/>
            <w:noProof/>
          </w:rPr>
          <w:t>Summary of the assessment</w:t>
        </w:r>
        <w:r w:rsidR="00A73CFF">
          <w:rPr>
            <w:noProof/>
            <w:webHidden/>
          </w:rPr>
          <w:tab/>
        </w:r>
        <w:r w:rsidR="00A73CFF">
          <w:rPr>
            <w:noProof/>
            <w:webHidden/>
          </w:rPr>
          <w:fldChar w:fldCharType="begin"/>
        </w:r>
        <w:r w:rsidR="00A73CFF">
          <w:rPr>
            <w:noProof/>
            <w:webHidden/>
          </w:rPr>
          <w:instrText xml:space="preserve"> PAGEREF _Toc58840793 \h </w:instrText>
        </w:r>
        <w:r w:rsidR="00A73CFF">
          <w:rPr>
            <w:noProof/>
            <w:webHidden/>
          </w:rPr>
        </w:r>
        <w:r w:rsidR="00A73CFF">
          <w:rPr>
            <w:noProof/>
            <w:webHidden/>
          </w:rPr>
          <w:fldChar w:fldCharType="separate"/>
        </w:r>
        <w:r w:rsidR="00655185">
          <w:rPr>
            <w:noProof/>
            <w:webHidden/>
          </w:rPr>
          <w:t>12</w:t>
        </w:r>
        <w:r w:rsidR="00A73CFF">
          <w:rPr>
            <w:noProof/>
            <w:webHidden/>
          </w:rPr>
          <w:fldChar w:fldCharType="end"/>
        </w:r>
      </w:hyperlink>
    </w:p>
    <w:p w14:paraId="2DB69D69" w14:textId="3A800AF4"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794" w:history="1">
        <w:r w:rsidR="00A73CFF" w:rsidRPr="002B4310">
          <w:rPr>
            <w:rStyle w:val="Hyperlink"/>
            <w:noProof/>
          </w:rPr>
          <w:t>2.1</w:t>
        </w:r>
        <w:r w:rsidR="00A73CFF">
          <w:rPr>
            <w:rFonts w:eastAsiaTheme="minorEastAsia" w:cstheme="minorBidi"/>
            <w:smallCaps w:val="0"/>
            <w:noProof/>
            <w:sz w:val="22"/>
            <w:szCs w:val="22"/>
            <w:lang w:eastAsia="en-GB" w:bidi="ar-SA"/>
          </w:rPr>
          <w:tab/>
        </w:r>
        <w:r w:rsidR="00A73CFF" w:rsidRPr="002B4310">
          <w:rPr>
            <w:rStyle w:val="Hyperlink"/>
            <w:noProof/>
          </w:rPr>
          <w:t>Summary of issues raised in submissions</w:t>
        </w:r>
        <w:r w:rsidR="00A73CFF">
          <w:rPr>
            <w:noProof/>
            <w:webHidden/>
          </w:rPr>
          <w:tab/>
        </w:r>
        <w:r w:rsidR="00A73CFF">
          <w:rPr>
            <w:noProof/>
            <w:webHidden/>
          </w:rPr>
          <w:fldChar w:fldCharType="begin"/>
        </w:r>
        <w:r w:rsidR="00A73CFF">
          <w:rPr>
            <w:noProof/>
            <w:webHidden/>
          </w:rPr>
          <w:instrText xml:space="preserve"> PAGEREF _Toc58840794 \h </w:instrText>
        </w:r>
        <w:r w:rsidR="00A73CFF">
          <w:rPr>
            <w:noProof/>
            <w:webHidden/>
          </w:rPr>
        </w:r>
        <w:r w:rsidR="00A73CFF">
          <w:rPr>
            <w:noProof/>
            <w:webHidden/>
          </w:rPr>
          <w:fldChar w:fldCharType="separate"/>
        </w:r>
        <w:r w:rsidR="00655185">
          <w:rPr>
            <w:noProof/>
            <w:webHidden/>
          </w:rPr>
          <w:t>12</w:t>
        </w:r>
        <w:r w:rsidR="00A73CFF">
          <w:rPr>
            <w:noProof/>
            <w:webHidden/>
          </w:rPr>
          <w:fldChar w:fldCharType="end"/>
        </w:r>
      </w:hyperlink>
    </w:p>
    <w:p w14:paraId="51C193D2" w14:textId="3AB63F04" w:rsidR="00A73CFF" w:rsidRDefault="00B83C9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840795" w:history="1">
        <w:r w:rsidR="00A73CFF" w:rsidRPr="002B4310">
          <w:rPr>
            <w:rStyle w:val="Hyperlink"/>
            <w:noProof/>
          </w:rPr>
          <w:t>2</w:t>
        </w:r>
        <w:r w:rsidR="00A73CFF">
          <w:rPr>
            <w:rFonts w:eastAsiaTheme="minorEastAsia" w:cstheme="minorBidi"/>
            <w:b w:val="0"/>
            <w:bCs w:val="0"/>
            <w:caps w:val="0"/>
            <w:noProof/>
            <w:sz w:val="22"/>
            <w:szCs w:val="22"/>
            <w:lang w:eastAsia="en-GB" w:bidi="ar-SA"/>
          </w:rPr>
          <w:tab/>
        </w:r>
        <w:r w:rsidR="00A73CFF" w:rsidRPr="002B4310">
          <w:rPr>
            <w:rStyle w:val="Hyperlink"/>
            <w:noProof/>
          </w:rPr>
          <w:t xml:space="preserve">Summary </w:t>
        </w:r>
        <w:r w:rsidR="00A73CFF" w:rsidRPr="002B4310">
          <w:rPr>
            <w:rStyle w:val="Hyperlink"/>
            <w:noProof/>
            <w:u w:color="FFFF00"/>
          </w:rPr>
          <w:t>of</w:t>
        </w:r>
        <w:r w:rsidR="00A73CFF" w:rsidRPr="002B4310">
          <w:rPr>
            <w:rStyle w:val="Hyperlink"/>
            <w:noProof/>
          </w:rPr>
          <w:t xml:space="preserve"> the findings</w:t>
        </w:r>
        <w:r w:rsidR="00A73CFF">
          <w:rPr>
            <w:noProof/>
            <w:webHidden/>
          </w:rPr>
          <w:tab/>
        </w:r>
        <w:r w:rsidR="00A73CFF">
          <w:rPr>
            <w:noProof/>
            <w:webHidden/>
          </w:rPr>
          <w:fldChar w:fldCharType="begin"/>
        </w:r>
        <w:r w:rsidR="00A73CFF">
          <w:rPr>
            <w:noProof/>
            <w:webHidden/>
          </w:rPr>
          <w:instrText xml:space="preserve"> PAGEREF _Toc58840795 \h </w:instrText>
        </w:r>
        <w:r w:rsidR="00A73CFF">
          <w:rPr>
            <w:noProof/>
            <w:webHidden/>
          </w:rPr>
        </w:r>
        <w:r w:rsidR="00A73CFF">
          <w:rPr>
            <w:noProof/>
            <w:webHidden/>
          </w:rPr>
          <w:fldChar w:fldCharType="separate"/>
        </w:r>
        <w:r w:rsidR="00655185">
          <w:rPr>
            <w:noProof/>
            <w:webHidden/>
          </w:rPr>
          <w:t>13</w:t>
        </w:r>
        <w:r w:rsidR="00A73CFF">
          <w:rPr>
            <w:noProof/>
            <w:webHidden/>
          </w:rPr>
          <w:fldChar w:fldCharType="end"/>
        </w:r>
      </w:hyperlink>
    </w:p>
    <w:p w14:paraId="0A50AE7E" w14:textId="135F9BAA"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796" w:history="1">
        <w:r w:rsidR="00A73CFF" w:rsidRPr="002B4310">
          <w:rPr>
            <w:rStyle w:val="Hyperlink"/>
            <w:noProof/>
          </w:rPr>
          <w:t>2.1</w:t>
        </w:r>
        <w:r w:rsidR="00A73CFF">
          <w:rPr>
            <w:rFonts w:eastAsiaTheme="minorEastAsia" w:cstheme="minorBidi"/>
            <w:smallCaps w:val="0"/>
            <w:noProof/>
            <w:sz w:val="22"/>
            <w:szCs w:val="22"/>
            <w:lang w:eastAsia="en-GB" w:bidi="ar-SA"/>
          </w:rPr>
          <w:tab/>
        </w:r>
        <w:r w:rsidR="00A73CFF" w:rsidRPr="002B4310">
          <w:rPr>
            <w:rStyle w:val="Hyperlink"/>
            <w:noProof/>
          </w:rPr>
          <w:t>Summary of issues raised in submissions</w:t>
        </w:r>
        <w:r w:rsidR="00A73CFF">
          <w:rPr>
            <w:noProof/>
            <w:webHidden/>
          </w:rPr>
          <w:tab/>
        </w:r>
        <w:r w:rsidR="00A73CFF">
          <w:rPr>
            <w:noProof/>
            <w:webHidden/>
          </w:rPr>
          <w:fldChar w:fldCharType="begin"/>
        </w:r>
        <w:r w:rsidR="00A73CFF">
          <w:rPr>
            <w:noProof/>
            <w:webHidden/>
          </w:rPr>
          <w:instrText xml:space="preserve"> PAGEREF _Toc58840796 \h </w:instrText>
        </w:r>
        <w:r w:rsidR="00A73CFF">
          <w:rPr>
            <w:noProof/>
            <w:webHidden/>
          </w:rPr>
        </w:r>
        <w:r w:rsidR="00A73CFF">
          <w:rPr>
            <w:noProof/>
            <w:webHidden/>
          </w:rPr>
          <w:fldChar w:fldCharType="separate"/>
        </w:r>
        <w:r w:rsidR="00655185">
          <w:rPr>
            <w:noProof/>
            <w:webHidden/>
          </w:rPr>
          <w:t>13</w:t>
        </w:r>
        <w:r w:rsidR="00A73CFF">
          <w:rPr>
            <w:noProof/>
            <w:webHidden/>
          </w:rPr>
          <w:fldChar w:fldCharType="end"/>
        </w:r>
      </w:hyperlink>
    </w:p>
    <w:p w14:paraId="5442CB06" w14:textId="147ACBF4"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797" w:history="1">
        <w:r w:rsidR="00A73CFF" w:rsidRPr="002B4310">
          <w:rPr>
            <w:rStyle w:val="Hyperlink"/>
            <w:noProof/>
          </w:rPr>
          <w:t>2.2</w:t>
        </w:r>
        <w:r w:rsidR="00A73CFF">
          <w:rPr>
            <w:rFonts w:eastAsiaTheme="minorEastAsia" w:cstheme="minorBidi"/>
            <w:smallCaps w:val="0"/>
            <w:noProof/>
            <w:sz w:val="22"/>
            <w:szCs w:val="22"/>
            <w:lang w:eastAsia="en-GB" w:bidi="ar-SA"/>
          </w:rPr>
          <w:tab/>
        </w:r>
        <w:r w:rsidR="00A73CFF" w:rsidRPr="002B4310">
          <w:rPr>
            <w:rStyle w:val="Hyperlink"/>
            <w:noProof/>
          </w:rPr>
          <w:t>Risk assessment</w:t>
        </w:r>
        <w:r w:rsidR="00A73CFF">
          <w:rPr>
            <w:noProof/>
            <w:webHidden/>
          </w:rPr>
          <w:tab/>
        </w:r>
        <w:r w:rsidR="00A73CFF">
          <w:rPr>
            <w:noProof/>
            <w:webHidden/>
          </w:rPr>
          <w:fldChar w:fldCharType="begin"/>
        </w:r>
        <w:r w:rsidR="00A73CFF">
          <w:rPr>
            <w:noProof/>
            <w:webHidden/>
          </w:rPr>
          <w:instrText xml:space="preserve"> PAGEREF _Toc58840797 \h </w:instrText>
        </w:r>
        <w:r w:rsidR="00A73CFF">
          <w:rPr>
            <w:noProof/>
            <w:webHidden/>
          </w:rPr>
        </w:r>
        <w:r w:rsidR="00A73CFF">
          <w:rPr>
            <w:noProof/>
            <w:webHidden/>
          </w:rPr>
          <w:fldChar w:fldCharType="separate"/>
        </w:r>
        <w:r w:rsidR="00655185">
          <w:rPr>
            <w:noProof/>
            <w:webHidden/>
          </w:rPr>
          <w:t>29</w:t>
        </w:r>
        <w:r w:rsidR="00A73CFF">
          <w:rPr>
            <w:noProof/>
            <w:webHidden/>
          </w:rPr>
          <w:fldChar w:fldCharType="end"/>
        </w:r>
      </w:hyperlink>
    </w:p>
    <w:p w14:paraId="21738850" w14:textId="7DE7211A"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798" w:history="1">
        <w:r w:rsidR="00A73CFF" w:rsidRPr="002B4310">
          <w:rPr>
            <w:rStyle w:val="Hyperlink"/>
            <w:noProof/>
          </w:rPr>
          <w:t>2.2.1</w:t>
        </w:r>
        <w:r w:rsidR="00A73CFF">
          <w:rPr>
            <w:rFonts w:eastAsiaTheme="minorEastAsia" w:cstheme="minorBidi"/>
            <w:i w:val="0"/>
            <w:iCs w:val="0"/>
            <w:noProof/>
            <w:sz w:val="22"/>
            <w:szCs w:val="22"/>
            <w:lang w:eastAsia="en-GB" w:bidi="ar-SA"/>
          </w:rPr>
          <w:tab/>
        </w:r>
        <w:r w:rsidR="00A73CFF" w:rsidRPr="002B4310">
          <w:rPr>
            <w:rStyle w:val="Hyperlink"/>
            <w:noProof/>
          </w:rPr>
          <w:t>Safety assessment</w:t>
        </w:r>
        <w:r w:rsidR="00A73CFF">
          <w:rPr>
            <w:noProof/>
            <w:webHidden/>
          </w:rPr>
          <w:tab/>
        </w:r>
        <w:r w:rsidR="00A73CFF">
          <w:rPr>
            <w:noProof/>
            <w:webHidden/>
          </w:rPr>
          <w:fldChar w:fldCharType="begin"/>
        </w:r>
        <w:r w:rsidR="00A73CFF">
          <w:rPr>
            <w:noProof/>
            <w:webHidden/>
          </w:rPr>
          <w:instrText xml:space="preserve"> PAGEREF _Toc58840798 \h </w:instrText>
        </w:r>
        <w:r w:rsidR="00A73CFF">
          <w:rPr>
            <w:noProof/>
            <w:webHidden/>
          </w:rPr>
        </w:r>
        <w:r w:rsidR="00A73CFF">
          <w:rPr>
            <w:noProof/>
            <w:webHidden/>
          </w:rPr>
          <w:fldChar w:fldCharType="separate"/>
        </w:r>
        <w:r w:rsidR="00655185">
          <w:rPr>
            <w:noProof/>
            <w:webHidden/>
          </w:rPr>
          <w:t>29</w:t>
        </w:r>
        <w:r w:rsidR="00A73CFF">
          <w:rPr>
            <w:noProof/>
            <w:webHidden/>
          </w:rPr>
          <w:fldChar w:fldCharType="end"/>
        </w:r>
      </w:hyperlink>
    </w:p>
    <w:p w14:paraId="68412473" w14:textId="0CE96567"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799" w:history="1">
        <w:r w:rsidR="00A73CFF" w:rsidRPr="002B4310">
          <w:rPr>
            <w:rStyle w:val="Hyperlink"/>
            <w:noProof/>
          </w:rPr>
          <w:t>2.2.2</w:t>
        </w:r>
        <w:r w:rsidR="00A73CFF">
          <w:rPr>
            <w:rFonts w:eastAsiaTheme="minorEastAsia" w:cstheme="minorBidi"/>
            <w:i w:val="0"/>
            <w:iCs w:val="0"/>
            <w:noProof/>
            <w:sz w:val="22"/>
            <w:szCs w:val="22"/>
            <w:lang w:eastAsia="en-GB" w:bidi="ar-SA"/>
          </w:rPr>
          <w:tab/>
        </w:r>
        <w:r w:rsidR="00A73CFF" w:rsidRPr="002B4310">
          <w:rPr>
            <w:rStyle w:val="Hyperlink"/>
            <w:noProof/>
          </w:rPr>
          <w:t>Nutrition assessment</w:t>
        </w:r>
        <w:r w:rsidR="00A73CFF">
          <w:rPr>
            <w:noProof/>
            <w:webHidden/>
          </w:rPr>
          <w:tab/>
        </w:r>
        <w:r w:rsidR="00A73CFF">
          <w:rPr>
            <w:noProof/>
            <w:webHidden/>
          </w:rPr>
          <w:fldChar w:fldCharType="begin"/>
        </w:r>
        <w:r w:rsidR="00A73CFF">
          <w:rPr>
            <w:noProof/>
            <w:webHidden/>
          </w:rPr>
          <w:instrText xml:space="preserve"> PAGEREF _Toc58840799 \h </w:instrText>
        </w:r>
        <w:r w:rsidR="00A73CFF">
          <w:rPr>
            <w:noProof/>
            <w:webHidden/>
          </w:rPr>
        </w:r>
        <w:r w:rsidR="00A73CFF">
          <w:rPr>
            <w:noProof/>
            <w:webHidden/>
          </w:rPr>
          <w:fldChar w:fldCharType="separate"/>
        </w:r>
        <w:r w:rsidR="00655185">
          <w:rPr>
            <w:noProof/>
            <w:webHidden/>
          </w:rPr>
          <w:t>30</w:t>
        </w:r>
        <w:r w:rsidR="00A73CFF">
          <w:rPr>
            <w:noProof/>
            <w:webHidden/>
          </w:rPr>
          <w:fldChar w:fldCharType="end"/>
        </w:r>
      </w:hyperlink>
    </w:p>
    <w:p w14:paraId="2620433E" w14:textId="708F5AFD"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00" w:history="1">
        <w:r w:rsidR="00A73CFF" w:rsidRPr="002B4310">
          <w:rPr>
            <w:rStyle w:val="Hyperlink"/>
            <w:rFonts w:eastAsia="Calibri"/>
            <w:noProof/>
          </w:rPr>
          <w:t>2.2.3</w:t>
        </w:r>
        <w:r w:rsidR="00A73CFF">
          <w:rPr>
            <w:rFonts w:eastAsiaTheme="minorEastAsia" w:cstheme="minorBidi"/>
            <w:i w:val="0"/>
            <w:iCs w:val="0"/>
            <w:noProof/>
            <w:sz w:val="22"/>
            <w:szCs w:val="22"/>
            <w:lang w:eastAsia="en-GB" w:bidi="ar-SA"/>
          </w:rPr>
          <w:tab/>
        </w:r>
        <w:r w:rsidR="00A73CFF" w:rsidRPr="002B4310">
          <w:rPr>
            <w:rStyle w:val="Hyperlink"/>
            <w:rFonts w:eastAsia="Calibri"/>
            <w:noProof/>
          </w:rPr>
          <w:t>Risk and technical assessment conclusion</w:t>
        </w:r>
        <w:r w:rsidR="00A73CFF">
          <w:rPr>
            <w:noProof/>
            <w:webHidden/>
          </w:rPr>
          <w:tab/>
        </w:r>
        <w:r w:rsidR="00A73CFF">
          <w:rPr>
            <w:noProof/>
            <w:webHidden/>
          </w:rPr>
          <w:fldChar w:fldCharType="begin"/>
        </w:r>
        <w:r w:rsidR="00A73CFF">
          <w:rPr>
            <w:noProof/>
            <w:webHidden/>
          </w:rPr>
          <w:instrText xml:space="preserve"> PAGEREF _Toc58840800 \h </w:instrText>
        </w:r>
        <w:r w:rsidR="00A73CFF">
          <w:rPr>
            <w:noProof/>
            <w:webHidden/>
          </w:rPr>
        </w:r>
        <w:r w:rsidR="00A73CFF">
          <w:rPr>
            <w:noProof/>
            <w:webHidden/>
          </w:rPr>
          <w:fldChar w:fldCharType="separate"/>
        </w:r>
        <w:r w:rsidR="00655185">
          <w:rPr>
            <w:noProof/>
            <w:webHidden/>
          </w:rPr>
          <w:t>31</w:t>
        </w:r>
        <w:r w:rsidR="00A73CFF">
          <w:rPr>
            <w:noProof/>
            <w:webHidden/>
          </w:rPr>
          <w:fldChar w:fldCharType="end"/>
        </w:r>
      </w:hyperlink>
    </w:p>
    <w:p w14:paraId="3EC077D7" w14:textId="65352E56" w:rsidR="00A73CFF" w:rsidRDefault="00B83C9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840801" w:history="1">
        <w:r w:rsidR="00A73CFF" w:rsidRPr="002B4310">
          <w:rPr>
            <w:rStyle w:val="Hyperlink"/>
            <w:noProof/>
          </w:rPr>
          <w:t>3</w:t>
        </w:r>
        <w:r w:rsidR="00A73CFF">
          <w:rPr>
            <w:rFonts w:eastAsiaTheme="minorEastAsia" w:cstheme="minorBidi"/>
            <w:b w:val="0"/>
            <w:bCs w:val="0"/>
            <w:caps w:val="0"/>
            <w:noProof/>
            <w:sz w:val="22"/>
            <w:szCs w:val="22"/>
            <w:lang w:eastAsia="en-GB" w:bidi="ar-SA"/>
          </w:rPr>
          <w:tab/>
        </w:r>
        <w:r w:rsidR="00A73CFF" w:rsidRPr="002B4310">
          <w:rPr>
            <w:rStyle w:val="Hyperlink"/>
            <w:noProof/>
          </w:rPr>
          <w:t>Risk management</w:t>
        </w:r>
        <w:r w:rsidR="00A73CFF">
          <w:rPr>
            <w:noProof/>
            <w:webHidden/>
          </w:rPr>
          <w:tab/>
        </w:r>
        <w:r w:rsidR="00A73CFF">
          <w:rPr>
            <w:noProof/>
            <w:webHidden/>
          </w:rPr>
          <w:fldChar w:fldCharType="begin"/>
        </w:r>
        <w:r w:rsidR="00A73CFF">
          <w:rPr>
            <w:noProof/>
            <w:webHidden/>
          </w:rPr>
          <w:instrText xml:space="preserve"> PAGEREF _Toc58840801 \h </w:instrText>
        </w:r>
        <w:r w:rsidR="00A73CFF">
          <w:rPr>
            <w:noProof/>
            <w:webHidden/>
          </w:rPr>
        </w:r>
        <w:r w:rsidR="00A73CFF">
          <w:rPr>
            <w:noProof/>
            <w:webHidden/>
          </w:rPr>
          <w:fldChar w:fldCharType="separate"/>
        </w:r>
        <w:r w:rsidR="00655185">
          <w:rPr>
            <w:noProof/>
            <w:webHidden/>
          </w:rPr>
          <w:t>32</w:t>
        </w:r>
        <w:r w:rsidR="00A73CFF">
          <w:rPr>
            <w:noProof/>
            <w:webHidden/>
          </w:rPr>
          <w:fldChar w:fldCharType="end"/>
        </w:r>
      </w:hyperlink>
    </w:p>
    <w:p w14:paraId="78C25688" w14:textId="520C1458"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802" w:history="1">
        <w:r w:rsidR="00A73CFF" w:rsidRPr="002B4310">
          <w:rPr>
            <w:rStyle w:val="Hyperlink"/>
            <w:rFonts w:eastAsia="Calibri"/>
            <w:noProof/>
          </w:rPr>
          <w:t>3.1</w:t>
        </w:r>
        <w:r w:rsidR="00A73CFF">
          <w:rPr>
            <w:rFonts w:eastAsiaTheme="minorEastAsia" w:cstheme="minorBidi"/>
            <w:smallCaps w:val="0"/>
            <w:noProof/>
            <w:sz w:val="22"/>
            <w:szCs w:val="22"/>
            <w:lang w:eastAsia="en-GB" w:bidi="ar-SA"/>
          </w:rPr>
          <w:tab/>
        </w:r>
        <w:r w:rsidR="00A73CFF" w:rsidRPr="002B4310">
          <w:rPr>
            <w:rStyle w:val="Hyperlink"/>
            <w:rFonts w:eastAsia="Calibri"/>
            <w:noProof/>
          </w:rPr>
          <w:t>Regulation of soy leghemoglobin in the Code</w:t>
        </w:r>
        <w:r w:rsidR="00A73CFF">
          <w:rPr>
            <w:noProof/>
            <w:webHidden/>
          </w:rPr>
          <w:tab/>
        </w:r>
        <w:r w:rsidR="00A73CFF">
          <w:rPr>
            <w:noProof/>
            <w:webHidden/>
          </w:rPr>
          <w:fldChar w:fldCharType="begin"/>
        </w:r>
        <w:r w:rsidR="00A73CFF">
          <w:rPr>
            <w:noProof/>
            <w:webHidden/>
          </w:rPr>
          <w:instrText xml:space="preserve"> PAGEREF _Toc58840802 \h </w:instrText>
        </w:r>
        <w:r w:rsidR="00A73CFF">
          <w:rPr>
            <w:noProof/>
            <w:webHidden/>
          </w:rPr>
        </w:r>
        <w:r w:rsidR="00A73CFF">
          <w:rPr>
            <w:noProof/>
            <w:webHidden/>
          </w:rPr>
          <w:fldChar w:fldCharType="separate"/>
        </w:r>
        <w:r w:rsidR="00655185">
          <w:rPr>
            <w:noProof/>
            <w:webHidden/>
          </w:rPr>
          <w:t>32</w:t>
        </w:r>
        <w:r w:rsidR="00A73CFF">
          <w:rPr>
            <w:noProof/>
            <w:webHidden/>
          </w:rPr>
          <w:fldChar w:fldCharType="end"/>
        </w:r>
      </w:hyperlink>
    </w:p>
    <w:p w14:paraId="527EA108" w14:textId="119602A0"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03" w:history="1">
        <w:r w:rsidR="00A73CFF" w:rsidRPr="002B4310">
          <w:rPr>
            <w:rStyle w:val="Hyperlink"/>
            <w:rFonts w:eastAsia="Calibri"/>
            <w:noProof/>
          </w:rPr>
          <w:t>3.1.1</w:t>
        </w:r>
        <w:r w:rsidR="00A73CFF">
          <w:rPr>
            <w:rFonts w:eastAsiaTheme="minorEastAsia" w:cstheme="minorBidi"/>
            <w:i w:val="0"/>
            <w:iCs w:val="0"/>
            <w:noProof/>
            <w:sz w:val="22"/>
            <w:szCs w:val="22"/>
            <w:lang w:eastAsia="en-GB" w:bidi="ar-SA"/>
          </w:rPr>
          <w:tab/>
        </w:r>
        <w:r w:rsidR="00A73CFF" w:rsidRPr="002B4310">
          <w:rPr>
            <w:rStyle w:val="Hyperlink"/>
            <w:rFonts w:eastAsia="Calibri"/>
            <w:noProof/>
          </w:rPr>
          <w:t>Permitted use levels of the soy leghemoglobin</w:t>
        </w:r>
        <w:r w:rsidR="00A73CFF">
          <w:rPr>
            <w:noProof/>
            <w:webHidden/>
          </w:rPr>
          <w:tab/>
        </w:r>
        <w:r w:rsidR="00A73CFF">
          <w:rPr>
            <w:noProof/>
            <w:webHidden/>
          </w:rPr>
          <w:fldChar w:fldCharType="begin"/>
        </w:r>
        <w:r w:rsidR="00A73CFF">
          <w:rPr>
            <w:noProof/>
            <w:webHidden/>
          </w:rPr>
          <w:instrText xml:space="preserve"> PAGEREF _Toc58840803 \h </w:instrText>
        </w:r>
        <w:r w:rsidR="00A73CFF">
          <w:rPr>
            <w:noProof/>
            <w:webHidden/>
          </w:rPr>
        </w:r>
        <w:r w:rsidR="00A73CFF">
          <w:rPr>
            <w:noProof/>
            <w:webHidden/>
          </w:rPr>
          <w:fldChar w:fldCharType="separate"/>
        </w:r>
        <w:r w:rsidR="00655185">
          <w:rPr>
            <w:noProof/>
            <w:webHidden/>
          </w:rPr>
          <w:t>33</w:t>
        </w:r>
        <w:r w:rsidR="00A73CFF">
          <w:rPr>
            <w:noProof/>
            <w:webHidden/>
          </w:rPr>
          <w:fldChar w:fldCharType="end"/>
        </w:r>
      </w:hyperlink>
    </w:p>
    <w:p w14:paraId="5EF49309" w14:textId="78A50B3D"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04" w:history="1">
        <w:r w:rsidR="00A73CFF" w:rsidRPr="002B4310">
          <w:rPr>
            <w:rStyle w:val="Hyperlink"/>
            <w:rFonts w:eastAsia="Calibri"/>
            <w:noProof/>
          </w:rPr>
          <w:t>3.1.2</w:t>
        </w:r>
        <w:r w:rsidR="00A73CFF">
          <w:rPr>
            <w:rFonts w:eastAsiaTheme="minorEastAsia" w:cstheme="minorBidi"/>
            <w:i w:val="0"/>
            <w:iCs w:val="0"/>
            <w:noProof/>
            <w:sz w:val="22"/>
            <w:szCs w:val="22"/>
            <w:lang w:eastAsia="en-GB" w:bidi="ar-SA"/>
          </w:rPr>
          <w:tab/>
        </w:r>
        <w:r w:rsidR="00A73CFF" w:rsidRPr="002B4310">
          <w:rPr>
            <w:rStyle w:val="Hyperlink"/>
            <w:rFonts w:eastAsia="Calibri"/>
            <w:noProof/>
          </w:rPr>
          <w:t>Identifying levels of soy leghemoglobin in the food supply</w:t>
        </w:r>
        <w:r w:rsidR="00A73CFF">
          <w:rPr>
            <w:noProof/>
            <w:webHidden/>
          </w:rPr>
          <w:tab/>
        </w:r>
        <w:r w:rsidR="00A73CFF">
          <w:rPr>
            <w:noProof/>
            <w:webHidden/>
          </w:rPr>
          <w:fldChar w:fldCharType="begin"/>
        </w:r>
        <w:r w:rsidR="00A73CFF">
          <w:rPr>
            <w:noProof/>
            <w:webHidden/>
          </w:rPr>
          <w:instrText xml:space="preserve"> PAGEREF _Toc58840804 \h </w:instrText>
        </w:r>
        <w:r w:rsidR="00A73CFF">
          <w:rPr>
            <w:noProof/>
            <w:webHidden/>
          </w:rPr>
        </w:r>
        <w:r w:rsidR="00A73CFF">
          <w:rPr>
            <w:noProof/>
            <w:webHidden/>
          </w:rPr>
          <w:fldChar w:fldCharType="separate"/>
        </w:r>
        <w:r w:rsidR="00655185">
          <w:rPr>
            <w:noProof/>
            <w:webHidden/>
          </w:rPr>
          <w:t>33</w:t>
        </w:r>
        <w:r w:rsidR="00A73CFF">
          <w:rPr>
            <w:noProof/>
            <w:webHidden/>
          </w:rPr>
          <w:fldChar w:fldCharType="end"/>
        </w:r>
      </w:hyperlink>
    </w:p>
    <w:p w14:paraId="67B9A605" w14:textId="02DF1C5D"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805" w:history="1">
        <w:r w:rsidR="00A73CFF" w:rsidRPr="002B4310">
          <w:rPr>
            <w:rStyle w:val="Hyperlink"/>
            <w:noProof/>
          </w:rPr>
          <w:t>3.2</w:t>
        </w:r>
        <w:r w:rsidR="00A73CFF">
          <w:rPr>
            <w:rFonts w:eastAsiaTheme="minorEastAsia" w:cstheme="minorBidi"/>
            <w:smallCaps w:val="0"/>
            <w:noProof/>
            <w:sz w:val="22"/>
            <w:szCs w:val="22"/>
            <w:lang w:eastAsia="en-GB" w:bidi="ar-SA"/>
          </w:rPr>
          <w:tab/>
        </w:r>
        <w:r w:rsidR="00A73CFF" w:rsidRPr="002B4310">
          <w:rPr>
            <w:rStyle w:val="Hyperlink"/>
            <w:noProof/>
          </w:rPr>
          <w:t>Labelling requirements</w:t>
        </w:r>
        <w:r w:rsidR="00A73CFF">
          <w:rPr>
            <w:noProof/>
            <w:webHidden/>
          </w:rPr>
          <w:tab/>
        </w:r>
        <w:r w:rsidR="00A73CFF">
          <w:rPr>
            <w:noProof/>
            <w:webHidden/>
          </w:rPr>
          <w:fldChar w:fldCharType="begin"/>
        </w:r>
        <w:r w:rsidR="00A73CFF">
          <w:rPr>
            <w:noProof/>
            <w:webHidden/>
          </w:rPr>
          <w:instrText xml:space="preserve"> PAGEREF _Toc58840805 \h </w:instrText>
        </w:r>
        <w:r w:rsidR="00A73CFF">
          <w:rPr>
            <w:noProof/>
            <w:webHidden/>
          </w:rPr>
        </w:r>
        <w:r w:rsidR="00A73CFF">
          <w:rPr>
            <w:noProof/>
            <w:webHidden/>
          </w:rPr>
          <w:fldChar w:fldCharType="separate"/>
        </w:r>
        <w:r w:rsidR="00655185">
          <w:rPr>
            <w:noProof/>
            <w:webHidden/>
          </w:rPr>
          <w:t>34</w:t>
        </w:r>
        <w:r w:rsidR="00A73CFF">
          <w:rPr>
            <w:noProof/>
            <w:webHidden/>
          </w:rPr>
          <w:fldChar w:fldCharType="end"/>
        </w:r>
      </w:hyperlink>
    </w:p>
    <w:p w14:paraId="58230148" w14:textId="41C13231"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06" w:history="1">
        <w:r w:rsidR="00A73CFF" w:rsidRPr="002B4310">
          <w:rPr>
            <w:rStyle w:val="Hyperlink"/>
            <w:noProof/>
          </w:rPr>
          <w:t>3.2.1</w:t>
        </w:r>
        <w:r w:rsidR="00A73CFF">
          <w:rPr>
            <w:rFonts w:eastAsiaTheme="minorEastAsia" w:cstheme="minorBidi"/>
            <w:i w:val="0"/>
            <w:iCs w:val="0"/>
            <w:noProof/>
            <w:sz w:val="22"/>
            <w:szCs w:val="22"/>
            <w:lang w:eastAsia="en-GB" w:bidi="ar-SA"/>
          </w:rPr>
          <w:tab/>
        </w:r>
        <w:r w:rsidR="00A73CFF" w:rsidRPr="002B4310">
          <w:rPr>
            <w:rStyle w:val="Hyperlink"/>
            <w:noProof/>
          </w:rPr>
          <w:t>Name of ingredient</w:t>
        </w:r>
        <w:r w:rsidR="00A73CFF">
          <w:rPr>
            <w:noProof/>
            <w:webHidden/>
          </w:rPr>
          <w:tab/>
        </w:r>
        <w:r w:rsidR="00A73CFF">
          <w:rPr>
            <w:noProof/>
            <w:webHidden/>
          </w:rPr>
          <w:fldChar w:fldCharType="begin"/>
        </w:r>
        <w:r w:rsidR="00A73CFF">
          <w:rPr>
            <w:noProof/>
            <w:webHidden/>
          </w:rPr>
          <w:instrText xml:space="preserve"> PAGEREF _Toc58840806 \h </w:instrText>
        </w:r>
        <w:r w:rsidR="00A73CFF">
          <w:rPr>
            <w:noProof/>
            <w:webHidden/>
          </w:rPr>
        </w:r>
        <w:r w:rsidR="00A73CFF">
          <w:rPr>
            <w:noProof/>
            <w:webHidden/>
          </w:rPr>
          <w:fldChar w:fldCharType="separate"/>
        </w:r>
        <w:r w:rsidR="00655185">
          <w:rPr>
            <w:noProof/>
            <w:webHidden/>
          </w:rPr>
          <w:t>34</w:t>
        </w:r>
        <w:r w:rsidR="00A73CFF">
          <w:rPr>
            <w:noProof/>
            <w:webHidden/>
          </w:rPr>
          <w:fldChar w:fldCharType="end"/>
        </w:r>
      </w:hyperlink>
    </w:p>
    <w:p w14:paraId="51F4FD79" w14:textId="003EE10F"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07" w:history="1">
        <w:r w:rsidR="00A73CFF" w:rsidRPr="002B4310">
          <w:rPr>
            <w:rStyle w:val="Hyperlink"/>
            <w:noProof/>
          </w:rPr>
          <w:t>3.2.2</w:t>
        </w:r>
        <w:r w:rsidR="00A73CFF">
          <w:rPr>
            <w:rFonts w:eastAsiaTheme="minorEastAsia" w:cstheme="minorBidi"/>
            <w:i w:val="0"/>
            <w:iCs w:val="0"/>
            <w:noProof/>
            <w:sz w:val="22"/>
            <w:szCs w:val="22"/>
            <w:lang w:eastAsia="en-GB" w:bidi="ar-SA"/>
          </w:rPr>
          <w:tab/>
        </w:r>
        <w:r w:rsidR="00A73CFF" w:rsidRPr="002B4310">
          <w:rPr>
            <w:rStyle w:val="Hyperlink"/>
            <w:noProof/>
          </w:rPr>
          <w:t>Mandatory declaration of certain foods or substances in food</w:t>
        </w:r>
        <w:r w:rsidR="00A73CFF">
          <w:rPr>
            <w:noProof/>
            <w:webHidden/>
          </w:rPr>
          <w:tab/>
        </w:r>
        <w:r w:rsidR="00A73CFF">
          <w:rPr>
            <w:noProof/>
            <w:webHidden/>
          </w:rPr>
          <w:fldChar w:fldCharType="begin"/>
        </w:r>
        <w:r w:rsidR="00A73CFF">
          <w:rPr>
            <w:noProof/>
            <w:webHidden/>
          </w:rPr>
          <w:instrText xml:space="preserve"> PAGEREF _Toc58840807 \h </w:instrText>
        </w:r>
        <w:r w:rsidR="00A73CFF">
          <w:rPr>
            <w:noProof/>
            <w:webHidden/>
          </w:rPr>
        </w:r>
        <w:r w:rsidR="00A73CFF">
          <w:rPr>
            <w:noProof/>
            <w:webHidden/>
          </w:rPr>
          <w:fldChar w:fldCharType="separate"/>
        </w:r>
        <w:r w:rsidR="00655185">
          <w:rPr>
            <w:noProof/>
            <w:webHidden/>
          </w:rPr>
          <w:t>35</w:t>
        </w:r>
        <w:r w:rsidR="00A73CFF">
          <w:rPr>
            <w:noProof/>
            <w:webHidden/>
          </w:rPr>
          <w:fldChar w:fldCharType="end"/>
        </w:r>
      </w:hyperlink>
    </w:p>
    <w:p w14:paraId="3EACEE63" w14:textId="21DB21BC"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08" w:history="1">
        <w:r w:rsidR="00A73CFF" w:rsidRPr="002B4310">
          <w:rPr>
            <w:rStyle w:val="Hyperlink"/>
            <w:noProof/>
          </w:rPr>
          <w:t>3.2.3</w:t>
        </w:r>
        <w:r w:rsidR="00A73CFF">
          <w:rPr>
            <w:rFonts w:eastAsiaTheme="minorEastAsia" w:cstheme="minorBidi"/>
            <w:i w:val="0"/>
            <w:iCs w:val="0"/>
            <w:noProof/>
            <w:sz w:val="22"/>
            <w:szCs w:val="22"/>
            <w:lang w:eastAsia="en-GB" w:bidi="ar-SA"/>
          </w:rPr>
          <w:tab/>
        </w:r>
        <w:r w:rsidR="00A73CFF" w:rsidRPr="002B4310">
          <w:rPr>
            <w:rStyle w:val="Hyperlink"/>
            <w:noProof/>
          </w:rPr>
          <w:t>Labelling as ‘genetically modified’</w:t>
        </w:r>
        <w:r w:rsidR="00A73CFF">
          <w:rPr>
            <w:noProof/>
            <w:webHidden/>
          </w:rPr>
          <w:tab/>
        </w:r>
        <w:r w:rsidR="00A73CFF">
          <w:rPr>
            <w:noProof/>
            <w:webHidden/>
          </w:rPr>
          <w:fldChar w:fldCharType="begin"/>
        </w:r>
        <w:r w:rsidR="00A73CFF">
          <w:rPr>
            <w:noProof/>
            <w:webHidden/>
          </w:rPr>
          <w:instrText xml:space="preserve"> PAGEREF _Toc58840808 \h </w:instrText>
        </w:r>
        <w:r w:rsidR="00A73CFF">
          <w:rPr>
            <w:noProof/>
            <w:webHidden/>
          </w:rPr>
        </w:r>
        <w:r w:rsidR="00A73CFF">
          <w:rPr>
            <w:noProof/>
            <w:webHidden/>
          </w:rPr>
          <w:fldChar w:fldCharType="separate"/>
        </w:r>
        <w:r w:rsidR="00655185">
          <w:rPr>
            <w:noProof/>
            <w:webHidden/>
          </w:rPr>
          <w:t>35</w:t>
        </w:r>
        <w:r w:rsidR="00A73CFF">
          <w:rPr>
            <w:noProof/>
            <w:webHidden/>
          </w:rPr>
          <w:fldChar w:fldCharType="end"/>
        </w:r>
      </w:hyperlink>
    </w:p>
    <w:p w14:paraId="0B42273B" w14:textId="0613E74B"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09" w:history="1">
        <w:r w:rsidR="00A73CFF" w:rsidRPr="002B4310">
          <w:rPr>
            <w:rStyle w:val="Hyperlink"/>
            <w:noProof/>
          </w:rPr>
          <w:t>3.2.4</w:t>
        </w:r>
        <w:r w:rsidR="00A73CFF">
          <w:rPr>
            <w:rFonts w:eastAsiaTheme="minorEastAsia" w:cstheme="minorBidi"/>
            <w:i w:val="0"/>
            <w:iCs w:val="0"/>
            <w:noProof/>
            <w:sz w:val="22"/>
            <w:szCs w:val="22"/>
            <w:lang w:eastAsia="en-GB" w:bidi="ar-SA"/>
          </w:rPr>
          <w:tab/>
        </w:r>
        <w:r w:rsidR="00A73CFF" w:rsidRPr="002B4310">
          <w:rPr>
            <w:rStyle w:val="Hyperlink"/>
            <w:noProof/>
          </w:rPr>
          <w:t>Nutrition information</w:t>
        </w:r>
        <w:r w:rsidR="00A73CFF">
          <w:rPr>
            <w:noProof/>
            <w:webHidden/>
          </w:rPr>
          <w:tab/>
        </w:r>
        <w:r w:rsidR="00A73CFF">
          <w:rPr>
            <w:noProof/>
            <w:webHidden/>
          </w:rPr>
          <w:fldChar w:fldCharType="begin"/>
        </w:r>
        <w:r w:rsidR="00A73CFF">
          <w:rPr>
            <w:noProof/>
            <w:webHidden/>
          </w:rPr>
          <w:instrText xml:space="preserve"> PAGEREF _Toc58840809 \h </w:instrText>
        </w:r>
        <w:r w:rsidR="00A73CFF">
          <w:rPr>
            <w:noProof/>
            <w:webHidden/>
          </w:rPr>
        </w:r>
        <w:r w:rsidR="00A73CFF">
          <w:rPr>
            <w:noProof/>
            <w:webHidden/>
          </w:rPr>
          <w:fldChar w:fldCharType="separate"/>
        </w:r>
        <w:r w:rsidR="00655185">
          <w:rPr>
            <w:noProof/>
            <w:webHidden/>
          </w:rPr>
          <w:t>35</w:t>
        </w:r>
        <w:r w:rsidR="00A73CFF">
          <w:rPr>
            <w:noProof/>
            <w:webHidden/>
          </w:rPr>
          <w:fldChar w:fldCharType="end"/>
        </w:r>
      </w:hyperlink>
    </w:p>
    <w:p w14:paraId="03E7BF0E" w14:textId="5227488C"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10" w:history="1">
        <w:r w:rsidR="00A73CFF" w:rsidRPr="002B4310">
          <w:rPr>
            <w:rStyle w:val="Hyperlink"/>
            <w:noProof/>
          </w:rPr>
          <w:t>3.2.5</w:t>
        </w:r>
        <w:r w:rsidR="00A73CFF">
          <w:rPr>
            <w:rFonts w:eastAsiaTheme="minorEastAsia" w:cstheme="minorBidi"/>
            <w:i w:val="0"/>
            <w:iCs w:val="0"/>
            <w:noProof/>
            <w:sz w:val="22"/>
            <w:szCs w:val="22"/>
            <w:lang w:eastAsia="en-GB" w:bidi="ar-SA"/>
          </w:rPr>
          <w:tab/>
        </w:r>
        <w:r w:rsidR="00A73CFF" w:rsidRPr="002B4310">
          <w:rPr>
            <w:rStyle w:val="Hyperlink"/>
            <w:noProof/>
          </w:rPr>
          <w:t>Nutrition content and health claims</w:t>
        </w:r>
        <w:r w:rsidR="00A73CFF">
          <w:rPr>
            <w:noProof/>
            <w:webHidden/>
          </w:rPr>
          <w:tab/>
        </w:r>
        <w:r w:rsidR="00A73CFF">
          <w:rPr>
            <w:noProof/>
            <w:webHidden/>
          </w:rPr>
          <w:fldChar w:fldCharType="begin"/>
        </w:r>
        <w:r w:rsidR="00A73CFF">
          <w:rPr>
            <w:noProof/>
            <w:webHidden/>
          </w:rPr>
          <w:instrText xml:space="preserve"> PAGEREF _Toc58840810 \h </w:instrText>
        </w:r>
        <w:r w:rsidR="00A73CFF">
          <w:rPr>
            <w:noProof/>
            <w:webHidden/>
          </w:rPr>
        </w:r>
        <w:r w:rsidR="00A73CFF">
          <w:rPr>
            <w:noProof/>
            <w:webHidden/>
          </w:rPr>
          <w:fldChar w:fldCharType="separate"/>
        </w:r>
        <w:r w:rsidR="00655185">
          <w:rPr>
            <w:noProof/>
            <w:webHidden/>
          </w:rPr>
          <w:t>36</w:t>
        </w:r>
        <w:r w:rsidR="00A73CFF">
          <w:rPr>
            <w:noProof/>
            <w:webHidden/>
          </w:rPr>
          <w:fldChar w:fldCharType="end"/>
        </w:r>
      </w:hyperlink>
    </w:p>
    <w:p w14:paraId="6C992D89" w14:textId="38530963"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11" w:history="1">
        <w:r w:rsidR="00A73CFF" w:rsidRPr="002B4310">
          <w:rPr>
            <w:rStyle w:val="Hyperlink"/>
            <w:noProof/>
          </w:rPr>
          <w:t>3.2.6</w:t>
        </w:r>
        <w:r w:rsidR="00A73CFF">
          <w:rPr>
            <w:rFonts w:eastAsiaTheme="minorEastAsia" w:cstheme="minorBidi"/>
            <w:i w:val="0"/>
            <w:iCs w:val="0"/>
            <w:noProof/>
            <w:sz w:val="22"/>
            <w:szCs w:val="22"/>
            <w:lang w:eastAsia="en-GB" w:bidi="ar-SA"/>
          </w:rPr>
          <w:tab/>
        </w:r>
        <w:r w:rsidR="00A73CFF" w:rsidRPr="002B4310">
          <w:rPr>
            <w:rStyle w:val="Hyperlink"/>
            <w:noProof/>
          </w:rPr>
          <w:t>Representations</w:t>
        </w:r>
        <w:r w:rsidR="00A73CFF">
          <w:rPr>
            <w:noProof/>
            <w:webHidden/>
          </w:rPr>
          <w:tab/>
        </w:r>
        <w:r w:rsidR="00A73CFF">
          <w:rPr>
            <w:noProof/>
            <w:webHidden/>
          </w:rPr>
          <w:fldChar w:fldCharType="begin"/>
        </w:r>
        <w:r w:rsidR="00A73CFF">
          <w:rPr>
            <w:noProof/>
            <w:webHidden/>
          </w:rPr>
          <w:instrText xml:space="preserve"> PAGEREF _Toc58840811 \h </w:instrText>
        </w:r>
        <w:r w:rsidR="00A73CFF">
          <w:rPr>
            <w:noProof/>
            <w:webHidden/>
          </w:rPr>
        </w:r>
        <w:r w:rsidR="00A73CFF">
          <w:rPr>
            <w:noProof/>
            <w:webHidden/>
          </w:rPr>
          <w:fldChar w:fldCharType="separate"/>
        </w:r>
        <w:r w:rsidR="00655185">
          <w:rPr>
            <w:noProof/>
            <w:webHidden/>
          </w:rPr>
          <w:t>36</w:t>
        </w:r>
        <w:r w:rsidR="00A73CFF">
          <w:rPr>
            <w:noProof/>
            <w:webHidden/>
          </w:rPr>
          <w:fldChar w:fldCharType="end"/>
        </w:r>
      </w:hyperlink>
    </w:p>
    <w:p w14:paraId="4B74DC7A" w14:textId="4A3440BD"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812" w:history="1">
        <w:r w:rsidR="00A73CFF" w:rsidRPr="002B4310">
          <w:rPr>
            <w:rStyle w:val="Hyperlink"/>
            <w:noProof/>
            <w:lang w:val="en-AU" w:eastAsia="en-GB"/>
          </w:rPr>
          <w:t>3.3</w:t>
        </w:r>
        <w:r w:rsidR="00A73CFF">
          <w:rPr>
            <w:rFonts w:eastAsiaTheme="minorEastAsia" w:cstheme="minorBidi"/>
            <w:smallCaps w:val="0"/>
            <w:noProof/>
            <w:sz w:val="22"/>
            <w:szCs w:val="22"/>
            <w:lang w:eastAsia="en-GB" w:bidi="ar-SA"/>
          </w:rPr>
          <w:tab/>
        </w:r>
        <w:r w:rsidR="00A73CFF" w:rsidRPr="002B4310">
          <w:rPr>
            <w:rStyle w:val="Hyperlink"/>
            <w:noProof/>
            <w:lang w:val="en-AU" w:eastAsia="en-GB"/>
          </w:rPr>
          <w:t>Summary of the regulatory measures</w:t>
        </w:r>
        <w:r w:rsidR="00A73CFF">
          <w:rPr>
            <w:noProof/>
            <w:webHidden/>
          </w:rPr>
          <w:tab/>
        </w:r>
        <w:r w:rsidR="00A73CFF">
          <w:rPr>
            <w:noProof/>
            <w:webHidden/>
          </w:rPr>
          <w:fldChar w:fldCharType="begin"/>
        </w:r>
        <w:r w:rsidR="00A73CFF">
          <w:rPr>
            <w:noProof/>
            <w:webHidden/>
          </w:rPr>
          <w:instrText xml:space="preserve"> PAGEREF _Toc58840812 \h </w:instrText>
        </w:r>
        <w:r w:rsidR="00A73CFF">
          <w:rPr>
            <w:noProof/>
            <w:webHidden/>
          </w:rPr>
        </w:r>
        <w:r w:rsidR="00A73CFF">
          <w:rPr>
            <w:noProof/>
            <w:webHidden/>
          </w:rPr>
          <w:fldChar w:fldCharType="separate"/>
        </w:r>
        <w:r w:rsidR="00655185">
          <w:rPr>
            <w:noProof/>
            <w:webHidden/>
          </w:rPr>
          <w:t>38</w:t>
        </w:r>
        <w:r w:rsidR="00A73CFF">
          <w:rPr>
            <w:noProof/>
            <w:webHidden/>
          </w:rPr>
          <w:fldChar w:fldCharType="end"/>
        </w:r>
      </w:hyperlink>
    </w:p>
    <w:p w14:paraId="5D3B09F6" w14:textId="2A50CE47" w:rsidR="00A73CFF" w:rsidRDefault="00B83C9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840813" w:history="1">
        <w:r w:rsidR="00A73CFF" w:rsidRPr="002B4310">
          <w:rPr>
            <w:rStyle w:val="Hyperlink"/>
            <w:noProof/>
          </w:rPr>
          <w:t>4</w:t>
        </w:r>
        <w:r w:rsidR="00A73CFF">
          <w:rPr>
            <w:rFonts w:eastAsiaTheme="minorEastAsia" w:cstheme="minorBidi"/>
            <w:b w:val="0"/>
            <w:bCs w:val="0"/>
            <w:caps w:val="0"/>
            <w:noProof/>
            <w:sz w:val="22"/>
            <w:szCs w:val="22"/>
            <w:lang w:eastAsia="en-GB" w:bidi="ar-SA"/>
          </w:rPr>
          <w:tab/>
        </w:r>
        <w:r w:rsidR="00A73CFF" w:rsidRPr="002B4310">
          <w:rPr>
            <w:rStyle w:val="Hyperlink"/>
            <w:noProof/>
          </w:rPr>
          <w:t>Risk communication</w:t>
        </w:r>
        <w:r w:rsidR="00A73CFF">
          <w:rPr>
            <w:noProof/>
            <w:webHidden/>
          </w:rPr>
          <w:tab/>
        </w:r>
        <w:r w:rsidR="00A73CFF">
          <w:rPr>
            <w:noProof/>
            <w:webHidden/>
          </w:rPr>
          <w:fldChar w:fldCharType="begin"/>
        </w:r>
        <w:r w:rsidR="00A73CFF">
          <w:rPr>
            <w:noProof/>
            <w:webHidden/>
          </w:rPr>
          <w:instrText xml:space="preserve"> PAGEREF _Toc58840813 \h </w:instrText>
        </w:r>
        <w:r w:rsidR="00A73CFF">
          <w:rPr>
            <w:noProof/>
            <w:webHidden/>
          </w:rPr>
        </w:r>
        <w:r w:rsidR="00A73CFF">
          <w:rPr>
            <w:noProof/>
            <w:webHidden/>
          </w:rPr>
          <w:fldChar w:fldCharType="separate"/>
        </w:r>
        <w:r w:rsidR="00655185">
          <w:rPr>
            <w:noProof/>
            <w:webHidden/>
          </w:rPr>
          <w:t>39</w:t>
        </w:r>
        <w:r w:rsidR="00A73CFF">
          <w:rPr>
            <w:noProof/>
            <w:webHidden/>
          </w:rPr>
          <w:fldChar w:fldCharType="end"/>
        </w:r>
      </w:hyperlink>
    </w:p>
    <w:p w14:paraId="3CFA13CF" w14:textId="02EB7DB8"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814" w:history="1">
        <w:r w:rsidR="00A73CFF" w:rsidRPr="002B4310">
          <w:rPr>
            <w:rStyle w:val="Hyperlink"/>
            <w:noProof/>
          </w:rPr>
          <w:t>4.1</w:t>
        </w:r>
        <w:r w:rsidR="00A73CFF">
          <w:rPr>
            <w:rFonts w:eastAsiaTheme="minorEastAsia" w:cstheme="minorBidi"/>
            <w:smallCaps w:val="0"/>
            <w:noProof/>
            <w:sz w:val="22"/>
            <w:szCs w:val="22"/>
            <w:lang w:eastAsia="en-GB" w:bidi="ar-SA"/>
          </w:rPr>
          <w:tab/>
        </w:r>
        <w:r w:rsidR="00A73CFF" w:rsidRPr="002B4310">
          <w:rPr>
            <w:rStyle w:val="Hyperlink"/>
            <w:noProof/>
          </w:rPr>
          <w:t>Consultation</w:t>
        </w:r>
        <w:r w:rsidR="00A73CFF">
          <w:rPr>
            <w:noProof/>
            <w:webHidden/>
          </w:rPr>
          <w:tab/>
        </w:r>
        <w:r w:rsidR="00A73CFF">
          <w:rPr>
            <w:noProof/>
            <w:webHidden/>
          </w:rPr>
          <w:fldChar w:fldCharType="begin"/>
        </w:r>
        <w:r w:rsidR="00A73CFF">
          <w:rPr>
            <w:noProof/>
            <w:webHidden/>
          </w:rPr>
          <w:instrText xml:space="preserve"> PAGEREF _Toc58840814 \h </w:instrText>
        </w:r>
        <w:r w:rsidR="00A73CFF">
          <w:rPr>
            <w:noProof/>
            <w:webHidden/>
          </w:rPr>
        </w:r>
        <w:r w:rsidR="00A73CFF">
          <w:rPr>
            <w:noProof/>
            <w:webHidden/>
          </w:rPr>
          <w:fldChar w:fldCharType="separate"/>
        </w:r>
        <w:r w:rsidR="00655185">
          <w:rPr>
            <w:noProof/>
            <w:webHidden/>
          </w:rPr>
          <w:t>39</w:t>
        </w:r>
        <w:r w:rsidR="00A73CFF">
          <w:rPr>
            <w:noProof/>
            <w:webHidden/>
          </w:rPr>
          <w:fldChar w:fldCharType="end"/>
        </w:r>
      </w:hyperlink>
    </w:p>
    <w:p w14:paraId="60D6C630" w14:textId="5955D09B"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815" w:history="1">
        <w:r w:rsidR="00A73CFF" w:rsidRPr="002B4310">
          <w:rPr>
            <w:rStyle w:val="Hyperlink"/>
            <w:noProof/>
          </w:rPr>
          <w:t>4.2</w:t>
        </w:r>
        <w:r w:rsidR="00A73CFF">
          <w:rPr>
            <w:rFonts w:eastAsiaTheme="minorEastAsia" w:cstheme="minorBidi"/>
            <w:smallCaps w:val="0"/>
            <w:noProof/>
            <w:sz w:val="22"/>
            <w:szCs w:val="22"/>
            <w:lang w:eastAsia="en-GB" w:bidi="ar-SA"/>
          </w:rPr>
          <w:tab/>
        </w:r>
        <w:r w:rsidR="00A73CFF" w:rsidRPr="002B4310">
          <w:rPr>
            <w:rStyle w:val="Hyperlink"/>
            <w:noProof/>
          </w:rPr>
          <w:t>FSANZ meat analogue product consumer information</w:t>
        </w:r>
        <w:r w:rsidR="00A73CFF">
          <w:rPr>
            <w:noProof/>
            <w:webHidden/>
          </w:rPr>
          <w:tab/>
        </w:r>
        <w:r w:rsidR="00A73CFF">
          <w:rPr>
            <w:noProof/>
            <w:webHidden/>
          </w:rPr>
          <w:fldChar w:fldCharType="begin"/>
        </w:r>
        <w:r w:rsidR="00A73CFF">
          <w:rPr>
            <w:noProof/>
            <w:webHidden/>
          </w:rPr>
          <w:instrText xml:space="preserve"> PAGEREF _Toc58840815 \h </w:instrText>
        </w:r>
        <w:r w:rsidR="00A73CFF">
          <w:rPr>
            <w:noProof/>
            <w:webHidden/>
          </w:rPr>
        </w:r>
        <w:r w:rsidR="00A73CFF">
          <w:rPr>
            <w:noProof/>
            <w:webHidden/>
          </w:rPr>
          <w:fldChar w:fldCharType="separate"/>
        </w:r>
        <w:r w:rsidR="00655185">
          <w:rPr>
            <w:noProof/>
            <w:webHidden/>
          </w:rPr>
          <w:t>40</w:t>
        </w:r>
        <w:r w:rsidR="00A73CFF">
          <w:rPr>
            <w:noProof/>
            <w:webHidden/>
          </w:rPr>
          <w:fldChar w:fldCharType="end"/>
        </w:r>
      </w:hyperlink>
    </w:p>
    <w:p w14:paraId="2A7DFF0C" w14:textId="00C87AF9"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816" w:history="1">
        <w:r w:rsidR="00A73CFF" w:rsidRPr="002B4310">
          <w:rPr>
            <w:rStyle w:val="Hyperlink"/>
            <w:noProof/>
          </w:rPr>
          <w:t>4.3</w:t>
        </w:r>
        <w:r w:rsidR="00A73CFF">
          <w:rPr>
            <w:rFonts w:eastAsiaTheme="minorEastAsia" w:cstheme="minorBidi"/>
            <w:smallCaps w:val="0"/>
            <w:noProof/>
            <w:sz w:val="22"/>
            <w:szCs w:val="22"/>
            <w:lang w:eastAsia="en-GB" w:bidi="ar-SA"/>
          </w:rPr>
          <w:tab/>
        </w:r>
        <w:r w:rsidR="00A73CFF" w:rsidRPr="002B4310">
          <w:rPr>
            <w:rStyle w:val="Hyperlink"/>
            <w:noProof/>
          </w:rPr>
          <w:t>Impossible education material to retail customers</w:t>
        </w:r>
        <w:r w:rsidR="00A73CFF">
          <w:rPr>
            <w:noProof/>
            <w:webHidden/>
          </w:rPr>
          <w:tab/>
        </w:r>
        <w:r w:rsidR="00A73CFF">
          <w:rPr>
            <w:noProof/>
            <w:webHidden/>
          </w:rPr>
          <w:fldChar w:fldCharType="begin"/>
        </w:r>
        <w:r w:rsidR="00A73CFF">
          <w:rPr>
            <w:noProof/>
            <w:webHidden/>
          </w:rPr>
          <w:instrText xml:space="preserve"> PAGEREF _Toc58840816 \h </w:instrText>
        </w:r>
        <w:r w:rsidR="00A73CFF">
          <w:rPr>
            <w:noProof/>
            <w:webHidden/>
          </w:rPr>
        </w:r>
        <w:r w:rsidR="00A73CFF">
          <w:rPr>
            <w:noProof/>
            <w:webHidden/>
          </w:rPr>
          <w:fldChar w:fldCharType="separate"/>
        </w:r>
        <w:r w:rsidR="00655185">
          <w:rPr>
            <w:noProof/>
            <w:webHidden/>
          </w:rPr>
          <w:t>40</w:t>
        </w:r>
        <w:r w:rsidR="00A73CFF">
          <w:rPr>
            <w:noProof/>
            <w:webHidden/>
          </w:rPr>
          <w:fldChar w:fldCharType="end"/>
        </w:r>
      </w:hyperlink>
    </w:p>
    <w:p w14:paraId="3EAE4082" w14:textId="0DA3AADF"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817" w:history="1">
        <w:r w:rsidR="00A73CFF" w:rsidRPr="002B4310">
          <w:rPr>
            <w:rStyle w:val="Hyperlink"/>
            <w:noProof/>
          </w:rPr>
          <w:t>4.4</w:t>
        </w:r>
        <w:r w:rsidR="00A73CFF">
          <w:rPr>
            <w:rFonts w:eastAsiaTheme="minorEastAsia" w:cstheme="minorBidi"/>
            <w:smallCaps w:val="0"/>
            <w:noProof/>
            <w:sz w:val="22"/>
            <w:szCs w:val="22"/>
            <w:lang w:eastAsia="en-GB" w:bidi="ar-SA"/>
          </w:rPr>
          <w:tab/>
        </w:r>
        <w:r w:rsidR="00A73CFF" w:rsidRPr="002B4310">
          <w:rPr>
            <w:rStyle w:val="Hyperlink"/>
            <w:noProof/>
          </w:rPr>
          <w:t>World Trade Organization (WTO)</w:t>
        </w:r>
        <w:r w:rsidR="00A73CFF">
          <w:rPr>
            <w:noProof/>
            <w:webHidden/>
          </w:rPr>
          <w:tab/>
        </w:r>
        <w:r w:rsidR="00A73CFF">
          <w:rPr>
            <w:noProof/>
            <w:webHidden/>
          </w:rPr>
          <w:fldChar w:fldCharType="begin"/>
        </w:r>
        <w:r w:rsidR="00A73CFF">
          <w:rPr>
            <w:noProof/>
            <w:webHidden/>
          </w:rPr>
          <w:instrText xml:space="preserve"> PAGEREF _Toc58840817 \h </w:instrText>
        </w:r>
        <w:r w:rsidR="00A73CFF">
          <w:rPr>
            <w:noProof/>
            <w:webHidden/>
          </w:rPr>
        </w:r>
        <w:r w:rsidR="00A73CFF">
          <w:rPr>
            <w:noProof/>
            <w:webHidden/>
          </w:rPr>
          <w:fldChar w:fldCharType="separate"/>
        </w:r>
        <w:r w:rsidR="00655185">
          <w:rPr>
            <w:noProof/>
            <w:webHidden/>
          </w:rPr>
          <w:t>40</w:t>
        </w:r>
        <w:r w:rsidR="00A73CFF">
          <w:rPr>
            <w:noProof/>
            <w:webHidden/>
          </w:rPr>
          <w:fldChar w:fldCharType="end"/>
        </w:r>
      </w:hyperlink>
    </w:p>
    <w:p w14:paraId="3DED8A34" w14:textId="35B401DC" w:rsidR="00A73CFF" w:rsidRDefault="00B83C9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840818" w:history="1">
        <w:r w:rsidR="00A73CFF" w:rsidRPr="002B4310">
          <w:rPr>
            <w:rStyle w:val="Hyperlink"/>
            <w:noProof/>
          </w:rPr>
          <w:t>5</w:t>
        </w:r>
        <w:r w:rsidR="00A73CFF">
          <w:rPr>
            <w:rFonts w:eastAsiaTheme="minorEastAsia" w:cstheme="minorBidi"/>
            <w:b w:val="0"/>
            <w:bCs w:val="0"/>
            <w:caps w:val="0"/>
            <w:noProof/>
            <w:sz w:val="22"/>
            <w:szCs w:val="22"/>
            <w:lang w:eastAsia="en-GB" w:bidi="ar-SA"/>
          </w:rPr>
          <w:tab/>
        </w:r>
        <w:r w:rsidR="00A73CFF" w:rsidRPr="002B4310">
          <w:rPr>
            <w:rStyle w:val="Hyperlink"/>
            <w:noProof/>
          </w:rPr>
          <w:t>FSANZ Act assessment requirements</w:t>
        </w:r>
        <w:r w:rsidR="00A73CFF">
          <w:rPr>
            <w:noProof/>
            <w:webHidden/>
          </w:rPr>
          <w:tab/>
        </w:r>
        <w:r w:rsidR="00A73CFF">
          <w:rPr>
            <w:noProof/>
            <w:webHidden/>
          </w:rPr>
          <w:fldChar w:fldCharType="begin"/>
        </w:r>
        <w:r w:rsidR="00A73CFF">
          <w:rPr>
            <w:noProof/>
            <w:webHidden/>
          </w:rPr>
          <w:instrText xml:space="preserve"> PAGEREF _Toc58840818 \h </w:instrText>
        </w:r>
        <w:r w:rsidR="00A73CFF">
          <w:rPr>
            <w:noProof/>
            <w:webHidden/>
          </w:rPr>
        </w:r>
        <w:r w:rsidR="00A73CFF">
          <w:rPr>
            <w:noProof/>
            <w:webHidden/>
          </w:rPr>
          <w:fldChar w:fldCharType="separate"/>
        </w:r>
        <w:r w:rsidR="00655185">
          <w:rPr>
            <w:noProof/>
            <w:webHidden/>
          </w:rPr>
          <w:t>40</w:t>
        </w:r>
        <w:r w:rsidR="00A73CFF">
          <w:rPr>
            <w:noProof/>
            <w:webHidden/>
          </w:rPr>
          <w:fldChar w:fldCharType="end"/>
        </w:r>
      </w:hyperlink>
    </w:p>
    <w:p w14:paraId="5CDBB199" w14:textId="1531A8AA"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819" w:history="1">
        <w:r w:rsidR="00A73CFF" w:rsidRPr="002B4310">
          <w:rPr>
            <w:rStyle w:val="Hyperlink"/>
            <w:noProof/>
          </w:rPr>
          <w:t>5.1</w:t>
        </w:r>
        <w:r w:rsidR="00A73CFF">
          <w:rPr>
            <w:rFonts w:eastAsiaTheme="minorEastAsia" w:cstheme="minorBidi"/>
            <w:smallCaps w:val="0"/>
            <w:noProof/>
            <w:sz w:val="22"/>
            <w:szCs w:val="22"/>
            <w:lang w:eastAsia="en-GB" w:bidi="ar-SA"/>
          </w:rPr>
          <w:tab/>
        </w:r>
        <w:r w:rsidR="00A73CFF" w:rsidRPr="002B4310">
          <w:rPr>
            <w:rStyle w:val="Hyperlink"/>
            <w:noProof/>
          </w:rPr>
          <w:t>Section 29</w:t>
        </w:r>
        <w:r w:rsidR="00A73CFF">
          <w:rPr>
            <w:noProof/>
            <w:webHidden/>
          </w:rPr>
          <w:tab/>
        </w:r>
        <w:r w:rsidR="00A73CFF">
          <w:rPr>
            <w:noProof/>
            <w:webHidden/>
          </w:rPr>
          <w:fldChar w:fldCharType="begin"/>
        </w:r>
        <w:r w:rsidR="00A73CFF">
          <w:rPr>
            <w:noProof/>
            <w:webHidden/>
          </w:rPr>
          <w:instrText xml:space="preserve"> PAGEREF _Toc58840819 \h </w:instrText>
        </w:r>
        <w:r w:rsidR="00A73CFF">
          <w:rPr>
            <w:noProof/>
            <w:webHidden/>
          </w:rPr>
        </w:r>
        <w:r w:rsidR="00A73CFF">
          <w:rPr>
            <w:noProof/>
            <w:webHidden/>
          </w:rPr>
          <w:fldChar w:fldCharType="separate"/>
        </w:r>
        <w:r w:rsidR="00655185">
          <w:rPr>
            <w:noProof/>
            <w:webHidden/>
          </w:rPr>
          <w:t>40</w:t>
        </w:r>
        <w:r w:rsidR="00A73CFF">
          <w:rPr>
            <w:noProof/>
            <w:webHidden/>
          </w:rPr>
          <w:fldChar w:fldCharType="end"/>
        </w:r>
      </w:hyperlink>
    </w:p>
    <w:p w14:paraId="73392A13" w14:textId="463FC0A2"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20" w:history="1">
        <w:r w:rsidR="00A73CFF" w:rsidRPr="002B4310">
          <w:rPr>
            <w:rStyle w:val="Hyperlink"/>
            <w:noProof/>
          </w:rPr>
          <w:t>5.1.1</w:t>
        </w:r>
        <w:r w:rsidR="00A73CFF">
          <w:rPr>
            <w:rFonts w:eastAsiaTheme="minorEastAsia" w:cstheme="minorBidi"/>
            <w:i w:val="0"/>
            <w:iCs w:val="0"/>
            <w:noProof/>
            <w:sz w:val="22"/>
            <w:szCs w:val="22"/>
            <w:lang w:eastAsia="en-GB" w:bidi="ar-SA"/>
          </w:rPr>
          <w:tab/>
        </w:r>
        <w:r w:rsidR="00A73CFF" w:rsidRPr="002B4310">
          <w:rPr>
            <w:rStyle w:val="Hyperlink"/>
            <w:noProof/>
          </w:rPr>
          <w:t>Consideration of costs and benefits</w:t>
        </w:r>
        <w:r w:rsidR="00A73CFF">
          <w:rPr>
            <w:noProof/>
            <w:webHidden/>
          </w:rPr>
          <w:tab/>
        </w:r>
        <w:r w:rsidR="00A73CFF">
          <w:rPr>
            <w:noProof/>
            <w:webHidden/>
          </w:rPr>
          <w:fldChar w:fldCharType="begin"/>
        </w:r>
        <w:r w:rsidR="00A73CFF">
          <w:rPr>
            <w:noProof/>
            <w:webHidden/>
          </w:rPr>
          <w:instrText xml:space="preserve"> PAGEREF _Toc58840820 \h </w:instrText>
        </w:r>
        <w:r w:rsidR="00A73CFF">
          <w:rPr>
            <w:noProof/>
            <w:webHidden/>
          </w:rPr>
        </w:r>
        <w:r w:rsidR="00A73CFF">
          <w:rPr>
            <w:noProof/>
            <w:webHidden/>
          </w:rPr>
          <w:fldChar w:fldCharType="separate"/>
        </w:r>
        <w:r w:rsidR="00655185">
          <w:rPr>
            <w:noProof/>
            <w:webHidden/>
          </w:rPr>
          <w:t>40</w:t>
        </w:r>
        <w:r w:rsidR="00A73CFF">
          <w:rPr>
            <w:noProof/>
            <w:webHidden/>
          </w:rPr>
          <w:fldChar w:fldCharType="end"/>
        </w:r>
      </w:hyperlink>
    </w:p>
    <w:p w14:paraId="730FFF87" w14:textId="7595FC6C"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21" w:history="1">
        <w:r w:rsidR="00A73CFF" w:rsidRPr="002B4310">
          <w:rPr>
            <w:rStyle w:val="Hyperlink"/>
            <w:noProof/>
          </w:rPr>
          <w:t>5.1.2</w:t>
        </w:r>
        <w:r w:rsidR="00A73CFF">
          <w:rPr>
            <w:rFonts w:eastAsiaTheme="minorEastAsia" w:cstheme="minorBidi"/>
            <w:i w:val="0"/>
            <w:iCs w:val="0"/>
            <w:noProof/>
            <w:sz w:val="22"/>
            <w:szCs w:val="22"/>
            <w:lang w:eastAsia="en-GB" w:bidi="ar-SA"/>
          </w:rPr>
          <w:tab/>
        </w:r>
        <w:r w:rsidR="00A73CFF" w:rsidRPr="002B4310">
          <w:rPr>
            <w:rStyle w:val="Hyperlink"/>
            <w:noProof/>
          </w:rPr>
          <w:t>Conclusions from cost benefit considerations</w:t>
        </w:r>
        <w:r w:rsidR="00A73CFF">
          <w:rPr>
            <w:noProof/>
            <w:webHidden/>
          </w:rPr>
          <w:tab/>
        </w:r>
        <w:r w:rsidR="00A73CFF">
          <w:rPr>
            <w:noProof/>
            <w:webHidden/>
          </w:rPr>
          <w:fldChar w:fldCharType="begin"/>
        </w:r>
        <w:r w:rsidR="00A73CFF">
          <w:rPr>
            <w:noProof/>
            <w:webHidden/>
          </w:rPr>
          <w:instrText xml:space="preserve"> PAGEREF _Toc58840821 \h </w:instrText>
        </w:r>
        <w:r w:rsidR="00A73CFF">
          <w:rPr>
            <w:noProof/>
            <w:webHidden/>
          </w:rPr>
        </w:r>
        <w:r w:rsidR="00A73CFF">
          <w:rPr>
            <w:noProof/>
            <w:webHidden/>
          </w:rPr>
          <w:fldChar w:fldCharType="separate"/>
        </w:r>
        <w:r w:rsidR="00655185">
          <w:rPr>
            <w:noProof/>
            <w:webHidden/>
          </w:rPr>
          <w:t>42</w:t>
        </w:r>
        <w:r w:rsidR="00A73CFF">
          <w:rPr>
            <w:noProof/>
            <w:webHidden/>
          </w:rPr>
          <w:fldChar w:fldCharType="end"/>
        </w:r>
      </w:hyperlink>
    </w:p>
    <w:p w14:paraId="47CADC26" w14:textId="5C1EA265"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22" w:history="1">
        <w:r w:rsidR="00A73CFF" w:rsidRPr="002B4310">
          <w:rPr>
            <w:rStyle w:val="Hyperlink"/>
            <w:noProof/>
          </w:rPr>
          <w:t>5.1.3</w:t>
        </w:r>
        <w:r w:rsidR="00A73CFF">
          <w:rPr>
            <w:rFonts w:eastAsiaTheme="minorEastAsia" w:cstheme="minorBidi"/>
            <w:i w:val="0"/>
            <w:iCs w:val="0"/>
            <w:noProof/>
            <w:sz w:val="22"/>
            <w:szCs w:val="22"/>
            <w:lang w:eastAsia="en-GB" w:bidi="ar-SA"/>
          </w:rPr>
          <w:tab/>
        </w:r>
        <w:r w:rsidR="00A73CFF" w:rsidRPr="002B4310">
          <w:rPr>
            <w:rStyle w:val="Hyperlink"/>
            <w:noProof/>
          </w:rPr>
          <w:t>Other measures</w:t>
        </w:r>
        <w:r w:rsidR="00A73CFF">
          <w:rPr>
            <w:noProof/>
            <w:webHidden/>
          </w:rPr>
          <w:tab/>
        </w:r>
        <w:r w:rsidR="00A73CFF">
          <w:rPr>
            <w:noProof/>
            <w:webHidden/>
          </w:rPr>
          <w:fldChar w:fldCharType="begin"/>
        </w:r>
        <w:r w:rsidR="00A73CFF">
          <w:rPr>
            <w:noProof/>
            <w:webHidden/>
          </w:rPr>
          <w:instrText xml:space="preserve"> PAGEREF _Toc58840822 \h </w:instrText>
        </w:r>
        <w:r w:rsidR="00A73CFF">
          <w:rPr>
            <w:noProof/>
            <w:webHidden/>
          </w:rPr>
        </w:r>
        <w:r w:rsidR="00A73CFF">
          <w:rPr>
            <w:noProof/>
            <w:webHidden/>
          </w:rPr>
          <w:fldChar w:fldCharType="separate"/>
        </w:r>
        <w:r w:rsidR="00655185">
          <w:rPr>
            <w:noProof/>
            <w:webHidden/>
          </w:rPr>
          <w:t>42</w:t>
        </w:r>
        <w:r w:rsidR="00A73CFF">
          <w:rPr>
            <w:noProof/>
            <w:webHidden/>
          </w:rPr>
          <w:fldChar w:fldCharType="end"/>
        </w:r>
      </w:hyperlink>
    </w:p>
    <w:p w14:paraId="4C6C6C41" w14:textId="6DE773B8"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23" w:history="1">
        <w:r w:rsidR="00A73CFF" w:rsidRPr="002B4310">
          <w:rPr>
            <w:rStyle w:val="Hyperlink"/>
            <w:noProof/>
          </w:rPr>
          <w:t>5.1.4</w:t>
        </w:r>
        <w:r w:rsidR="00A73CFF">
          <w:rPr>
            <w:rFonts w:eastAsiaTheme="minorEastAsia" w:cstheme="minorBidi"/>
            <w:i w:val="0"/>
            <w:iCs w:val="0"/>
            <w:noProof/>
            <w:sz w:val="22"/>
            <w:szCs w:val="22"/>
            <w:lang w:eastAsia="en-GB" w:bidi="ar-SA"/>
          </w:rPr>
          <w:tab/>
        </w:r>
        <w:r w:rsidR="00A73CFF" w:rsidRPr="002B4310">
          <w:rPr>
            <w:rStyle w:val="Hyperlink"/>
            <w:noProof/>
          </w:rPr>
          <w:t>Any relevant New Zealand standards</w:t>
        </w:r>
        <w:r w:rsidR="00A73CFF">
          <w:rPr>
            <w:noProof/>
            <w:webHidden/>
          </w:rPr>
          <w:tab/>
        </w:r>
        <w:r w:rsidR="00A73CFF">
          <w:rPr>
            <w:noProof/>
            <w:webHidden/>
          </w:rPr>
          <w:fldChar w:fldCharType="begin"/>
        </w:r>
        <w:r w:rsidR="00A73CFF">
          <w:rPr>
            <w:noProof/>
            <w:webHidden/>
          </w:rPr>
          <w:instrText xml:space="preserve"> PAGEREF _Toc58840823 \h </w:instrText>
        </w:r>
        <w:r w:rsidR="00A73CFF">
          <w:rPr>
            <w:noProof/>
            <w:webHidden/>
          </w:rPr>
        </w:r>
        <w:r w:rsidR="00A73CFF">
          <w:rPr>
            <w:noProof/>
            <w:webHidden/>
          </w:rPr>
          <w:fldChar w:fldCharType="separate"/>
        </w:r>
        <w:r w:rsidR="00655185">
          <w:rPr>
            <w:noProof/>
            <w:webHidden/>
          </w:rPr>
          <w:t>42</w:t>
        </w:r>
        <w:r w:rsidR="00A73CFF">
          <w:rPr>
            <w:noProof/>
            <w:webHidden/>
          </w:rPr>
          <w:fldChar w:fldCharType="end"/>
        </w:r>
      </w:hyperlink>
    </w:p>
    <w:p w14:paraId="7681DA45" w14:textId="73F6CA48"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24" w:history="1">
        <w:r w:rsidR="00A73CFF" w:rsidRPr="002B4310">
          <w:rPr>
            <w:rStyle w:val="Hyperlink"/>
            <w:noProof/>
          </w:rPr>
          <w:t>5.1.5</w:t>
        </w:r>
        <w:r w:rsidR="00A73CFF">
          <w:rPr>
            <w:rFonts w:eastAsiaTheme="minorEastAsia" w:cstheme="minorBidi"/>
            <w:i w:val="0"/>
            <w:iCs w:val="0"/>
            <w:noProof/>
            <w:sz w:val="22"/>
            <w:szCs w:val="22"/>
            <w:lang w:eastAsia="en-GB" w:bidi="ar-SA"/>
          </w:rPr>
          <w:tab/>
        </w:r>
        <w:r w:rsidR="00A73CFF" w:rsidRPr="002B4310">
          <w:rPr>
            <w:rStyle w:val="Hyperlink"/>
            <w:noProof/>
          </w:rPr>
          <w:t>Any other relevant matters</w:t>
        </w:r>
        <w:r w:rsidR="00A73CFF">
          <w:rPr>
            <w:noProof/>
            <w:webHidden/>
          </w:rPr>
          <w:tab/>
        </w:r>
        <w:r w:rsidR="00A73CFF">
          <w:rPr>
            <w:noProof/>
            <w:webHidden/>
          </w:rPr>
          <w:fldChar w:fldCharType="begin"/>
        </w:r>
        <w:r w:rsidR="00A73CFF">
          <w:rPr>
            <w:noProof/>
            <w:webHidden/>
          </w:rPr>
          <w:instrText xml:space="preserve"> PAGEREF _Toc58840824 \h </w:instrText>
        </w:r>
        <w:r w:rsidR="00A73CFF">
          <w:rPr>
            <w:noProof/>
            <w:webHidden/>
          </w:rPr>
        </w:r>
        <w:r w:rsidR="00A73CFF">
          <w:rPr>
            <w:noProof/>
            <w:webHidden/>
          </w:rPr>
          <w:fldChar w:fldCharType="separate"/>
        </w:r>
        <w:r w:rsidR="00655185">
          <w:rPr>
            <w:noProof/>
            <w:webHidden/>
          </w:rPr>
          <w:t>42</w:t>
        </w:r>
        <w:r w:rsidR="00A73CFF">
          <w:rPr>
            <w:noProof/>
            <w:webHidden/>
          </w:rPr>
          <w:fldChar w:fldCharType="end"/>
        </w:r>
      </w:hyperlink>
    </w:p>
    <w:p w14:paraId="6E9F6F0B" w14:textId="6F73C4D2"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825" w:history="1">
        <w:r w:rsidR="00A73CFF" w:rsidRPr="002B4310">
          <w:rPr>
            <w:rStyle w:val="Hyperlink"/>
            <w:noProof/>
          </w:rPr>
          <w:t>5.2.</w:t>
        </w:r>
        <w:r w:rsidR="00A73CFF">
          <w:rPr>
            <w:rFonts w:eastAsiaTheme="minorEastAsia" w:cstheme="minorBidi"/>
            <w:smallCaps w:val="0"/>
            <w:noProof/>
            <w:sz w:val="22"/>
            <w:szCs w:val="22"/>
            <w:lang w:eastAsia="en-GB" w:bidi="ar-SA"/>
          </w:rPr>
          <w:tab/>
        </w:r>
        <w:r w:rsidR="00A73CFF" w:rsidRPr="002B4310">
          <w:rPr>
            <w:rStyle w:val="Hyperlink"/>
            <w:noProof/>
          </w:rPr>
          <w:t>Subsection 18(1)</w:t>
        </w:r>
        <w:r w:rsidR="00A73CFF">
          <w:rPr>
            <w:noProof/>
            <w:webHidden/>
          </w:rPr>
          <w:tab/>
        </w:r>
        <w:r w:rsidR="00A73CFF">
          <w:rPr>
            <w:noProof/>
            <w:webHidden/>
          </w:rPr>
          <w:fldChar w:fldCharType="begin"/>
        </w:r>
        <w:r w:rsidR="00A73CFF">
          <w:rPr>
            <w:noProof/>
            <w:webHidden/>
          </w:rPr>
          <w:instrText xml:space="preserve"> PAGEREF _Toc58840825 \h </w:instrText>
        </w:r>
        <w:r w:rsidR="00A73CFF">
          <w:rPr>
            <w:noProof/>
            <w:webHidden/>
          </w:rPr>
        </w:r>
        <w:r w:rsidR="00A73CFF">
          <w:rPr>
            <w:noProof/>
            <w:webHidden/>
          </w:rPr>
          <w:fldChar w:fldCharType="separate"/>
        </w:r>
        <w:r w:rsidR="00655185">
          <w:rPr>
            <w:noProof/>
            <w:webHidden/>
          </w:rPr>
          <w:t>42</w:t>
        </w:r>
        <w:r w:rsidR="00A73CFF">
          <w:rPr>
            <w:noProof/>
            <w:webHidden/>
          </w:rPr>
          <w:fldChar w:fldCharType="end"/>
        </w:r>
      </w:hyperlink>
    </w:p>
    <w:p w14:paraId="7573DB13" w14:textId="4790E80A"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26" w:history="1">
        <w:r w:rsidR="00A73CFF" w:rsidRPr="002B4310">
          <w:rPr>
            <w:rStyle w:val="Hyperlink"/>
            <w:noProof/>
          </w:rPr>
          <w:t>5.2.1</w:t>
        </w:r>
        <w:r w:rsidR="00A73CFF">
          <w:rPr>
            <w:rFonts w:eastAsiaTheme="minorEastAsia" w:cstheme="minorBidi"/>
            <w:i w:val="0"/>
            <w:iCs w:val="0"/>
            <w:noProof/>
            <w:sz w:val="22"/>
            <w:szCs w:val="22"/>
            <w:lang w:eastAsia="en-GB" w:bidi="ar-SA"/>
          </w:rPr>
          <w:tab/>
        </w:r>
        <w:r w:rsidR="00A73CFF" w:rsidRPr="002B4310">
          <w:rPr>
            <w:rStyle w:val="Hyperlink"/>
            <w:noProof/>
          </w:rPr>
          <w:t>Protection of public health and safety</w:t>
        </w:r>
        <w:r w:rsidR="00A73CFF">
          <w:rPr>
            <w:noProof/>
            <w:webHidden/>
          </w:rPr>
          <w:tab/>
        </w:r>
        <w:r w:rsidR="00A73CFF">
          <w:rPr>
            <w:noProof/>
            <w:webHidden/>
          </w:rPr>
          <w:fldChar w:fldCharType="begin"/>
        </w:r>
        <w:r w:rsidR="00A73CFF">
          <w:rPr>
            <w:noProof/>
            <w:webHidden/>
          </w:rPr>
          <w:instrText xml:space="preserve"> PAGEREF _Toc58840826 \h </w:instrText>
        </w:r>
        <w:r w:rsidR="00A73CFF">
          <w:rPr>
            <w:noProof/>
            <w:webHidden/>
          </w:rPr>
        </w:r>
        <w:r w:rsidR="00A73CFF">
          <w:rPr>
            <w:noProof/>
            <w:webHidden/>
          </w:rPr>
          <w:fldChar w:fldCharType="separate"/>
        </w:r>
        <w:r w:rsidR="00655185">
          <w:rPr>
            <w:noProof/>
            <w:webHidden/>
          </w:rPr>
          <w:t>42</w:t>
        </w:r>
        <w:r w:rsidR="00A73CFF">
          <w:rPr>
            <w:noProof/>
            <w:webHidden/>
          </w:rPr>
          <w:fldChar w:fldCharType="end"/>
        </w:r>
      </w:hyperlink>
    </w:p>
    <w:p w14:paraId="78A85F43" w14:textId="529CA785"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27" w:history="1">
        <w:r w:rsidR="00A73CFF" w:rsidRPr="002B4310">
          <w:rPr>
            <w:rStyle w:val="Hyperlink"/>
            <w:noProof/>
          </w:rPr>
          <w:t>5.2.2</w:t>
        </w:r>
        <w:r w:rsidR="00A73CFF">
          <w:rPr>
            <w:rFonts w:eastAsiaTheme="minorEastAsia" w:cstheme="minorBidi"/>
            <w:i w:val="0"/>
            <w:iCs w:val="0"/>
            <w:noProof/>
            <w:sz w:val="22"/>
            <w:szCs w:val="22"/>
            <w:lang w:eastAsia="en-GB" w:bidi="ar-SA"/>
          </w:rPr>
          <w:tab/>
        </w:r>
        <w:r w:rsidR="00A73CFF" w:rsidRPr="002B4310">
          <w:rPr>
            <w:rStyle w:val="Hyperlink"/>
            <w:noProof/>
          </w:rPr>
          <w:t>The provision of adequate information relating to food to enable consumers to make informed choices</w:t>
        </w:r>
        <w:r w:rsidR="00A73CFF">
          <w:rPr>
            <w:noProof/>
            <w:webHidden/>
          </w:rPr>
          <w:tab/>
        </w:r>
        <w:r w:rsidR="00A73CFF">
          <w:rPr>
            <w:noProof/>
            <w:webHidden/>
          </w:rPr>
          <w:fldChar w:fldCharType="begin"/>
        </w:r>
        <w:r w:rsidR="00A73CFF">
          <w:rPr>
            <w:noProof/>
            <w:webHidden/>
          </w:rPr>
          <w:instrText xml:space="preserve"> PAGEREF _Toc58840827 \h </w:instrText>
        </w:r>
        <w:r w:rsidR="00A73CFF">
          <w:rPr>
            <w:noProof/>
            <w:webHidden/>
          </w:rPr>
        </w:r>
        <w:r w:rsidR="00A73CFF">
          <w:rPr>
            <w:noProof/>
            <w:webHidden/>
          </w:rPr>
          <w:fldChar w:fldCharType="separate"/>
        </w:r>
        <w:r w:rsidR="00655185">
          <w:rPr>
            <w:noProof/>
            <w:webHidden/>
          </w:rPr>
          <w:t>42</w:t>
        </w:r>
        <w:r w:rsidR="00A73CFF">
          <w:rPr>
            <w:noProof/>
            <w:webHidden/>
          </w:rPr>
          <w:fldChar w:fldCharType="end"/>
        </w:r>
      </w:hyperlink>
    </w:p>
    <w:p w14:paraId="6E5B74D0" w14:textId="70F87712" w:rsidR="00A73CFF" w:rsidRDefault="00B83C94">
      <w:pPr>
        <w:pStyle w:val="TOC3"/>
        <w:tabs>
          <w:tab w:val="left" w:pos="1100"/>
          <w:tab w:val="right" w:leader="dot" w:pos="9060"/>
        </w:tabs>
        <w:rPr>
          <w:rFonts w:eastAsiaTheme="minorEastAsia" w:cstheme="minorBidi"/>
          <w:i w:val="0"/>
          <w:iCs w:val="0"/>
          <w:noProof/>
          <w:sz w:val="22"/>
          <w:szCs w:val="22"/>
          <w:lang w:eastAsia="en-GB" w:bidi="ar-SA"/>
        </w:rPr>
      </w:pPr>
      <w:hyperlink w:anchor="_Toc58840828" w:history="1">
        <w:r w:rsidR="00A73CFF" w:rsidRPr="002B4310">
          <w:rPr>
            <w:rStyle w:val="Hyperlink"/>
            <w:noProof/>
          </w:rPr>
          <w:t>5.2.3</w:t>
        </w:r>
        <w:r w:rsidR="00A73CFF">
          <w:rPr>
            <w:rFonts w:eastAsiaTheme="minorEastAsia" w:cstheme="minorBidi"/>
            <w:i w:val="0"/>
            <w:iCs w:val="0"/>
            <w:noProof/>
            <w:sz w:val="22"/>
            <w:szCs w:val="22"/>
            <w:lang w:eastAsia="en-GB" w:bidi="ar-SA"/>
          </w:rPr>
          <w:tab/>
        </w:r>
        <w:r w:rsidR="00A73CFF" w:rsidRPr="002B4310">
          <w:rPr>
            <w:rStyle w:val="Hyperlink"/>
            <w:noProof/>
          </w:rPr>
          <w:t>The prevention of misleading or deceptive conduct</w:t>
        </w:r>
        <w:r w:rsidR="00A73CFF">
          <w:rPr>
            <w:noProof/>
            <w:webHidden/>
          </w:rPr>
          <w:tab/>
        </w:r>
        <w:r w:rsidR="00A73CFF">
          <w:rPr>
            <w:noProof/>
            <w:webHidden/>
          </w:rPr>
          <w:fldChar w:fldCharType="begin"/>
        </w:r>
        <w:r w:rsidR="00A73CFF">
          <w:rPr>
            <w:noProof/>
            <w:webHidden/>
          </w:rPr>
          <w:instrText xml:space="preserve"> PAGEREF _Toc58840828 \h </w:instrText>
        </w:r>
        <w:r w:rsidR="00A73CFF">
          <w:rPr>
            <w:noProof/>
            <w:webHidden/>
          </w:rPr>
        </w:r>
        <w:r w:rsidR="00A73CFF">
          <w:rPr>
            <w:noProof/>
            <w:webHidden/>
          </w:rPr>
          <w:fldChar w:fldCharType="separate"/>
        </w:r>
        <w:r w:rsidR="00655185">
          <w:rPr>
            <w:noProof/>
            <w:webHidden/>
          </w:rPr>
          <w:t>42</w:t>
        </w:r>
        <w:r w:rsidR="00A73CFF">
          <w:rPr>
            <w:noProof/>
            <w:webHidden/>
          </w:rPr>
          <w:fldChar w:fldCharType="end"/>
        </w:r>
      </w:hyperlink>
    </w:p>
    <w:p w14:paraId="459D49EC" w14:textId="2F8A0BBC"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829" w:history="1">
        <w:r w:rsidR="00A73CFF" w:rsidRPr="002B4310">
          <w:rPr>
            <w:rStyle w:val="Hyperlink"/>
            <w:noProof/>
            <w:lang w:eastAsia="en-AU"/>
          </w:rPr>
          <w:t>5.3</w:t>
        </w:r>
        <w:r w:rsidR="00A73CFF">
          <w:rPr>
            <w:rFonts w:eastAsiaTheme="minorEastAsia" w:cstheme="minorBidi"/>
            <w:smallCaps w:val="0"/>
            <w:noProof/>
            <w:sz w:val="22"/>
            <w:szCs w:val="22"/>
            <w:lang w:eastAsia="en-GB" w:bidi="ar-SA"/>
          </w:rPr>
          <w:tab/>
        </w:r>
        <w:r w:rsidR="00A73CFF" w:rsidRPr="002B4310">
          <w:rPr>
            <w:rStyle w:val="Hyperlink"/>
            <w:noProof/>
            <w:lang w:eastAsia="en-AU"/>
          </w:rPr>
          <w:t>Subsection 18(2)</w:t>
        </w:r>
        <w:r w:rsidR="00A73CFF">
          <w:rPr>
            <w:noProof/>
            <w:webHidden/>
          </w:rPr>
          <w:tab/>
        </w:r>
        <w:r w:rsidR="00A73CFF">
          <w:rPr>
            <w:noProof/>
            <w:webHidden/>
          </w:rPr>
          <w:fldChar w:fldCharType="begin"/>
        </w:r>
        <w:r w:rsidR="00A73CFF">
          <w:rPr>
            <w:noProof/>
            <w:webHidden/>
          </w:rPr>
          <w:instrText xml:space="preserve"> PAGEREF _Toc58840829 \h </w:instrText>
        </w:r>
        <w:r w:rsidR="00A73CFF">
          <w:rPr>
            <w:noProof/>
            <w:webHidden/>
          </w:rPr>
        </w:r>
        <w:r w:rsidR="00A73CFF">
          <w:rPr>
            <w:noProof/>
            <w:webHidden/>
          </w:rPr>
          <w:fldChar w:fldCharType="separate"/>
        </w:r>
        <w:r w:rsidR="00655185">
          <w:rPr>
            <w:noProof/>
            <w:webHidden/>
          </w:rPr>
          <w:t>42</w:t>
        </w:r>
        <w:r w:rsidR="00A73CFF">
          <w:rPr>
            <w:noProof/>
            <w:webHidden/>
          </w:rPr>
          <w:fldChar w:fldCharType="end"/>
        </w:r>
      </w:hyperlink>
    </w:p>
    <w:p w14:paraId="3E29AE0A" w14:textId="01D207BA" w:rsidR="00A73CFF" w:rsidRDefault="00B83C94">
      <w:pPr>
        <w:pStyle w:val="TOC2"/>
        <w:tabs>
          <w:tab w:val="left" w:pos="880"/>
          <w:tab w:val="right" w:leader="dot" w:pos="9060"/>
        </w:tabs>
        <w:rPr>
          <w:rFonts w:eastAsiaTheme="minorEastAsia" w:cstheme="minorBidi"/>
          <w:smallCaps w:val="0"/>
          <w:noProof/>
          <w:sz w:val="22"/>
          <w:szCs w:val="22"/>
          <w:lang w:eastAsia="en-GB" w:bidi="ar-SA"/>
        </w:rPr>
      </w:pPr>
      <w:hyperlink w:anchor="_Toc58840830" w:history="1">
        <w:r w:rsidR="00A73CFF" w:rsidRPr="002B4310">
          <w:rPr>
            <w:rStyle w:val="Hyperlink"/>
            <w:noProof/>
          </w:rPr>
          <w:t>5.4</w:t>
        </w:r>
        <w:r w:rsidR="00A73CFF">
          <w:rPr>
            <w:rFonts w:eastAsiaTheme="minorEastAsia" w:cstheme="minorBidi"/>
            <w:smallCaps w:val="0"/>
            <w:noProof/>
            <w:sz w:val="22"/>
            <w:szCs w:val="22"/>
            <w:lang w:eastAsia="en-GB" w:bidi="ar-SA"/>
          </w:rPr>
          <w:tab/>
        </w:r>
        <w:r w:rsidR="00A73CFF" w:rsidRPr="002B4310">
          <w:rPr>
            <w:rStyle w:val="Hyperlink"/>
            <w:noProof/>
          </w:rPr>
          <w:t>Conclusion</w:t>
        </w:r>
        <w:r w:rsidR="00A73CFF">
          <w:rPr>
            <w:noProof/>
            <w:webHidden/>
          </w:rPr>
          <w:tab/>
        </w:r>
        <w:r w:rsidR="00A73CFF">
          <w:rPr>
            <w:noProof/>
            <w:webHidden/>
          </w:rPr>
          <w:fldChar w:fldCharType="begin"/>
        </w:r>
        <w:r w:rsidR="00A73CFF">
          <w:rPr>
            <w:noProof/>
            <w:webHidden/>
          </w:rPr>
          <w:instrText xml:space="preserve"> PAGEREF _Toc58840830 \h </w:instrText>
        </w:r>
        <w:r w:rsidR="00A73CFF">
          <w:rPr>
            <w:noProof/>
            <w:webHidden/>
          </w:rPr>
        </w:r>
        <w:r w:rsidR="00A73CFF">
          <w:rPr>
            <w:noProof/>
            <w:webHidden/>
          </w:rPr>
          <w:fldChar w:fldCharType="separate"/>
        </w:r>
        <w:r w:rsidR="00655185">
          <w:rPr>
            <w:noProof/>
            <w:webHidden/>
          </w:rPr>
          <w:t>44</w:t>
        </w:r>
        <w:r w:rsidR="00A73CFF">
          <w:rPr>
            <w:noProof/>
            <w:webHidden/>
          </w:rPr>
          <w:fldChar w:fldCharType="end"/>
        </w:r>
      </w:hyperlink>
    </w:p>
    <w:p w14:paraId="60067E29" w14:textId="3623535A" w:rsidR="00A73CFF" w:rsidRDefault="00B83C9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8840831" w:history="1">
        <w:r w:rsidR="00A73CFF" w:rsidRPr="002B4310">
          <w:rPr>
            <w:rStyle w:val="Hyperlink"/>
            <w:noProof/>
          </w:rPr>
          <w:t>6</w:t>
        </w:r>
        <w:r w:rsidR="00A73CFF">
          <w:rPr>
            <w:rFonts w:eastAsiaTheme="minorEastAsia" w:cstheme="minorBidi"/>
            <w:b w:val="0"/>
            <w:bCs w:val="0"/>
            <w:caps w:val="0"/>
            <w:noProof/>
            <w:sz w:val="22"/>
            <w:szCs w:val="22"/>
            <w:lang w:eastAsia="en-GB" w:bidi="ar-SA"/>
          </w:rPr>
          <w:tab/>
        </w:r>
        <w:r w:rsidR="00A73CFF" w:rsidRPr="002B4310">
          <w:rPr>
            <w:rStyle w:val="Hyperlink"/>
            <w:noProof/>
          </w:rPr>
          <w:t>References</w:t>
        </w:r>
        <w:r w:rsidR="00A73CFF">
          <w:rPr>
            <w:noProof/>
            <w:webHidden/>
          </w:rPr>
          <w:tab/>
        </w:r>
        <w:r w:rsidR="00A73CFF">
          <w:rPr>
            <w:noProof/>
            <w:webHidden/>
          </w:rPr>
          <w:fldChar w:fldCharType="begin"/>
        </w:r>
        <w:r w:rsidR="00A73CFF">
          <w:rPr>
            <w:noProof/>
            <w:webHidden/>
          </w:rPr>
          <w:instrText xml:space="preserve"> PAGEREF _Toc58840831 \h </w:instrText>
        </w:r>
        <w:r w:rsidR="00A73CFF">
          <w:rPr>
            <w:noProof/>
            <w:webHidden/>
          </w:rPr>
        </w:r>
        <w:r w:rsidR="00A73CFF">
          <w:rPr>
            <w:noProof/>
            <w:webHidden/>
          </w:rPr>
          <w:fldChar w:fldCharType="separate"/>
        </w:r>
        <w:r w:rsidR="00655185">
          <w:rPr>
            <w:noProof/>
            <w:webHidden/>
          </w:rPr>
          <w:t>45</w:t>
        </w:r>
        <w:r w:rsidR="00A73CFF">
          <w:rPr>
            <w:noProof/>
            <w:webHidden/>
          </w:rPr>
          <w:fldChar w:fldCharType="end"/>
        </w:r>
      </w:hyperlink>
    </w:p>
    <w:p w14:paraId="7422E480" w14:textId="5DED1449" w:rsidR="00A73CFF" w:rsidRDefault="00B83C94">
      <w:pPr>
        <w:pStyle w:val="TOC2"/>
        <w:tabs>
          <w:tab w:val="right" w:leader="dot" w:pos="9060"/>
        </w:tabs>
        <w:rPr>
          <w:rFonts w:eastAsiaTheme="minorEastAsia" w:cstheme="minorBidi"/>
          <w:smallCaps w:val="0"/>
          <w:noProof/>
          <w:sz w:val="22"/>
          <w:szCs w:val="22"/>
          <w:lang w:eastAsia="en-GB" w:bidi="ar-SA"/>
        </w:rPr>
      </w:pPr>
      <w:hyperlink w:anchor="_Toc58840832" w:history="1">
        <w:r w:rsidR="00A73CFF" w:rsidRPr="002B4310">
          <w:rPr>
            <w:rStyle w:val="Hyperlink"/>
            <w:noProof/>
          </w:rPr>
          <w:t xml:space="preserve">Attachment A – Approved draft variation to the </w:t>
        </w:r>
        <w:r w:rsidR="00A73CFF" w:rsidRPr="002B4310">
          <w:rPr>
            <w:rStyle w:val="Hyperlink"/>
            <w:i/>
            <w:noProof/>
          </w:rPr>
          <w:t>Australia New Zealand Food Standards Code</w:t>
        </w:r>
        <w:r w:rsidR="00A73CFF">
          <w:rPr>
            <w:noProof/>
            <w:webHidden/>
          </w:rPr>
          <w:tab/>
        </w:r>
        <w:r w:rsidR="00A73CFF">
          <w:rPr>
            <w:noProof/>
            <w:webHidden/>
          </w:rPr>
          <w:fldChar w:fldCharType="begin"/>
        </w:r>
        <w:r w:rsidR="00A73CFF">
          <w:rPr>
            <w:noProof/>
            <w:webHidden/>
          </w:rPr>
          <w:instrText xml:space="preserve"> PAGEREF _Toc58840832 \h </w:instrText>
        </w:r>
        <w:r w:rsidR="00A73CFF">
          <w:rPr>
            <w:noProof/>
            <w:webHidden/>
          </w:rPr>
        </w:r>
        <w:r w:rsidR="00A73CFF">
          <w:rPr>
            <w:noProof/>
            <w:webHidden/>
          </w:rPr>
          <w:fldChar w:fldCharType="separate"/>
        </w:r>
        <w:r w:rsidR="00655185">
          <w:rPr>
            <w:noProof/>
            <w:webHidden/>
          </w:rPr>
          <w:t>46</w:t>
        </w:r>
        <w:r w:rsidR="00A73CFF">
          <w:rPr>
            <w:noProof/>
            <w:webHidden/>
          </w:rPr>
          <w:fldChar w:fldCharType="end"/>
        </w:r>
      </w:hyperlink>
    </w:p>
    <w:p w14:paraId="79A4FB22" w14:textId="324F7B4C" w:rsidR="00A73CFF" w:rsidRDefault="00B83C94">
      <w:pPr>
        <w:pStyle w:val="TOC2"/>
        <w:tabs>
          <w:tab w:val="right" w:leader="dot" w:pos="9060"/>
        </w:tabs>
        <w:rPr>
          <w:rFonts w:eastAsiaTheme="minorEastAsia" w:cstheme="minorBidi"/>
          <w:smallCaps w:val="0"/>
          <w:noProof/>
          <w:sz w:val="22"/>
          <w:szCs w:val="22"/>
          <w:lang w:eastAsia="en-GB" w:bidi="ar-SA"/>
        </w:rPr>
      </w:pPr>
      <w:hyperlink w:anchor="_Toc58840833" w:history="1">
        <w:r w:rsidR="00A73CFF" w:rsidRPr="002B4310">
          <w:rPr>
            <w:rStyle w:val="Hyperlink"/>
            <w:noProof/>
          </w:rPr>
          <w:t>Attachment B – Explanatory Statement</w:t>
        </w:r>
        <w:r w:rsidR="00A73CFF">
          <w:rPr>
            <w:noProof/>
            <w:webHidden/>
          </w:rPr>
          <w:tab/>
        </w:r>
        <w:r w:rsidR="00A73CFF">
          <w:rPr>
            <w:noProof/>
            <w:webHidden/>
          </w:rPr>
          <w:fldChar w:fldCharType="begin"/>
        </w:r>
        <w:r w:rsidR="00A73CFF">
          <w:rPr>
            <w:noProof/>
            <w:webHidden/>
          </w:rPr>
          <w:instrText xml:space="preserve"> PAGEREF _Toc58840833 \h </w:instrText>
        </w:r>
        <w:r w:rsidR="00A73CFF">
          <w:rPr>
            <w:noProof/>
            <w:webHidden/>
          </w:rPr>
        </w:r>
        <w:r w:rsidR="00A73CFF">
          <w:rPr>
            <w:noProof/>
            <w:webHidden/>
          </w:rPr>
          <w:fldChar w:fldCharType="separate"/>
        </w:r>
        <w:r w:rsidR="00655185">
          <w:rPr>
            <w:noProof/>
            <w:webHidden/>
          </w:rPr>
          <w:t>49</w:t>
        </w:r>
        <w:r w:rsidR="00A73CFF">
          <w:rPr>
            <w:noProof/>
            <w:webHidden/>
          </w:rPr>
          <w:fldChar w:fldCharType="end"/>
        </w:r>
      </w:hyperlink>
    </w:p>
    <w:p w14:paraId="49433246" w14:textId="7B31777C" w:rsidR="00A73CFF" w:rsidRDefault="00B83C94">
      <w:pPr>
        <w:pStyle w:val="TOC2"/>
        <w:tabs>
          <w:tab w:val="right" w:leader="dot" w:pos="9060"/>
        </w:tabs>
        <w:rPr>
          <w:rFonts w:eastAsiaTheme="minorEastAsia" w:cstheme="minorBidi"/>
          <w:smallCaps w:val="0"/>
          <w:noProof/>
          <w:sz w:val="22"/>
          <w:szCs w:val="22"/>
          <w:lang w:eastAsia="en-GB" w:bidi="ar-SA"/>
        </w:rPr>
      </w:pPr>
      <w:hyperlink w:anchor="_Toc58840834" w:history="1">
        <w:r w:rsidR="00A73CFF" w:rsidRPr="002B4310">
          <w:rPr>
            <w:rStyle w:val="Hyperlink"/>
            <w:noProof/>
          </w:rPr>
          <w:t>Attachment C – Mock-up of proposed drafting for Schedule 3 and Schedule 26</w:t>
        </w:r>
        <w:r w:rsidR="00A73CFF">
          <w:rPr>
            <w:noProof/>
            <w:webHidden/>
          </w:rPr>
          <w:tab/>
        </w:r>
        <w:r w:rsidR="00A73CFF">
          <w:rPr>
            <w:noProof/>
            <w:webHidden/>
          </w:rPr>
          <w:fldChar w:fldCharType="begin"/>
        </w:r>
        <w:r w:rsidR="00A73CFF">
          <w:rPr>
            <w:noProof/>
            <w:webHidden/>
          </w:rPr>
          <w:instrText xml:space="preserve"> PAGEREF _Toc58840834 \h </w:instrText>
        </w:r>
        <w:r w:rsidR="00A73CFF">
          <w:rPr>
            <w:noProof/>
            <w:webHidden/>
          </w:rPr>
        </w:r>
        <w:r w:rsidR="00A73CFF">
          <w:rPr>
            <w:noProof/>
            <w:webHidden/>
          </w:rPr>
          <w:fldChar w:fldCharType="separate"/>
        </w:r>
        <w:r w:rsidR="00655185">
          <w:rPr>
            <w:noProof/>
            <w:webHidden/>
          </w:rPr>
          <w:t>53</w:t>
        </w:r>
        <w:r w:rsidR="00A73CFF">
          <w:rPr>
            <w:noProof/>
            <w:webHidden/>
          </w:rPr>
          <w:fldChar w:fldCharType="end"/>
        </w:r>
      </w:hyperlink>
    </w:p>
    <w:p w14:paraId="31EC8910" w14:textId="2EB229BD" w:rsidR="00A73CFF" w:rsidRDefault="00B83C94">
      <w:pPr>
        <w:pStyle w:val="TOC2"/>
        <w:tabs>
          <w:tab w:val="right" w:leader="dot" w:pos="9060"/>
        </w:tabs>
        <w:rPr>
          <w:rFonts w:eastAsiaTheme="minorEastAsia" w:cstheme="minorBidi"/>
          <w:smallCaps w:val="0"/>
          <w:noProof/>
          <w:sz w:val="22"/>
          <w:szCs w:val="22"/>
          <w:lang w:eastAsia="en-GB" w:bidi="ar-SA"/>
        </w:rPr>
      </w:pPr>
      <w:hyperlink w:anchor="_Toc58840835" w:history="1">
        <w:r w:rsidR="00A73CFF" w:rsidRPr="002B4310">
          <w:rPr>
            <w:rStyle w:val="Hyperlink"/>
            <w:noProof/>
          </w:rPr>
          <w:t>Attachment D – List of submitters at 2</w:t>
        </w:r>
        <w:r w:rsidR="00A73CFF" w:rsidRPr="002B4310">
          <w:rPr>
            <w:rStyle w:val="Hyperlink"/>
            <w:noProof/>
            <w:vertAlign w:val="superscript"/>
          </w:rPr>
          <w:t>nd</w:t>
        </w:r>
        <w:r w:rsidR="00A73CFF" w:rsidRPr="002B4310">
          <w:rPr>
            <w:rStyle w:val="Hyperlink"/>
            <w:noProof/>
          </w:rPr>
          <w:t xml:space="preserve"> CFS</w:t>
        </w:r>
        <w:r w:rsidR="00A73CFF">
          <w:rPr>
            <w:noProof/>
            <w:webHidden/>
          </w:rPr>
          <w:tab/>
        </w:r>
        <w:r w:rsidR="00A73CFF">
          <w:rPr>
            <w:noProof/>
            <w:webHidden/>
          </w:rPr>
          <w:fldChar w:fldCharType="begin"/>
        </w:r>
        <w:r w:rsidR="00A73CFF">
          <w:rPr>
            <w:noProof/>
            <w:webHidden/>
          </w:rPr>
          <w:instrText xml:space="preserve"> PAGEREF _Toc58840835 \h </w:instrText>
        </w:r>
        <w:r w:rsidR="00A73CFF">
          <w:rPr>
            <w:noProof/>
            <w:webHidden/>
          </w:rPr>
        </w:r>
        <w:r w:rsidR="00A73CFF">
          <w:rPr>
            <w:noProof/>
            <w:webHidden/>
          </w:rPr>
          <w:fldChar w:fldCharType="separate"/>
        </w:r>
        <w:r w:rsidR="00655185">
          <w:rPr>
            <w:noProof/>
            <w:webHidden/>
          </w:rPr>
          <w:t>56</w:t>
        </w:r>
        <w:r w:rsidR="00A73CFF">
          <w:rPr>
            <w:noProof/>
            <w:webHidden/>
          </w:rPr>
          <w:fldChar w:fldCharType="end"/>
        </w:r>
      </w:hyperlink>
    </w:p>
    <w:p w14:paraId="6B6DC5D3" w14:textId="0B75669A" w:rsidR="0012388D" w:rsidRDefault="00B55714" w:rsidP="006E51EF">
      <w:pPr>
        <w:widowControl/>
      </w:pPr>
      <w:r w:rsidRPr="00346622">
        <w:rPr>
          <w:rFonts w:cs="Arial"/>
          <w:sz w:val="20"/>
          <w:szCs w:val="20"/>
        </w:rPr>
        <w:fldChar w:fldCharType="end"/>
      </w:r>
    </w:p>
    <w:p w14:paraId="6D4B2776" w14:textId="77777777" w:rsidR="007F7BF7" w:rsidRDefault="007F7BF7" w:rsidP="006E51EF">
      <w:pPr>
        <w:widowControl/>
      </w:pPr>
    </w:p>
    <w:p w14:paraId="7735C4C9" w14:textId="77777777" w:rsidR="00A671E6" w:rsidRPr="000B427A" w:rsidRDefault="00A671E6" w:rsidP="006E51EF">
      <w:pPr>
        <w:widowControl/>
        <w:rPr>
          <w:b/>
          <w:bCs/>
        </w:rPr>
      </w:pPr>
      <w:r w:rsidRPr="000B427A">
        <w:rPr>
          <w:b/>
          <w:bCs/>
        </w:rPr>
        <w:t>S</w:t>
      </w:r>
      <w:r w:rsidR="007C22CB" w:rsidRPr="000B427A">
        <w:rPr>
          <w:b/>
          <w:bCs/>
        </w:rPr>
        <w:t>upporting</w:t>
      </w:r>
      <w:r w:rsidR="00224E3B" w:rsidRPr="000B427A">
        <w:rPr>
          <w:b/>
          <w:bCs/>
        </w:rPr>
        <w:t xml:space="preserve"> documen</w:t>
      </w:r>
      <w:r w:rsidR="00224E3B" w:rsidRPr="00140E67">
        <w:rPr>
          <w:b/>
          <w:bCs/>
        </w:rPr>
        <w:t>ts</w:t>
      </w:r>
      <w:r w:rsidRPr="000B427A">
        <w:rPr>
          <w:b/>
          <w:bCs/>
        </w:rPr>
        <w:t xml:space="preserve"> </w:t>
      </w:r>
    </w:p>
    <w:p w14:paraId="64CB5B03" w14:textId="77777777" w:rsidR="00A671E6" w:rsidRPr="0089264A" w:rsidRDefault="00A671E6" w:rsidP="006E51EF">
      <w:pPr>
        <w:widowControl/>
        <w:rPr>
          <w:szCs w:val="22"/>
        </w:rPr>
      </w:pPr>
    </w:p>
    <w:p w14:paraId="686F7600" w14:textId="4D382B83" w:rsidR="007A53BF" w:rsidRPr="00E040BC" w:rsidRDefault="007A53BF" w:rsidP="006E51EF">
      <w:pPr>
        <w:widowControl/>
        <w:rPr>
          <w:szCs w:val="22"/>
        </w:rPr>
      </w:pPr>
      <w:r w:rsidRPr="00140E67">
        <w:rPr>
          <w:szCs w:val="22"/>
        </w:rPr>
        <w:t xml:space="preserve">The following documents which </w:t>
      </w:r>
      <w:r>
        <w:rPr>
          <w:szCs w:val="22"/>
        </w:rPr>
        <w:t xml:space="preserve">informed the assessment </w:t>
      </w:r>
      <w:r w:rsidRPr="00140E67">
        <w:rPr>
          <w:szCs w:val="22"/>
        </w:rPr>
        <w:t xml:space="preserve">of this Application are available </w:t>
      </w:r>
      <w:r w:rsidRPr="0089264A">
        <w:rPr>
          <w:szCs w:val="22"/>
        </w:rPr>
        <w:t xml:space="preserve">on the FSANZ </w:t>
      </w:r>
      <w:r w:rsidRPr="00E040BC">
        <w:rPr>
          <w:szCs w:val="22"/>
        </w:rPr>
        <w:t>website</w:t>
      </w:r>
      <w:r w:rsidR="00FF3E26" w:rsidRPr="00E040BC">
        <w:rPr>
          <w:szCs w:val="22"/>
        </w:rPr>
        <w:t>:</w:t>
      </w:r>
    </w:p>
    <w:p w14:paraId="170EDE21" w14:textId="77777777" w:rsidR="007A53BF" w:rsidRPr="00E040BC" w:rsidRDefault="007A53BF" w:rsidP="006E51EF">
      <w:pPr>
        <w:widowControl/>
        <w:rPr>
          <w:szCs w:val="22"/>
        </w:rPr>
      </w:pPr>
    </w:p>
    <w:p w14:paraId="7631B110" w14:textId="77777777" w:rsidR="00613871" w:rsidRPr="007E1F95" w:rsidRDefault="00613871" w:rsidP="006E51EF">
      <w:pPr>
        <w:widowControl/>
        <w:ind w:left="1134" w:hanging="1134"/>
      </w:pPr>
      <w:r w:rsidRPr="00E040BC">
        <w:t>SD1</w:t>
      </w:r>
      <w:r w:rsidRPr="00E040BC">
        <w:tab/>
        <w:t>Risk an</w:t>
      </w:r>
      <w:r w:rsidRPr="007E1F95">
        <w:t>d technical assessment report</w:t>
      </w:r>
    </w:p>
    <w:p w14:paraId="6B62B2B6" w14:textId="77777777" w:rsidR="00613871" w:rsidRPr="007E1F95" w:rsidRDefault="00613871" w:rsidP="006E51EF">
      <w:pPr>
        <w:widowControl/>
        <w:ind w:left="1134" w:hanging="1134"/>
      </w:pPr>
      <w:r w:rsidRPr="007E1F95">
        <w:t>SD2</w:t>
      </w:r>
      <w:r w:rsidRPr="007E1F95">
        <w:tab/>
        <w:t>Consumers and meat analogue products in Australia and New Zealand</w:t>
      </w:r>
    </w:p>
    <w:p w14:paraId="7F60826A" w14:textId="77777777" w:rsidR="00E160B9" w:rsidRDefault="00E160B9" w:rsidP="006E51EF">
      <w:pPr>
        <w:widowControl/>
        <w:spacing w:line="280" w:lineRule="exact"/>
        <w:outlineLvl w:val="3"/>
        <w:sectPr w:rsidR="00E160B9" w:rsidSect="007B4B5D">
          <w:footerReference w:type="even" r:id="rId13"/>
          <w:footerReference w:type="default" r:id="rId14"/>
          <w:headerReference w:type="first" r:id="rId15"/>
          <w:pgSz w:w="11906" w:h="16838" w:code="9"/>
          <w:pgMar w:top="1418" w:right="1418" w:bottom="1418" w:left="1418" w:header="709" w:footer="709" w:gutter="0"/>
          <w:pgNumType w:fmt="lowerRoman" w:start="1"/>
          <w:cols w:space="708"/>
          <w:docGrid w:linePitch="360"/>
        </w:sectPr>
      </w:pPr>
    </w:p>
    <w:p w14:paraId="789FE269" w14:textId="77777777" w:rsidR="007A53BF" w:rsidRPr="007A53BF" w:rsidRDefault="007A53BF" w:rsidP="006E51EF">
      <w:pPr>
        <w:pStyle w:val="Heading1"/>
        <w:widowControl/>
      </w:pPr>
      <w:bookmarkStart w:id="0" w:name="_Toc286391001"/>
      <w:bookmarkStart w:id="1" w:name="_Toc300933414"/>
      <w:bookmarkStart w:id="2" w:name="_Toc370223463"/>
      <w:bookmarkStart w:id="3" w:name="_Toc53406090"/>
      <w:bookmarkStart w:id="4" w:name="_Toc53484600"/>
      <w:bookmarkStart w:id="5" w:name="_Toc58840783"/>
      <w:bookmarkStart w:id="6" w:name="_Toc11735627"/>
      <w:bookmarkStart w:id="7" w:name="_Toc29883110"/>
      <w:bookmarkStart w:id="8" w:name="_Toc41906797"/>
      <w:bookmarkStart w:id="9" w:name="_Toc41907544"/>
      <w:bookmarkStart w:id="10" w:name="_Toc120358575"/>
      <w:r w:rsidRPr="007A53BF">
        <w:lastRenderedPageBreak/>
        <w:t>Executive summary</w:t>
      </w:r>
      <w:bookmarkEnd w:id="0"/>
      <w:bookmarkEnd w:id="1"/>
      <w:bookmarkEnd w:id="2"/>
      <w:bookmarkEnd w:id="3"/>
      <w:bookmarkEnd w:id="4"/>
      <w:bookmarkEnd w:id="5"/>
    </w:p>
    <w:p w14:paraId="6D918E8F" w14:textId="7E4F0D20" w:rsidR="00613871" w:rsidRDefault="00613871" w:rsidP="006E51EF">
      <w:pPr>
        <w:widowControl/>
      </w:pPr>
      <w:r>
        <w:t xml:space="preserve">Impossible Foods Inc. (the applicant) applied to amend the </w:t>
      </w:r>
      <w:r w:rsidRPr="003D33F1">
        <w:rPr>
          <w:i/>
        </w:rPr>
        <w:t>Australia New Zealand Food Standards Code</w:t>
      </w:r>
      <w:r>
        <w:t xml:space="preserve"> (the Code) to permit the </w:t>
      </w:r>
      <w:r w:rsidR="007546C1">
        <w:t xml:space="preserve">voluntary </w:t>
      </w:r>
      <w:r>
        <w:t>use of soy leghemoglobin</w:t>
      </w:r>
      <w:r>
        <w:rPr>
          <w:rStyle w:val="FootnoteReference"/>
        </w:rPr>
        <w:footnoteReference w:id="2"/>
      </w:r>
      <w:r w:rsidR="00FF5BF5">
        <w:t xml:space="preserve"> </w:t>
      </w:r>
      <w:r>
        <w:t>in meat analogue products (including the Impossible burger, meatballs, sausages, and as fillings in buns and dumplings) at levels not more than 0.8% weight for weight (w/w</w:t>
      </w:r>
      <w:r>
        <w:rPr>
          <w:rStyle w:val="FootnoteReference"/>
        </w:rPr>
        <w:footnoteReference w:id="3"/>
      </w:r>
      <w:r>
        <w:t>) in raw product.</w:t>
      </w:r>
      <w:r w:rsidRPr="00E87008">
        <w:t xml:space="preserve"> </w:t>
      </w:r>
    </w:p>
    <w:p w14:paraId="77DD5298" w14:textId="77777777" w:rsidR="008A1702" w:rsidRDefault="008A1702" w:rsidP="006E51EF">
      <w:pPr>
        <w:widowControl/>
      </w:pPr>
    </w:p>
    <w:p w14:paraId="041704FB" w14:textId="15A7B4DF" w:rsidR="00613871" w:rsidRDefault="008A1702" w:rsidP="006E51EF">
      <w:pPr>
        <w:widowControl/>
      </w:pPr>
      <w:r>
        <w:t xml:space="preserve">The applicant’s </w:t>
      </w:r>
      <w:r w:rsidR="00FF5BF5">
        <w:t>soy leghemoglobin</w:t>
      </w:r>
      <w:r>
        <w:t xml:space="preserve"> intends to </w:t>
      </w:r>
      <w:r>
        <w:rPr>
          <w:color w:val="000000" w:themeColor="text1"/>
        </w:rPr>
        <w:t>provide</w:t>
      </w:r>
      <w:r w:rsidRPr="004517C5">
        <w:t xml:space="preserve"> the nutrition (source of iron), flavour and aroma</w:t>
      </w:r>
      <w:r>
        <w:t xml:space="preserve"> similar to that of </w:t>
      </w:r>
      <w:r w:rsidRPr="004517C5">
        <w:t>myoglobin</w:t>
      </w:r>
      <w:r>
        <w:t xml:space="preserve">, </w:t>
      </w:r>
      <w:r>
        <w:rPr>
          <w:color w:val="000000" w:themeColor="text1"/>
        </w:rPr>
        <w:t>an oxygen storing</w:t>
      </w:r>
      <w:r w:rsidRPr="00641F5D">
        <w:rPr>
          <w:color w:val="000000" w:themeColor="text1"/>
        </w:rPr>
        <w:t xml:space="preserve"> </w:t>
      </w:r>
      <w:r>
        <w:rPr>
          <w:color w:val="000000" w:themeColor="text1"/>
        </w:rPr>
        <w:t xml:space="preserve">haem protein </w:t>
      </w:r>
      <w:r w:rsidRPr="00641F5D">
        <w:rPr>
          <w:color w:val="000000" w:themeColor="text1"/>
        </w:rPr>
        <w:t xml:space="preserve">found in </w:t>
      </w:r>
      <w:r>
        <w:rPr>
          <w:color w:val="000000" w:themeColor="text1"/>
        </w:rPr>
        <w:t>meat.</w:t>
      </w:r>
    </w:p>
    <w:p w14:paraId="7EE2CDBC" w14:textId="77777777" w:rsidR="00FF5BF5" w:rsidRDefault="00FF5BF5" w:rsidP="006E51EF">
      <w:pPr>
        <w:widowControl/>
      </w:pPr>
    </w:p>
    <w:p w14:paraId="0226BC92" w14:textId="00E3C423" w:rsidR="00613871" w:rsidRDefault="00613871" w:rsidP="006E51EF">
      <w:pPr>
        <w:widowControl/>
      </w:pPr>
      <w:r>
        <w:t xml:space="preserve">The applicant sought permission for soy leghemoglobin as a novel food, nutritive substance and </w:t>
      </w:r>
      <w:r w:rsidRPr="004517C5">
        <w:t xml:space="preserve">genetically modified (GM) </w:t>
      </w:r>
      <w:r>
        <w:t xml:space="preserve">food. </w:t>
      </w:r>
      <w:r w:rsidR="008A1702">
        <w:t>No request was made f</w:t>
      </w:r>
      <w:r w:rsidR="00694241">
        <w:t xml:space="preserve">or exclusive permission of the </w:t>
      </w:r>
      <w:r w:rsidR="00BE663F">
        <w:t>ingredient</w:t>
      </w:r>
      <w:r w:rsidR="00694241">
        <w:t>.</w:t>
      </w:r>
    </w:p>
    <w:p w14:paraId="231CE709" w14:textId="77777777" w:rsidR="00613871" w:rsidRDefault="00613871" w:rsidP="006E51EF">
      <w:pPr>
        <w:widowControl/>
      </w:pPr>
    </w:p>
    <w:p w14:paraId="26D80E61" w14:textId="11BB05C2" w:rsidR="00613871" w:rsidRDefault="00613871" w:rsidP="006E51EF">
      <w:pPr>
        <w:widowControl/>
      </w:pPr>
      <w:r>
        <w:t xml:space="preserve">The applicant’s soy leghemoglobin is </w:t>
      </w:r>
      <w:r w:rsidR="00831825">
        <w:t xml:space="preserve">a protein </w:t>
      </w:r>
      <w:r>
        <w:t xml:space="preserve">produced </w:t>
      </w:r>
      <w:r w:rsidRPr="004517C5">
        <w:t xml:space="preserve">from </w:t>
      </w:r>
      <w:r>
        <w:t xml:space="preserve">a GM </w:t>
      </w:r>
      <w:r w:rsidRPr="007B2989">
        <w:t>yeast</w:t>
      </w:r>
      <w:r>
        <w:t xml:space="preserve">, </w:t>
      </w:r>
      <w:r w:rsidRPr="004517C5">
        <w:rPr>
          <w:i/>
        </w:rPr>
        <w:t>Pichia pastoris</w:t>
      </w:r>
      <w:r w:rsidR="004047EF">
        <w:t xml:space="preserve"> (</w:t>
      </w:r>
      <w:r w:rsidR="004047EF">
        <w:rPr>
          <w:i/>
        </w:rPr>
        <w:t>P. pastoris)</w:t>
      </w:r>
      <w:r>
        <w:t>. This yeast has been modified to express</w:t>
      </w:r>
      <w:r w:rsidRPr="004517C5">
        <w:t xml:space="preserve"> the </w:t>
      </w:r>
      <w:r>
        <w:t>leghaemoglobin</w:t>
      </w:r>
      <w:r w:rsidRPr="004517C5">
        <w:t xml:space="preserve"> gene from </w:t>
      </w:r>
      <w:r>
        <w:rPr>
          <w:lang w:eastAsia="en-AU" w:bidi="ar-SA"/>
        </w:rPr>
        <w:t>soybean</w:t>
      </w:r>
      <w:r w:rsidRPr="004517C5">
        <w:rPr>
          <w:i/>
        </w:rPr>
        <w:t xml:space="preserve"> (Glycine max</w:t>
      </w:r>
      <w:r w:rsidRPr="00017C6D">
        <w:t>)</w:t>
      </w:r>
      <w:r>
        <w:t xml:space="preserve">. </w:t>
      </w:r>
      <w:r w:rsidR="00831825">
        <w:t xml:space="preserve">Soy leghemoglobin </w:t>
      </w:r>
      <w:r w:rsidR="006E51EF">
        <w:rPr>
          <w:lang w:eastAsia="en-AU" w:bidi="ar-SA"/>
        </w:rPr>
        <w:t>would be</w:t>
      </w:r>
      <w:r w:rsidR="00831825">
        <w:rPr>
          <w:lang w:eastAsia="en-AU" w:bidi="ar-SA"/>
        </w:rPr>
        <w:t xml:space="preserve"> added to </w:t>
      </w:r>
      <w:r w:rsidR="00694C28">
        <w:rPr>
          <w:lang w:eastAsia="en-AU" w:bidi="ar-SA"/>
        </w:rPr>
        <w:t>the applicants</w:t>
      </w:r>
      <w:r w:rsidR="0096261B">
        <w:rPr>
          <w:lang w:eastAsia="en-AU" w:bidi="ar-SA"/>
        </w:rPr>
        <w:t xml:space="preserve"> </w:t>
      </w:r>
      <w:r w:rsidR="006C1759">
        <w:rPr>
          <w:lang w:eastAsia="en-AU" w:bidi="ar-SA"/>
        </w:rPr>
        <w:t xml:space="preserve">meat analogue </w:t>
      </w:r>
      <w:r w:rsidR="00831825">
        <w:rPr>
          <w:lang w:eastAsia="en-AU" w:bidi="ar-SA"/>
        </w:rPr>
        <w:t>products in the form of a liquid</w:t>
      </w:r>
      <w:r w:rsidR="00831825" w:rsidRPr="004517C5">
        <w:rPr>
          <w:lang w:eastAsia="en-AU" w:bidi="ar-SA"/>
        </w:rPr>
        <w:t xml:space="preserve"> </w:t>
      </w:r>
      <w:r w:rsidR="00831825">
        <w:t>cell lysate preparation</w:t>
      </w:r>
      <w:r w:rsidR="00081770">
        <w:t xml:space="preserve"> </w:t>
      </w:r>
      <w:r w:rsidR="00BE663F">
        <w:rPr>
          <w:lang w:eastAsia="en-AU" w:bidi="ar-SA"/>
        </w:rPr>
        <w:t>(the Preparation)</w:t>
      </w:r>
      <w:r w:rsidR="00BE663F" w:rsidRPr="00BE663F">
        <w:rPr>
          <w:rStyle w:val="FootnoteReference"/>
          <w:lang w:eastAsia="en-AU" w:bidi="ar-SA"/>
        </w:rPr>
        <w:t xml:space="preserve"> </w:t>
      </w:r>
      <w:r w:rsidR="00BE663F">
        <w:rPr>
          <w:rStyle w:val="FootnoteReference"/>
          <w:lang w:eastAsia="en-AU" w:bidi="ar-SA"/>
        </w:rPr>
        <w:footnoteReference w:id="4"/>
      </w:r>
      <w:r w:rsidR="00BE663F">
        <w:t>.</w:t>
      </w:r>
      <w:r w:rsidR="006C1759">
        <w:t xml:space="preserve"> The Preparation</w:t>
      </w:r>
      <w:r w:rsidR="00831825">
        <w:rPr>
          <w:lang w:eastAsia="en-AU" w:bidi="ar-SA"/>
        </w:rPr>
        <w:t xml:space="preserve"> also contains</w:t>
      </w:r>
      <w:r>
        <w:rPr>
          <w:lang w:eastAsia="en-AU" w:bidi="ar-SA"/>
        </w:rPr>
        <w:t xml:space="preserve"> </w:t>
      </w:r>
      <w:r w:rsidRPr="004517C5">
        <w:rPr>
          <w:lang w:eastAsia="en-AU" w:bidi="ar-SA"/>
        </w:rPr>
        <w:t xml:space="preserve">proteins </w:t>
      </w:r>
      <w:r>
        <w:rPr>
          <w:lang w:eastAsia="en-AU" w:bidi="ar-SA"/>
        </w:rPr>
        <w:t xml:space="preserve">and genomic DNA </w:t>
      </w:r>
      <w:r w:rsidRPr="004517C5">
        <w:rPr>
          <w:lang w:eastAsia="en-AU" w:bidi="ar-SA"/>
        </w:rPr>
        <w:t xml:space="preserve">from the </w:t>
      </w:r>
      <w:r w:rsidRPr="004517C5">
        <w:rPr>
          <w:i/>
          <w:lang w:eastAsia="en-AU" w:bidi="ar-SA"/>
        </w:rPr>
        <w:t>Pichia</w:t>
      </w:r>
      <w:r w:rsidR="00F84542">
        <w:rPr>
          <w:i/>
          <w:lang w:eastAsia="en-AU" w:bidi="ar-SA"/>
        </w:rPr>
        <w:t xml:space="preserve"> pastoris</w:t>
      </w:r>
      <w:r w:rsidRPr="004517C5">
        <w:rPr>
          <w:lang w:eastAsia="en-AU" w:bidi="ar-SA"/>
        </w:rPr>
        <w:t xml:space="preserve"> production strain</w:t>
      </w:r>
      <w:r>
        <w:rPr>
          <w:lang w:eastAsia="en-AU" w:bidi="ar-SA"/>
        </w:rPr>
        <w:t>, plus</w:t>
      </w:r>
      <w:r>
        <w:rPr>
          <w:lang w:val="en-AU"/>
        </w:rPr>
        <w:t xml:space="preserve"> s</w:t>
      </w:r>
      <w:r w:rsidRPr="00204C4D">
        <w:rPr>
          <w:lang w:val="en-AU"/>
        </w:rPr>
        <w:t>odium ascorbate and sodium chloride</w:t>
      </w:r>
      <w:r>
        <w:rPr>
          <w:lang w:val="en-AU"/>
        </w:rPr>
        <w:t xml:space="preserve"> as stabilisers</w:t>
      </w:r>
      <w:r>
        <w:t>.</w:t>
      </w:r>
    </w:p>
    <w:p w14:paraId="49AC5C01" w14:textId="77777777" w:rsidR="00613871" w:rsidRDefault="00613871" w:rsidP="006E51EF">
      <w:pPr>
        <w:widowControl/>
        <w:rPr>
          <w:color w:val="000000" w:themeColor="text1"/>
        </w:rPr>
      </w:pPr>
    </w:p>
    <w:p w14:paraId="5C4B4CA3" w14:textId="77777777" w:rsidR="00C60FD6" w:rsidRDefault="00613871" w:rsidP="00C60FD6">
      <w:pPr>
        <w:widowControl/>
      </w:pPr>
      <w:r>
        <w:t>FSANZ has assessed soy leghemoglobin as a</w:t>
      </w:r>
      <w:r>
        <w:rPr>
          <w:szCs w:val="22"/>
        </w:rPr>
        <w:t xml:space="preserve"> nutritive substance </w:t>
      </w:r>
      <w:r>
        <w:t>f</w:t>
      </w:r>
      <w:r>
        <w:rPr>
          <w:szCs w:val="22"/>
        </w:rPr>
        <w:t>or the purpose of providing a source of iron to meat analogue products. FSANZ assessed</w:t>
      </w:r>
      <w:r w:rsidR="00831825">
        <w:rPr>
          <w:szCs w:val="22"/>
        </w:rPr>
        <w:t xml:space="preserve"> </w:t>
      </w:r>
      <w:r w:rsidR="006C1759">
        <w:rPr>
          <w:szCs w:val="22"/>
        </w:rPr>
        <w:t>both the</w:t>
      </w:r>
      <w:r w:rsidR="00831825">
        <w:rPr>
          <w:szCs w:val="22"/>
        </w:rPr>
        <w:t xml:space="preserve"> Preparation and soy leghemoglobin </w:t>
      </w:r>
      <w:r>
        <w:rPr>
          <w:szCs w:val="22"/>
        </w:rPr>
        <w:t>as a</w:t>
      </w:r>
      <w:r>
        <w:t xml:space="preserve"> food produced using gene technology, due to production method</w:t>
      </w:r>
      <w:r w:rsidR="006C1759">
        <w:t>s used</w:t>
      </w:r>
      <w:r>
        <w:t>.</w:t>
      </w:r>
      <w:r w:rsidR="00B0546D">
        <w:t xml:space="preserve"> </w:t>
      </w:r>
    </w:p>
    <w:p w14:paraId="47483056" w14:textId="77777777" w:rsidR="00C60FD6" w:rsidRDefault="00C60FD6" w:rsidP="00C60FD6">
      <w:pPr>
        <w:widowControl/>
      </w:pPr>
    </w:p>
    <w:p w14:paraId="0DCBA569" w14:textId="192C25B6" w:rsidR="00C60FD6" w:rsidRDefault="00C60FD6" w:rsidP="00C60FD6">
      <w:pPr>
        <w:widowControl/>
      </w:pPr>
      <w:r>
        <w:t>T</w:t>
      </w:r>
      <w:r w:rsidRPr="00E66811">
        <w:t xml:space="preserve">he addition of soy leghemoglobin can </w:t>
      </w:r>
      <w:r>
        <w:t xml:space="preserve">also </w:t>
      </w:r>
      <w:r w:rsidRPr="00E66811">
        <w:t>provide flavouring and colouring</w:t>
      </w:r>
      <w:r>
        <w:t xml:space="preserve">. However, FSANZ considers the regulatory approach to not regulate every function of soy leghemoglobin is consistent with that used for </w:t>
      </w:r>
      <w:r w:rsidR="004A24F7">
        <w:t xml:space="preserve">some other </w:t>
      </w:r>
      <w:r>
        <w:t>multi-function substances in the Code (</w:t>
      </w:r>
      <w:r w:rsidR="00FB2F9E">
        <w:t>for example,</w:t>
      </w:r>
      <w:r>
        <w:t xml:space="preserve"> </w:t>
      </w:r>
      <w:r w:rsidR="00805741">
        <w:t>several food additives such as calcium salts also contribute to the calcium content of food, but that does not make them nutritive substances</w:t>
      </w:r>
      <w:r>
        <w:t>).</w:t>
      </w:r>
    </w:p>
    <w:p w14:paraId="6E4F4A38" w14:textId="2967A7B6" w:rsidR="00ED6F4A" w:rsidRDefault="00C60FD6" w:rsidP="006E51EF">
      <w:pPr>
        <w:widowControl/>
        <w:rPr>
          <w:szCs w:val="22"/>
        </w:rPr>
      </w:pPr>
      <w:r>
        <w:t>Additional permissions added to the Code for soy leghemoglobin would not have provided any more</w:t>
      </w:r>
      <w:r w:rsidDel="00B11F9A">
        <w:t xml:space="preserve"> </w:t>
      </w:r>
      <w:r>
        <w:t>mitigation of risk for consumers and enforcement agencies. The applicant accepted FSANZ’s proposed variations to the regulatory approach (under Section 30 of the FSANZ Act).</w:t>
      </w:r>
    </w:p>
    <w:p w14:paraId="1AD6E401" w14:textId="77777777" w:rsidR="00613871" w:rsidRDefault="00613871" w:rsidP="006E51EF">
      <w:pPr>
        <w:widowControl/>
        <w:rPr>
          <w:szCs w:val="22"/>
        </w:rPr>
      </w:pPr>
    </w:p>
    <w:p w14:paraId="6F254C1F" w14:textId="098EFFAC" w:rsidR="00F84542" w:rsidRDefault="00613871" w:rsidP="006E51EF">
      <w:pPr>
        <w:widowControl/>
      </w:pPr>
      <w:r>
        <w:t xml:space="preserve">FSANZ did not </w:t>
      </w:r>
      <w:r w:rsidR="006C1759">
        <w:t xml:space="preserve">include an </w:t>
      </w:r>
      <w:r>
        <w:t>assess</w:t>
      </w:r>
      <w:r w:rsidR="006C1759">
        <w:t xml:space="preserve">ment </w:t>
      </w:r>
      <w:r>
        <w:t>as a novel food because the</w:t>
      </w:r>
      <w:r w:rsidR="00F41EA8">
        <w:t xml:space="preserve"> </w:t>
      </w:r>
      <w:r w:rsidR="002F4B18">
        <w:t xml:space="preserve">soy leghemoglobin in the Preparation is produced through GM processes and the </w:t>
      </w:r>
      <w:r w:rsidR="00F41EA8">
        <w:t>Code does not require a GM food to also be permitted as a novel food.</w:t>
      </w:r>
    </w:p>
    <w:p w14:paraId="5C6BB694" w14:textId="36779A9D" w:rsidR="00613871" w:rsidRDefault="00F41EA8" w:rsidP="006E51EF">
      <w:pPr>
        <w:widowControl/>
      </w:pPr>
      <w:r>
        <w:rPr>
          <w:noProof/>
          <w:lang w:eastAsia="en-GB" w:bidi="ar-SA"/>
        </w:rPr>
        <w:lastRenderedPageBreak/>
        <mc:AlternateContent>
          <mc:Choice Requires="wps">
            <w:drawing>
              <wp:anchor distT="45720" distB="45720" distL="114300" distR="114300" simplePos="0" relativeHeight="251661824" behindDoc="0" locked="0" layoutInCell="1" allowOverlap="1" wp14:anchorId="5D7C0B7A" wp14:editId="49631532">
                <wp:simplePos x="0" y="0"/>
                <wp:positionH relativeFrom="margin">
                  <wp:posOffset>3413352</wp:posOffset>
                </wp:positionH>
                <wp:positionV relativeFrom="paragraph">
                  <wp:posOffset>32385</wp:posOffset>
                </wp:positionV>
                <wp:extent cx="2298700" cy="1088390"/>
                <wp:effectExtent l="0" t="0" r="2540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088390"/>
                        </a:xfrm>
                        <a:prstGeom prst="rect">
                          <a:avLst/>
                        </a:prstGeom>
                        <a:solidFill>
                          <a:srgbClr val="FFFFFF"/>
                        </a:solidFill>
                        <a:ln w="9525">
                          <a:solidFill>
                            <a:srgbClr val="000000"/>
                          </a:solidFill>
                          <a:miter lim="800000"/>
                          <a:headEnd/>
                          <a:tailEnd/>
                        </a:ln>
                      </wps:spPr>
                      <wps:txbx>
                        <w:txbxContent>
                          <w:p w14:paraId="1ED357BB" w14:textId="3DCA573C" w:rsidR="001323E6" w:rsidRDefault="001323E6" w:rsidP="00646417">
                            <w:r>
                              <w:rPr>
                                <w:lang w:val="en-AU" w:bidi="ar-SA"/>
                              </w:rPr>
                              <w:t>FSANZ has undertaken a comprehensive</w:t>
                            </w:r>
                            <w:r>
                              <w:t xml:space="preserve"> assessment using current </w:t>
                            </w:r>
                            <w:r w:rsidRPr="00122195">
                              <w:rPr>
                                <w:color w:val="000000" w:themeColor="text1"/>
                              </w:rPr>
                              <w:t>internationally agreed practices and processes</w:t>
                            </w:r>
                            <w:r>
                              <w:rPr>
                                <w:color w:val="000000" w:themeColor="text1"/>
                              </w:rPr>
                              <w:t xml:space="preserve"> to assess safety</w:t>
                            </w:r>
                            <w:r w:rsidRPr="0038695A">
                              <w:rPr>
                                <w:lang w:val="en-AU" w:bidi="ar-SA"/>
                              </w:rPr>
                              <w:t xml:space="preserve"> </w:t>
                            </w:r>
                            <w:r>
                              <w:rPr>
                                <w:lang w:val="en-AU" w:bidi="ar-SA"/>
                              </w:rPr>
                              <w:t>of the Preparation including soy leghemoglobin.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D7C0B7A" id="_x0000_t202" coordsize="21600,21600" o:spt="202" path="m,l,21600r21600,l21600,xe">
                <v:stroke joinstyle="miter"/>
                <v:path gradientshapeok="t" o:connecttype="rect"/>
              </v:shapetype>
              <v:shape id="Text Box 2" o:spid="_x0000_s1026" type="#_x0000_t202" style="position:absolute;margin-left:268.75pt;margin-top:2.55pt;width:181pt;height:85.7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">
                <v:textbox>
                  <w:txbxContent>
                    <w:p w14:paraId="1ED357BB" w14:textId="3DCA573C" w:rsidR="001323E6" w:rsidRDefault="001323E6" w:rsidP="00646417">
                      <w:r>
                        <w:rPr>
                          <w:lang w:val="en-AU" w:bidi="ar-SA"/>
                        </w:rPr>
                        <w:t>FSANZ has undertaken a comprehensive</w:t>
                      </w:r>
                      <w:r>
                        <w:t xml:space="preserve"> assessment using current </w:t>
                      </w:r>
                      <w:r w:rsidRPr="00122195">
                        <w:rPr>
                          <w:color w:val="000000" w:themeColor="text1"/>
                        </w:rPr>
                        <w:t>internationally agreed practices and processes</w:t>
                      </w:r>
                      <w:r>
                        <w:rPr>
                          <w:color w:val="000000" w:themeColor="text1"/>
                        </w:rPr>
                        <w:t xml:space="preserve"> to assess safety</w:t>
                      </w:r>
                      <w:r w:rsidRPr="0038695A">
                        <w:rPr>
                          <w:lang w:val="en-AU" w:bidi="ar-SA"/>
                        </w:rPr>
                        <w:t xml:space="preserve"> </w:t>
                      </w:r>
                      <w:r>
                        <w:rPr>
                          <w:lang w:val="en-AU" w:bidi="ar-SA"/>
                        </w:rPr>
                        <w:t>of the Preparation including soy leghemoglobin.</w:t>
                      </w:r>
                    </w:p>
                  </w:txbxContent>
                </v:textbox>
                <w10:wrap type="square" anchorx="margin"/>
              </v:shape>
            </w:pict>
          </mc:Fallback>
        </mc:AlternateContent>
      </w:r>
      <w:r w:rsidR="00F94CE5">
        <w:rPr>
          <w:lang w:val="en-AU" w:bidi="ar-SA"/>
        </w:rPr>
        <w:t xml:space="preserve">Two rounds of public consultation have been conducted for A1186. </w:t>
      </w:r>
      <w:r w:rsidR="009165BD">
        <w:t xml:space="preserve">In developing the 2nd CFS, </w:t>
      </w:r>
      <w:r w:rsidR="00F94CE5">
        <w:t xml:space="preserve">FSANZ </w:t>
      </w:r>
      <w:r w:rsidR="00F94CE5">
        <w:rPr>
          <w:lang w:val="en-AU" w:bidi="ar-SA"/>
        </w:rPr>
        <w:t xml:space="preserve">held </w:t>
      </w:r>
      <w:r w:rsidR="009165BD">
        <w:rPr>
          <w:lang w:val="en-AU" w:bidi="ar-SA"/>
        </w:rPr>
        <w:t>targeted consultation with four Australian jurisdictions and the New Zealand Ministry for Primary Industries</w:t>
      </w:r>
      <w:r w:rsidR="00A75F5F">
        <w:rPr>
          <w:lang w:val="en-AU" w:bidi="ar-SA"/>
        </w:rPr>
        <w:t>/Food Safety</w:t>
      </w:r>
      <w:r w:rsidR="009165BD">
        <w:t xml:space="preserve">, </w:t>
      </w:r>
      <w:r w:rsidR="007A1B9A">
        <w:t>updated</w:t>
      </w:r>
      <w:r w:rsidR="002E2012">
        <w:t xml:space="preserve"> </w:t>
      </w:r>
      <w:r w:rsidR="009165BD">
        <w:t xml:space="preserve">the </w:t>
      </w:r>
      <w:r w:rsidR="002E2012">
        <w:t>risk and technical assessment report</w:t>
      </w:r>
      <w:r w:rsidR="007A1B9A">
        <w:t xml:space="preserve"> (SD1)</w:t>
      </w:r>
      <w:r w:rsidR="002E2012">
        <w:t>, and</w:t>
      </w:r>
      <w:r w:rsidR="009165BD">
        <w:t xml:space="preserve"> developed</w:t>
      </w:r>
      <w:r w:rsidR="002E2012">
        <w:t xml:space="preserve"> a </w:t>
      </w:r>
      <w:r w:rsidR="007A1B9A">
        <w:t>report</w:t>
      </w:r>
      <w:r w:rsidR="002E2012">
        <w:t xml:space="preserve"> outlining consumer</w:t>
      </w:r>
      <w:r w:rsidR="00F84542">
        <w:t>-related</w:t>
      </w:r>
      <w:r w:rsidR="002E2012">
        <w:t xml:space="preserve"> data and information </w:t>
      </w:r>
      <w:r w:rsidR="007A1B9A">
        <w:t xml:space="preserve">around </w:t>
      </w:r>
      <w:r w:rsidR="002E2012" w:rsidRPr="002E2012">
        <w:t>meat analogue products in Australia and New Zealand</w:t>
      </w:r>
      <w:r w:rsidR="007A1B9A">
        <w:t xml:space="preserve"> (SD2).</w:t>
      </w:r>
      <w:r w:rsidR="002E2012">
        <w:t xml:space="preserve"> </w:t>
      </w:r>
    </w:p>
    <w:p w14:paraId="24A21DB0" w14:textId="084498E5" w:rsidR="00F00BA3" w:rsidRPr="00C55040" w:rsidRDefault="00F00BA3" w:rsidP="006E51EF">
      <w:pPr>
        <w:widowControl/>
        <w:rPr>
          <w:lang w:val="en-AU" w:bidi="ar-SA"/>
        </w:rPr>
      </w:pPr>
    </w:p>
    <w:p w14:paraId="01B27840" w14:textId="4AAA3300" w:rsidR="00E67A45" w:rsidRPr="00284E07" w:rsidRDefault="004A3B44" w:rsidP="006E51EF">
      <w:pPr>
        <w:widowControl/>
      </w:pPr>
      <w:r>
        <w:rPr>
          <w:noProof/>
          <w:lang w:eastAsia="en-GB" w:bidi="ar-SA"/>
        </w:rPr>
        <mc:AlternateContent>
          <mc:Choice Requires="wps">
            <w:drawing>
              <wp:anchor distT="45720" distB="45720" distL="114300" distR="114300" simplePos="0" relativeHeight="251655680" behindDoc="0" locked="0" layoutInCell="1" allowOverlap="1" wp14:anchorId="758FE781" wp14:editId="6D58182C">
                <wp:simplePos x="0" y="0"/>
                <wp:positionH relativeFrom="margin">
                  <wp:posOffset>29987</wp:posOffset>
                </wp:positionH>
                <wp:positionV relativeFrom="paragraph">
                  <wp:posOffset>30972</wp:posOffset>
                </wp:positionV>
                <wp:extent cx="2171700" cy="10858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85850"/>
                        </a:xfrm>
                        <a:prstGeom prst="rect">
                          <a:avLst/>
                        </a:prstGeom>
                        <a:solidFill>
                          <a:srgbClr val="FFFFFF"/>
                        </a:solidFill>
                        <a:ln w="9525">
                          <a:solidFill>
                            <a:srgbClr val="000000"/>
                          </a:solidFill>
                          <a:miter lim="800000"/>
                          <a:headEnd/>
                          <a:tailEnd/>
                        </a:ln>
                      </wps:spPr>
                      <wps:txbx>
                        <w:txbxContent>
                          <w:p w14:paraId="1D3C0767" w14:textId="01F2CB05" w:rsidR="001323E6" w:rsidRPr="00284E07" w:rsidRDefault="001323E6" w:rsidP="004C7DBF">
                            <w:r>
                              <w:rPr>
                                <w:rFonts w:eastAsia="Calibri"/>
                                <w:szCs w:val="22"/>
                                <w:lang w:bidi="ar-SA"/>
                              </w:rPr>
                              <w:t>FSANZ has concluded that soy leghemoglobin in the form of the Preparation is safe for human consumption in meat analogue product at levels up to 0.8%.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8FE781" id="_x0000_s1027" type="#_x0000_t202" style="position:absolute;margin-left:2.35pt;margin-top:2.45pt;width:171pt;height:85.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">
                <v:textbox>
                  <w:txbxContent>
                    <w:p w14:paraId="1D3C0767" w14:textId="01F2CB05" w:rsidR="001323E6" w:rsidRPr="00284E07" w:rsidRDefault="001323E6" w:rsidP="004C7DBF">
                      <w:r>
                        <w:rPr>
                          <w:rFonts w:eastAsia="Calibri"/>
                          <w:szCs w:val="22"/>
                          <w:lang w:bidi="ar-SA"/>
                        </w:rPr>
                        <w:t>FSANZ has concluded that soy leghemoglobin in the form of the Preparation is safe for human consumption in meat analogue product at levels up to 0.8%.</w:t>
                      </w:r>
                    </w:p>
                  </w:txbxContent>
                </v:textbox>
                <w10:wrap type="square" anchorx="margin"/>
              </v:shape>
            </w:pict>
          </mc:Fallback>
        </mc:AlternateContent>
      </w:r>
      <w:r>
        <w:rPr>
          <w:color w:val="000000" w:themeColor="text1"/>
        </w:rPr>
        <w:t>Stakeholder</w:t>
      </w:r>
      <w:r w:rsidR="006E51EF">
        <w:rPr>
          <w:color w:val="000000" w:themeColor="text1"/>
        </w:rPr>
        <w:t xml:space="preserve"> s</w:t>
      </w:r>
      <w:r w:rsidR="00E67A45" w:rsidRPr="00203AF8">
        <w:rPr>
          <w:color w:val="000000" w:themeColor="text1"/>
        </w:rPr>
        <w:t xml:space="preserve">ubmissions </w:t>
      </w:r>
      <w:r w:rsidR="009165BD">
        <w:rPr>
          <w:color w:val="000000" w:themeColor="text1"/>
        </w:rPr>
        <w:t xml:space="preserve">received </w:t>
      </w:r>
      <w:r w:rsidR="00E67A45">
        <w:t xml:space="preserve">did not provide any substantive scientific evidence or new arguments </w:t>
      </w:r>
      <w:r w:rsidR="00E67A45" w:rsidRPr="000B27BA">
        <w:rPr>
          <w:lang w:val="en-AU" w:bidi="ar-SA"/>
        </w:rPr>
        <w:t>that change</w:t>
      </w:r>
      <w:r w:rsidR="006E51EF">
        <w:rPr>
          <w:lang w:val="en-AU" w:bidi="ar-SA"/>
        </w:rPr>
        <w:t>d</w:t>
      </w:r>
      <w:r w:rsidR="00E67A45" w:rsidRPr="000B27BA">
        <w:rPr>
          <w:lang w:val="en-AU" w:bidi="ar-SA"/>
        </w:rPr>
        <w:t xml:space="preserve"> the conclusions of FSANZ’s evaluation of the safety of</w:t>
      </w:r>
      <w:r w:rsidR="00E67A45">
        <w:rPr>
          <w:lang w:val="en-AU" w:bidi="ar-SA"/>
        </w:rPr>
        <w:t xml:space="preserve"> the </w:t>
      </w:r>
      <w:r>
        <w:rPr>
          <w:lang w:val="en-AU" w:bidi="ar-SA"/>
        </w:rPr>
        <w:t>P</w:t>
      </w:r>
      <w:r w:rsidR="00E67A45">
        <w:rPr>
          <w:lang w:val="en-AU" w:bidi="ar-SA"/>
        </w:rPr>
        <w:t>reparation</w:t>
      </w:r>
      <w:r w:rsidR="005C1251">
        <w:rPr>
          <w:lang w:val="en-AU" w:bidi="ar-SA"/>
        </w:rPr>
        <w:t>.</w:t>
      </w:r>
    </w:p>
    <w:p w14:paraId="036A9987" w14:textId="77777777" w:rsidR="006E51EF" w:rsidRDefault="006E51EF" w:rsidP="006E51EF">
      <w:pPr>
        <w:widowControl/>
        <w:rPr>
          <w:rFonts w:eastAsia="Calibri"/>
          <w:szCs w:val="22"/>
          <w:lang w:bidi="ar-SA"/>
        </w:rPr>
      </w:pPr>
    </w:p>
    <w:p w14:paraId="2B4835F1" w14:textId="2390C1E1" w:rsidR="00613871" w:rsidRDefault="00613871" w:rsidP="006E51EF">
      <w:pPr>
        <w:widowControl/>
        <w:rPr>
          <w:rFonts w:eastAsia="Calibri"/>
          <w:szCs w:val="22"/>
          <w:lang w:bidi="ar-SA"/>
        </w:rPr>
      </w:pPr>
      <w:r>
        <w:rPr>
          <w:rFonts w:eastAsia="Calibri"/>
          <w:szCs w:val="22"/>
          <w:lang w:bidi="ar-SA"/>
        </w:rPr>
        <w:t>This was based on the following key findings from the risk and technical assessment report (SD1):</w:t>
      </w:r>
    </w:p>
    <w:p w14:paraId="0C4A20CA" w14:textId="0E85CE19" w:rsidR="00613871" w:rsidRDefault="00613871" w:rsidP="006E51EF">
      <w:pPr>
        <w:widowControl/>
        <w:rPr>
          <w:rFonts w:eastAsia="Calibri"/>
          <w:szCs w:val="22"/>
          <w:lang w:bidi="ar-SA"/>
        </w:rPr>
      </w:pPr>
    </w:p>
    <w:p w14:paraId="12D8AEBE" w14:textId="26E2D93F" w:rsidR="00613871" w:rsidRPr="00C55040" w:rsidRDefault="00613871" w:rsidP="00FF61AD">
      <w:pPr>
        <w:pStyle w:val="ListParagraph"/>
        <w:widowControl/>
        <w:numPr>
          <w:ilvl w:val="0"/>
          <w:numId w:val="14"/>
        </w:numPr>
        <w:rPr>
          <w:rFonts w:eastAsia="Calibri"/>
          <w:szCs w:val="22"/>
          <w:lang w:bidi="ar-SA"/>
        </w:rPr>
      </w:pPr>
      <w:r w:rsidRPr="0030604E">
        <w:rPr>
          <w:rFonts w:eastAsia="Calibri"/>
          <w:szCs w:val="22"/>
          <w:lang w:bidi="ar-SA"/>
        </w:rPr>
        <w:t xml:space="preserve">The applicant provided sufficient data to support the stability of </w:t>
      </w:r>
      <w:r w:rsidR="00E67A45">
        <w:rPr>
          <w:rFonts w:eastAsia="Calibri"/>
          <w:szCs w:val="22"/>
          <w:lang w:bidi="ar-SA"/>
        </w:rPr>
        <w:t>the Preparation</w:t>
      </w:r>
      <w:r w:rsidRPr="0030604E">
        <w:rPr>
          <w:rFonts w:eastAsia="Calibri"/>
          <w:szCs w:val="22"/>
          <w:lang w:bidi="ar-SA"/>
        </w:rPr>
        <w:t xml:space="preserve"> in the food matrix.</w:t>
      </w:r>
    </w:p>
    <w:p w14:paraId="1DB45BD5" w14:textId="528EE88A" w:rsidR="00613871" w:rsidRPr="00BD65AC" w:rsidRDefault="00613871" w:rsidP="00FF61AD">
      <w:pPr>
        <w:pStyle w:val="ListParagraph"/>
        <w:widowControl/>
        <w:numPr>
          <w:ilvl w:val="0"/>
          <w:numId w:val="14"/>
        </w:numPr>
        <w:rPr>
          <w:rFonts w:eastAsia="Calibri"/>
          <w:szCs w:val="22"/>
          <w:lang w:bidi="ar-SA"/>
        </w:rPr>
      </w:pPr>
      <w:r>
        <w:t xml:space="preserve">Assessment of the source organism, </w:t>
      </w:r>
      <w:r w:rsidRPr="00BD65AC">
        <w:rPr>
          <w:i/>
        </w:rPr>
        <w:t>P. pastoris</w:t>
      </w:r>
      <w:r>
        <w:t xml:space="preserve"> and novel proteins, did not identify any public health and safety concerns. </w:t>
      </w:r>
    </w:p>
    <w:p w14:paraId="2B33C5AF" w14:textId="2AFFB98B" w:rsidR="00613871" w:rsidRPr="00BD65AC" w:rsidRDefault="00613871" w:rsidP="00FF61AD">
      <w:pPr>
        <w:pStyle w:val="ListParagraph"/>
        <w:widowControl/>
        <w:numPr>
          <w:ilvl w:val="0"/>
          <w:numId w:val="14"/>
        </w:numPr>
        <w:rPr>
          <w:rFonts w:eastAsia="Calibri"/>
          <w:szCs w:val="22"/>
          <w:lang w:bidi="ar-SA"/>
        </w:rPr>
      </w:pPr>
      <w:r>
        <w:t xml:space="preserve">The source organism is a well characterised yeast with a recognised safe history of use for the production of food enzymes; it is neither pathogenic nor toxigenic. </w:t>
      </w:r>
    </w:p>
    <w:p w14:paraId="7C33931A" w14:textId="04A3480D" w:rsidR="00613871" w:rsidRPr="00A649E4" w:rsidRDefault="00613871" w:rsidP="00FF61AD">
      <w:pPr>
        <w:pStyle w:val="ListParagraph"/>
        <w:widowControl/>
        <w:numPr>
          <w:ilvl w:val="0"/>
          <w:numId w:val="14"/>
        </w:numPr>
        <w:rPr>
          <w:rFonts w:eastAsia="Calibri"/>
        </w:rPr>
      </w:pPr>
      <w:r>
        <w:t>A</w:t>
      </w:r>
      <w:r>
        <w:rPr>
          <w:lang w:eastAsia="en-AU" w:bidi="ar-SA"/>
        </w:rPr>
        <w:t>nalyses of the</w:t>
      </w:r>
      <w:r w:rsidRPr="00C15217">
        <w:rPr>
          <w:lang w:eastAsia="en-AU" w:bidi="ar-SA"/>
        </w:rPr>
        <w:t xml:space="preserve"> potential</w:t>
      </w:r>
      <w:r>
        <w:rPr>
          <w:lang w:eastAsia="en-AU" w:bidi="ar-SA"/>
        </w:rPr>
        <w:t xml:space="preserve"> </w:t>
      </w:r>
      <w:proofErr w:type="spellStart"/>
      <w:r>
        <w:rPr>
          <w:lang w:eastAsia="en-AU" w:bidi="ar-SA"/>
        </w:rPr>
        <w:t>allergenicity</w:t>
      </w:r>
      <w:proofErr w:type="spellEnd"/>
      <w:r>
        <w:rPr>
          <w:lang w:eastAsia="en-AU" w:bidi="ar-SA"/>
        </w:rPr>
        <w:t xml:space="preserve"> or</w:t>
      </w:r>
      <w:r w:rsidRPr="00C15217">
        <w:rPr>
          <w:lang w:eastAsia="en-AU" w:bidi="ar-SA"/>
        </w:rPr>
        <w:t xml:space="preserve"> t</w:t>
      </w:r>
      <w:r>
        <w:rPr>
          <w:lang w:eastAsia="en-AU" w:bidi="ar-SA"/>
        </w:rPr>
        <w:t xml:space="preserve">oxicity of all the novel proteins, including soy leghemoglobin and the </w:t>
      </w:r>
      <w:r w:rsidRPr="00BD65AC">
        <w:rPr>
          <w:i/>
          <w:lang w:eastAsia="en-AU" w:bidi="ar-SA"/>
        </w:rPr>
        <w:t>Pichia</w:t>
      </w:r>
      <w:r>
        <w:rPr>
          <w:lang w:eastAsia="en-AU" w:bidi="ar-SA"/>
        </w:rPr>
        <w:t xml:space="preserve"> proteins, did not identify any significant similarities to known allergens or toxins. </w:t>
      </w:r>
    </w:p>
    <w:p w14:paraId="619F460D" w14:textId="0671C3D7" w:rsidR="00613871" w:rsidRPr="00A649E4" w:rsidRDefault="00613871" w:rsidP="00FF61AD">
      <w:pPr>
        <w:pStyle w:val="ListParagraph"/>
        <w:widowControl/>
        <w:numPr>
          <w:ilvl w:val="0"/>
          <w:numId w:val="14"/>
        </w:numPr>
        <w:rPr>
          <w:rFonts w:eastAsia="Calibri"/>
        </w:rPr>
      </w:pPr>
      <w:r w:rsidRPr="000B27BA">
        <w:rPr>
          <w:rFonts w:eastAsia="Calibri"/>
          <w:i/>
        </w:rPr>
        <w:t>In vitro</w:t>
      </w:r>
      <w:r w:rsidRPr="00B05B2D">
        <w:rPr>
          <w:rFonts w:eastAsia="Calibri"/>
        </w:rPr>
        <w:t xml:space="preserve"> genotoxicity studies in bacterial and mammalian cells and an oral toxicity study in rats</w:t>
      </w:r>
      <w:r>
        <w:rPr>
          <w:rFonts w:eastAsia="Calibri"/>
        </w:rPr>
        <w:t xml:space="preserve"> </w:t>
      </w:r>
      <w:r w:rsidRPr="00B05B2D">
        <w:rPr>
          <w:rFonts w:eastAsia="Calibri"/>
        </w:rPr>
        <w:t>confirm</w:t>
      </w:r>
      <w:r>
        <w:rPr>
          <w:rFonts w:eastAsia="Calibri"/>
        </w:rPr>
        <w:t>ed</w:t>
      </w:r>
      <w:r w:rsidRPr="00B05B2D">
        <w:rPr>
          <w:rFonts w:eastAsia="Calibri"/>
        </w:rPr>
        <w:t xml:space="preserve"> the outcome of the compositional and </w:t>
      </w:r>
      <w:proofErr w:type="spellStart"/>
      <w:r w:rsidRPr="00B05B2D">
        <w:rPr>
          <w:rFonts w:eastAsia="Calibri"/>
        </w:rPr>
        <w:t>bioinformatic</w:t>
      </w:r>
      <w:proofErr w:type="spellEnd"/>
      <w:r w:rsidRPr="00B05B2D">
        <w:rPr>
          <w:rFonts w:eastAsia="Calibri"/>
        </w:rPr>
        <w:t xml:space="preserve"> analysis. No hazard was identified in the submitted studies. </w:t>
      </w:r>
      <w:r w:rsidR="005C1251">
        <w:rPr>
          <w:rFonts w:eastAsia="Calibri"/>
        </w:rPr>
        <w:t>The Preparation</w:t>
      </w:r>
      <w:r w:rsidRPr="00B05B2D">
        <w:rPr>
          <w:rFonts w:eastAsia="Calibri"/>
        </w:rPr>
        <w:t xml:space="preserve"> was not genotoxic </w:t>
      </w:r>
      <w:r w:rsidRPr="00A02BD3">
        <w:rPr>
          <w:rFonts w:eastAsia="Calibri"/>
          <w:i/>
        </w:rPr>
        <w:t>in vitro</w:t>
      </w:r>
      <w:r w:rsidRPr="00B05B2D">
        <w:rPr>
          <w:rFonts w:eastAsia="Calibri"/>
        </w:rPr>
        <w:t xml:space="preserve"> and did not cause adverse effects in short-term toxicity studies in rats.</w:t>
      </w:r>
      <w:r>
        <w:rPr>
          <w:rFonts w:eastAsia="Calibri"/>
        </w:rPr>
        <w:t xml:space="preserve"> </w:t>
      </w:r>
    </w:p>
    <w:p w14:paraId="60CA2E85" w14:textId="31A1D98C" w:rsidR="002D244C" w:rsidRPr="008062C9" w:rsidRDefault="00613871" w:rsidP="00FF61AD">
      <w:pPr>
        <w:pStyle w:val="ListParagraph"/>
        <w:widowControl/>
        <w:numPr>
          <w:ilvl w:val="0"/>
          <w:numId w:val="14"/>
        </w:numPr>
        <w:rPr>
          <w:rFonts w:eastAsia="Calibri"/>
        </w:rPr>
      </w:pPr>
      <w:r>
        <w:t xml:space="preserve">Haem iron from soy leghemoglobin is </w:t>
      </w:r>
      <w:r w:rsidR="00B2250B">
        <w:t xml:space="preserve">expected </w:t>
      </w:r>
      <w:r>
        <w:t xml:space="preserve">to have similar bioavailability to haem iron </w:t>
      </w:r>
      <w:r>
        <w:rPr>
          <w:rFonts w:cs="Arial"/>
        </w:rPr>
        <w:t>from mammalian haem proteins (e.g. myoglobin present in muscle tissue)</w:t>
      </w:r>
      <w:r w:rsidR="00DC544A">
        <w:rPr>
          <w:rFonts w:cs="Arial"/>
        </w:rPr>
        <w:t xml:space="preserve"> </w:t>
      </w:r>
      <w:r w:rsidR="00B2250B">
        <w:rPr>
          <w:rFonts w:cs="Arial"/>
        </w:rPr>
        <w:t xml:space="preserve"> based on </w:t>
      </w:r>
      <w:r w:rsidR="003C02EA">
        <w:rPr>
          <w:rFonts w:cs="Arial"/>
        </w:rPr>
        <w:t>the available data</w:t>
      </w:r>
      <w:r w:rsidR="006A1D2E">
        <w:rPr>
          <w:rFonts w:cs="Arial"/>
        </w:rPr>
        <w:t xml:space="preserve">. Soy leghemoglobin has similar structural and physicochemical properties to animal </w:t>
      </w:r>
      <w:proofErr w:type="spellStart"/>
      <w:r w:rsidR="006A1D2E">
        <w:rPr>
          <w:rFonts w:cs="Arial"/>
        </w:rPr>
        <w:t>myoglobins</w:t>
      </w:r>
      <w:proofErr w:type="spellEnd"/>
      <w:r w:rsidR="006A1D2E">
        <w:rPr>
          <w:rFonts w:cs="Arial"/>
        </w:rPr>
        <w:t>, and s</w:t>
      </w:r>
      <w:r w:rsidR="007E034A">
        <w:rPr>
          <w:rFonts w:cs="Arial"/>
        </w:rPr>
        <w:t>oy leghemo</w:t>
      </w:r>
      <w:r w:rsidR="006A1D2E" w:rsidRPr="00FC2AB9">
        <w:rPr>
          <w:rFonts w:cs="Arial"/>
        </w:rPr>
        <w:t xml:space="preserve">globin is completely digested by pepsin thus making the haem group freely available for absorption. </w:t>
      </w:r>
      <w:r w:rsidR="006A1D2E">
        <w:t>H</w:t>
      </w:r>
      <w:r w:rsidR="006A1D2E" w:rsidRPr="00FC2AB9">
        <w:t>owever</w:t>
      </w:r>
      <w:r w:rsidR="006A1D2E">
        <w:t>,</w:t>
      </w:r>
      <w:r w:rsidR="006A1D2E" w:rsidRPr="00FC2AB9">
        <w:t xml:space="preserve"> in the absence of </w:t>
      </w:r>
      <w:r w:rsidR="006A1D2E" w:rsidRPr="00782C8C">
        <w:rPr>
          <w:i/>
        </w:rPr>
        <w:t>in vivo</w:t>
      </w:r>
      <w:r w:rsidR="006A1D2E" w:rsidRPr="00FC2AB9">
        <w:t xml:space="preserve"> studies</w:t>
      </w:r>
      <w:r w:rsidR="006A1D2E">
        <w:t>,</w:t>
      </w:r>
      <w:r w:rsidR="006A1D2E" w:rsidRPr="00FC2AB9">
        <w:t xml:space="preserve"> a quantitative comparison of haem iron bioavailability from soy </w:t>
      </w:r>
      <w:proofErr w:type="spellStart"/>
      <w:r w:rsidR="006A1D2E" w:rsidRPr="00FC2AB9">
        <w:t>legehemoglobin</w:t>
      </w:r>
      <w:proofErr w:type="spellEnd"/>
      <w:r w:rsidR="006A1D2E" w:rsidRPr="00FC2AB9">
        <w:t xml:space="preserve"> and other haem proteins is not possible</w:t>
      </w:r>
      <w:r w:rsidR="006A1D2E">
        <w:t>.</w:t>
      </w:r>
      <w:r w:rsidR="003C02EA">
        <w:rPr>
          <w:rFonts w:cs="Arial"/>
        </w:rPr>
        <w:t xml:space="preserve"> </w:t>
      </w:r>
    </w:p>
    <w:p w14:paraId="364F596F" w14:textId="4BD5B694" w:rsidR="00613871" w:rsidRPr="00BD65AC" w:rsidRDefault="0081760E" w:rsidP="00FF61AD">
      <w:pPr>
        <w:pStyle w:val="ListParagraph"/>
        <w:widowControl/>
        <w:numPr>
          <w:ilvl w:val="0"/>
          <w:numId w:val="14"/>
        </w:numPr>
        <w:rPr>
          <w:rFonts w:eastAsia="Calibri"/>
        </w:rPr>
      </w:pPr>
      <w:r w:rsidRPr="00CD1411">
        <w:t>The absence of meat proteins in the proposed meat analogue products may decrease the bioavailability of haem iron from soy leghemoglobin.</w:t>
      </w:r>
      <w:r>
        <w:t xml:space="preserve"> However, because i</w:t>
      </w:r>
      <w:r w:rsidRPr="00B237C9">
        <w:rPr>
          <w:rFonts w:cs="Arial"/>
        </w:rPr>
        <w:t>ron absorption is regulated</w:t>
      </w:r>
      <w:r>
        <w:rPr>
          <w:rFonts w:cs="Arial"/>
        </w:rPr>
        <w:t xml:space="preserve"> tightly</w:t>
      </w:r>
      <w:r w:rsidRPr="00B237C9">
        <w:rPr>
          <w:rFonts w:cs="Arial"/>
        </w:rPr>
        <w:t xml:space="preserve"> by the body</w:t>
      </w:r>
      <w:r>
        <w:rPr>
          <w:rFonts w:cs="Arial"/>
        </w:rPr>
        <w:t xml:space="preserve"> (</w:t>
      </w:r>
      <w:r w:rsidRPr="00B237C9">
        <w:rPr>
          <w:rFonts w:cs="Arial"/>
        </w:rPr>
        <w:t xml:space="preserve">increasing in </w:t>
      </w:r>
      <w:r>
        <w:rPr>
          <w:rFonts w:cs="Arial"/>
        </w:rPr>
        <w:t xml:space="preserve">iron-deficient </w:t>
      </w:r>
      <w:r w:rsidRPr="00B237C9">
        <w:rPr>
          <w:rFonts w:cs="Arial"/>
        </w:rPr>
        <w:t>individuals and decreasing in cases of iron overload</w:t>
      </w:r>
      <w:r>
        <w:rPr>
          <w:rFonts w:cs="Arial"/>
        </w:rPr>
        <w:t>), and</w:t>
      </w:r>
      <w:r>
        <w:t xml:space="preserve"> meat analogue products have higher total iron content due to higher content of non-haem iron relative to comparison meat products, any decrease in haem iron bioavailability should not result in a nutritional disadvantage to consumers in Australia and New Zealand. </w:t>
      </w:r>
    </w:p>
    <w:p w14:paraId="1D26C2B4" w14:textId="3980C2DD" w:rsidR="00613871" w:rsidRPr="008A62C2" w:rsidRDefault="00613871" w:rsidP="00FF61AD">
      <w:pPr>
        <w:pStyle w:val="ListParagraph"/>
        <w:widowControl/>
        <w:numPr>
          <w:ilvl w:val="0"/>
          <w:numId w:val="14"/>
        </w:numPr>
        <w:rPr>
          <w:rFonts w:eastAsia="Calibri"/>
          <w:szCs w:val="22"/>
          <w:lang w:bidi="ar-SA"/>
        </w:rPr>
      </w:pPr>
      <w:r w:rsidRPr="008A62C2">
        <w:rPr>
          <w:rFonts w:eastAsia="Calibri"/>
          <w:szCs w:val="22"/>
          <w:lang w:bidi="ar-SA"/>
        </w:rPr>
        <w:t xml:space="preserve">Based on a conservative dietary intake assessment that likely overestimated dietary intakes </w:t>
      </w:r>
      <w:r w:rsidR="00C6646A">
        <w:rPr>
          <w:rFonts w:eastAsia="Calibri"/>
          <w:szCs w:val="22"/>
          <w:lang w:bidi="ar-SA"/>
        </w:rPr>
        <w:t>of</w:t>
      </w:r>
      <w:r w:rsidR="00C6646A" w:rsidRPr="008A62C2">
        <w:rPr>
          <w:rFonts w:eastAsia="Calibri"/>
          <w:szCs w:val="22"/>
          <w:lang w:bidi="ar-SA"/>
        </w:rPr>
        <w:t xml:space="preserve"> </w:t>
      </w:r>
      <w:r w:rsidR="005C1251">
        <w:rPr>
          <w:rFonts w:eastAsia="Calibri"/>
          <w:szCs w:val="22"/>
          <w:lang w:bidi="ar-SA"/>
        </w:rPr>
        <w:t xml:space="preserve">the </w:t>
      </w:r>
      <w:r w:rsidR="00C146FF">
        <w:rPr>
          <w:rFonts w:eastAsia="Calibri"/>
          <w:szCs w:val="22"/>
          <w:lang w:bidi="ar-SA"/>
        </w:rPr>
        <w:t>Preparation</w:t>
      </w:r>
      <w:r w:rsidRPr="008A62C2">
        <w:rPr>
          <w:rFonts w:eastAsia="Calibri"/>
          <w:szCs w:val="22"/>
          <w:lang w:bidi="ar-SA"/>
        </w:rPr>
        <w:t xml:space="preserve"> and iron, Australian and New Zealand consumers will not exceed the upper level of intake (UL) for iron.</w:t>
      </w:r>
    </w:p>
    <w:p w14:paraId="1C6DAA4A" w14:textId="012ACA18" w:rsidR="00613871" w:rsidRDefault="00613871" w:rsidP="006E51EF">
      <w:pPr>
        <w:pStyle w:val="FSBullet1"/>
        <w:numPr>
          <w:ilvl w:val="0"/>
          <w:numId w:val="0"/>
        </w:numPr>
      </w:pPr>
    </w:p>
    <w:p w14:paraId="78474077" w14:textId="0840AA73" w:rsidR="003B417C" w:rsidRDefault="00AF7ACB" w:rsidP="006E51EF">
      <w:pPr>
        <w:widowControl/>
        <w:rPr>
          <w:lang w:val="en-AU"/>
        </w:rPr>
      </w:pPr>
      <w:r>
        <w:rPr>
          <w:noProof/>
          <w:lang w:eastAsia="en-GB" w:bidi="ar-SA"/>
        </w:rPr>
        <w:lastRenderedPageBreak/>
        <mc:AlternateContent>
          <mc:Choice Requires="wps">
            <w:drawing>
              <wp:anchor distT="45720" distB="45720" distL="114300" distR="114300" simplePos="0" relativeHeight="251659776" behindDoc="0" locked="0" layoutInCell="1" allowOverlap="1" wp14:anchorId="269E6C23" wp14:editId="22F6980B">
                <wp:simplePos x="0" y="0"/>
                <wp:positionH relativeFrom="margin">
                  <wp:posOffset>34290</wp:posOffset>
                </wp:positionH>
                <wp:positionV relativeFrom="paragraph">
                  <wp:posOffset>34290</wp:posOffset>
                </wp:positionV>
                <wp:extent cx="1854200" cy="185547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855470"/>
                        </a:xfrm>
                        <a:prstGeom prst="rect">
                          <a:avLst/>
                        </a:prstGeom>
                        <a:solidFill>
                          <a:srgbClr val="FFFFFF"/>
                        </a:solidFill>
                        <a:ln w="9525">
                          <a:solidFill>
                            <a:srgbClr val="000000"/>
                          </a:solidFill>
                          <a:miter lim="800000"/>
                          <a:headEnd/>
                          <a:tailEnd/>
                        </a:ln>
                      </wps:spPr>
                      <wps:txbx>
                        <w:txbxContent>
                          <w:p w14:paraId="6A45884F" w14:textId="37737F97" w:rsidR="001323E6" w:rsidRDefault="001323E6" w:rsidP="00AF7ACB">
                            <w:pPr>
                              <w:widowControl/>
                              <w:rPr>
                                <w:lang w:val="en-AU"/>
                              </w:rPr>
                            </w:pPr>
                            <w:r>
                              <w:t>Since 2016, t</w:t>
                            </w:r>
                            <w:r>
                              <w:rPr>
                                <w:lang w:val="en-AU"/>
                              </w:rPr>
                              <w:t>he Preparation has had a history of safe use in Impossible meat analogue</w:t>
                            </w:r>
                            <w:r w:rsidRPr="006C443F">
                              <w:rPr>
                                <w:lang w:val="en-AU"/>
                              </w:rPr>
                              <w:t xml:space="preserve"> products</w:t>
                            </w:r>
                            <w:r>
                              <w:rPr>
                                <w:lang w:val="en-AU"/>
                              </w:rPr>
                              <w:t xml:space="preserve"> in other countries, and is currently sold </w:t>
                            </w:r>
                            <w:r w:rsidRPr="00155A0E">
                              <w:rPr>
                                <w:lang w:val="en-AU"/>
                              </w:rPr>
                              <w:t xml:space="preserve">in the United </w:t>
                            </w:r>
                            <w:r>
                              <w:rPr>
                                <w:lang w:val="en-AU"/>
                              </w:rPr>
                              <w:t>States (US), Canada, Singapore, Hong Kong and Macau.</w:t>
                            </w:r>
                          </w:p>
                          <w:p w14:paraId="088B3A2F" w14:textId="77777777" w:rsidR="001323E6" w:rsidRDefault="001323E6" w:rsidP="003B417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9E6C23" id="_x0000_s1028" type="#_x0000_t202" style="position:absolute;margin-left:2.7pt;margin-top:2.7pt;width:146pt;height:146.1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">
                <v:textbox>
                  <w:txbxContent>
                    <w:p w14:paraId="6A45884F" w14:textId="37737F97" w:rsidR="001323E6" w:rsidRDefault="001323E6" w:rsidP="00AF7ACB">
                      <w:pPr>
                        <w:widowControl/>
                        <w:rPr>
                          <w:lang w:val="en-AU"/>
                        </w:rPr>
                      </w:pPr>
                      <w:r>
                        <w:t>Since 2016, t</w:t>
                      </w:r>
                      <w:r>
                        <w:rPr>
                          <w:lang w:val="en-AU"/>
                        </w:rPr>
                        <w:t>he Preparation has had a history of safe use in Impossible meat analogue</w:t>
                      </w:r>
                      <w:r w:rsidRPr="006C443F">
                        <w:rPr>
                          <w:lang w:val="en-AU"/>
                        </w:rPr>
                        <w:t xml:space="preserve"> products</w:t>
                      </w:r>
                      <w:r>
                        <w:rPr>
                          <w:lang w:val="en-AU"/>
                        </w:rPr>
                        <w:t xml:space="preserve"> in other countries, and is currently sold </w:t>
                      </w:r>
                      <w:r w:rsidRPr="00155A0E">
                        <w:rPr>
                          <w:lang w:val="en-AU"/>
                        </w:rPr>
                        <w:t xml:space="preserve">in the United </w:t>
                      </w:r>
                      <w:r>
                        <w:rPr>
                          <w:lang w:val="en-AU"/>
                        </w:rPr>
                        <w:t>States (US), Canada, Singapore, Hong Kong and Macau.</w:t>
                      </w:r>
                    </w:p>
                    <w:p w14:paraId="088B3A2F" w14:textId="77777777" w:rsidR="001323E6" w:rsidRDefault="001323E6" w:rsidP="003B417C"/>
                  </w:txbxContent>
                </v:textbox>
                <w10:wrap type="square" anchorx="margin"/>
              </v:shape>
            </w:pict>
          </mc:Fallback>
        </mc:AlternateContent>
      </w:r>
      <w:r w:rsidR="00264E3C">
        <w:rPr>
          <w:lang w:val="en-AU"/>
        </w:rPr>
        <w:t xml:space="preserve">The proposed permissions support greater international consistency and trade opportunities, as soy leghemoglobin in the Preparation is currently permitted for use in </w:t>
      </w:r>
      <w:r w:rsidR="009817DE">
        <w:rPr>
          <w:lang w:val="en-AU"/>
        </w:rPr>
        <w:t>the applicant’s Impossible</w:t>
      </w:r>
      <w:r w:rsidR="005D098B">
        <w:rPr>
          <w:lang w:val="en-AU"/>
        </w:rPr>
        <w:t xml:space="preserve"> </w:t>
      </w:r>
      <w:r w:rsidR="00264E3C">
        <w:rPr>
          <w:lang w:val="en-AU"/>
        </w:rPr>
        <w:t>meat analogue product in overseas markets.</w:t>
      </w:r>
      <w:r w:rsidR="003B417C">
        <w:rPr>
          <w:lang w:val="en-AU"/>
        </w:rPr>
        <w:t xml:space="preserve"> </w:t>
      </w:r>
    </w:p>
    <w:p w14:paraId="7849D96F" w14:textId="6A185DA2" w:rsidR="003B417C" w:rsidRDefault="003B417C" w:rsidP="006E51EF">
      <w:pPr>
        <w:widowControl/>
        <w:rPr>
          <w:lang w:val="en-AU"/>
        </w:rPr>
      </w:pPr>
    </w:p>
    <w:p w14:paraId="61BF0730" w14:textId="6B4EDBB8" w:rsidR="003B417C" w:rsidRPr="00ED4CAE" w:rsidRDefault="003B417C" w:rsidP="005D098B">
      <w:pPr>
        <w:widowControl/>
        <w:ind w:left="3175"/>
      </w:pPr>
      <w:r>
        <w:t>P</w:t>
      </w:r>
      <w:r w:rsidRPr="00ED4CAE">
        <w:t>ost-marketing surveillance</w:t>
      </w:r>
      <w:r>
        <w:t xml:space="preserve"> data provided by international regulatory partners has not identified any confirmed adverse events following consumption of meat analogue products containing the Preparation. This is consistent with data provided by the applicant and the outcomes of FSANZ’s safety assessment.</w:t>
      </w:r>
      <w:r w:rsidRPr="003B417C">
        <w:rPr>
          <w:noProof/>
          <w:lang w:eastAsia="en-GB" w:bidi="ar-SA"/>
        </w:rPr>
        <w:t xml:space="preserve"> </w:t>
      </w:r>
    </w:p>
    <w:p w14:paraId="3933B868" w14:textId="4B5010D0" w:rsidR="008245D4" w:rsidRPr="008245D4" w:rsidRDefault="008D7F54" w:rsidP="008245D4">
      <w:pPr>
        <w:rPr>
          <w:lang w:bidi="ar-SA"/>
        </w:rPr>
      </w:pPr>
      <w:r>
        <w:rPr>
          <w:noProof/>
          <w:lang w:eastAsia="en-GB" w:bidi="ar-SA"/>
        </w:rPr>
        <mc:AlternateContent>
          <mc:Choice Requires="wps">
            <w:drawing>
              <wp:anchor distT="45720" distB="45720" distL="114300" distR="114300" simplePos="0" relativeHeight="251657728" behindDoc="0" locked="0" layoutInCell="1" allowOverlap="1" wp14:anchorId="69C13390" wp14:editId="06D4CBDB">
                <wp:simplePos x="0" y="0"/>
                <wp:positionH relativeFrom="margin">
                  <wp:posOffset>3401060</wp:posOffset>
                </wp:positionH>
                <wp:positionV relativeFrom="paragraph">
                  <wp:posOffset>78740</wp:posOffset>
                </wp:positionV>
                <wp:extent cx="2317750" cy="1590040"/>
                <wp:effectExtent l="0" t="0" r="25400"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590040"/>
                        </a:xfrm>
                        <a:prstGeom prst="rect">
                          <a:avLst/>
                        </a:prstGeom>
                        <a:solidFill>
                          <a:srgbClr val="FFFFFF"/>
                        </a:solidFill>
                        <a:ln w="9525">
                          <a:solidFill>
                            <a:srgbClr val="000000"/>
                          </a:solidFill>
                          <a:miter lim="800000"/>
                          <a:headEnd/>
                          <a:tailEnd/>
                        </a:ln>
                      </wps:spPr>
                      <wps:txbx>
                        <w:txbxContent>
                          <w:p w14:paraId="7695F201" w14:textId="203A931C" w:rsidR="001323E6" w:rsidRPr="00284E07" w:rsidRDefault="001323E6" w:rsidP="005D098B">
                            <w:r>
                              <w:rPr>
                                <w:lang w:val="en-AU"/>
                              </w:rPr>
                              <w:t>The permissions concerned provide</w:t>
                            </w:r>
                            <w:r w:rsidRPr="008D7F54">
                              <w:rPr>
                                <w:lang w:val="en-AU"/>
                              </w:rPr>
                              <w:t xml:space="preserve"> for use of soy leghemoglobin as an alternative iron source in meat analogue products </w:t>
                            </w:r>
                            <w:r>
                              <w:rPr>
                                <w:lang w:val="en-AU"/>
                              </w:rPr>
                              <w:t>to consumers wishing to reduce or eliminate their intake of meat, and promotes an innovative and competitive food industry in Australia and New Zealand.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C13390" id="_x0000_s1029" type="#_x0000_t202" style="position:absolute;margin-left:267.8pt;margin-top:6.2pt;width:182.5pt;height:125.2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i0KAIAAE4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">
                <v:textbox>
                  <w:txbxContent>
                    <w:p w14:paraId="7695F201" w14:textId="203A931C" w:rsidR="001323E6" w:rsidRPr="00284E07" w:rsidRDefault="001323E6" w:rsidP="005D098B">
                      <w:r>
                        <w:rPr>
                          <w:lang w:val="en-AU"/>
                        </w:rPr>
                        <w:t>The permissions concerned provide</w:t>
                      </w:r>
                      <w:r w:rsidRPr="008D7F54">
                        <w:rPr>
                          <w:lang w:val="en-AU"/>
                        </w:rPr>
                        <w:t xml:space="preserve"> for use of soy leghemoglobin as an alternative iron source in meat analogue products </w:t>
                      </w:r>
                      <w:r>
                        <w:rPr>
                          <w:lang w:val="en-AU"/>
                        </w:rPr>
                        <w:t>to consumers wishing to reduce or eliminate their intake of meat, and promotes an innovative and competitive food industry in Australia and New Zealand.</w:t>
                      </w:r>
                    </w:p>
                  </w:txbxContent>
                </v:textbox>
                <w10:wrap type="square" anchorx="margin"/>
              </v:shape>
            </w:pict>
          </mc:Fallback>
        </mc:AlternateContent>
      </w:r>
    </w:p>
    <w:p w14:paraId="2F43B1D7" w14:textId="396A316B" w:rsidR="00613871" w:rsidRDefault="005C1251" w:rsidP="006E51EF">
      <w:pPr>
        <w:pStyle w:val="FSBullet1"/>
        <w:numPr>
          <w:ilvl w:val="0"/>
          <w:numId w:val="0"/>
        </w:numPr>
      </w:pPr>
      <w:r>
        <w:t>Having considered all submissions, and weighing all aspects of the assessment against the statutory requirements</w:t>
      </w:r>
      <w:r w:rsidR="004A24F7">
        <w:t>,</w:t>
      </w:r>
      <w:r>
        <w:t xml:space="preserve"> including relevant ministerial policy guidelines, FSANZ approved t</w:t>
      </w:r>
      <w:r w:rsidR="00264E3C">
        <w:t>he draft variation to the Code.</w:t>
      </w:r>
    </w:p>
    <w:p w14:paraId="76169122" w14:textId="68F669A3" w:rsidR="00264E3C" w:rsidRPr="00264E3C" w:rsidRDefault="00264E3C" w:rsidP="006E51EF">
      <w:pPr>
        <w:widowControl/>
        <w:rPr>
          <w:lang w:bidi="ar-SA"/>
        </w:rPr>
      </w:pPr>
    </w:p>
    <w:p w14:paraId="143F9864" w14:textId="31C15BF4" w:rsidR="00C836FF" w:rsidRDefault="00C836FF" w:rsidP="00CF3C94">
      <w:pPr>
        <w:widowControl/>
      </w:pPr>
      <w:r>
        <w:br w:type="page"/>
      </w:r>
    </w:p>
    <w:p w14:paraId="66C5FAE9" w14:textId="77777777" w:rsidR="007A53BF" w:rsidRPr="007A53BF" w:rsidRDefault="007A53BF" w:rsidP="006E51EF">
      <w:pPr>
        <w:pStyle w:val="Heading1"/>
        <w:widowControl/>
      </w:pPr>
      <w:bookmarkStart w:id="11" w:name="_Toc300933417"/>
      <w:bookmarkStart w:id="12" w:name="_Toc370223464"/>
      <w:bookmarkStart w:id="13" w:name="_Toc53406091"/>
      <w:bookmarkStart w:id="14" w:name="_Toc53484601"/>
      <w:bookmarkStart w:id="15" w:name="_Toc58840784"/>
      <w:r w:rsidRPr="007A53BF">
        <w:lastRenderedPageBreak/>
        <w:t>1</w:t>
      </w:r>
      <w:r w:rsidRPr="007A53BF">
        <w:tab/>
        <w:t>Introduction</w:t>
      </w:r>
      <w:bookmarkEnd w:id="11"/>
      <w:bookmarkEnd w:id="12"/>
      <w:bookmarkEnd w:id="13"/>
      <w:bookmarkEnd w:id="14"/>
      <w:bookmarkEnd w:id="15"/>
    </w:p>
    <w:p w14:paraId="54379A87" w14:textId="7E8FD8EE" w:rsidR="007A53BF" w:rsidRPr="00A53250" w:rsidRDefault="007A53BF" w:rsidP="006E51EF">
      <w:pPr>
        <w:pStyle w:val="Heading2"/>
        <w:widowControl/>
      </w:pPr>
      <w:bookmarkStart w:id="16" w:name="_Toc300761890"/>
      <w:bookmarkStart w:id="17" w:name="_Toc300933419"/>
      <w:bookmarkStart w:id="18" w:name="_Toc370223465"/>
      <w:bookmarkStart w:id="19" w:name="_Toc53406092"/>
      <w:bookmarkStart w:id="20" w:name="_Toc53484602"/>
      <w:bookmarkStart w:id="21" w:name="_Toc58840785"/>
      <w:r w:rsidRPr="007A53BF">
        <w:t>1.1</w:t>
      </w:r>
      <w:r w:rsidRPr="007A53BF">
        <w:tab/>
        <w:t xml:space="preserve">The </w:t>
      </w:r>
      <w:r w:rsidRPr="00A53250">
        <w:t>Applicant</w:t>
      </w:r>
      <w:bookmarkEnd w:id="16"/>
      <w:bookmarkEnd w:id="17"/>
      <w:bookmarkEnd w:id="18"/>
      <w:bookmarkEnd w:id="19"/>
      <w:bookmarkEnd w:id="20"/>
      <w:bookmarkEnd w:id="21"/>
    </w:p>
    <w:p w14:paraId="6F5E471F" w14:textId="3CF21E62" w:rsidR="00EF3067" w:rsidRDefault="00EF3067" w:rsidP="006E51EF">
      <w:pPr>
        <w:widowControl/>
        <w:rPr>
          <w:b/>
          <w:bCs/>
          <w:lang w:val="en-AU"/>
        </w:rPr>
      </w:pPr>
      <w:bookmarkStart w:id="22" w:name="_Toc300761891"/>
      <w:bookmarkStart w:id="23" w:name="_Toc300933420"/>
      <w:bookmarkStart w:id="24" w:name="_Toc370223466"/>
      <w:r w:rsidRPr="00A53250">
        <w:rPr>
          <w:lang w:val="en-AU"/>
        </w:rPr>
        <w:t xml:space="preserve">Impossible Foods Inc. </w:t>
      </w:r>
      <w:r>
        <w:rPr>
          <w:lang w:val="en-AU"/>
        </w:rPr>
        <w:t>was founded</w:t>
      </w:r>
      <w:r w:rsidRPr="001D02CB">
        <w:rPr>
          <w:lang w:val="en-AU"/>
        </w:rPr>
        <w:t xml:space="preserve"> in 2011 </w:t>
      </w:r>
      <w:r>
        <w:rPr>
          <w:lang w:val="en-AU"/>
        </w:rPr>
        <w:t xml:space="preserve">in the United States (US) </w:t>
      </w:r>
      <w:r w:rsidRPr="001D02CB">
        <w:rPr>
          <w:lang w:val="en-AU"/>
        </w:rPr>
        <w:t>with the goal of producing sustainable plant-b</w:t>
      </w:r>
      <w:r>
        <w:rPr>
          <w:lang w:val="en-AU"/>
        </w:rPr>
        <w:t>ased alternatives to meat, fish and dairy foods.</w:t>
      </w:r>
      <w:r w:rsidRPr="001D02CB">
        <w:rPr>
          <w:lang w:val="en-AU"/>
        </w:rPr>
        <w:t xml:space="preserve"> The first </w:t>
      </w:r>
      <w:r w:rsidR="00576069">
        <w:rPr>
          <w:lang w:val="en-AU"/>
        </w:rPr>
        <w:t xml:space="preserve">meat analogue </w:t>
      </w:r>
      <w:r w:rsidRPr="001D02CB">
        <w:rPr>
          <w:lang w:val="en-AU"/>
        </w:rPr>
        <w:t>product to be commercialised by the company was t</w:t>
      </w:r>
      <w:r>
        <w:rPr>
          <w:lang w:val="en-AU"/>
        </w:rPr>
        <w:t>he Impossible</w:t>
      </w:r>
      <w:r w:rsidRPr="001D02CB">
        <w:rPr>
          <w:lang w:val="en-AU"/>
        </w:rPr>
        <w:t xml:space="preserve"> </w:t>
      </w:r>
      <w:r w:rsidR="00594B6A">
        <w:rPr>
          <w:lang w:val="en-AU"/>
        </w:rPr>
        <w:t>B</w:t>
      </w:r>
      <w:r w:rsidR="00480880" w:rsidRPr="001D02CB">
        <w:rPr>
          <w:lang w:val="en-AU"/>
        </w:rPr>
        <w:t>urger</w:t>
      </w:r>
      <w:r w:rsidR="00480880">
        <w:rPr>
          <w:lang w:val="en-AU"/>
        </w:rPr>
        <w:t xml:space="preserve"> </w:t>
      </w:r>
      <w:r>
        <w:rPr>
          <w:lang w:val="en-AU"/>
        </w:rPr>
        <w:t>in 2016.</w:t>
      </w:r>
    </w:p>
    <w:p w14:paraId="74F19653" w14:textId="259A2EDA" w:rsidR="007A53BF" w:rsidRPr="007A53BF" w:rsidRDefault="007A53BF" w:rsidP="006E51EF">
      <w:pPr>
        <w:pStyle w:val="Heading2"/>
        <w:widowControl/>
      </w:pPr>
      <w:bookmarkStart w:id="25" w:name="_Toc53406093"/>
      <w:bookmarkStart w:id="26" w:name="_Toc53484603"/>
      <w:bookmarkStart w:id="27" w:name="_Toc58840786"/>
      <w:r w:rsidRPr="007A53BF">
        <w:t>1.2</w:t>
      </w:r>
      <w:r w:rsidRPr="007A53BF">
        <w:tab/>
      </w:r>
      <w:r w:rsidRPr="00A61448">
        <w:t>The Application</w:t>
      </w:r>
      <w:bookmarkEnd w:id="22"/>
      <w:bookmarkEnd w:id="23"/>
      <w:bookmarkEnd w:id="24"/>
      <w:bookmarkEnd w:id="25"/>
      <w:bookmarkEnd w:id="26"/>
      <w:bookmarkEnd w:id="27"/>
    </w:p>
    <w:p w14:paraId="17EC7442" w14:textId="43B73A38" w:rsidR="00081770" w:rsidRDefault="00EF3067" w:rsidP="006E51EF">
      <w:pPr>
        <w:widowControl/>
      </w:pPr>
      <w:bookmarkStart w:id="28" w:name="_Toc300761892"/>
      <w:bookmarkStart w:id="29" w:name="_Toc300933421"/>
      <w:bookmarkStart w:id="30" w:name="_Toc370223467"/>
      <w:r>
        <w:t>The applicant seeks to amend the Australia New Zealand Food Standards Code (the Code) to permit the voluntary use of soy leghemoglobin</w:t>
      </w:r>
      <w:r w:rsidR="00081770">
        <w:t>,</w:t>
      </w:r>
      <w:r w:rsidR="00865817">
        <w:t xml:space="preserve"> in a liquid preparation called ‘</w:t>
      </w:r>
      <w:proofErr w:type="spellStart"/>
      <w:r w:rsidR="00865817">
        <w:t>LegH</w:t>
      </w:r>
      <w:proofErr w:type="spellEnd"/>
      <w:r w:rsidR="00865817">
        <w:t xml:space="preserve"> Prep’</w:t>
      </w:r>
      <w:r w:rsidR="00081770">
        <w:t xml:space="preserve"> (the Preparation)</w:t>
      </w:r>
      <w:r w:rsidR="00081770">
        <w:rPr>
          <w:rStyle w:val="FootnoteReference"/>
        </w:rPr>
        <w:footnoteReference w:id="5"/>
      </w:r>
      <w:r w:rsidR="00081770">
        <w:t>, as a component in meat analogue products (including the Impossible</w:t>
      </w:r>
      <w:r w:rsidR="00081770" w:rsidRPr="00E8181E">
        <w:t xml:space="preserve"> Burger, meatballs, sausages, and as fillings in buns and dumplings)</w:t>
      </w:r>
      <w:r w:rsidR="00081770">
        <w:t>.</w:t>
      </w:r>
    </w:p>
    <w:p w14:paraId="3B62A008" w14:textId="77777777" w:rsidR="00081770" w:rsidRDefault="00081770" w:rsidP="006E51EF">
      <w:pPr>
        <w:widowControl/>
      </w:pPr>
    </w:p>
    <w:p w14:paraId="7B94DB87" w14:textId="10C6FD38" w:rsidR="00081770" w:rsidRPr="00081770" w:rsidRDefault="00081770" w:rsidP="006E51EF">
      <w:pPr>
        <w:widowControl/>
        <w:rPr>
          <w:lang w:val="en-AU"/>
        </w:rPr>
      </w:pPr>
      <w:r>
        <w:t>The applicant indicates the purpose of</w:t>
      </w:r>
      <w:r w:rsidRPr="001D02CB">
        <w:rPr>
          <w:lang w:val="en-AU"/>
        </w:rPr>
        <w:t xml:space="preserve"> soy leghemoglobin </w:t>
      </w:r>
      <w:r>
        <w:rPr>
          <w:lang w:val="en-AU"/>
        </w:rPr>
        <w:t>is to provide a nutritional source of iron, flavour and aroma similar to that</w:t>
      </w:r>
      <w:r w:rsidRPr="001D02CB">
        <w:rPr>
          <w:lang w:val="en-AU"/>
        </w:rPr>
        <w:t xml:space="preserve"> </w:t>
      </w:r>
      <w:r>
        <w:rPr>
          <w:lang w:val="en-AU"/>
        </w:rPr>
        <w:t>of myoglobin, a haem-containing protein found in the muscle tissue of animals (</w:t>
      </w:r>
      <w:r w:rsidRPr="009538C3">
        <w:rPr>
          <w:rFonts w:cs="Arial"/>
          <w:szCs w:val="20"/>
        </w:rPr>
        <w:t xml:space="preserve">Ordway </w:t>
      </w:r>
      <w:r>
        <w:rPr>
          <w:rFonts w:cs="Arial"/>
          <w:szCs w:val="20"/>
        </w:rPr>
        <w:t>and</w:t>
      </w:r>
      <w:r w:rsidRPr="009538C3">
        <w:rPr>
          <w:rFonts w:cs="Arial"/>
          <w:szCs w:val="20"/>
        </w:rPr>
        <w:t xml:space="preserve"> Garry 2004)</w:t>
      </w:r>
      <w:r>
        <w:rPr>
          <w:lang w:val="en-AU"/>
        </w:rPr>
        <w:t xml:space="preserve">. </w:t>
      </w:r>
      <w:r>
        <w:t>Products containing soy leghemoglobin are intended for consumption by the general population aged 2 years and older.</w:t>
      </w:r>
    </w:p>
    <w:p w14:paraId="5EFF0BE4" w14:textId="77777777" w:rsidR="00081770" w:rsidRDefault="00081770" w:rsidP="006E51EF">
      <w:pPr>
        <w:widowControl/>
      </w:pPr>
    </w:p>
    <w:p w14:paraId="3E080B19" w14:textId="114F7B03" w:rsidR="00EF3067" w:rsidRDefault="00081770" w:rsidP="006E51EF">
      <w:pPr>
        <w:widowControl/>
      </w:pPr>
      <w:r>
        <w:t xml:space="preserve">Soy leghemoglobin is a protein </w:t>
      </w:r>
      <w:r w:rsidR="00EF3067">
        <w:t xml:space="preserve">produced by </w:t>
      </w:r>
      <w:r>
        <w:t xml:space="preserve">fermentation of </w:t>
      </w:r>
      <w:r w:rsidR="00EF3067">
        <w:t xml:space="preserve">genetically modified (GM) </w:t>
      </w:r>
      <w:r w:rsidR="00EF3067" w:rsidRPr="007B2989">
        <w:t>yeast</w:t>
      </w:r>
      <w:r w:rsidR="00EF3067">
        <w:t xml:space="preserve"> </w:t>
      </w:r>
      <w:r w:rsidR="00EF3067" w:rsidRPr="002A2A78">
        <w:rPr>
          <w:i/>
        </w:rPr>
        <w:t xml:space="preserve">Pichia </w:t>
      </w:r>
      <w:r w:rsidR="00EF3067">
        <w:rPr>
          <w:i/>
        </w:rPr>
        <w:t>p</w:t>
      </w:r>
      <w:r w:rsidR="00EF3067" w:rsidRPr="002A2A78">
        <w:rPr>
          <w:i/>
        </w:rPr>
        <w:t>astoris</w:t>
      </w:r>
      <w:r w:rsidR="00DC313A">
        <w:t xml:space="preserve"> (</w:t>
      </w:r>
      <w:r w:rsidR="00DC313A">
        <w:rPr>
          <w:i/>
        </w:rPr>
        <w:t>P. pastoris</w:t>
      </w:r>
      <w:r w:rsidR="00DC313A">
        <w:t>)</w:t>
      </w:r>
      <w:r w:rsidR="00EF3067" w:rsidRPr="00E8181E">
        <w:t>.</w:t>
      </w:r>
      <w:r w:rsidR="00EF3067" w:rsidRPr="00192840">
        <w:t xml:space="preserve"> </w:t>
      </w:r>
      <w:r w:rsidR="00EF3067">
        <w:t>This yeast has been modified to express</w:t>
      </w:r>
      <w:r w:rsidR="00EF3067" w:rsidRPr="004517C5">
        <w:t xml:space="preserve"> the </w:t>
      </w:r>
      <w:r w:rsidR="00EF3067">
        <w:t>leghaemoglobin</w:t>
      </w:r>
      <w:r w:rsidR="00EF3067" w:rsidRPr="004517C5">
        <w:t xml:space="preserve"> gene from </w:t>
      </w:r>
      <w:r w:rsidR="00EF3067">
        <w:rPr>
          <w:lang w:eastAsia="en-AU" w:bidi="ar-SA"/>
        </w:rPr>
        <w:t>soybean</w:t>
      </w:r>
      <w:r w:rsidR="00EF3067" w:rsidRPr="004517C5">
        <w:rPr>
          <w:i/>
        </w:rPr>
        <w:t xml:space="preserve"> (Glycine max</w:t>
      </w:r>
      <w:r w:rsidR="00EF3067" w:rsidRPr="00017C6D">
        <w:t>)</w:t>
      </w:r>
      <w:r w:rsidR="00EF3067" w:rsidRPr="006765A6">
        <w:t xml:space="preserve"> and other host proteins </w:t>
      </w:r>
      <w:r w:rsidR="00EF3067">
        <w:t>that support the expression of leghaemoglobin</w:t>
      </w:r>
      <w:r w:rsidR="00EF3067" w:rsidRPr="004517C5">
        <w:t xml:space="preserve">. </w:t>
      </w:r>
      <w:r>
        <w:t xml:space="preserve">The Preparation </w:t>
      </w:r>
      <w:r w:rsidR="00A16AFB">
        <w:t>contains</w:t>
      </w:r>
      <w:r>
        <w:t xml:space="preserve"> the soy leghemoglobin protein</w:t>
      </w:r>
      <w:r w:rsidR="00A16AFB">
        <w:t xml:space="preserve"> </w:t>
      </w:r>
      <w:r w:rsidR="008D29BD">
        <w:t xml:space="preserve">at </w:t>
      </w:r>
      <w:r w:rsidR="00A16AFB">
        <w:t>up to 9%</w:t>
      </w:r>
      <w:r w:rsidR="005D098B">
        <w:t>,</w:t>
      </w:r>
      <w:r>
        <w:t xml:space="preserve"> </w:t>
      </w:r>
      <w:r w:rsidR="00A16AFB">
        <w:t xml:space="preserve">as well as </w:t>
      </w:r>
      <w:r>
        <w:t xml:space="preserve">some residual </w:t>
      </w:r>
      <w:r w:rsidR="00DC313A">
        <w:rPr>
          <w:i/>
        </w:rPr>
        <w:t>P.</w:t>
      </w:r>
      <w:r w:rsidR="00E94289">
        <w:rPr>
          <w:i/>
        </w:rPr>
        <w:t xml:space="preserve"> pastoris</w:t>
      </w:r>
      <w:r>
        <w:t xml:space="preserve"> proteins and genomic DNA</w:t>
      </w:r>
      <w:r w:rsidR="005D098B">
        <w:t>,</w:t>
      </w:r>
      <w:r>
        <w:t xml:space="preserve"> </w:t>
      </w:r>
      <w:r w:rsidRPr="00204C4D">
        <w:rPr>
          <w:lang w:val="en-AU"/>
        </w:rPr>
        <w:t>and added stabilisers (sodium ascorbate and sodium chloride)</w:t>
      </w:r>
      <w:r>
        <w:t>.</w:t>
      </w:r>
    </w:p>
    <w:p w14:paraId="559E8E7B" w14:textId="77777777" w:rsidR="00EF3067" w:rsidRDefault="00EF3067" w:rsidP="006E51EF">
      <w:pPr>
        <w:widowControl/>
      </w:pPr>
    </w:p>
    <w:p w14:paraId="3ECCDAB4" w14:textId="63365934" w:rsidR="00EF3067" w:rsidRDefault="00EF3067" w:rsidP="006E51EF">
      <w:pPr>
        <w:widowControl/>
        <w:rPr>
          <w:lang w:val="en-AU"/>
        </w:rPr>
      </w:pPr>
      <w:r>
        <w:rPr>
          <w:lang w:val="en-AU"/>
        </w:rPr>
        <w:t xml:space="preserve">The application sought to include soy leghemoglobin in the Code as a novel food (Schedule 25), a nutritive substance (Standard 1.3.2 and Schedule 17), and food produced using gene technology (Schedule 26). Identity and purity specifications were provided for </w:t>
      </w:r>
      <w:r w:rsidR="00865817">
        <w:rPr>
          <w:lang w:val="en-AU"/>
        </w:rPr>
        <w:t xml:space="preserve">the </w:t>
      </w:r>
      <w:r w:rsidR="00C8073A">
        <w:rPr>
          <w:lang w:val="en-AU"/>
        </w:rPr>
        <w:t>Preparation</w:t>
      </w:r>
      <w:r w:rsidR="00865817">
        <w:rPr>
          <w:lang w:val="en-AU"/>
        </w:rPr>
        <w:t xml:space="preserve"> </w:t>
      </w:r>
      <w:r>
        <w:rPr>
          <w:lang w:val="en-AU"/>
        </w:rPr>
        <w:t xml:space="preserve">(Schedule 3). </w:t>
      </w:r>
      <w:r>
        <w:t>FSANZ understands the applicant has applied for patents in Australia and New Zealand</w:t>
      </w:r>
      <w:r w:rsidR="00865817">
        <w:t>,</w:t>
      </w:r>
      <w:r>
        <w:t xml:space="preserve"> for the methods of production and specifications </w:t>
      </w:r>
      <w:r w:rsidR="00865817">
        <w:t xml:space="preserve">of </w:t>
      </w:r>
      <w:r>
        <w:t xml:space="preserve">their meat analogue products, </w:t>
      </w:r>
      <w:r w:rsidR="00865817">
        <w:t xml:space="preserve">and </w:t>
      </w:r>
      <w:r w:rsidR="00E331B8">
        <w:t>the Preparation</w:t>
      </w:r>
      <w:r>
        <w:rPr>
          <w:rStyle w:val="FootnoteReference"/>
        </w:rPr>
        <w:footnoteReference w:id="6"/>
      </w:r>
      <w:r>
        <w:t>.</w:t>
      </w:r>
    </w:p>
    <w:p w14:paraId="4D250AD5" w14:textId="52CD3975" w:rsidR="00EF3067" w:rsidRDefault="00EF3067" w:rsidP="006E51EF">
      <w:pPr>
        <w:widowControl/>
        <w:rPr>
          <w:lang w:val="en-AU"/>
        </w:rPr>
      </w:pPr>
    </w:p>
    <w:p w14:paraId="211D5B75" w14:textId="684FAB12" w:rsidR="00EF3067" w:rsidRDefault="00EF3067" w:rsidP="006E51EF">
      <w:pPr>
        <w:widowControl/>
        <w:rPr>
          <w:lang w:val="en-AU"/>
        </w:rPr>
      </w:pPr>
      <w:r>
        <w:rPr>
          <w:lang w:val="en-AU"/>
        </w:rPr>
        <w:t xml:space="preserve">The maximum proposed use level for </w:t>
      </w:r>
      <w:r w:rsidR="005246B5">
        <w:rPr>
          <w:lang w:val="en-AU"/>
        </w:rPr>
        <w:t>soy leghemoglobin</w:t>
      </w:r>
      <w:r w:rsidR="005D098B">
        <w:rPr>
          <w:lang w:val="en-AU"/>
        </w:rPr>
        <w:t xml:space="preserve"> </w:t>
      </w:r>
      <w:r>
        <w:rPr>
          <w:lang w:val="en-AU"/>
        </w:rPr>
        <w:t>is 0.8% (0.8 g/100 g) in raw product</w:t>
      </w:r>
      <w:r w:rsidR="00FF5BF5">
        <w:rPr>
          <w:lang w:val="en-AU"/>
        </w:rPr>
        <w:t xml:space="preserve"> as</w:t>
      </w:r>
      <w:r>
        <w:rPr>
          <w:lang w:val="en-AU"/>
        </w:rPr>
        <w:t xml:space="preserve"> it is the lower end of the myoglobin content of red meat (0.8–1.8%) </w:t>
      </w:r>
      <w:r w:rsidRPr="00204C4D">
        <w:rPr>
          <w:lang w:val="en-AU"/>
        </w:rPr>
        <w:t>(</w:t>
      </w:r>
      <w:r w:rsidRPr="00071983">
        <w:rPr>
          <w:lang w:val="en-AU"/>
        </w:rPr>
        <w:t>Texas A&amp;M Institute, 2019</w:t>
      </w:r>
      <w:r w:rsidRPr="003B006B">
        <w:rPr>
          <w:lang w:val="en-AU"/>
        </w:rPr>
        <w:t>)</w:t>
      </w:r>
      <w:r w:rsidR="00FF5BF5">
        <w:rPr>
          <w:lang w:val="en-AU"/>
        </w:rPr>
        <w:t xml:space="preserve">. Additionally, </w:t>
      </w:r>
      <w:r>
        <w:rPr>
          <w:lang w:val="en-AU"/>
        </w:rPr>
        <w:t xml:space="preserve">the applicant’s testing has indicated </w:t>
      </w:r>
      <w:r w:rsidR="00000905">
        <w:rPr>
          <w:lang w:val="en-AU"/>
        </w:rPr>
        <w:t xml:space="preserve">this </w:t>
      </w:r>
      <w:r>
        <w:rPr>
          <w:lang w:val="en-AU"/>
        </w:rPr>
        <w:t xml:space="preserve">is the maximum </w:t>
      </w:r>
      <w:r w:rsidR="00FF5BF5">
        <w:rPr>
          <w:lang w:val="en-AU"/>
        </w:rPr>
        <w:t>use</w:t>
      </w:r>
      <w:r>
        <w:rPr>
          <w:lang w:val="en-AU"/>
        </w:rPr>
        <w:t xml:space="preserve"> level at which meat analogue products retain palatability</w:t>
      </w:r>
      <w:r w:rsidRPr="003B006B">
        <w:rPr>
          <w:lang w:val="en-AU"/>
        </w:rPr>
        <w:t>.</w:t>
      </w:r>
      <w:r>
        <w:rPr>
          <w:lang w:val="en-AU"/>
        </w:rPr>
        <w:t xml:space="preserve"> The application indicates that </w:t>
      </w:r>
      <w:r w:rsidR="00A16AFB">
        <w:rPr>
          <w:lang w:val="en-AU"/>
        </w:rPr>
        <w:t xml:space="preserve">actual </w:t>
      </w:r>
      <w:r>
        <w:rPr>
          <w:lang w:val="en-AU"/>
        </w:rPr>
        <w:t xml:space="preserve">levels </w:t>
      </w:r>
      <w:r w:rsidR="005246B5">
        <w:rPr>
          <w:lang w:val="en-AU"/>
        </w:rPr>
        <w:t xml:space="preserve">of soy leghemoglobin </w:t>
      </w:r>
      <w:r>
        <w:rPr>
          <w:lang w:val="en-AU"/>
        </w:rPr>
        <w:t xml:space="preserve">currently used in raw beef and pork analogue products are 0.45% and 0.25% </w:t>
      </w:r>
      <w:r w:rsidR="00E94289">
        <w:rPr>
          <w:lang w:val="en-AU"/>
        </w:rPr>
        <w:t>(</w:t>
      </w:r>
      <w:r>
        <w:rPr>
          <w:lang w:val="en-AU"/>
        </w:rPr>
        <w:t>respectively</w:t>
      </w:r>
      <w:r w:rsidR="00E94289">
        <w:rPr>
          <w:lang w:val="en-AU"/>
        </w:rPr>
        <w:t>),</w:t>
      </w:r>
      <w:r>
        <w:rPr>
          <w:lang w:val="en-AU"/>
        </w:rPr>
        <w:t xml:space="preserve"> to obtain flavouring profiles similar to beef or pork meat products. </w:t>
      </w:r>
      <w:r w:rsidRPr="00293CDD">
        <w:rPr>
          <w:rFonts w:eastAsia="Calibri"/>
          <w:szCs w:val="22"/>
          <w:lang w:bidi="ar-SA"/>
        </w:rPr>
        <w:t>Maximum use levels are usually set higher than intended use levels to allow for variability from batch to batch</w:t>
      </w:r>
      <w:r>
        <w:rPr>
          <w:rFonts w:eastAsia="Calibri"/>
          <w:szCs w:val="22"/>
          <w:lang w:bidi="ar-SA"/>
        </w:rPr>
        <w:t>, and additionally a higher use level provides opportunity for product reformulation.</w:t>
      </w:r>
    </w:p>
    <w:p w14:paraId="7E4A5551" w14:textId="77777777" w:rsidR="00EF3067" w:rsidRDefault="00EF3067" w:rsidP="006E51EF">
      <w:pPr>
        <w:widowControl/>
        <w:rPr>
          <w:lang w:val="en-AU"/>
        </w:rPr>
      </w:pPr>
    </w:p>
    <w:p w14:paraId="04B7FF03" w14:textId="3ACCAE50" w:rsidR="00EF3067" w:rsidRDefault="00EF3067" w:rsidP="006E51EF">
      <w:pPr>
        <w:widowControl/>
        <w:rPr>
          <w:lang w:val="en-AU"/>
        </w:rPr>
      </w:pPr>
      <w:r>
        <w:rPr>
          <w:lang w:val="en-AU"/>
        </w:rPr>
        <w:t>The applicant initially plans to import packaged raw and frozen Impossible</w:t>
      </w:r>
      <w:r w:rsidR="00E94289">
        <w:rPr>
          <w:lang w:val="en-AU"/>
        </w:rPr>
        <w:t xml:space="preserve"> </w:t>
      </w:r>
      <w:r>
        <w:rPr>
          <w:lang w:val="en-AU"/>
        </w:rPr>
        <w:t xml:space="preserve">meat analogue products into Australia and New Zealand for sale to retail and catering </w:t>
      </w:r>
      <w:r w:rsidRPr="00204C4D">
        <w:rPr>
          <w:lang w:val="en-AU"/>
        </w:rPr>
        <w:t>outlets</w:t>
      </w:r>
      <w:r>
        <w:rPr>
          <w:lang w:val="en-AU"/>
        </w:rPr>
        <w:t>. The applicant has indicated that Australian and New Zealand co-manufacturers may be contracted in the future to produce Impossible meat analogue products</w:t>
      </w:r>
      <w:r w:rsidR="00FF5BF5">
        <w:rPr>
          <w:lang w:val="en-AU"/>
        </w:rPr>
        <w:t xml:space="preserve"> using locally sourced ingredients</w:t>
      </w:r>
      <w:r>
        <w:rPr>
          <w:lang w:val="en-AU"/>
        </w:rPr>
        <w:t xml:space="preserve">, </w:t>
      </w:r>
      <w:r>
        <w:rPr>
          <w:lang w:val="en-AU"/>
        </w:rPr>
        <w:lastRenderedPageBreak/>
        <w:t>however the</w:t>
      </w:r>
      <w:r>
        <w:rPr>
          <w:i/>
          <w:iCs/>
        </w:rPr>
        <w:t xml:space="preserve"> </w:t>
      </w:r>
      <w:r w:rsidRPr="006B52C6">
        <w:rPr>
          <w:iCs/>
        </w:rPr>
        <w:t xml:space="preserve">production of the </w:t>
      </w:r>
      <w:r w:rsidR="00FF5BF5">
        <w:rPr>
          <w:iCs/>
        </w:rPr>
        <w:t>Preparation</w:t>
      </w:r>
      <w:r w:rsidRPr="006B52C6">
        <w:rPr>
          <w:iCs/>
        </w:rPr>
        <w:t xml:space="preserve"> will </w:t>
      </w:r>
      <w:r>
        <w:rPr>
          <w:iCs/>
        </w:rPr>
        <w:t>continue</w:t>
      </w:r>
      <w:r w:rsidRPr="006B52C6">
        <w:rPr>
          <w:iCs/>
        </w:rPr>
        <w:t xml:space="preserve"> </w:t>
      </w:r>
      <w:r w:rsidR="00062BE2">
        <w:rPr>
          <w:iCs/>
        </w:rPr>
        <w:t>in an Impossible Food</w:t>
      </w:r>
      <w:r>
        <w:rPr>
          <w:iCs/>
        </w:rPr>
        <w:t>s prod</w:t>
      </w:r>
      <w:r w:rsidR="00062BE2">
        <w:rPr>
          <w:iCs/>
        </w:rPr>
        <w:t xml:space="preserve">uction facility located outside </w:t>
      </w:r>
      <w:r w:rsidRPr="006B52C6">
        <w:rPr>
          <w:iCs/>
        </w:rPr>
        <w:t>Australia and New Zealand</w:t>
      </w:r>
      <w:r>
        <w:rPr>
          <w:iCs/>
        </w:rPr>
        <w:t xml:space="preserve"> </w:t>
      </w:r>
      <w:r w:rsidRPr="006B52C6">
        <w:rPr>
          <w:iCs/>
        </w:rPr>
        <w:t>to ensure quality control</w:t>
      </w:r>
      <w:r>
        <w:rPr>
          <w:iCs/>
        </w:rPr>
        <w:t>.</w:t>
      </w:r>
    </w:p>
    <w:p w14:paraId="6F108A42" w14:textId="77777777" w:rsidR="00EF3067" w:rsidRPr="0053464E" w:rsidRDefault="00EF3067" w:rsidP="006E51EF">
      <w:pPr>
        <w:pStyle w:val="Heading2"/>
        <w:widowControl/>
      </w:pPr>
      <w:bookmarkStart w:id="31" w:name="_Toc41576645"/>
      <w:bookmarkStart w:id="32" w:name="_Toc42875208"/>
      <w:bookmarkStart w:id="33" w:name="_Toc43128113"/>
      <w:bookmarkStart w:id="34" w:name="_Toc53406094"/>
      <w:bookmarkStart w:id="35" w:name="_Toc53484604"/>
      <w:bookmarkStart w:id="36" w:name="_Toc58840787"/>
      <w:bookmarkStart w:id="37" w:name="_Toc286391007"/>
      <w:bookmarkStart w:id="38" w:name="_Toc300933423"/>
      <w:bookmarkStart w:id="39" w:name="_Toc370223468"/>
      <w:bookmarkStart w:id="40" w:name="_Toc175381432"/>
      <w:bookmarkEnd w:id="28"/>
      <w:bookmarkEnd w:id="29"/>
      <w:bookmarkEnd w:id="30"/>
      <w:r>
        <w:t>1.3</w:t>
      </w:r>
      <w:r>
        <w:tab/>
        <w:t>The c</w:t>
      </w:r>
      <w:r w:rsidRPr="0053464E">
        <w:t xml:space="preserve">urrent </w:t>
      </w:r>
      <w:r>
        <w:t>s</w:t>
      </w:r>
      <w:r w:rsidRPr="0053464E">
        <w:t>tandard</w:t>
      </w:r>
      <w:bookmarkEnd w:id="31"/>
      <w:bookmarkEnd w:id="32"/>
      <w:bookmarkEnd w:id="33"/>
      <w:bookmarkEnd w:id="34"/>
      <w:bookmarkEnd w:id="35"/>
      <w:bookmarkEnd w:id="36"/>
    </w:p>
    <w:p w14:paraId="6894FB03" w14:textId="77777777" w:rsidR="00EF3067" w:rsidRDefault="00EF3067" w:rsidP="006E51EF">
      <w:pPr>
        <w:pStyle w:val="Heading3"/>
        <w:keepNext w:val="0"/>
        <w:widowControl/>
        <w:ind w:left="0" w:firstLine="0"/>
      </w:pPr>
      <w:bookmarkStart w:id="41" w:name="_Toc26284641"/>
      <w:bookmarkStart w:id="42" w:name="_Toc26980492"/>
      <w:bookmarkStart w:id="43" w:name="_Toc41576646"/>
      <w:bookmarkStart w:id="44" w:name="_Toc42875209"/>
      <w:bookmarkStart w:id="45" w:name="_Toc43128114"/>
      <w:bookmarkStart w:id="46" w:name="_Toc53406095"/>
      <w:bookmarkStart w:id="47" w:name="_Toc53484605"/>
      <w:bookmarkStart w:id="48" w:name="_Toc58840788"/>
      <w:r>
        <w:t>1.3.1</w:t>
      </w:r>
      <w:r>
        <w:tab/>
        <w:t>Australia and New Zealand</w:t>
      </w:r>
      <w:bookmarkEnd w:id="41"/>
      <w:bookmarkEnd w:id="42"/>
      <w:bookmarkEnd w:id="43"/>
      <w:bookmarkEnd w:id="44"/>
      <w:bookmarkEnd w:id="45"/>
      <w:bookmarkEnd w:id="46"/>
      <w:bookmarkEnd w:id="47"/>
      <w:bookmarkEnd w:id="48"/>
    </w:p>
    <w:p w14:paraId="366E97CE" w14:textId="77777777" w:rsidR="00EF3067" w:rsidRDefault="00EF3067" w:rsidP="006E51EF">
      <w:pPr>
        <w:widowControl/>
      </w:pPr>
      <w:r>
        <w:t>Australian and New Zealand food laws require food for sale to comply with the following Code requirements.</w:t>
      </w:r>
    </w:p>
    <w:p w14:paraId="4BC27B06" w14:textId="77777777" w:rsidR="00EF3067" w:rsidRDefault="00EF3067" w:rsidP="006E51EF">
      <w:pPr>
        <w:pStyle w:val="Heading4"/>
        <w:widowControl/>
      </w:pPr>
      <w:r>
        <w:t>1.3.1.1</w:t>
      </w:r>
      <w:r>
        <w:tab/>
      </w:r>
      <w:r w:rsidRPr="00E31C9D">
        <w:t>Permitted use</w:t>
      </w:r>
    </w:p>
    <w:p w14:paraId="7EF67010" w14:textId="77777777" w:rsidR="00EF3067" w:rsidRPr="00780250" w:rsidRDefault="00EF3067" w:rsidP="006E51EF">
      <w:pPr>
        <w:widowControl/>
        <w:rPr>
          <w:u w:val="single"/>
        </w:rPr>
      </w:pPr>
      <w:r w:rsidRPr="00780250">
        <w:rPr>
          <w:u w:val="single"/>
        </w:rPr>
        <w:t>Used as a nutritive substance</w:t>
      </w:r>
    </w:p>
    <w:p w14:paraId="4F3622AD" w14:textId="77777777" w:rsidR="00EF3067" w:rsidRDefault="00EF3067" w:rsidP="006E51EF">
      <w:pPr>
        <w:widowControl/>
      </w:pPr>
    </w:p>
    <w:p w14:paraId="6ADD3344" w14:textId="77777777" w:rsidR="00EF3067" w:rsidRDefault="00EF3067" w:rsidP="006E51EF">
      <w:pPr>
        <w:widowControl/>
      </w:pPr>
      <w:r w:rsidRPr="00582C15">
        <w:t>Pa</w:t>
      </w:r>
      <w:r>
        <w:t xml:space="preserve">ragraph </w:t>
      </w:r>
      <w:r w:rsidRPr="001805AF">
        <w:t>1.1.1—10</w:t>
      </w:r>
      <w:r>
        <w:t>(6)(b</w:t>
      </w:r>
      <w:r w:rsidRPr="001805AF">
        <w:t>)</w:t>
      </w:r>
      <w:r>
        <w:t xml:space="preserve"> requires that, unless expressly permitted, a food for sale must not have as an ingredient or component a substance that is </w:t>
      </w:r>
      <w:r w:rsidRPr="0014740B">
        <w:rPr>
          <w:i/>
        </w:rPr>
        <w:t>used as a nutritive substance</w:t>
      </w:r>
      <w:r>
        <w:t xml:space="preserve">. According to section </w:t>
      </w:r>
      <w:r w:rsidRPr="00B35F00">
        <w:t>1.1.2—</w:t>
      </w:r>
      <w:r>
        <w:t>1</w:t>
      </w:r>
      <w:r w:rsidRPr="00B35F00">
        <w:t>2</w:t>
      </w:r>
      <w:r>
        <w:t>, a substance is used as a nutritive substance in relation to a food if:</w:t>
      </w:r>
    </w:p>
    <w:p w14:paraId="4304B189" w14:textId="77777777" w:rsidR="00EF3067" w:rsidRDefault="00EF3067" w:rsidP="006E51EF">
      <w:pPr>
        <w:widowControl/>
      </w:pPr>
    </w:p>
    <w:p w14:paraId="261BBC19" w14:textId="77777777" w:rsidR="00EF3067" w:rsidRDefault="00EF3067" w:rsidP="00FF61AD">
      <w:pPr>
        <w:pStyle w:val="ListParagraph"/>
        <w:widowControl/>
        <w:numPr>
          <w:ilvl w:val="0"/>
          <w:numId w:val="4"/>
        </w:numPr>
      </w:pPr>
      <w:r>
        <w:t>it is added to the food to achieve a nutritional purpose; and</w:t>
      </w:r>
    </w:p>
    <w:p w14:paraId="110BD111" w14:textId="77777777" w:rsidR="00EF3067" w:rsidRDefault="00EF3067" w:rsidP="00FF61AD">
      <w:pPr>
        <w:pStyle w:val="ListParagraph"/>
        <w:widowControl/>
        <w:numPr>
          <w:ilvl w:val="0"/>
          <w:numId w:val="4"/>
        </w:numPr>
      </w:pPr>
      <w:r>
        <w:t>it is either:</w:t>
      </w:r>
    </w:p>
    <w:p w14:paraId="0D6045AE" w14:textId="77777777" w:rsidR="00EF3067" w:rsidRDefault="00EF3067" w:rsidP="00FF61AD">
      <w:pPr>
        <w:pStyle w:val="ListParagraph"/>
        <w:widowControl/>
        <w:numPr>
          <w:ilvl w:val="0"/>
          <w:numId w:val="5"/>
        </w:numPr>
        <w:ind w:left="1134" w:hanging="436"/>
      </w:pPr>
      <w:r>
        <w:t>any substance identified in the Code as a substance that may be used as a nutritive substance; or</w:t>
      </w:r>
    </w:p>
    <w:p w14:paraId="415DE925" w14:textId="77777777" w:rsidR="00EF3067" w:rsidRDefault="00EF3067" w:rsidP="00FF61AD">
      <w:pPr>
        <w:pStyle w:val="ListParagraph"/>
        <w:widowControl/>
        <w:numPr>
          <w:ilvl w:val="0"/>
          <w:numId w:val="5"/>
        </w:numPr>
        <w:ind w:hanging="11"/>
      </w:pPr>
      <w:r>
        <w:t>a vitamin or mineral; or</w:t>
      </w:r>
    </w:p>
    <w:p w14:paraId="4AC60E7A" w14:textId="77777777" w:rsidR="00EF3067" w:rsidRDefault="00EF3067" w:rsidP="00FF61AD">
      <w:pPr>
        <w:pStyle w:val="ListParagraph"/>
        <w:widowControl/>
        <w:numPr>
          <w:ilvl w:val="0"/>
          <w:numId w:val="5"/>
        </w:numPr>
        <w:ind w:left="1134" w:hanging="425"/>
      </w:pPr>
      <w:r>
        <w:t xml:space="preserve">any substance that has been concentrated, refined or synthesised to achieve a nutritional purpose when added to the food (other than an </w:t>
      </w:r>
      <w:proofErr w:type="spellStart"/>
      <w:r>
        <w:t>inulin</w:t>
      </w:r>
      <w:proofErr w:type="spellEnd"/>
      <w:r>
        <w:t xml:space="preserve">-type fructan, a galacto-oligosaccharide, or a substance normally consumed as a food). </w:t>
      </w:r>
    </w:p>
    <w:p w14:paraId="2B263696" w14:textId="77777777" w:rsidR="00EF3067" w:rsidRDefault="00EF3067" w:rsidP="006E51EF">
      <w:pPr>
        <w:widowControl/>
      </w:pPr>
    </w:p>
    <w:p w14:paraId="7408F148" w14:textId="77777777" w:rsidR="00EF3067" w:rsidRDefault="00EF3067" w:rsidP="006E51EF">
      <w:pPr>
        <w:widowControl/>
      </w:pPr>
      <w:r>
        <w:t>Standard 1.3.2 provides for when a substance, such as a vitamin or mineral, may be permitted to be used as a nutritive substance in food. Section 1.3.2—3 states that a vitamin or mineral may be used as a nutritive substance in food if:</w:t>
      </w:r>
    </w:p>
    <w:p w14:paraId="161D3A5D" w14:textId="77777777" w:rsidR="00EF3067" w:rsidRDefault="00EF3067" w:rsidP="006E51EF">
      <w:pPr>
        <w:widowControl/>
      </w:pPr>
    </w:p>
    <w:p w14:paraId="7A54C824" w14:textId="77777777" w:rsidR="00EF3067" w:rsidRPr="00146A2B" w:rsidRDefault="00EF3067" w:rsidP="006E51EF">
      <w:pPr>
        <w:widowControl/>
        <w:ind w:left="1127" w:hanging="560"/>
        <w:rPr>
          <w:i/>
          <w:iCs/>
        </w:rPr>
      </w:pPr>
      <w:r w:rsidRPr="00146A2B">
        <w:rPr>
          <w:i/>
          <w:iCs/>
        </w:rPr>
        <w:t>(a)</w:t>
      </w:r>
      <w:r w:rsidRPr="00146A2B">
        <w:rPr>
          <w:i/>
          <w:iCs/>
        </w:rPr>
        <w:tab/>
        <w:t>the vitamin or mineral is in a permitted form specified in section S17—2 or section S17—3; and</w:t>
      </w:r>
    </w:p>
    <w:p w14:paraId="218EFC6C" w14:textId="77777777" w:rsidR="00EF3067" w:rsidRPr="00146A2B" w:rsidRDefault="00EF3067" w:rsidP="006E51EF">
      <w:pPr>
        <w:widowControl/>
        <w:ind w:left="1127" w:hanging="557"/>
        <w:rPr>
          <w:i/>
          <w:iCs/>
        </w:rPr>
      </w:pPr>
      <w:r w:rsidRPr="00146A2B">
        <w:rPr>
          <w:i/>
          <w:iCs/>
        </w:rPr>
        <w:t>(b)</w:t>
      </w:r>
      <w:r w:rsidRPr="00146A2B">
        <w:rPr>
          <w:i/>
          <w:iCs/>
        </w:rPr>
        <w:tab/>
        <w:t>the vitamin or mineral is listed in relation to that type of food in section S17—4; and</w:t>
      </w:r>
    </w:p>
    <w:p w14:paraId="05769215" w14:textId="77777777" w:rsidR="00EF3067" w:rsidRPr="00234253" w:rsidRDefault="00EF3067" w:rsidP="006E51EF">
      <w:pPr>
        <w:widowControl/>
        <w:ind w:left="1127" w:hanging="557"/>
        <w:rPr>
          <w:iCs/>
        </w:rPr>
      </w:pPr>
      <w:r w:rsidRPr="00146A2B">
        <w:rPr>
          <w:i/>
          <w:iCs/>
        </w:rPr>
        <w:t>(c)</w:t>
      </w:r>
      <w:r w:rsidRPr="00146A2B">
        <w:rPr>
          <w:i/>
          <w:iCs/>
        </w:rPr>
        <w:tab/>
        <w:t>the total amount of the naturally occurring and added vitamin or mineral present in a *reference quantity of the food is no more than the amount (if any) specified in relation to</w:t>
      </w:r>
      <w:r>
        <w:rPr>
          <w:i/>
          <w:iCs/>
        </w:rPr>
        <w:t xml:space="preserve"> </w:t>
      </w:r>
      <w:r w:rsidRPr="00146A2B">
        <w:rPr>
          <w:i/>
          <w:iCs/>
        </w:rPr>
        <w:t>that vitamin or mineral in section S17—4.</w:t>
      </w:r>
      <w:r>
        <w:rPr>
          <w:rStyle w:val="FootnoteReference"/>
          <w:i/>
          <w:iCs/>
        </w:rPr>
        <w:footnoteReference w:id="7"/>
      </w:r>
    </w:p>
    <w:p w14:paraId="30CED0C0" w14:textId="77777777" w:rsidR="00EF3067" w:rsidRDefault="00EF3067" w:rsidP="006E51EF">
      <w:pPr>
        <w:widowControl/>
      </w:pPr>
    </w:p>
    <w:p w14:paraId="092B142B" w14:textId="4A52F03A" w:rsidR="00EF3067" w:rsidRDefault="00EF3067" w:rsidP="006E51EF">
      <w:pPr>
        <w:widowControl/>
      </w:pPr>
      <w:r>
        <w:t xml:space="preserve">For permission to use soy </w:t>
      </w:r>
      <w:r w:rsidRPr="006842B6">
        <w:t>leghemoglobin</w:t>
      </w:r>
      <w:r>
        <w:t xml:space="preserve"> as a form of iron in meat analogue products</w:t>
      </w:r>
      <w:r w:rsidRPr="00677D29">
        <w:t xml:space="preserve"> </w:t>
      </w:r>
      <w:r>
        <w:t xml:space="preserve">to which section S17—4 applies, i.e. as a nutritive substance, then soy </w:t>
      </w:r>
      <w:r w:rsidRPr="006842B6">
        <w:t>leghemoglobin</w:t>
      </w:r>
      <w:r>
        <w:t xml:space="preserve"> will have to be listed in section S17—3 as a form of iron.</w:t>
      </w:r>
    </w:p>
    <w:p w14:paraId="54B174DC" w14:textId="77777777" w:rsidR="00EF3067" w:rsidRDefault="00EF3067" w:rsidP="006E51EF">
      <w:pPr>
        <w:widowControl/>
      </w:pPr>
    </w:p>
    <w:p w14:paraId="36DD0173" w14:textId="75C552C2" w:rsidR="00EF3067" w:rsidRDefault="00EF3067" w:rsidP="006E51EF">
      <w:pPr>
        <w:widowControl/>
      </w:pPr>
      <w:r>
        <w:t xml:space="preserve">The table to section S17—4 </w:t>
      </w:r>
      <w:r w:rsidRPr="00F50242">
        <w:t>already permit</w:t>
      </w:r>
      <w:r>
        <w:t>s</w:t>
      </w:r>
      <w:r w:rsidRPr="00F50242">
        <w:t xml:space="preserve"> addition </w:t>
      </w:r>
      <w:r>
        <w:t xml:space="preserve">of iron </w:t>
      </w:r>
      <w:r w:rsidR="00E94289">
        <w:t>to meat analogue products</w:t>
      </w:r>
      <w:r w:rsidRPr="00F50242">
        <w:t xml:space="preserve"> </w:t>
      </w:r>
      <w:r>
        <w:t>providing the</w:t>
      </w:r>
      <w:r w:rsidR="00E94289">
        <w:t xml:space="preserve"> meat analogue product </w:t>
      </w:r>
      <w:r w:rsidRPr="00F50242">
        <w:t>meet</w:t>
      </w:r>
      <w:r w:rsidR="00E94289">
        <w:t>s</w:t>
      </w:r>
      <w:r w:rsidRPr="00F50242">
        <w:t xml:space="preserve"> </w:t>
      </w:r>
      <w:r>
        <w:t>specific</w:t>
      </w:r>
      <w:r w:rsidRPr="00F50242">
        <w:t xml:space="preserve"> protein conditions</w:t>
      </w:r>
      <w:r>
        <w:t>:</w:t>
      </w:r>
      <w:r w:rsidRPr="00255BFA">
        <w:rPr>
          <w:i/>
          <w:lang w:bidi="ar-SA"/>
        </w:rPr>
        <w:t xml:space="preserve"> </w:t>
      </w:r>
      <w:r w:rsidRPr="001373DD">
        <w:rPr>
          <w:i/>
          <w:lang w:bidi="ar-SA"/>
        </w:rPr>
        <w:t>where no less than 12% of the energy value of the food is derived from protein, and the food contains 5 g protein per serve of the food</w:t>
      </w:r>
      <w:r>
        <w:rPr>
          <w:i/>
          <w:lang w:bidi="ar-SA"/>
        </w:rPr>
        <w:t>.</w:t>
      </w:r>
      <w:r>
        <w:t xml:space="preserve"> </w:t>
      </w:r>
    </w:p>
    <w:p w14:paraId="578D7756" w14:textId="77777777" w:rsidR="00EF3067" w:rsidRDefault="00EF3067" w:rsidP="006E51EF">
      <w:pPr>
        <w:widowControl/>
      </w:pPr>
    </w:p>
    <w:p w14:paraId="692800EC" w14:textId="6630E465" w:rsidR="00EF3067" w:rsidRDefault="00EF3067" w:rsidP="006E51EF">
      <w:pPr>
        <w:widowControl/>
        <w:rPr>
          <w:lang w:bidi="ar-SA"/>
        </w:rPr>
      </w:pPr>
      <w:r w:rsidRPr="006842B6">
        <w:t xml:space="preserve">Since soy leghemoglobin </w:t>
      </w:r>
      <w:r>
        <w:t>is proposed to be</w:t>
      </w:r>
      <w:r w:rsidRPr="00F50242">
        <w:t xml:space="preserve"> used as a source of i</w:t>
      </w:r>
      <w:r w:rsidR="00E94289">
        <w:t>ron, meat analogue products</w:t>
      </w:r>
      <w:r w:rsidRPr="00F50242">
        <w:t xml:space="preserve"> containing soy leghemoglobin</w:t>
      </w:r>
      <w:r>
        <w:t xml:space="preserve"> would have to</w:t>
      </w:r>
      <w:r w:rsidRPr="0089602D">
        <w:t xml:space="preserve"> meet the</w:t>
      </w:r>
      <w:r>
        <w:t>se conditions.</w:t>
      </w:r>
      <w:r>
        <w:rPr>
          <w:lang w:bidi="ar-SA"/>
        </w:rPr>
        <w:t xml:space="preserve"> </w:t>
      </w:r>
    </w:p>
    <w:p w14:paraId="3D7DA576" w14:textId="3ADCF2E4" w:rsidR="00EF3067" w:rsidRDefault="00EF3067" w:rsidP="006E51EF">
      <w:pPr>
        <w:widowControl/>
      </w:pPr>
      <w:r>
        <w:rPr>
          <w:lang w:bidi="ar-SA"/>
        </w:rPr>
        <w:lastRenderedPageBreak/>
        <w:t>The tota</w:t>
      </w:r>
      <w:r w:rsidR="00E94289">
        <w:rPr>
          <w:lang w:bidi="ar-SA"/>
        </w:rPr>
        <w:t>l iron content of meat analogue products</w:t>
      </w:r>
      <w:r>
        <w:rPr>
          <w:lang w:bidi="ar-SA"/>
        </w:rPr>
        <w:t xml:space="preserve"> is indirectly controlled by a ‘maximum claim per reference quantity (maximum percentage RDI claim)’ i.e. 30% RDI/100 g reference quantity</w:t>
      </w:r>
      <w:r>
        <w:t>. N</w:t>
      </w:r>
      <w:r>
        <w:rPr>
          <w:lang w:bidi="ar-SA"/>
        </w:rPr>
        <w:t>o additional ‘maximum permitted amount per reference quantity’ is set for iron.</w:t>
      </w:r>
    </w:p>
    <w:p w14:paraId="184173F1" w14:textId="77777777" w:rsidR="00EF3067" w:rsidRDefault="00EF3067" w:rsidP="006E51EF">
      <w:pPr>
        <w:widowControl/>
      </w:pPr>
    </w:p>
    <w:p w14:paraId="22099063" w14:textId="77777777" w:rsidR="00EF3067" w:rsidRPr="00780250" w:rsidRDefault="00EF3067" w:rsidP="006E51EF">
      <w:pPr>
        <w:widowControl/>
        <w:rPr>
          <w:u w:val="single"/>
        </w:rPr>
      </w:pPr>
      <w:r w:rsidRPr="00780250">
        <w:rPr>
          <w:u w:val="single"/>
        </w:rPr>
        <w:t>Food produced using gene technology</w:t>
      </w:r>
    </w:p>
    <w:p w14:paraId="63F4E367" w14:textId="77777777" w:rsidR="00EF3067" w:rsidRDefault="00EF3067" w:rsidP="006E51EF">
      <w:pPr>
        <w:widowControl/>
      </w:pPr>
    </w:p>
    <w:p w14:paraId="44C4E486" w14:textId="77777777" w:rsidR="00EF3067" w:rsidRDefault="00EF3067" w:rsidP="006E51EF">
      <w:pPr>
        <w:widowControl/>
      </w:pPr>
      <w:r>
        <w:t>Paragraphs</w:t>
      </w:r>
      <w:r w:rsidRPr="001805AF">
        <w:t xml:space="preserve"> 1.1.1—10(5)(c) and </w:t>
      </w:r>
      <w:r>
        <w:t>10</w:t>
      </w:r>
      <w:r w:rsidRPr="001805AF">
        <w:t xml:space="preserve">(6)(g) </w:t>
      </w:r>
      <w:r>
        <w:t>require</w:t>
      </w:r>
      <w:r w:rsidRPr="001805AF">
        <w:t xml:space="preserve"> that, unless</w:t>
      </w:r>
      <w:r>
        <w:t xml:space="preserve"> expressly permitted</w:t>
      </w:r>
      <w:r w:rsidRPr="001805AF">
        <w:t xml:space="preserve">, a food for sale must not be a </w:t>
      </w:r>
      <w:r w:rsidRPr="00EC2441">
        <w:rPr>
          <w:i/>
        </w:rPr>
        <w:t>food produced using gene technology</w:t>
      </w:r>
      <w:r w:rsidRPr="00213529">
        <w:t xml:space="preserve">, or have as an ingredient or component a </w:t>
      </w:r>
      <w:r w:rsidRPr="00EC2441">
        <w:rPr>
          <w:i/>
        </w:rPr>
        <w:t>food produced using gene technology</w:t>
      </w:r>
      <w:r w:rsidRPr="00213529">
        <w:t xml:space="preserve">. </w:t>
      </w:r>
    </w:p>
    <w:p w14:paraId="507FB70E" w14:textId="77777777" w:rsidR="00EF3067" w:rsidRDefault="00EF3067" w:rsidP="006E51EF">
      <w:pPr>
        <w:widowControl/>
      </w:pPr>
    </w:p>
    <w:p w14:paraId="4E9E6DC6" w14:textId="710555A8" w:rsidR="00EF3067" w:rsidRDefault="00E331B8" w:rsidP="006E51EF">
      <w:pPr>
        <w:widowControl/>
      </w:pPr>
      <w:r>
        <w:t>Soy leghemoglobin meets</w:t>
      </w:r>
      <w:r w:rsidR="00EF3067">
        <w:t xml:space="preserve"> the definition of </w:t>
      </w:r>
      <w:r w:rsidR="00EF3067">
        <w:rPr>
          <w:i/>
        </w:rPr>
        <w:t>food</w:t>
      </w:r>
      <w:r w:rsidR="00EF3067" w:rsidRPr="00C34DBE">
        <w:rPr>
          <w:i/>
        </w:rPr>
        <w:t xml:space="preserve"> produced using gene technology</w:t>
      </w:r>
      <w:r w:rsidR="00EF3067" w:rsidRPr="00B35F00">
        <w:t xml:space="preserve"> </w:t>
      </w:r>
      <w:r w:rsidR="00EF3067">
        <w:t xml:space="preserve">(see </w:t>
      </w:r>
      <w:r w:rsidR="00EF3067" w:rsidRPr="00B35F00">
        <w:t>s</w:t>
      </w:r>
      <w:r w:rsidR="00EF3067">
        <w:t>ubs</w:t>
      </w:r>
      <w:r w:rsidR="00EF3067" w:rsidRPr="00B35F00">
        <w:t>ection 1.1</w:t>
      </w:r>
      <w:r w:rsidR="00EF3067">
        <w:t xml:space="preserve">.2—2(3)), as it is derived from </w:t>
      </w:r>
      <w:r w:rsidR="00EF3067" w:rsidRPr="00B35F00">
        <w:t xml:space="preserve">an organism </w:t>
      </w:r>
      <w:r w:rsidR="00EF3067">
        <w:t xml:space="preserve">modified using gene technology </w:t>
      </w:r>
      <w:r w:rsidR="00EF3067" w:rsidRPr="00B35F00">
        <w:t xml:space="preserve">(i.e. </w:t>
      </w:r>
      <w:r w:rsidR="00EF3067">
        <w:t xml:space="preserve">derived from a </w:t>
      </w:r>
      <w:r w:rsidR="00EF3067" w:rsidRPr="00B35F00">
        <w:t xml:space="preserve">GM </w:t>
      </w:r>
      <w:r w:rsidR="00EF3067" w:rsidRPr="002F2749">
        <w:rPr>
          <w:i/>
        </w:rPr>
        <w:t>P</w:t>
      </w:r>
      <w:r w:rsidR="00EA3CBA">
        <w:rPr>
          <w:i/>
        </w:rPr>
        <w:t>.</w:t>
      </w:r>
      <w:r w:rsidR="00EF3067">
        <w:rPr>
          <w:i/>
        </w:rPr>
        <w:t xml:space="preserve"> </w:t>
      </w:r>
      <w:r w:rsidR="00EF3067" w:rsidRPr="002F2749">
        <w:rPr>
          <w:i/>
        </w:rPr>
        <w:t>pastoris</w:t>
      </w:r>
      <w:r w:rsidR="00EF3067">
        <w:t xml:space="preserve"> strain</w:t>
      </w:r>
      <w:r w:rsidR="00EF3067" w:rsidRPr="00B35F00">
        <w:t xml:space="preserve">). </w:t>
      </w:r>
    </w:p>
    <w:p w14:paraId="2EE62F08" w14:textId="77777777" w:rsidR="00EF3067" w:rsidRDefault="00EF3067" w:rsidP="006E51EF">
      <w:pPr>
        <w:widowControl/>
      </w:pPr>
    </w:p>
    <w:p w14:paraId="4FA7012D" w14:textId="74B41487" w:rsidR="00EF3067" w:rsidRDefault="00EF3067" w:rsidP="006E51EF">
      <w:pPr>
        <w:widowControl/>
      </w:pPr>
      <w:r>
        <w:t>In order to be</w:t>
      </w:r>
      <w:r w:rsidRPr="001805AF" w:rsidDel="00835E0C">
        <w:t xml:space="preserve"> </w:t>
      </w:r>
      <w:r>
        <w:t>permitted for use</w:t>
      </w:r>
      <w:r w:rsidRPr="001805AF" w:rsidDel="00835E0C">
        <w:t>, e</w:t>
      </w:r>
      <w:r w:rsidDel="00835E0C">
        <w:t>xpress permission</w:t>
      </w:r>
      <w:r w:rsidRPr="001805AF" w:rsidDel="00835E0C">
        <w:t xml:space="preserve"> for</w:t>
      </w:r>
      <w:r>
        <w:t xml:space="preserve"> </w:t>
      </w:r>
      <w:r w:rsidR="00E331B8">
        <w:t xml:space="preserve">the Preparation </w:t>
      </w:r>
      <w:r>
        <w:t>must be given</w:t>
      </w:r>
      <w:r w:rsidRPr="001805AF" w:rsidDel="00835E0C">
        <w:t xml:space="preserve"> in a</w:t>
      </w:r>
      <w:r>
        <w:t>ccordance</w:t>
      </w:r>
      <w:r w:rsidR="00E331B8">
        <w:t xml:space="preserve"> with Standard 1.5.2 (i.e. the </w:t>
      </w:r>
      <w:r>
        <w:t>Prep</w:t>
      </w:r>
      <w:r w:rsidR="00E331B8">
        <w:t>aration</w:t>
      </w:r>
      <w:r>
        <w:t xml:space="preserve"> must be listed in Schedule 26 and comply with corresponding conditions listed in the Schedule).</w:t>
      </w:r>
    </w:p>
    <w:p w14:paraId="54E4E8D3" w14:textId="77777777" w:rsidR="00EF3067" w:rsidRPr="006716FD" w:rsidRDefault="00EF3067" w:rsidP="006E51EF">
      <w:pPr>
        <w:pStyle w:val="Heading4"/>
        <w:widowControl/>
      </w:pPr>
      <w:r w:rsidRPr="006716FD">
        <w:t>1.3.1.2</w:t>
      </w:r>
      <w:r w:rsidRPr="006716FD">
        <w:tab/>
        <w:t>Identity and purity</w:t>
      </w:r>
    </w:p>
    <w:p w14:paraId="6CC4B972" w14:textId="11B3AC83" w:rsidR="00EF3067" w:rsidRDefault="00EF3067" w:rsidP="006E51EF">
      <w:pPr>
        <w:widowControl/>
      </w:pPr>
      <w:r>
        <w:t xml:space="preserve">Section 1.1.1—15 requires that a substance used as a nutritive substance must comply with any relevant specification set out in Schedule 3 – </w:t>
      </w:r>
      <w:r w:rsidRPr="004E1280">
        <w:rPr>
          <w:i/>
        </w:rPr>
        <w:t>Identity and purity</w:t>
      </w:r>
      <w:r>
        <w:t xml:space="preserve">. </w:t>
      </w:r>
      <w:r w:rsidR="00E331B8">
        <w:t xml:space="preserve">The Preparation </w:t>
      </w:r>
      <w:r>
        <w:t xml:space="preserve">is intended as a new ingredient in Australia and New Zealand’s food supply and since there are no specifications currently provided in the Code, </w:t>
      </w:r>
      <w:r w:rsidR="005D0C49">
        <w:t>one will be</w:t>
      </w:r>
      <w:r>
        <w:t xml:space="preserve"> required in Schedule 3. </w:t>
      </w:r>
    </w:p>
    <w:p w14:paraId="520B3F9A" w14:textId="77777777" w:rsidR="00EF3067" w:rsidRDefault="00EF3067" w:rsidP="006E51EF">
      <w:pPr>
        <w:pStyle w:val="Heading4"/>
        <w:widowControl/>
        <w:rPr>
          <w:lang w:eastAsia="en-AU"/>
        </w:rPr>
      </w:pPr>
      <w:r>
        <w:rPr>
          <w:lang w:eastAsia="en-AU"/>
        </w:rPr>
        <w:t>1.3.1.3</w:t>
      </w:r>
      <w:r>
        <w:rPr>
          <w:lang w:eastAsia="en-AU"/>
        </w:rPr>
        <w:tab/>
        <w:t>Labelling requirements</w:t>
      </w:r>
    </w:p>
    <w:p w14:paraId="1493D416" w14:textId="77777777" w:rsidR="00EF3067" w:rsidRDefault="00EF3067" w:rsidP="006E51EF">
      <w:pPr>
        <w:widowControl/>
      </w:pPr>
      <w:r>
        <w:t>Subsection 1.1.1—10(8) requires that food for sale must comply with all relevant labelling requirements in the Code for that food.</w:t>
      </w:r>
    </w:p>
    <w:p w14:paraId="063BFB01" w14:textId="77777777" w:rsidR="00EF3067" w:rsidRPr="00426611" w:rsidRDefault="00EF3067" w:rsidP="006E51EF">
      <w:pPr>
        <w:widowControl/>
        <w:rPr>
          <w:i/>
          <w:szCs w:val="22"/>
          <w:lang w:eastAsia="en-AU"/>
        </w:rPr>
      </w:pPr>
    </w:p>
    <w:p w14:paraId="461912E1" w14:textId="4F4FC5CC" w:rsidR="00EF3067" w:rsidRDefault="00EF3067" w:rsidP="006E51EF">
      <w:pPr>
        <w:widowControl/>
      </w:pPr>
      <w:r>
        <w:t>Subsection 1.2.3—4(1) requires certain foods and substances to be declared when present as ingredients in a food for sale.</w:t>
      </w:r>
    </w:p>
    <w:p w14:paraId="4AF62073" w14:textId="77777777" w:rsidR="00EF3067" w:rsidRDefault="00EF3067" w:rsidP="006E51EF">
      <w:pPr>
        <w:widowControl/>
      </w:pPr>
    </w:p>
    <w:p w14:paraId="5F47A608" w14:textId="77777777" w:rsidR="00EF3067" w:rsidRDefault="00EF3067" w:rsidP="006E51EF">
      <w:pPr>
        <w:widowControl/>
      </w:pPr>
      <w:r>
        <w:t>Standard 1.2.4 generally requires food for sale to be labelled with a statement of ingredients, subject to certain exemptions.</w:t>
      </w:r>
    </w:p>
    <w:p w14:paraId="5AB95AF8" w14:textId="77777777" w:rsidR="00EF3067" w:rsidRDefault="00EF3067" w:rsidP="006E51EF">
      <w:pPr>
        <w:widowControl/>
      </w:pPr>
    </w:p>
    <w:p w14:paraId="13E3C2AC" w14:textId="0AD7C396" w:rsidR="00EF3067" w:rsidRDefault="00EF3067" w:rsidP="006E51EF">
      <w:pPr>
        <w:widowControl/>
      </w:pPr>
      <w:r>
        <w:t>Standard 1.2.7 sets out the requirements and conditions for voluntary nutrition, health and related claims made about food</w:t>
      </w:r>
      <w:r w:rsidR="00013FCC">
        <w:t>.</w:t>
      </w:r>
    </w:p>
    <w:p w14:paraId="23B00D83" w14:textId="77777777" w:rsidR="00EF3067" w:rsidRDefault="00EF3067" w:rsidP="006E51EF">
      <w:pPr>
        <w:widowControl/>
      </w:pPr>
    </w:p>
    <w:p w14:paraId="340329F1" w14:textId="4D20433A" w:rsidR="00EF3067" w:rsidRDefault="00EF3067" w:rsidP="006E51EF">
      <w:pPr>
        <w:widowControl/>
      </w:pPr>
      <w:r>
        <w:t>Standard 1.2.8 sets out nutrition information requirements for food for sale, othe</w:t>
      </w:r>
      <w:r w:rsidR="00013FCC">
        <w:t>r than infant formula products.</w:t>
      </w:r>
    </w:p>
    <w:p w14:paraId="786CC3BC" w14:textId="77777777" w:rsidR="00EF3067" w:rsidRDefault="00EF3067" w:rsidP="006E51EF">
      <w:pPr>
        <w:widowControl/>
      </w:pPr>
    </w:p>
    <w:p w14:paraId="5471019E" w14:textId="51F56A0E" w:rsidR="006F5261" w:rsidRDefault="00EF3067" w:rsidP="006E51EF">
      <w:pPr>
        <w:widowControl/>
      </w:pPr>
      <w:r>
        <w:t xml:space="preserve">Section 1.5.2—4 sets out labelling requirements for </w:t>
      </w:r>
      <w:r w:rsidRPr="003029C9">
        <w:t>foods</w:t>
      </w:r>
      <w:r>
        <w:t xml:space="preserve"> for sale</w:t>
      </w:r>
      <w:r w:rsidRPr="003029C9">
        <w:t xml:space="preserve"> </w:t>
      </w:r>
      <w:r>
        <w:t xml:space="preserve">that consist of, or have as an ingredient, food that is a </w:t>
      </w:r>
      <w:r w:rsidRPr="00C34DBE">
        <w:rPr>
          <w:i/>
        </w:rPr>
        <w:t>genetically modified food</w:t>
      </w:r>
      <w:r>
        <w:t>.</w:t>
      </w:r>
      <w:r w:rsidRPr="003029C9">
        <w:t xml:space="preserve"> </w:t>
      </w:r>
      <w:r>
        <w:t xml:space="preserve">A </w:t>
      </w:r>
      <w:r w:rsidRPr="00B34599">
        <w:rPr>
          <w:i/>
        </w:rPr>
        <w:t>genetically modified food</w:t>
      </w:r>
      <w:r>
        <w:t xml:space="preserve"> is defined in subsection 1.5.2—4(5) as a </w:t>
      </w:r>
      <w:r w:rsidRPr="00FD1F1B">
        <w:rPr>
          <w:i/>
        </w:rPr>
        <w:t>food produced using gene technology</w:t>
      </w:r>
      <w:r>
        <w:t xml:space="preserve"> that contains novel DNA or novel protein; or is listed in section S26—3 as being subject to a condition that its labelling mu</w:t>
      </w:r>
      <w:r w:rsidR="00013FCC">
        <w:t>st comply with section 1.5.2—4.</w:t>
      </w:r>
    </w:p>
    <w:p w14:paraId="0264DECB" w14:textId="77777777" w:rsidR="00B06DFD" w:rsidRDefault="00B06DFD" w:rsidP="006E51EF">
      <w:pPr>
        <w:widowControl/>
      </w:pPr>
    </w:p>
    <w:p w14:paraId="7F9E048B" w14:textId="1AF46537" w:rsidR="00EF3067" w:rsidRDefault="00EF3067" w:rsidP="006E51EF">
      <w:pPr>
        <w:widowControl/>
      </w:pPr>
      <w:r w:rsidRPr="002F2749">
        <w:t xml:space="preserve">The requirements </w:t>
      </w:r>
      <w:r>
        <w:t>set out in</w:t>
      </w:r>
      <w:r w:rsidRPr="002F2749">
        <w:t xml:space="preserve"> section 1.5.2—4 generally apply only to foods for retail sale and to foods sold </w:t>
      </w:r>
      <w:r w:rsidRPr="00732467">
        <w:t>to</w:t>
      </w:r>
      <w:r w:rsidRPr="002F2749">
        <w:t xml:space="preserve"> a caterer</w:t>
      </w:r>
      <w:r w:rsidR="00277E11">
        <w:rPr>
          <w:rStyle w:val="FootnoteReference"/>
        </w:rPr>
        <w:footnoteReference w:id="8"/>
      </w:r>
      <w:r w:rsidRPr="002F2749">
        <w:t xml:space="preserve"> under </w:t>
      </w:r>
      <w:r>
        <w:t>paragraphs</w:t>
      </w:r>
      <w:r w:rsidRPr="002F2749">
        <w:t xml:space="preserve"> 1.2.1—8(1)</w:t>
      </w:r>
      <w:r>
        <w:t>(k) (food for sale required to bear a label), 1.2.1—9(3)(b) (food for sale not required to bear a label),</w:t>
      </w:r>
      <w:r w:rsidRPr="002F2749">
        <w:t xml:space="preserve"> and 1.2.1—15</w:t>
      </w:r>
      <w:r>
        <w:t>(f)</w:t>
      </w:r>
      <w:r w:rsidRPr="002F2749">
        <w:t xml:space="preserve"> </w:t>
      </w:r>
      <w:r>
        <w:t xml:space="preserve">(food sold </w:t>
      </w:r>
      <w:r>
        <w:lastRenderedPageBreak/>
        <w:t>to a caterer)</w:t>
      </w:r>
      <w:r w:rsidRPr="002F2749">
        <w:t>.</w:t>
      </w:r>
      <w:r>
        <w:t xml:space="preserve"> The requirement to label food as ‘genetically modified’ does not apply to GM food intended for immediate consumption; and which is prepared and sold </w:t>
      </w:r>
      <w:r w:rsidRPr="00090D27">
        <w:rPr>
          <w:i/>
        </w:rPr>
        <w:t>from</w:t>
      </w:r>
      <w:r>
        <w:t xml:space="preserve"> food premises and vending </w:t>
      </w:r>
      <w:r w:rsidDel="00F43C1B">
        <w:t>vehicles</w:t>
      </w:r>
      <w:r>
        <w:t>, including restaurants, take away outlets, caterers, or self-catering institutions (paragraph 1.5.2—4(1)(e)).</w:t>
      </w:r>
    </w:p>
    <w:p w14:paraId="6C21556F" w14:textId="77777777" w:rsidR="00EF3067" w:rsidRDefault="00EF3067" w:rsidP="006E51EF">
      <w:pPr>
        <w:widowControl/>
      </w:pPr>
    </w:p>
    <w:p w14:paraId="55D776CA" w14:textId="1CD43202" w:rsidR="00EF3067" w:rsidRPr="00F679A6" w:rsidRDefault="00EF3067" w:rsidP="006E51EF">
      <w:pPr>
        <w:widowControl/>
      </w:pPr>
      <w:r>
        <w:t>For discussion about labelling requirements in the Code that would apply to s</w:t>
      </w:r>
      <w:r w:rsidRPr="00A735D3">
        <w:t>oy</w:t>
      </w:r>
      <w:r>
        <w:t xml:space="preserve"> leghemoglobin, see section 3.2 of this report.</w:t>
      </w:r>
    </w:p>
    <w:p w14:paraId="4746B6AE" w14:textId="77777777" w:rsidR="00EF3067" w:rsidRDefault="00EF3067" w:rsidP="006E51EF">
      <w:pPr>
        <w:pStyle w:val="Heading3"/>
        <w:keepNext w:val="0"/>
        <w:widowControl/>
      </w:pPr>
      <w:bookmarkStart w:id="49" w:name="_Toc26284642"/>
      <w:bookmarkStart w:id="50" w:name="_Toc26980493"/>
      <w:bookmarkStart w:id="51" w:name="_Toc41576647"/>
      <w:bookmarkStart w:id="52" w:name="_Toc42875210"/>
      <w:bookmarkStart w:id="53" w:name="_Toc43128115"/>
      <w:bookmarkStart w:id="54" w:name="_Toc53406096"/>
      <w:bookmarkStart w:id="55" w:name="_Toc53484606"/>
      <w:bookmarkStart w:id="56" w:name="_Toc58840789"/>
      <w:bookmarkStart w:id="57" w:name="_Toc370223469"/>
      <w:bookmarkEnd w:id="37"/>
      <w:bookmarkEnd w:id="38"/>
      <w:bookmarkEnd w:id="39"/>
      <w:bookmarkEnd w:id="40"/>
      <w:r>
        <w:t>1.3.2</w:t>
      </w:r>
      <w:r>
        <w:tab/>
        <w:t>International Regulations</w:t>
      </w:r>
      <w:bookmarkEnd w:id="49"/>
      <w:bookmarkEnd w:id="50"/>
      <w:bookmarkEnd w:id="51"/>
      <w:bookmarkEnd w:id="52"/>
      <w:bookmarkEnd w:id="53"/>
      <w:bookmarkEnd w:id="54"/>
      <w:bookmarkEnd w:id="55"/>
      <w:bookmarkEnd w:id="56"/>
    </w:p>
    <w:p w14:paraId="7EDAFC5C" w14:textId="77777777" w:rsidR="00EF3067" w:rsidRDefault="00EF3067" w:rsidP="006E51EF">
      <w:pPr>
        <w:pStyle w:val="Heading4"/>
        <w:keepNext w:val="0"/>
        <w:widowControl/>
        <w:rPr>
          <w:lang w:eastAsia="en-AU"/>
        </w:rPr>
      </w:pPr>
      <w:r>
        <w:rPr>
          <w:lang w:eastAsia="en-AU"/>
        </w:rPr>
        <w:t>1.3.2.1</w:t>
      </w:r>
      <w:r>
        <w:rPr>
          <w:lang w:eastAsia="en-AU"/>
        </w:rPr>
        <w:tab/>
        <w:t>Codex</w:t>
      </w:r>
    </w:p>
    <w:p w14:paraId="32105CBE" w14:textId="3F73AC4C" w:rsidR="00EF3067" w:rsidRDefault="00EF3067" w:rsidP="006E51EF">
      <w:pPr>
        <w:widowControl/>
        <w:spacing w:after="240"/>
        <w:rPr>
          <w:color w:val="000000" w:themeColor="text1"/>
        </w:rPr>
      </w:pPr>
      <w:r w:rsidRPr="009C0D8B">
        <w:rPr>
          <w:lang w:eastAsia="en-AU" w:bidi="ar-SA"/>
        </w:rPr>
        <w:t>Codex provides general guidance on safety assessment</w:t>
      </w:r>
      <w:r w:rsidR="00000905">
        <w:rPr>
          <w:lang w:eastAsia="en-AU" w:bidi="ar-SA"/>
        </w:rPr>
        <w:t>s</w:t>
      </w:r>
      <w:r w:rsidRPr="009C0D8B">
        <w:rPr>
          <w:lang w:eastAsia="en-AU" w:bidi="ar-SA"/>
        </w:rPr>
        <w:t xml:space="preserve">, but </w:t>
      </w:r>
      <w:r>
        <w:rPr>
          <w:lang w:eastAsia="en-AU" w:bidi="ar-SA"/>
        </w:rPr>
        <w:t>does not direct its members to</w:t>
      </w:r>
      <w:r w:rsidRPr="009C0D8B">
        <w:rPr>
          <w:lang w:eastAsia="en-AU" w:bidi="ar-SA"/>
        </w:rPr>
        <w:t xml:space="preserve"> specific regulatory approach</w:t>
      </w:r>
      <w:r>
        <w:rPr>
          <w:lang w:eastAsia="en-AU" w:bidi="ar-SA"/>
        </w:rPr>
        <w:t>es relevant to soy leghemoglobin.</w:t>
      </w:r>
      <w:r w:rsidRPr="009C0D8B">
        <w:rPr>
          <w:lang w:eastAsia="en-AU" w:bidi="ar-SA"/>
        </w:rPr>
        <w:t xml:space="preserve"> </w:t>
      </w:r>
      <w:r>
        <w:rPr>
          <w:lang w:eastAsia="en-AU" w:bidi="ar-SA"/>
        </w:rPr>
        <w:t xml:space="preserve">FSANZ follows this internationally </w:t>
      </w:r>
      <w:r w:rsidRPr="00B012C9">
        <w:rPr>
          <w:color w:val="000000" w:themeColor="text1"/>
        </w:rPr>
        <w:t xml:space="preserve">recognised risk analysis framework </w:t>
      </w:r>
      <w:r>
        <w:rPr>
          <w:color w:val="000000" w:themeColor="text1"/>
        </w:rPr>
        <w:t xml:space="preserve">to undertake the safety assessments for applications. For the purposes of assessing </w:t>
      </w:r>
      <w:r w:rsidR="00D77D23">
        <w:rPr>
          <w:color w:val="000000" w:themeColor="text1"/>
        </w:rPr>
        <w:t>the Preparation</w:t>
      </w:r>
      <w:r>
        <w:rPr>
          <w:color w:val="000000" w:themeColor="text1"/>
        </w:rPr>
        <w:t xml:space="preserve"> </w:t>
      </w:r>
      <w:r w:rsidR="00D77D23">
        <w:rPr>
          <w:color w:val="000000" w:themeColor="text1"/>
        </w:rPr>
        <w:t>for</w:t>
      </w:r>
      <w:r>
        <w:rPr>
          <w:color w:val="000000" w:themeColor="text1"/>
        </w:rPr>
        <w:t xml:space="preserve"> toxicolog</w:t>
      </w:r>
      <w:r w:rsidR="00D77D23">
        <w:rPr>
          <w:color w:val="000000" w:themeColor="text1"/>
        </w:rPr>
        <w:t>ical</w:t>
      </w:r>
      <w:r>
        <w:rPr>
          <w:color w:val="000000" w:themeColor="text1"/>
        </w:rPr>
        <w:t xml:space="preserve"> and GM safety, FSANZ has considered the following (respectively):</w:t>
      </w:r>
    </w:p>
    <w:p w14:paraId="38C2C0A9" w14:textId="77777777" w:rsidR="00EF3067" w:rsidRPr="002D0DC5" w:rsidRDefault="00EF3067" w:rsidP="00FF61AD">
      <w:pPr>
        <w:pStyle w:val="ListParagraph"/>
        <w:widowControl/>
        <w:numPr>
          <w:ilvl w:val="0"/>
          <w:numId w:val="8"/>
        </w:numPr>
        <w:rPr>
          <w:color w:val="000000" w:themeColor="text1"/>
        </w:rPr>
      </w:pPr>
      <w:r>
        <w:rPr>
          <w:lang w:val="en" w:eastAsia="en-AU" w:bidi="ar-SA"/>
        </w:rPr>
        <w:t>T</w:t>
      </w:r>
      <w:r>
        <w:rPr>
          <w:color w:val="000000" w:themeColor="text1"/>
        </w:rPr>
        <w:t xml:space="preserve">he </w:t>
      </w:r>
      <w:r w:rsidRPr="007378C0">
        <w:rPr>
          <w:color w:val="000000" w:themeColor="text1"/>
        </w:rPr>
        <w:t>International Programme on Chemical Safety’s Principles and Methods for the Risk Assessment of Chemicals in Food</w:t>
      </w:r>
      <w:r>
        <w:rPr>
          <w:color w:val="000000" w:themeColor="text1"/>
        </w:rPr>
        <w:t xml:space="preserve"> (FAO/WHO 2009). This guideline was developed by the</w:t>
      </w:r>
      <w:r>
        <w:rPr>
          <w:rFonts w:cs="Arial"/>
          <w:color w:val="1A1A1A"/>
          <w:lang w:val="en"/>
        </w:rPr>
        <w:t xml:space="preserve"> the Joint FAO/WHO</w:t>
      </w:r>
      <w:r>
        <w:rPr>
          <w:rStyle w:val="FootnoteReference"/>
          <w:color w:val="000000" w:themeColor="text1"/>
        </w:rPr>
        <w:footnoteReference w:id="9"/>
      </w:r>
      <w:r>
        <w:rPr>
          <w:rFonts w:cs="Arial"/>
          <w:color w:val="1A1A1A"/>
          <w:lang w:val="en"/>
        </w:rPr>
        <w:t xml:space="preserve"> Expert Committee on Food Additives (JECFA) and the Joint FAO/WHO Meeting on Pesticide Residues (JMPR), who serve as scientific advisory bodies to the Codex </w:t>
      </w:r>
      <w:proofErr w:type="spellStart"/>
      <w:r>
        <w:rPr>
          <w:rFonts w:cs="Arial"/>
          <w:color w:val="1A1A1A"/>
          <w:lang w:val="en"/>
        </w:rPr>
        <w:t>Alimentarius</w:t>
      </w:r>
      <w:proofErr w:type="spellEnd"/>
      <w:r>
        <w:rPr>
          <w:rFonts w:cs="Arial"/>
          <w:color w:val="1A1A1A"/>
          <w:lang w:val="en"/>
        </w:rPr>
        <w:t xml:space="preserve"> Commission.</w:t>
      </w:r>
    </w:p>
    <w:p w14:paraId="2265F2DB" w14:textId="77777777" w:rsidR="00EF3067" w:rsidRPr="000143DF" w:rsidRDefault="00EF3067" w:rsidP="00FF61AD">
      <w:pPr>
        <w:pStyle w:val="ListParagraph"/>
        <w:widowControl/>
        <w:numPr>
          <w:ilvl w:val="0"/>
          <w:numId w:val="7"/>
        </w:numPr>
        <w:rPr>
          <w:lang w:eastAsia="en-AU" w:bidi="ar-SA"/>
        </w:rPr>
      </w:pPr>
      <w:r>
        <w:rPr>
          <w:lang w:eastAsia="en-AU" w:bidi="ar-SA"/>
        </w:rPr>
        <w:t xml:space="preserve">The </w:t>
      </w:r>
      <w:r w:rsidRPr="002D0DC5">
        <w:rPr>
          <w:color w:val="000000" w:themeColor="text1"/>
        </w:rPr>
        <w:t>FAO/WHO</w:t>
      </w:r>
      <w:r>
        <w:rPr>
          <w:lang w:eastAsia="en-AU" w:bidi="ar-SA"/>
        </w:rPr>
        <w:t xml:space="preserve"> Codex </w:t>
      </w:r>
      <w:proofErr w:type="spellStart"/>
      <w:r>
        <w:rPr>
          <w:lang w:eastAsia="en-AU" w:bidi="ar-SA"/>
        </w:rPr>
        <w:t>Alimentarius</w:t>
      </w:r>
      <w:proofErr w:type="spellEnd"/>
      <w:r>
        <w:rPr>
          <w:lang w:eastAsia="en-AU" w:bidi="ar-SA"/>
        </w:rPr>
        <w:t xml:space="preserve"> provides guidance to members on internationally agreed </w:t>
      </w:r>
      <w:r w:rsidRPr="002D0DC5">
        <w:rPr>
          <w:color w:val="000000" w:themeColor="text1"/>
        </w:rPr>
        <w:t xml:space="preserve">GM food safety guidelines </w:t>
      </w:r>
      <w:r>
        <w:rPr>
          <w:color w:val="000000" w:themeColor="text1"/>
        </w:rPr>
        <w:t>(Codex</w:t>
      </w:r>
      <w:r w:rsidRPr="002D0DC5">
        <w:rPr>
          <w:color w:val="000000" w:themeColor="text1"/>
        </w:rPr>
        <w:t xml:space="preserve"> 2009)</w:t>
      </w:r>
      <w:r>
        <w:rPr>
          <w:lang w:eastAsia="en-AU" w:bidi="ar-SA"/>
        </w:rPr>
        <w:t>.</w:t>
      </w:r>
    </w:p>
    <w:p w14:paraId="3C227EC5" w14:textId="77777777" w:rsidR="00EF3067" w:rsidRDefault="00EF3067" w:rsidP="006E51EF">
      <w:pPr>
        <w:pStyle w:val="Heading4"/>
        <w:keepNext w:val="0"/>
        <w:widowControl/>
        <w:rPr>
          <w:lang w:eastAsia="en-AU"/>
        </w:rPr>
      </w:pPr>
      <w:r>
        <w:rPr>
          <w:lang w:eastAsia="en-AU"/>
        </w:rPr>
        <w:t>1.3.2.2</w:t>
      </w:r>
      <w:r>
        <w:rPr>
          <w:lang w:eastAsia="en-AU"/>
        </w:rPr>
        <w:tab/>
        <w:t>United States</w:t>
      </w:r>
    </w:p>
    <w:p w14:paraId="126622C9" w14:textId="62E63FF3" w:rsidR="00EF3067" w:rsidRDefault="00EF3067" w:rsidP="006E51EF">
      <w:pPr>
        <w:widowControl/>
        <w:rPr>
          <w:rFonts w:cs="Arial"/>
          <w:szCs w:val="22"/>
          <w:lang w:eastAsia="en-AU" w:bidi="ar-SA"/>
        </w:rPr>
      </w:pPr>
      <w:r w:rsidRPr="001753D9">
        <w:rPr>
          <w:rFonts w:cs="Arial"/>
          <w:szCs w:val="22"/>
          <w:lang w:eastAsia="en-AU" w:bidi="ar-SA"/>
        </w:rPr>
        <w:t xml:space="preserve">Impossible Foods </w:t>
      </w:r>
      <w:r w:rsidRPr="00496599">
        <w:rPr>
          <w:rFonts w:cs="Arial"/>
          <w:szCs w:val="22"/>
          <w:lang w:eastAsia="en-AU" w:bidi="ar-SA"/>
        </w:rPr>
        <w:t>obtained self-</w:t>
      </w:r>
      <w:r>
        <w:rPr>
          <w:rFonts w:cs="Arial"/>
          <w:szCs w:val="22"/>
          <w:lang w:eastAsia="en-AU" w:bidi="ar-SA"/>
        </w:rPr>
        <w:t>affirmed US</w:t>
      </w:r>
      <w:r w:rsidR="00C8073A">
        <w:rPr>
          <w:rFonts w:cs="Arial"/>
          <w:szCs w:val="22"/>
          <w:lang w:eastAsia="en-AU" w:bidi="ar-SA"/>
        </w:rPr>
        <w:t xml:space="preserve"> </w:t>
      </w:r>
      <w:r w:rsidRPr="00496599">
        <w:rPr>
          <w:rFonts w:cs="Arial"/>
          <w:szCs w:val="22"/>
          <w:lang w:eastAsia="en-AU" w:bidi="ar-SA"/>
        </w:rPr>
        <w:t xml:space="preserve">FDA GRAS status </w:t>
      </w:r>
      <w:r>
        <w:rPr>
          <w:lang w:eastAsia="en-AU" w:bidi="ar-SA"/>
        </w:rPr>
        <w:t xml:space="preserve">(GRN 737) </w:t>
      </w:r>
      <w:r>
        <w:rPr>
          <w:rFonts w:cs="Arial"/>
          <w:szCs w:val="22"/>
          <w:lang w:eastAsia="en-AU" w:bidi="ar-SA"/>
        </w:rPr>
        <w:t xml:space="preserve">in July 2018 </w:t>
      </w:r>
      <w:r w:rsidRPr="00496599">
        <w:rPr>
          <w:rFonts w:cs="Arial"/>
          <w:szCs w:val="22"/>
          <w:lang w:eastAsia="en-AU" w:bidi="ar-SA"/>
        </w:rPr>
        <w:t xml:space="preserve">to use </w:t>
      </w:r>
      <w:r>
        <w:rPr>
          <w:rFonts w:cs="Arial"/>
          <w:szCs w:val="22"/>
          <w:lang w:eastAsia="en-AU" w:bidi="ar-SA"/>
        </w:rPr>
        <w:t xml:space="preserve">its </w:t>
      </w:r>
      <w:r w:rsidR="006C6C34">
        <w:rPr>
          <w:rFonts w:cs="Arial"/>
          <w:szCs w:val="22"/>
          <w:lang w:eastAsia="en-AU" w:bidi="ar-SA"/>
        </w:rPr>
        <w:t>‘</w:t>
      </w:r>
      <w:r w:rsidRPr="00496599">
        <w:rPr>
          <w:rFonts w:cs="Arial"/>
          <w:szCs w:val="22"/>
          <w:lang w:eastAsia="en-AU" w:bidi="ar-SA"/>
        </w:rPr>
        <w:t>soy leghemoglobin</w:t>
      </w:r>
      <w:r w:rsidR="006C6C34">
        <w:rPr>
          <w:rFonts w:cs="Arial"/>
          <w:szCs w:val="22"/>
          <w:lang w:eastAsia="en-AU" w:bidi="ar-SA"/>
        </w:rPr>
        <w:t>’</w:t>
      </w:r>
      <w:r w:rsidR="006C6C34">
        <w:rPr>
          <w:rStyle w:val="FootnoteReference"/>
          <w:rFonts w:cs="Arial"/>
          <w:szCs w:val="22"/>
          <w:lang w:eastAsia="en-AU" w:bidi="ar-SA"/>
        </w:rPr>
        <w:footnoteReference w:id="10"/>
      </w:r>
      <w:r w:rsidR="00D77D23">
        <w:rPr>
          <w:rFonts w:cs="Arial"/>
          <w:szCs w:val="22"/>
          <w:lang w:eastAsia="en-AU" w:bidi="ar-SA"/>
        </w:rPr>
        <w:t xml:space="preserve"> </w:t>
      </w:r>
      <w:r w:rsidRPr="00496599">
        <w:rPr>
          <w:rFonts w:cs="Arial"/>
          <w:szCs w:val="22"/>
          <w:lang w:eastAsia="en-AU" w:bidi="ar-SA"/>
        </w:rPr>
        <w:t xml:space="preserve">at levels up to 0.8% in </w:t>
      </w:r>
      <w:r>
        <w:rPr>
          <w:rFonts w:cs="Arial"/>
          <w:szCs w:val="22"/>
          <w:lang w:eastAsia="en-AU" w:bidi="ar-SA"/>
        </w:rPr>
        <w:t>its</w:t>
      </w:r>
      <w:r w:rsidRPr="00496599">
        <w:rPr>
          <w:rFonts w:cs="Arial"/>
          <w:szCs w:val="22"/>
          <w:lang w:eastAsia="en-AU" w:bidi="ar-SA"/>
        </w:rPr>
        <w:t xml:space="preserve"> </w:t>
      </w:r>
      <w:r>
        <w:rPr>
          <w:rFonts w:cs="Arial"/>
          <w:szCs w:val="22"/>
          <w:lang w:eastAsia="en-AU" w:bidi="ar-SA"/>
        </w:rPr>
        <w:t>raw</w:t>
      </w:r>
      <w:r w:rsidRPr="00496599">
        <w:rPr>
          <w:rFonts w:cs="Arial"/>
          <w:szCs w:val="22"/>
          <w:lang w:eastAsia="en-AU" w:bidi="ar-SA"/>
        </w:rPr>
        <w:t xml:space="preserve"> ground</w:t>
      </w:r>
      <w:r>
        <w:rPr>
          <w:rFonts w:cs="Arial"/>
          <w:szCs w:val="22"/>
          <w:lang w:eastAsia="en-AU" w:bidi="ar-SA"/>
        </w:rPr>
        <w:t xml:space="preserve"> (minced)</w:t>
      </w:r>
      <w:r w:rsidRPr="00496599">
        <w:rPr>
          <w:rFonts w:cs="Arial"/>
          <w:szCs w:val="22"/>
          <w:lang w:eastAsia="en-AU" w:bidi="ar-SA"/>
        </w:rPr>
        <w:t xml:space="preserve"> beef analogue products as a </w:t>
      </w:r>
      <w:r w:rsidR="00000905">
        <w:rPr>
          <w:rFonts w:cs="Arial"/>
          <w:szCs w:val="22"/>
          <w:lang w:eastAsia="en-AU" w:bidi="ar-SA"/>
        </w:rPr>
        <w:t>‘</w:t>
      </w:r>
      <w:r w:rsidRPr="00275118">
        <w:rPr>
          <w:rFonts w:cs="Arial"/>
          <w:color w:val="000000"/>
          <w:szCs w:val="22"/>
        </w:rPr>
        <w:t>flavour optimiser</w:t>
      </w:r>
      <w:r w:rsidR="00000905">
        <w:rPr>
          <w:rFonts w:cs="Arial"/>
          <w:color w:val="000000"/>
          <w:szCs w:val="22"/>
        </w:rPr>
        <w:t>’</w:t>
      </w:r>
      <w:r w:rsidRPr="00496599">
        <w:rPr>
          <w:rFonts w:cs="Arial"/>
          <w:szCs w:val="22"/>
          <w:lang w:eastAsia="en-AU" w:bidi="ar-SA"/>
        </w:rPr>
        <w:t>.</w:t>
      </w:r>
      <w:r w:rsidRPr="001753D9">
        <w:rPr>
          <w:rFonts w:cs="Arial"/>
          <w:szCs w:val="22"/>
          <w:lang w:eastAsia="en-AU" w:bidi="ar-SA"/>
        </w:rPr>
        <w:t xml:space="preserve"> In addition, </w:t>
      </w:r>
      <w:r w:rsidR="00000905">
        <w:rPr>
          <w:rFonts w:cs="Arial"/>
          <w:szCs w:val="22"/>
          <w:lang w:eastAsia="en-AU" w:bidi="ar-SA"/>
        </w:rPr>
        <w:t>in response to a request by the US</w:t>
      </w:r>
      <w:r w:rsidR="00C8073A">
        <w:rPr>
          <w:rFonts w:cs="Arial"/>
          <w:szCs w:val="22"/>
          <w:lang w:eastAsia="en-AU" w:bidi="ar-SA"/>
        </w:rPr>
        <w:t xml:space="preserve"> </w:t>
      </w:r>
      <w:r w:rsidR="00000905">
        <w:rPr>
          <w:rFonts w:cs="Arial"/>
          <w:szCs w:val="22"/>
          <w:lang w:eastAsia="en-AU" w:bidi="ar-SA"/>
        </w:rPr>
        <w:t xml:space="preserve">FDA, </w:t>
      </w:r>
      <w:r>
        <w:rPr>
          <w:rFonts w:cs="Arial"/>
          <w:szCs w:val="22"/>
          <w:lang w:eastAsia="en-AU" w:bidi="ar-SA"/>
        </w:rPr>
        <w:t>t</w:t>
      </w:r>
      <w:r w:rsidRPr="001753D9">
        <w:rPr>
          <w:rFonts w:cs="Arial"/>
          <w:szCs w:val="22"/>
          <w:lang w:eastAsia="en-AU" w:bidi="ar-SA"/>
        </w:rPr>
        <w:t xml:space="preserve">he </w:t>
      </w:r>
      <w:r>
        <w:rPr>
          <w:rFonts w:cs="Arial"/>
          <w:szCs w:val="22"/>
          <w:lang w:eastAsia="en-AU" w:bidi="ar-SA"/>
        </w:rPr>
        <w:t>applicant</w:t>
      </w:r>
      <w:r w:rsidRPr="001753D9">
        <w:rPr>
          <w:rFonts w:cs="Arial"/>
          <w:szCs w:val="22"/>
          <w:lang w:eastAsia="en-AU" w:bidi="ar-SA"/>
        </w:rPr>
        <w:t xml:space="preserve"> lodged a colour additive petition to the </w:t>
      </w:r>
      <w:r>
        <w:rPr>
          <w:rFonts w:cs="Arial"/>
          <w:szCs w:val="22"/>
          <w:lang w:eastAsia="en-AU" w:bidi="ar-SA"/>
        </w:rPr>
        <w:t>US</w:t>
      </w:r>
      <w:r w:rsidR="00C8073A">
        <w:rPr>
          <w:rFonts w:cs="Arial"/>
          <w:szCs w:val="22"/>
          <w:lang w:eastAsia="en-AU" w:bidi="ar-SA"/>
        </w:rPr>
        <w:t xml:space="preserve"> </w:t>
      </w:r>
      <w:r w:rsidRPr="001753D9">
        <w:rPr>
          <w:rFonts w:cs="Arial"/>
          <w:szCs w:val="22"/>
          <w:lang w:eastAsia="en-AU" w:bidi="ar-SA"/>
        </w:rPr>
        <w:t>FDA</w:t>
      </w:r>
      <w:r>
        <w:rPr>
          <w:rFonts w:cs="Arial"/>
          <w:szCs w:val="22"/>
          <w:lang w:eastAsia="en-AU" w:bidi="ar-SA"/>
        </w:rPr>
        <w:t xml:space="preserve"> in </w:t>
      </w:r>
      <w:r w:rsidRPr="001753D9">
        <w:rPr>
          <w:rFonts w:cs="Arial"/>
          <w:szCs w:val="22"/>
          <w:lang w:eastAsia="en-AU" w:bidi="ar-SA"/>
        </w:rPr>
        <w:t xml:space="preserve">November 2018 to </w:t>
      </w:r>
      <w:r w:rsidRPr="00275118">
        <w:rPr>
          <w:rFonts w:cs="Arial"/>
          <w:color w:val="000000"/>
          <w:szCs w:val="22"/>
        </w:rPr>
        <w:t>amend the colo</w:t>
      </w:r>
      <w:r>
        <w:rPr>
          <w:rFonts w:cs="Arial"/>
          <w:color w:val="000000"/>
          <w:szCs w:val="22"/>
        </w:rPr>
        <w:t>u</w:t>
      </w:r>
      <w:r w:rsidRPr="00275118">
        <w:rPr>
          <w:rFonts w:cs="Arial"/>
          <w:color w:val="000000"/>
          <w:szCs w:val="22"/>
        </w:rPr>
        <w:t xml:space="preserve">r additive regulations in 21 CFR part 73, </w:t>
      </w:r>
      <w:r>
        <w:rPr>
          <w:rFonts w:cs="Arial"/>
          <w:color w:val="000000"/>
          <w:szCs w:val="22"/>
        </w:rPr>
        <w:t>‘</w:t>
      </w:r>
      <w:r w:rsidRPr="00275118">
        <w:rPr>
          <w:rFonts w:cs="Arial"/>
          <w:color w:val="000000"/>
          <w:szCs w:val="22"/>
        </w:rPr>
        <w:t xml:space="preserve">Listing of </w:t>
      </w:r>
      <w:proofErr w:type="spellStart"/>
      <w:r w:rsidRPr="00275118">
        <w:rPr>
          <w:rFonts w:cs="Arial"/>
          <w:color w:val="000000"/>
          <w:szCs w:val="22"/>
        </w:rPr>
        <w:t>Color</w:t>
      </w:r>
      <w:proofErr w:type="spellEnd"/>
      <w:r w:rsidRPr="00275118">
        <w:rPr>
          <w:rFonts w:cs="Arial"/>
          <w:color w:val="000000"/>
          <w:szCs w:val="22"/>
        </w:rPr>
        <w:t xml:space="preserve"> Addi</w:t>
      </w:r>
      <w:r>
        <w:rPr>
          <w:rFonts w:cs="Arial"/>
          <w:color w:val="000000"/>
          <w:szCs w:val="22"/>
        </w:rPr>
        <w:t>tives Exempt from Certification’</w:t>
      </w:r>
      <w:r w:rsidRPr="001753D9">
        <w:rPr>
          <w:rFonts w:cs="Arial"/>
          <w:szCs w:val="22"/>
          <w:lang w:eastAsia="en-AU" w:bidi="ar-SA"/>
        </w:rPr>
        <w:t>.</w:t>
      </w:r>
      <w:r>
        <w:rPr>
          <w:rFonts w:cs="Arial"/>
          <w:szCs w:val="22"/>
          <w:lang w:eastAsia="en-AU" w:bidi="ar-SA"/>
        </w:rPr>
        <w:t xml:space="preserve"> A risk assessment conducted by the US</w:t>
      </w:r>
      <w:r w:rsidR="00C8073A">
        <w:rPr>
          <w:rFonts w:cs="Arial"/>
          <w:szCs w:val="22"/>
          <w:lang w:eastAsia="en-AU" w:bidi="ar-SA"/>
        </w:rPr>
        <w:t xml:space="preserve"> </w:t>
      </w:r>
      <w:r>
        <w:rPr>
          <w:rFonts w:cs="Arial"/>
          <w:szCs w:val="22"/>
          <w:lang w:eastAsia="en-AU" w:bidi="ar-SA"/>
        </w:rPr>
        <w:t>FDA as part of the colour additive petition concluded that there were no toxicological concerns regarding the proposed use of soy leghemoglobin in ground beef analogue products.</w:t>
      </w:r>
      <w:r w:rsidRPr="001753D9" w:rsidDel="00FA793D">
        <w:rPr>
          <w:rFonts w:cs="Arial"/>
          <w:szCs w:val="22"/>
          <w:lang w:eastAsia="en-AU" w:bidi="ar-SA"/>
        </w:rPr>
        <w:t xml:space="preserve"> </w:t>
      </w:r>
      <w:r w:rsidRPr="001753D9">
        <w:rPr>
          <w:rFonts w:cs="Arial"/>
          <w:szCs w:val="22"/>
          <w:lang w:eastAsia="en-AU" w:bidi="ar-SA"/>
        </w:rPr>
        <w:t xml:space="preserve">This rule </w:t>
      </w:r>
      <w:r>
        <w:rPr>
          <w:rFonts w:cs="Arial"/>
          <w:szCs w:val="22"/>
          <w:lang w:eastAsia="en-AU" w:bidi="ar-SA"/>
        </w:rPr>
        <w:t>came into</w:t>
      </w:r>
      <w:r w:rsidRPr="001753D9">
        <w:rPr>
          <w:rFonts w:cs="Arial"/>
          <w:szCs w:val="22"/>
          <w:lang w:eastAsia="en-AU" w:bidi="ar-SA"/>
        </w:rPr>
        <w:t xml:space="preserve"> effect </w:t>
      </w:r>
      <w:r>
        <w:rPr>
          <w:rFonts w:cs="Arial"/>
          <w:szCs w:val="22"/>
          <w:lang w:eastAsia="en-AU" w:bidi="ar-SA"/>
        </w:rPr>
        <w:t>in</w:t>
      </w:r>
      <w:r w:rsidRPr="001753D9">
        <w:rPr>
          <w:rFonts w:cs="Arial"/>
          <w:szCs w:val="22"/>
          <w:lang w:eastAsia="en-AU" w:bidi="ar-SA"/>
        </w:rPr>
        <w:t xml:space="preserve"> 4 September 2019</w:t>
      </w:r>
      <w:r>
        <w:rPr>
          <w:rStyle w:val="FootnoteReference"/>
          <w:rFonts w:cs="Arial"/>
          <w:szCs w:val="22"/>
          <w:lang w:eastAsia="en-AU" w:bidi="ar-SA"/>
        </w:rPr>
        <w:footnoteReference w:id="11"/>
      </w:r>
      <w:r>
        <w:rPr>
          <w:rFonts w:cs="Arial"/>
          <w:szCs w:val="22"/>
          <w:lang w:eastAsia="en-AU" w:bidi="ar-SA"/>
        </w:rPr>
        <w:t>. US</w:t>
      </w:r>
      <w:r w:rsidR="00C8073A">
        <w:rPr>
          <w:rFonts w:cs="Arial"/>
          <w:szCs w:val="22"/>
          <w:lang w:eastAsia="en-AU" w:bidi="ar-SA"/>
        </w:rPr>
        <w:t xml:space="preserve"> </w:t>
      </w:r>
      <w:r>
        <w:rPr>
          <w:lang w:val="en"/>
        </w:rPr>
        <w:t>FDA currently has also a policy statement that identifies fortification practices that manufacturers are encouraged to follow. However, this policy is guidance only, and US</w:t>
      </w:r>
      <w:r w:rsidR="00C8073A">
        <w:rPr>
          <w:lang w:val="en"/>
        </w:rPr>
        <w:t xml:space="preserve"> </w:t>
      </w:r>
      <w:r>
        <w:rPr>
          <w:lang w:val="en"/>
        </w:rPr>
        <w:t>FDA employs labeling requirements rather than rigid standards for nutrient composition to assist consumers.</w:t>
      </w:r>
    </w:p>
    <w:p w14:paraId="73513CFA" w14:textId="77777777" w:rsidR="00EF3067" w:rsidRDefault="00EF3067" w:rsidP="006E51EF">
      <w:pPr>
        <w:pStyle w:val="Heading4"/>
        <w:widowControl/>
        <w:rPr>
          <w:lang w:eastAsia="en-AU"/>
        </w:rPr>
      </w:pPr>
      <w:r>
        <w:rPr>
          <w:lang w:eastAsia="en-AU"/>
        </w:rPr>
        <w:t>1.3.2.3</w:t>
      </w:r>
      <w:r>
        <w:rPr>
          <w:lang w:eastAsia="en-AU"/>
        </w:rPr>
        <w:tab/>
        <w:t>Canada</w:t>
      </w:r>
    </w:p>
    <w:p w14:paraId="0E9D395C" w14:textId="5A520500" w:rsidR="00EF3067" w:rsidRDefault="00EF3067" w:rsidP="006E51EF">
      <w:pPr>
        <w:widowControl/>
      </w:pPr>
      <w:r w:rsidRPr="00DD3371">
        <w:t xml:space="preserve">In January 2020, Impossible Foods received a letter of no objection on the use of </w:t>
      </w:r>
      <w:r w:rsidR="00062BE2">
        <w:t>‘</w:t>
      </w:r>
      <w:r w:rsidRPr="00DD3371">
        <w:t>soy leghemoglobin preparation</w:t>
      </w:r>
      <w:r w:rsidR="00062BE2">
        <w:t>’</w:t>
      </w:r>
      <w:r w:rsidRPr="00DD3371">
        <w:t xml:space="preserve"> from Health Canada for use in ground</w:t>
      </w:r>
      <w:r>
        <w:t xml:space="preserve"> </w:t>
      </w:r>
      <w:r w:rsidRPr="00DD3371">
        <w:t>beef analogues at leve</w:t>
      </w:r>
      <w:r>
        <w:t>l up to 0.8% soy leghemoglobin.</w:t>
      </w:r>
      <w:r w:rsidR="00CF0E97">
        <w:t xml:space="preserve"> </w:t>
      </w:r>
      <w:r w:rsidR="00366432">
        <w:t xml:space="preserve">As of September 2020, </w:t>
      </w:r>
      <w:r w:rsidR="00CF0E97">
        <w:t xml:space="preserve">Impossible </w:t>
      </w:r>
      <w:r w:rsidR="00366432">
        <w:t>products have been available in stores and catering venues across Canada.</w:t>
      </w:r>
      <w:r w:rsidR="00CF0E97">
        <w:t xml:space="preserve"> </w:t>
      </w:r>
    </w:p>
    <w:p w14:paraId="40AE3FAF" w14:textId="77777777" w:rsidR="00EF3067" w:rsidRPr="00DD3371" w:rsidRDefault="00EF3067" w:rsidP="006E51EF">
      <w:pPr>
        <w:pStyle w:val="Heading4"/>
        <w:widowControl/>
      </w:pPr>
      <w:r>
        <w:lastRenderedPageBreak/>
        <w:t>1.3.2.4</w:t>
      </w:r>
      <w:r w:rsidRPr="00DD3371">
        <w:tab/>
        <w:t>Singapore</w:t>
      </w:r>
    </w:p>
    <w:p w14:paraId="77CDFE6D" w14:textId="1E5967E9" w:rsidR="00EF3067" w:rsidRPr="00275118" w:rsidRDefault="00EF3067" w:rsidP="006E51EF">
      <w:pPr>
        <w:widowControl/>
        <w:rPr>
          <w:lang w:bidi="ar-SA"/>
        </w:rPr>
      </w:pPr>
      <w:r>
        <w:rPr>
          <w:lang w:bidi="ar-SA"/>
        </w:rPr>
        <w:t xml:space="preserve">The </w:t>
      </w:r>
      <w:proofErr w:type="spellStart"/>
      <w:r>
        <w:rPr>
          <w:lang w:bidi="ar-SA"/>
        </w:rPr>
        <w:t>Agri</w:t>
      </w:r>
      <w:proofErr w:type="spellEnd"/>
      <w:r>
        <w:rPr>
          <w:lang w:bidi="ar-SA"/>
        </w:rPr>
        <w:t xml:space="preserve">-Food and Veterinary Authority (now the Singapore Food Agency) in August 2018 permitted the </w:t>
      </w:r>
      <w:r w:rsidR="006C6C34">
        <w:rPr>
          <w:lang w:bidi="ar-SA"/>
        </w:rPr>
        <w:t>‘</w:t>
      </w:r>
      <w:r>
        <w:rPr>
          <w:lang w:bidi="ar-SA"/>
        </w:rPr>
        <w:t>soy leghemoglobin</w:t>
      </w:r>
      <w:r w:rsidR="006C6C34">
        <w:rPr>
          <w:lang w:bidi="ar-SA"/>
        </w:rPr>
        <w:t>’</w:t>
      </w:r>
      <w:r w:rsidR="00D77D23">
        <w:rPr>
          <w:lang w:bidi="ar-SA"/>
        </w:rPr>
        <w:t xml:space="preserve"> </w:t>
      </w:r>
      <w:r w:rsidR="006C6C34">
        <w:rPr>
          <w:lang w:bidi="ar-SA"/>
        </w:rPr>
        <w:t>in their</w:t>
      </w:r>
      <w:r>
        <w:rPr>
          <w:lang w:bidi="ar-SA"/>
        </w:rPr>
        <w:t xml:space="preserve"> </w:t>
      </w:r>
      <w:r w:rsidR="006C6C34">
        <w:rPr>
          <w:i/>
          <w:iCs/>
          <w:szCs w:val="22"/>
        </w:rPr>
        <w:t xml:space="preserve">List of Other Food Additives/Ingredients that are Permitted Under the Singapore Food Regulations </w:t>
      </w:r>
      <w:r>
        <w:rPr>
          <w:lang w:bidi="ar-SA"/>
        </w:rPr>
        <w:t>in ‘plant-based meat analogues’ at levels up to 0.45% (SFA 2019).</w:t>
      </w:r>
      <w:r w:rsidRPr="00FF6B83">
        <w:rPr>
          <w:lang w:bidi="ar-SA"/>
        </w:rPr>
        <w:t xml:space="preserve"> </w:t>
      </w:r>
      <w:r>
        <w:rPr>
          <w:lang w:bidi="ar-SA"/>
        </w:rPr>
        <w:t xml:space="preserve">FSANZ consulted SFA to discuss their assessment processes, and to understand why their permissions were </w:t>
      </w:r>
      <w:r w:rsidR="00B06DFD">
        <w:rPr>
          <w:lang w:bidi="ar-SA"/>
        </w:rPr>
        <w:t>set at</w:t>
      </w:r>
      <w:r>
        <w:rPr>
          <w:lang w:bidi="ar-SA"/>
        </w:rPr>
        <w:t xml:space="preserve"> 0.45% instead of 0.8% </w:t>
      </w:r>
      <w:r w:rsidR="00B06DFD">
        <w:rPr>
          <w:lang w:bidi="ar-SA"/>
        </w:rPr>
        <w:t xml:space="preserve">as </w:t>
      </w:r>
      <w:r>
        <w:rPr>
          <w:lang w:bidi="ar-SA"/>
        </w:rPr>
        <w:t>requested in application A1186. The SFA representatives indicated they undertook a risk analysis similar to FSANZ, and that the level was permitted because</w:t>
      </w:r>
      <w:r w:rsidR="00D77D23">
        <w:rPr>
          <w:lang w:bidi="ar-SA"/>
        </w:rPr>
        <w:t xml:space="preserve"> that was what</w:t>
      </w:r>
      <w:r>
        <w:rPr>
          <w:lang w:bidi="ar-SA"/>
        </w:rPr>
        <w:t xml:space="preserve"> Impossible Foods applied </w:t>
      </w:r>
      <w:r w:rsidR="00D77D23">
        <w:rPr>
          <w:lang w:bidi="ar-SA"/>
        </w:rPr>
        <w:t>for</w:t>
      </w:r>
      <w:r>
        <w:rPr>
          <w:lang w:bidi="ar-SA"/>
        </w:rPr>
        <w:t>. SFA representatives confirmed that the applicant would have to apply for a higher</w:t>
      </w:r>
      <w:r w:rsidR="00D77D23">
        <w:rPr>
          <w:lang w:bidi="ar-SA"/>
        </w:rPr>
        <w:t xml:space="preserve"> use</w:t>
      </w:r>
      <w:r>
        <w:rPr>
          <w:lang w:bidi="ar-SA"/>
        </w:rPr>
        <w:t xml:space="preserve"> level, if </w:t>
      </w:r>
      <w:r w:rsidR="00D77D23">
        <w:rPr>
          <w:lang w:bidi="ar-SA"/>
        </w:rPr>
        <w:t>desired</w:t>
      </w:r>
      <w:r>
        <w:rPr>
          <w:lang w:bidi="ar-SA"/>
        </w:rPr>
        <w:t>.</w:t>
      </w:r>
    </w:p>
    <w:p w14:paraId="34A6A458" w14:textId="77777777" w:rsidR="00EF3067" w:rsidRDefault="00EF3067" w:rsidP="006E51EF">
      <w:pPr>
        <w:pStyle w:val="Heading4"/>
        <w:keepNext w:val="0"/>
        <w:widowControl/>
      </w:pPr>
      <w:r>
        <w:t>1.3.2.5</w:t>
      </w:r>
      <w:r>
        <w:tab/>
        <w:t>Hong Kong and Macau</w:t>
      </w:r>
    </w:p>
    <w:p w14:paraId="77FB8A79" w14:textId="77777777" w:rsidR="00EF3067" w:rsidRPr="00275118" w:rsidRDefault="00EF3067" w:rsidP="006E51EF">
      <w:pPr>
        <w:widowControl/>
        <w:rPr>
          <w:lang w:eastAsia="en-AU" w:bidi="ar-SA"/>
        </w:rPr>
      </w:pPr>
      <w:r>
        <w:rPr>
          <w:lang w:eastAsia="en-AU" w:bidi="ar-SA"/>
        </w:rPr>
        <w:t>The applicant indicated that soy leghemoglobin was respectively permitted in Hong Kong and Macau following approvals in the US and Singapore. The applicant provided information that</w:t>
      </w:r>
      <w:r w:rsidDel="00353150">
        <w:rPr>
          <w:lang w:eastAsia="en-AU" w:bidi="ar-SA"/>
        </w:rPr>
        <w:t xml:space="preserve"> </w:t>
      </w:r>
      <w:r>
        <w:rPr>
          <w:lang w:eastAsia="en-AU" w:bidi="ar-SA"/>
        </w:rPr>
        <w:t>no regulatory provisions apply specifically to GM foods in Hong Kong and such foods are not distinguished from non-GM foods. The applicant also indicated that the Hong Kong Centre for Food Safety takes into account whether or not a safety evaluation has been conducted by international food safety authorities.</w:t>
      </w:r>
    </w:p>
    <w:p w14:paraId="07FC413E" w14:textId="77777777" w:rsidR="00EF3067" w:rsidRDefault="00EF3067" w:rsidP="006E51EF">
      <w:pPr>
        <w:widowControl/>
        <w:rPr>
          <w:lang w:eastAsia="en-AU" w:bidi="ar-SA"/>
        </w:rPr>
      </w:pPr>
    </w:p>
    <w:p w14:paraId="735F8F9B" w14:textId="77777777" w:rsidR="00EF3067" w:rsidRDefault="00EF3067" w:rsidP="006E51EF">
      <w:pPr>
        <w:widowControl/>
        <w:rPr>
          <w:lang w:eastAsia="en-AU" w:bidi="ar-SA"/>
        </w:rPr>
      </w:pPr>
      <w:r>
        <w:rPr>
          <w:lang w:eastAsia="en-AU" w:bidi="ar-SA"/>
        </w:rPr>
        <w:t>The applicant highlighted that most international imports, other than those from China, are transhipped to Macau via Hong Kong. Therefore food products that comply with Hong Kong’s food regulations can generally be marketed in Macau.</w:t>
      </w:r>
    </w:p>
    <w:p w14:paraId="34153455" w14:textId="77777777" w:rsidR="00EF3067" w:rsidRDefault="00EF3067" w:rsidP="006E51EF">
      <w:pPr>
        <w:pStyle w:val="Heading4"/>
        <w:keepNext w:val="0"/>
        <w:widowControl/>
        <w:rPr>
          <w:lang w:eastAsia="en-AU"/>
        </w:rPr>
      </w:pPr>
      <w:r>
        <w:rPr>
          <w:lang w:eastAsia="en-AU"/>
        </w:rPr>
        <w:t>1.3.2.6</w:t>
      </w:r>
      <w:r>
        <w:rPr>
          <w:lang w:eastAsia="en-AU"/>
        </w:rPr>
        <w:tab/>
        <w:t>European Union</w:t>
      </w:r>
    </w:p>
    <w:p w14:paraId="2C8560A5" w14:textId="11FAEE80" w:rsidR="00EF3067" w:rsidRDefault="00315B8E" w:rsidP="006E51EF">
      <w:pPr>
        <w:widowControl/>
        <w:rPr>
          <w:rFonts w:ascii="Calibri" w:hAnsi="Calibri"/>
          <w:szCs w:val="22"/>
          <w:lang w:bidi="ar-SA"/>
        </w:rPr>
      </w:pPr>
      <w:r>
        <w:rPr>
          <w:lang w:eastAsia="en-AU" w:bidi="ar-SA"/>
        </w:rPr>
        <w:t xml:space="preserve">In October 2019, </w:t>
      </w:r>
      <w:r w:rsidR="006C6C34">
        <w:rPr>
          <w:lang w:eastAsia="en-AU" w:bidi="ar-SA"/>
        </w:rPr>
        <w:t xml:space="preserve">European Food Safety Authority (EFSA) received </w:t>
      </w:r>
      <w:r w:rsidR="00EF3067">
        <w:rPr>
          <w:lang w:eastAsia="en-AU" w:bidi="ar-SA"/>
        </w:rPr>
        <w:t xml:space="preserve">Impossible Foods </w:t>
      </w:r>
      <w:r w:rsidR="006C6C34">
        <w:rPr>
          <w:lang w:eastAsia="en-AU" w:bidi="ar-SA"/>
        </w:rPr>
        <w:t>application</w:t>
      </w:r>
      <w:r w:rsidR="00EF3067">
        <w:rPr>
          <w:lang w:eastAsia="en-AU" w:bidi="ar-SA"/>
        </w:rPr>
        <w:t xml:space="preserve"> </w:t>
      </w:r>
      <w:r w:rsidR="006C6C34">
        <w:rPr>
          <w:lang w:eastAsia="en-AU" w:bidi="ar-SA"/>
        </w:rPr>
        <w:t xml:space="preserve">to authorise the sale of soy leghemoglobin (in the form of the soy leghemoglobin preparation) </w:t>
      </w:r>
      <w:r w:rsidR="006C6C34" w:rsidRPr="005F4923">
        <w:rPr>
          <w:lang w:eastAsia="en-AU" w:bidi="ar-SA"/>
        </w:rPr>
        <w:t xml:space="preserve">from genetically modified </w:t>
      </w:r>
      <w:r w:rsidR="006C6C34" w:rsidRPr="005F4923">
        <w:rPr>
          <w:i/>
          <w:lang w:eastAsia="en-AU" w:bidi="ar-SA"/>
        </w:rPr>
        <w:t>P</w:t>
      </w:r>
      <w:r w:rsidR="00EA3CBA">
        <w:rPr>
          <w:i/>
          <w:lang w:eastAsia="en-AU" w:bidi="ar-SA"/>
        </w:rPr>
        <w:t>.</w:t>
      </w:r>
      <w:r w:rsidR="006C6C34" w:rsidRPr="005F4923">
        <w:rPr>
          <w:i/>
          <w:lang w:eastAsia="en-AU" w:bidi="ar-SA"/>
        </w:rPr>
        <w:t xml:space="preserve"> pastoris</w:t>
      </w:r>
      <w:r w:rsidR="006C6C34">
        <w:t xml:space="preserve"> as a flavo</w:t>
      </w:r>
      <w:r w:rsidR="00B06DFD">
        <w:t>uring in meat analogue products</w:t>
      </w:r>
      <w:r w:rsidR="00EF3067">
        <w:rPr>
          <w:rStyle w:val="FootnoteReference"/>
          <w:lang w:eastAsia="en-AU" w:bidi="ar-SA"/>
        </w:rPr>
        <w:footnoteReference w:id="12"/>
      </w:r>
      <w:r w:rsidR="00EF3067">
        <w:rPr>
          <w:lang w:eastAsia="en-AU" w:bidi="ar-SA"/>
        </w:rPr>
        <w:t xml:space="preserve"> (</w:t>
      </w:r>
      <w:r w:rsidR="00B06DFD">
        <w:rPr>
          <w:lang w:eastAsia="en-AU" w:bidi="ar-SA"/>
        </w:rPr>
        <w:t>r</w:t>
      </w:r>
      <w:r w:rsidR="00EF3067">
        <w:rPr>
          <w:lang w:eastAsia="en-AU" w:bidi="ar-SA"/>
        </w:rPr>
        <w:t xml:space="preserve">equestor member state – The Netherlands). </w:t>
      </w:r>
      <w:r>
        <w:rPr>
          <w:lang w:eastAsia="en-AU" w:bidi="ar-SA"/>
        </w:rPr>
        <w:t>The status of this application is</w:t>
      </w:r>
      <w:r w:rsidR="00EF3067">
        <w:rPr>
          <w:lang w:eastAsia="en-AU" w:bidi="ar-SA"/>
        </w:rPr>
        <w:t xml:space="preserve"> </w:t>
      </w:r>
      <w:r>
        <w:rPr>
          <w:lang w:eastAsia="en-AU" w:bidi="ar-SA"/>
        </w:rPr>
        <w:t>‘</w:t>
      </w:r>
      <w:r w:rsidR="00EF3067">
        <w:rPr>
          <w:lang w:eastAsia="en-AU" w:bidi="ar-SA"/>
        </w:rPr>
        <w:t>under consideration</w:t>
      </w:r>
      <w:r>
        <w:rPr>
          <w:lang w:eastAsia="en-AU" w:bidi="ar-SA"/>
        </w:rPr>
        <w:t>’</w:t>
      </w:r>
      <w:r w:rsidR="00EF3067">
        <w:rPr>
          <w:lang w:eastAsia="en-AU" w:bidi="ar-SA"/>
        </w:rPr>
        <w:t xml:space="preserve"> as a GM food under </w:t>
      </w:r>
      <w:r w:rsidR="00EF3067" w:rsidRPr="00C97A93">
        <w:rPr>
          <w:lang w:eastAsia="en-AU" w:bidi="ar-SA"/>
        </w:rPr>
        <w:t>Reg</w:t>
      </w:r>
      <w:r w:rsidR="00EF3067">
        <w:rPr>
          <w:lang w:eastAsia="en-AU" w:bidi="ar-SA"/>
        </w:rPr>
        <w:t>ulation (EC)</w:t>
      </w:r>
      <w:r w:rsidR="00EF3067" w:rsidRPr="00C97A93">
        <w:rPr>
          <w:lang w:eastAsia="en-AU" w:bidi="ar-SA"/>
        </w:rPr>
        <w:t xml:space="preserve"> 1829/2003</w:t>
      </w:r>
      <w:r w:rsidR="00EF3067">
        <w:rPr>
          <w:lang w:eastAsia="en-AU" w:bidi="ar-SA"/>
        </w:rPr>
        <w:t>.</w:t>
      </w:r>
    </w:p>
    <w:p w14:paraId="13D96386" w14:textId="77777777" w:rsidR="00EF3067" w:rsidRPr="000B6AF2" w:rsidRDefault="00EF3067" w:rsidP="006E51EF">
      <w:pPr>
        <w:pStyle w:val="Heading2"/>
        <w:widowControl/>
        <w:rPr>
          <w:u w:color="FFFF00"/>
        </w:rPr>
      </w:pPr>
      <w:bookmarkStart w:id="58" w:name="_Toc41576648"/>
      <w:bookmarkStart w:id="59" w:name="_Toc42875211"/>
      <w:bookmarkStart w:id="60" w:name="_Toc43128116"/>
      <w:bookmarkStart w:id="61" w:name="_Toc53406097"/>
      <w:bookmarkStart w:id="62" w:name="_Toc53484607"/>
      <w:bookmarkStart w:id="63" w:name="_Toc58840790"/>
      <w:r>
        <w:rPr>
          <w:u w:color="FFFF00"/>
        </w:rPr>
        <w:t>1.4</w:t>
      </w:r>
      <w:r>
        <w:rPr>
          <w:u w:color="FFFF00"/>
        </w:rPr>
        <w:tab/>
      </w:r>
      <w:r w:rsidRPr="00746C74">
        <w:rPr>
          <w:u w:color="FFFF00"/>
        </w:rPr>
        <w:t>Reasons for accepting Application</w:t>
      </w:r>
      <w:bookmarkEnd w:id="58"/>
      <w:bookmarkEnd w:id="59"/>
      <w:bookmarkEnd w:id="60"/>
      <w:bookmarkEnd w:id="61"/>
      <w:bookmarkEnd w:id="62"/>
      <w:bookmarkEnd w:id="63"/>
    </w:p>
    <w:p w14:paraId="15CBCD65" w14:textId="77777777" w:rsidR="00EF3067" w:rsidRPr="000A26D4" w:rsidRDefault="00EF3067" w:rsidP="006E51EF">
      <w:pPr>
        <w:widowControl/>
      </w:pPr>
      <w:r w:rsidRPr="000A26D4">
        <w:t>The Application was accepted for assessment because:</w:t>
      </w:r>
    </w:p>
    <w:p w14:paraId="46935AA2" w14:textId="77777777" w:rsidR="00EF3067" w:rsidRPr="000A26D4" w:rsidRDefault="00EF3067" w:rsidP="006E51EF">
      <w:pPr>
        <w:widowControl/>
      </w:pPr>
    </w:p>
    <w:p w14:paraId="1E08C282" w14:textId="77777777" w:rsidR="00EF3067" w:rsidRPr="000A26D4" w:rsidRDefault="00EF3067" w:rsidP="00FF61AD">
      <w:pPr>
        <w:pStyle w:val="ListParagraph"/>
        <w:widowControl/>
        <w:numPr>
          <w:ilvl w:val="0"/>
          <w:numId w:val="6"/>
        </w:numPr>
      </w:pPr>
      <w:r w:rsidRPr="000A26D4">
        <w:t>it complied with the procedural requirements under subsection 22(2)</w:t>
      </w:r>
    </w:p>
    <w:p w14:paraId="511ABDE8" w14:textId="77777777" w:rsidR="00EF3067" w:rsidRDefault="00EF3067" w:rsidP="00FF61AD">
      <w:pPr>
        <w:pStyle w:val="ListParagraph"/>
        <w:widowControl/>
        <w:numPr>
          <w:ilvl w:val="0"/>
          <w:numId w:val="6"/>
        </w:numPr>
      </w:pPr>
      <w:r w:rsidRPr="000A26D4">
        <w:t>it related to a matter that warranted the variation of a food regulatory measure</w:t>
      </w:r>
      <w:r>
        <w:t>.</w:t>
      </w:r>
    </w:p>
    <w:p w14:paraId="28F3652D" w14:textId="77777777" w:rsidR="00EF3067" w:rsidRDefault="00EF3067" w:rsidP="006E51EF">
      <w:pPr>
        <w:pStyle w:val="Heading2"/>
        <w:widowControl/>
      </w:pPr>
      <w:bookmarkStart w:id="64" w:name="_Toc41576649"/>
      <w:bookmarkStart w:id="65" w:name="_Toc42875212"/>
      <w:bookmarkStart w:id="66" w:name="_Toc43128117"/>
      <w:bookmarkStart w:id="67" w:name="_Toc53406098"/>
      <w:bookmarkStart w:id="68" w:name="_Toc53484608"/>
      <w:bookmarkStart w:id="69" w:name="_Toc58840791"/>
      <w:bookmarkEnd w:id="57"/>
      <w:r>
        <w:t>1.5</w:t>
      </w:r>
      <w:r>
        <w:tab/>
        <w:t>Procedure for assessment</w:t>
      </w:r>
      <w:bookmarkEnd w:id="64"/>
      <w:bookmarkEnd w:id="65"/>
      <w:bookmarkEnd w:id="66"/>
      <w:bookmarkEnd w:id="67"/>
      <w:bookmarkEnd w:id="68"/>
      <w:bookmarkEnd w:id="69"/>
    </w:p>
    <w:p w14:paraId="6461AF72" w14:textId="2252D850" w:rsidR="006C6C34" w:rsidRDefault="00EF3067" w:rsidP="006E51EF">
      <w:pPr>
        <w:widowControl/>
        <w:spacing w:after="240"/>
      </w:pPr>
      <w:r w:rsidRPr="000A26D4">
        <w:t xml:space="preserve">The Application </w:t>
      </w:r>
      <w:r w:rsidR="00B06DFD">
        <w:t>was</w:t>
      </w:r>
      <w:r w:rsidRPr="000A26D4">
        <w:t xml:space="preserve"> assessed under </w:t>
      </w:r>
      <w:r>
        <w:t>a</w:t>
      </w:r>
      <w:r w:rsidRPr="000A26D4">
        <w:t xml:space="preserve"> Major Procedure.</w:t>
      </w:r>
      <w:bookmarkStart w:id="70" w:name="_Toc300933424"/>
    </w:p>
    <w:p w14:paraId="30149DE0" w14:textId="582C7BB2" w:rsidR="006C6C34" w:rsidRDefault="006C6C34" w:rsidP="006E51EF">
      <w:pPr>
        <w:widowControl/>
        <w:spacing w:after="240"/>
      </w:pPr>
      <w:r>
        <w:t xml:space="preserve">FSANZ extended the consideration period for the application by </w:t>
      </w:r>
      <w:r w:rsidR="001E726D">
        <w:t xml:space="preserve">four </w:t>
      </w:r>
      <w:r>
        <w:t xml:space="preserve">months under subsection 109(4) of the </w:t>
      </w:r>
      <w:r>
        <w:rPr>
          <w:i/>
        </w:rPr>
        <w:t xml:space="preserve">Food Standards Australia New Zealand Act </w:t>
      </w:r>
      <w:r w:rsidRPr="00A0385C">
        <w:rPr>
          <w:i/>
        </w:rPr>
        <w:t>1991</w:t>
      </w:r>
      <w:r w:rsidR="00DC1EB0">
        <w:rPr>
          <w:i/>
        </w:rPr>
        <w:t xml:space="preserve"> </w:t>
      </w:r>
      <w:r w:rsidR="00DC1EB0">
        <w:t>(the FSANZ Act)</w:t>
      </w:r>
      <w:r>
        <w:t>. We determined that it was not practicable to consider the application within the 12 month period (for a Major procedure) due to its complexity.</w:t>
      </w:r>
    </w:p>
    <w:p w14:paraId="0FAD6AD3" w14:textId="77777777" w:rsidR="00EF3067" w:rsidRDefault="00EF3067" w:rsidP="006E51EF">
      <w:pPr>
        <w:pStyle w:val="Heading2"/>
        <w:widowControl/>
      </w:pPr>
      <w:bookmarkStart w:id="71" w:name="_Toc53406099"/>
      <w:bookmarkStart w:id="72" w:name="_Toc53484609"/>
      <w:bookmarkStart w:id="73" w:name="_Toc58840792"/>
      <w:r w:rsidRPr="004C285B">
        <w:lastRenderedPageBreak/>
        <w:t>1.6</w:t>
      </w:r>
      <w:r w:rsidRPr="004C285B">
        <w:tab/>
        <w:t>Decision</w:t>
      </w:r>
      <w:bookmarkEnd w:id="71"/>
      <w:bookmarkEnd w:id="72"/>
      <w:bookmarkEnd w:id="73"/>
    </w:p>
    <w:p w14:paraId="0AE7C7D8" w14:textId="6704A262" w:rsidR="00EF3067" w:rsidRPr="009644A8" w:rsidRDefault="00EF3067" w:rsidP="006E51EF">
      <w:pPr>
        <w:widowControl/>
      </w:pPr>
      <w:r w:rsidRPr="009644A8">
        <w:t xml:space="preserve">The draft variation as proposed following assessment was approved without change. The variation takes effect on </w:t>
      </w:r>
      <w:r w:rsidR="009644A8" w:rsidRPr="009644A8">
        <w:t xml:space="preserve">Gazettal. </w:t>
      </w:r>
      <w:r w:rsidRPr="009644A8">
        <w:t xml:space="preserve">The approved draft variation is at Attachment A. </w:t>
      </w:r>
    </w:p>
    <w:p w14:paraId="78EA5CDE" w14:textId="77777777" w:rsidR="00EF3067" w:rsidRDefault="00EF3067" w:rsidP="006E51EF">
      <w:pPr>
        <w:widowControl/>
      </w:pPr>
    </w:p>
    <w:p w14:paraId="6703AB72" w14:textId="04D5618F" w:rsidR="00EF3067" w:rsidRDefault="00EF3067" w:rsidP="006E51EF">
      <w:pPr>
        <w:widowControl/>
        <w:spacing w:after="240"/>
      </w:pPr>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rsidR="009644A8">
        <w:t>on.</w:t>
      </w:r>
    </w:p>
    <w:p w14:paraId="08FB3B53" w14:textId="77777777" w:rsidR="00EF3067" w:rsidRPr="00180C41" w:rsidRDefault="00EF3067" w:rsidP="006E51EF">
      <w:pPr>
        <w:pStyle w:val="Heading1"/>
        <w:widowControl/>
        <w:ind w:left="0" w:firstLine="0"/>
      </w:pPr>
      <w:bookmarkStart w:id="74" w:name="_Toc41576650"/>
      <w:bookmarkStart w:id="75" w:name="_Toc42875213"/>
      <w:bookmarkStart w:id="76" w:name="_Toc43128118"/>
      <w:bookmarkStart w:id="77" w:name="_Toc53406100"/>
      <w:bookmarkStart w:id="78" w:name="_Toc53484610"/>
      <w:bookmarkStart w:id="79" w:name="_Toc58840793"/>
      <w:r>
        <w:t>2</w:t>
      </w:r>
      <w:r>
        <w:tab/>
        <w:t>Summary of the assessment</w:t>
      </w:r>
      <w:bookmarkEnd w:id="70"/>
      <w:bookmarkEnd w:id="74"/>
      <w:bookmarkEnd w:id="75"/>
      <w:bookmarkEnd w:id="76"/>
      <w:bookmarkEnd w:id="77"/>
      <w:bookmarkEnd w:id="78"/>
      <w:bookmarkEnd w:id="79"/>
    </w:p>
    <w:p w14:paraId="291FA6DC" w14:textId="77777777" w:rsidR="00EF3067" w:rsidRPr="00823523" w:rsidRDefault="00EF3067" w:rsidP="006E51EF">
      <w:pPr>
        <w:pStyle w:val="Heading2"/>
        <w:widowControl/>
      </w:pPr>
      <w:bookmarkStart w:id="80" w:name="_Toc41576651"/>
      <w:bookmarkStart w:id="81" w:name="_Toc42875214"/>
      <w:bookmarkStart w:id="82" w:name="_Toc43128119"/>
      <w:bookmarkStart w:id="83" w:name="_Toc53406101"/>
      <w:bookmarkStart w:id="84" w:name="_Toc53484611"/>
      <w:bookmarkStart w:id="85" w:name="_Toc58840794"/>
      <w:r w:rsidRPr="00823523">
        <w:t>2.1</w:t>
      </w:r>
      <w:r w:rsidRPr="00823523">
        <w:tab/>
        <w:t>Summary of issues raised in submissions</w:t>
      </w:r>
      <w:bookmarkEnd w:id="80"/>
      <w:bookmarkEnd w:id="81"/>
      <w:bookmarkEnd w:id="82"/>
      <w:bookmarkEnd w:id="83"/>
      <w:bookmarkEnd w:id="84"/>
      <w:bookmarkEnd w:id="85"/>
    </w:p>
    <w:p w14:paraId="3E51193E" w14:textId="3585E369" w:rsidR="00EF3067" w:rsidRDefault="00EF3067" w:rsidP="006E51EF">
      <w:pPr>
        <w:widowControl/>
        <w:spacing w:after="240"/>
        <w:rPr>
          <w:lang w:bidi="ar-SA"/>
        </w:rPr>
      </w:pPr>
      <w:r>
        <w:rPr>
          <w:lang w:bidi="ar-SA"/>
        </w:rPr>
        <w:t xml:space="preserve">FSANZ received a total of </w:t>
      </w:r>
      <w:r w:rsidR="00267892">
        <w:rPr>
          <w:lang w:bidi="ar-SA"/>
        </w:rPr>
        <w:t xml:space="preserve">16 </w:t>
      </w:r>
      <w:r>
        <w:rPr>
          <w:lang w:bidi="ar-SA"/>
        </w:rPr>
        <w:t>submissions</w:t>
      </w:r>
      <w:r w:rsidR="00DD08CD" w:rsidRPr="00DD08CD">
        <w:rPr>
          <w:lang w:bidi="ar-SA"/>
        </w:rPr>
        <w:t xml:space="preserve"> </w:t>
      </w:r>
      <w:r w:rsidR="00DD08CD">
        <w:rPr>
          <w:lang w:bidi="ar-SA"/>
        </w:rPr>
        <w:t>to the 2</w:t>
      </w:r>
      <w:r w:rsidR="00DD08CD" w:rsidRPr="00EF3067">
        <w:rPr>
          <w:vertAlign w:val="superscript"/>
          <w:lang w:bidi="ar-SA"/>
        </w:rPr>
        <w:t>nd</w:t>
      </w:r>
      <w:r w:rsidR="00DD08CD">
        <w:rPr>
          <w:lang w:bidi="ar-SA"/>
        </w:rPr>
        <w:t xml:space="preserve"> CFS</w:t>
      </w:r>
      <w:r w:rsidR="004C285B">
        <w:rPr>
          <w:lang w:bidi="ar-SA"/>
        </w:rPr>
        <w:t xml:space="preserve">: </w:t>
      </w:r>
      <w:r w:rsidR="00013FCC">
        <w:rPr>
          <w:lang w:bidi="ar-SA"/>
        </w:rPr>
        <w:t>four</w:t>
      </w:r>
      <w:r w:rsidR="004C285B">
        <w:rPr>
          <w:lang w:bidi="ar-SA"/>
        </w:rPr>
        <w:t xml:space="preserve"> </w:t>
      </w:r>
      <w:r w:rsidR="00013FCC">
        <w:rPr>
          <w:lang w:bidi="ar-SA"/>
        </w:rPr>
        <w:t xml:space="preserve">(4) </w:t>
      </w:r>
      <w:r w:rsidR="00C8073A">
        <w:rPr>
          <w:lang w:bidi="ar-SA"/>
        </w:rPr>
        <w:t>g</w:t>
      </w:r>
      <w:r w:rsidR="004C285B">
        <w:rPr>
          <w:lang w:bidi="ar-SA"/>
        </w:rPr>
        <w:t>overnment jurisdictions,</w:t>
      </w:r>
      <w:r w:rsidR="00013FCC">
        <w:rPr>
          <w:lang w:bidi="ar-SA"/>
        </w:rPr>
        <w:t xml:space="preserve"> five (5)</w:t>
      </w:r>
      <w:r w:rsidR="004C285B">
        <w:rPr>
          <w:lang w:bidi="ar-SA"/>
        </w:rPr>
        <w:t xml:space="preserve"> industry</w:t>
      </w:r>
      <w:r w:rsidR="00013FCC">
        <w:rPr>
          <w:lang w:bidi="ar-SA"/>
        </w:rPr>
        <w:t xml:space="preserve"> (including the applicant)</w:t>
      </w:r>
      <w:r w:rsidR="004C285B">
        <w:rPr>
          <w:lang w:bidi="ar-SA"/>
        </w:rPr>
        <w:t xml:space="preserve">, </w:t>
      </w:r>
      <w:r w:rsidR="00013FCC">
        <w:rPr>
          <w:lang w:bidi="ar-SA"/>
        </w:rPr>
        <w:t>two</w:t>
      </w:r>
      <w:r w:rsidR="00C8073A">
        <w:rPr>
          <w:lang w:bidi="ar-SA"/>
        </w:rPr>
        <w:t xml:space="preserve"> </w:t>
      </w:r>
      <w:r w:rsidR="00013FCC">
        <w:rPr>
          <w:lang w:bidi="ar-SA"/>
        </w:rPr>
        <w:t xml:space="preserve">(2) </w:t>
      </w:r>
      <w:r w:rsidR="00C8073A">
        <w:rPr>
          <w:lang w:bidi="ar-SA"/>
        </w:rPr>
        <w:t xml:space="preserve">Not for Profit organisations, </w:t>
      </w:r>
      <w:r w:rsidR="00013FCC">
        <w:rPr>
          <w:lang w:bidi="ar-SA"/>
        </w:rPr>
        <w:t>three (3)</w:t>
      </w:r>
      <w:r w:rsidR="004C285B">
        <w:rPr>
          <w:lang w:bidi="ar-SA"/>
        </w:rPr>
        <w:t xml:space="preserve"> consumer groups and </w:t>
      </w:r>
      <w:r w:rsidR="00013FCC">
        <w:rPr>
          <w:lang w:bidi="ar-SA"/>
        </w:rPr>
        <w:t>two (2)</w:t>
      </w:r>
      <w:r w:rsidR="004C285B">
        <w:rPr>
          <w:lang w:bidi="ar-SA"/>
        </w:rPr>
        <w:t xml:space="preserve"> private submitters </w:t>
      </w:r>
      <w:r>
        <w:rPr>
          <w:lang w:bidi="ar-SA"/>
        </w:rPr>
        <w:t>(see Attachment D</w:t>
      </w:r>
      <w:r w:rsidR="00C8073A">
        <w:rPr>
          <w:lang w:bidi="ar-SA"/>
        </w:rPr>
        <w:t xml:space="preserve"> for a full list of submitters).</w:t>
      </w:r>
    </w:p>
    <w:p w14:paraId="33193BD1" w14:textId="5BF1483C" w:rsidR="00EF3067" w:rsidRPr="00DB0193" w:rsidRDefault="00C8073A" w:rsidP="006E51EF">
      <w:pPr>
        <w:widowControl/>
        <w:spacing w:after="240"/>
        <w:rPr>
          <w:lang w:bidi="ar-SA"/>
        </w:rPr>
      </w:pPr>
      <w:r w:rsidRPr="00DB0193">
        <w:rPr>
          <w:lang w:bidi="ar-SA"/>
        </w:rPr>
        <w:t>The</w:t>
      </w:r>
      <w:r w:rsidR="00EF3067" w:rsidRPr="00DB0193">
        <w:rPr>
          <w:lang w:bidi="ar-SA"/>
        </w:rPr>
        <w:t xml:space="preserve"> submissions have been published on the </w:t>
      </w:r>
      <w:hyperlink r:id="rId16" w:history="1">
        <w:r w:rsidR="00267892" w:rsidRPr="00267892">
          <w:rPr>
            <w:rStyle w:val="Hyperlink"/>
            <w:lang w:bidi="ar-SA"/>
          </w:rPr>
          <w:t>A1186 webpage</w:t>
        </w:r>
      </w:hyperlink>
      <w:r w:rsidR="00EF3067" w:rsidRPr="00DB0193">
        <w:rPr>
          <w:lang w:bidi="ar-SA"/>
        </w:rPr>
        <w:t>. Across the different submitter groups, FSANZ note</w:t>
      </w:r>
      <w:r w:rsidR="00A75F5F">
        <w:rPr>
          <w:lang w:bidi="ar-SA"/>
        </w:rPr>
        <w:t>s</w:t>
      </w:r>
      <w:r w:rsidR="00EF3067" w:rsidRPr="00DB0193">
        <w:rPr>
          <w:lang w:bidi="ar-SA"/>
        </w:rPr>
        <w:t xml:space="preserve"> </w:t>
      </w:r>
      <w:r w:rsidR="00013FCC">
        <w:rPr>
          <w:lang w:bidi="ar-SA"/>
        </w:rPr>
        <w:t>eight submitters</w:t>
      </w:r>
      <w:r w:rsidR="00267892" w:rsidRPr="00DB0193">
        <w:rPr>
          <w:lang w:bidi="ar-SA"/>
        </w:rPr>
        <w:t xml:space="preserve"> </w:t>
      </w:r>
      <w:r w:rsidR="00267892">
        <w:rPr>
          <w:lang w:bidi="ar-SA"/>
        </w:rPr>
        <w:t xml:space="preserve">(including the </w:t>
      </w:r>
      <w:r w:rsidR="0025089F">
        <w:rPr>
          <w:lang w:bidi="ar-SA"/>
        </w:rPr>
        <w:t>applicant</w:t>
      </w:r>
      <w:r w:rsidR="00267892">
        <w:rPr>
          <w:lang w:bidi="ar-SA"/>
        </w:rPr>
        <w:t xml:space="preserve">) </w:t>
      </w:r>
      <w:r w:rsidR="00DB0193" w:rsidRPr="00DB0193">
        <w:rPr>
          <w:lang w:bidi="ar-SA"/>
        </w:rPr>
        <w:t>supported the proposed permission, including the proposed draft variation to the Code, and labelling requirements outlined in the 2</w:t>
      </w:r>
      <w:r w:rsidR="00DB0193" w:rsidRPr="00DB0193">
        <w:rPr>
          <w:vertAlign w:val="superscript"/>
          <w:lang w:bidi="ar-SA"/>
        </w:rPr>
        <w:t>nd</w:t>
      </w:r>
      <w:r w:rsidR="00DB0193" w:rsidRPr="00DB0193">
        <w:rPr>
          <w:lang w:bidi="ar-SA"/>
        </w:rPr>
        <w:t xml:space="preserve"> CFS report</w:t>
      </w:r>
      <w:r w:rsidR="00EF3067" w:rsidRPr="00DB0193">
        <w:rPr>
          <w:lang w:bidi="ar-SA"/>
        </w:rPr>
        <w:t>.</w:t>
      </w:r>
    </w:p>
    <w:p w14:paraId="5668B080" w14:textId="35C5AD30" w:rsidR="003F7C9B" w:rsidRDefault="00EF3067" w:rsidP="006E51EF">
      <w:pPr>
        <w:widowControl/>
        <w:rPr>
          <w:lang w:bidi="ar-SA"/>
        </w:rPr>
        <w:sectPr w:rsidR="003F7C9B" w:rsidSect="002C519D">
          <w:pgSz w:w="11906" w:h="16838" w:code="9"/>
          <w:pgMar w:top="1418" w:right="1418" w:bottom="1418" w:left="1418" w:header="709" w:footer="709" w:gutter="0"/>
          <w:cols w:space="708"/>
          <w:docGrid w:linePitch="360"/>
        </w:sectPr>
      </w:pPr>
      <w:r w:rsidRPr="00DB0193">
        <w:rPr>
          <w:lang w:bidi="ar-SA"/>
        </w:rPr>
        <w:t>Issues or questions requiring clarification from relevant submissions have been summarised and respon</w:t>
      </w:r>
      <w:r w:rsidR="00DD08CD">
        <w:rPr>
          <w:lang w:bidi="ar-SA"/>
        </w:rPr>
        <w:t>ses given in</w:t>
      </w:r>
      <w:r w:rsidRPr="00DB0193">
        <w:rPr>
          <w:lang w:bidi="ar-SA"/>
        </w:rPr>
        <w:t xml:space="preserve"> Table 1</w:t>
      </w:r>
      <w:r w:rsidR="00DB0193" w:rsidRPr="00DB0193">
        <w:rPr>
          <w:lang w:bidi="ar-SA"/>
        </w:rPr>
        <w:t xml:space="preserve"> (relating </w:t>
      </w:r>
      <w:r w:rsidR="00013FCC">
        <w:rPr>
          <w:lang w:bidi="ar-SA"/>
        </w:rPr>
        <w:t xml:space="preserve">to </w:t>
      </w:r>
      <w:r w:rsidR="00013FCC" w:rsidRPr="00DB0193">
        <w:rPr>
          <w:lang w:bidi="ar-SA"/>
        </w:rPr>
        <w:t xml:space="preserve">soy leghemoglobin or </w:t>
      </w:r>
      <w:r w:rsidR="00DB0193" w:rsidRPr="00DB0193">
        <w:rPr>
          <w:lang w:bidi="ar-SA"/>
        </w:rPr>
        <w:t>the Preparation) and Table 2 (</w:t>
      </w:r>
      <w:r w:rsidRPr="00DB0193">
        <w:rPr>
          <w:lang w:bidi="ar-SA"/>
        </w:rPr>
        <w:t xml:space="preserve">relating to the applicant’s Impossible </w:t>
      </w:r>
      <w:r w:rsidR="00DD08CD">
        <w:rPr>
          <w:lang w:bidi="ar-SA"/>
        </w:rPr>
        <w:t xml:space="preserve">Foods </w:t>
      </w:r>
      <w:r w:rsidRPr="00DB0193">
        <w:rPr>
          <w:lang w:bidi="ar-SA"/>
        </w:rPr>
        <w:t xml:space="preserve">meat analogue products, </w:t>
      </w:r>
      <w:r w:rsidR="00DB0193" w:rsidRPr="00DB0193">
        <w:rPr>
          <w:lang w:bidi="ar-SA"/>
        </w:rPr>
        <w:t>or</w:t>
      </w:r>
      <w:r w:rsidRPr="00DB0193">
        <w:rPr>
          <w:lang w:bidi="ar-SA"/>
        </w:rPr>
        <w:t xml:space="preserve"> analogue products more broadly</w:t>
      </w:r>
      <w:r w:rsidR="00DB0193" w:rsidRPr="00DB0193">
        <w:rPr>
          <w:lang w:bidi="ar-SA"/>
        </w:rPr>
        <w:t>)</w:t>
      </w:r>
      <w:r w:rsidRPr="00DB0193">
        <w:rPr>
          <w:lang w:bidi="ar-SA"/>
        </w:rPr>
        <w:t>.</w:t>
      </w:r>
    </w:p>
    <w:p w14:paraId="0B6B8474" w14:textId="77777777" w:rsidR="0012388D" w:rsidRDefault="007A53BF" w:rsidP="006E51EF">
      <w:pPr>
        <w:pStyle w:val="Heading1"/>
        <w:widowControl/>
      </w:pPr>
      <w:bookmarkStart w:id="86" w:name="_Toc53406102"/>
      <w:bookmarkStart w:id="87" w:name="_Toc53484612"/>
      <w:bookmarkStart w:id="88" w:name="_Toc58840795"/>
      <w:bookmarkStart w:id="89" w:name="_Toc11735630"/>
      <w:bookmarkStart w:id="90" w:name="_Toc29883114"/>
      <w:bookmarkStart w:id="91" w:name="_Toc41906801"/>
      <w:bookmarkStart w:id="92" w:name="_Toc41907548"/>
      <w:bookmarkStart w:id="93" w:name="_Toc120358578"/>
      <w:bookmarkStart w:id="94" w:name="_Toc175381435"/>
      <w:bookmarkEnd w:id="6"/>
      <w:bookmarkEnd w:id="7"/>
      <w:bookmarkEnd w:id="8"/>
      <w:bookmarkEnd w:id="9"/>
      <w:bookmarkEnd w:id="10"/>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86"/>
      <w:bookmarkEnd w:id="87"/>
      <w:bookmarkEnd w:id="88"/>
    </w:p>
    <w:p w14:paraId="36C513E2" w14:textId="77777777" w:rsidR="007A53BF" w:rsidRPr="002C1A3B" w:rsidRDefault="007A53BF" w:rsidP="006E51EF">
      <w:pPr>
        <w:pStyle w:val="Heading2"/>
        <w:widowControl/>
      </w:pPr>
      <w:bookmarkStart w:id="95" w:name="_Toc300933438"/>
      <w:bookmarkStart w:id="96" w:name="_Toc370223471"/>
      <w:bookmarkStart w:id="97" w:name="_Toc370225386"/>
      <w:bookmarkStart w:id="98" w:name="_Toc53406103"/>
      <w:bookmarkStart w:id="99" w:name="_Toc53484613"/>
      <w:bookmarkStart w:id="100" w:name="_Toc58840796"/>
      <w:bookmarkStart w:id="101" w:name="_Toc286391009"/>
      <w:bookmarkStart w:id="102" w:name="_Toc300933425"/>
      <w:bookmarkStart w:id="103" w:name="_Toc309291838"/>
      <w:bookmarkStart w:id="104" w:name="_Toc309385455"/>
      <w:bookmarkStart w:id="105" w:name="_Toc120358583"/>
      <w:bookmarkStart w:id="106" w:name="_Toc175381440"/>
      <w:r w:rsidRPr="002C1A3B">
        <w:t>2.1</w:t>
      </w:r>
      <w:r w:rsidRPr="002C1A3B">
        <w:tab/>
        <w:t xml:space="preserve">Summary of issues raised </w:t>
      </w:r>
      <w:bookmarkEnd w:id="95"/>
      <w:r w:rsidRPr="002C1A3B">
        <w:t>in submissions</w:t>
      </w:r>
      <w:bookmarkEnd w:id="96"/>
      <w:bookmarkEnd w:id="97"/>
      <w:bookmarkEnd w:id="98"/>
      <w:bookmarkEnd w:id="99"/>
      <w:bookmarkEnd w:id="100"/>
    </w:p>
    <w:p w14:paraId="4198925A" w14:textId="26154412" w:rsidR="007A53BF" w:rsidRDefault="007A53BF" w:rsidP="006E51EF">
      <w:pPr>
        <w:pStyle w:val="FSTableTitle"/>
        <w:widowControl/>
      </w:pPr>
      <w:r>
        <w:t>Table 1</w:t>
      </w:r>
      <w:r w:rsidR="00AC6DD0">
        <w:t>.</w:t>
      </w:r>
      <w:r>
        <w:t xml:space="preserve"> </w:t>
      </w:r>
      <w:r w:rsidR="00DD08CD">
        <w:t xml:space="preserve">Submission </w:t>
      </w:r>
      <w:r>
        <w:t xml:space="preserve">issues </w:t>
      </w:r>
      <w:r w:rsidR="00DD08CD">
        <w:t>relating to soy leghemoglobin or the Preparation</w:t>
      </w:r>
    </w:p>
    <w:p w14:paraId="15336AF4" w14:textId="77777777" w:rsidR="007A53BF" w:rsidRPr="00B853D2" w:rsidRDefault="007A53BF" w:rsidP="006E51EF">
      <w:pPr>
        <w:widowControl/>
      </w:pPr>
    </w:p>
    <w:tbl>
      <w:tblPr>
        <w:tblStyle w:val="MediumShading1-Accent3"/>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bmission issues relating to soy leghemoglobin or the preparation"/>
      </w:tblPr>
      <w:tblGrid>
        <w:gridCol w:w="704"/>
        <w:gridCol w:w="5103"/>
        <w:gridCol w:w="1985"/>
        <w:gridCol w:w="6095"/>
      </w:tblGrid>
      <w:tr w:rsidR="007E4B53" w14:paraId="5257C9E2" w14:textId="77777777" w:rsidTr="00647D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5FEB6CC6" w14:textId="5AD26A0E" w:rsidR="007E4B53" w:rsidRDefault="007E4B53" w:rsidP="00A53250">
            <w:pPr>
              <w:pStyle w:val="FSTableHeading"/>
              <w:widowControl/>
              <w:rPr>
                <w:b/>
                <w:sz w:val="22"/>
                <w:szCs w:val="22"/>
                <w:lang w:eastAsia="en-GB"/>
              </w:rPr>
            </w:pPr>
            <w:r>
              <w:rPr>
                <w:b/>
                <w:sz w:val="22"/>
                <w:szCs w:val="22"/>
                <w:lang w:eastAsia="en-GB"/>
              </w:rPr>
              <w:t>#</w:t>
            </w:r>
          </w:p>
        </w:tc>
        <w:tc>
          <w:tcPr>
            <w:tcW w:w="5103" w:type="dxa"/>
            <w:tcBorders>
              <w:top w:val="single" w:sz="4" w:space="0" w:color="auto"/>
              <w:left w:val="single" w:sz="4" w:space="0" w:color="auto"/>
              <w:bottom w:val="single" w:sz="4" w:space="0" w:color="auto"/>
              <w:right w:val="single" w:sz="4" w:space="0" w:color="auto"/>
            </w:tcBorders>
            <w:hideMark/>
          </w:tcPr>
          <w:p w14:paraId="525FDF52" w14:textId="74E06764" w:rsidR="007E4B53" w:rsidRDefault="007E4B53" w:rsidP="006E51EF">
            <w:pPr>
              <w:pStyle w:val="FSTableHeading"/>
              <w:widowControl/>
              <w:cnfStyle w:val="100000000000" w:firstRow="1" w:lastRow="0" w:firstColumn="0" w:lastColumn="0" w:oddVBand="0" w:evenVBand="0" w:oddHBand="0" w:evenHBand="0" w:firstRowFirstColumn="0" w:firstRowLastColumn="0" w:lastRowFirstColumn="0" w:lastRowLastColumn="0"/>
              <w:rPr>
                <w:sz w:val="22"/>
                <w:szCs w:val="22"/>
                <w:lang w:eastAsia="en-GB"/>
              </w:rPr>
            </w:pPr>
            <w:r>
              <w:rPr>
                <w:b/>
                <w:sz w:val="22"/>
                <w:szCs w:val="22"/>
                <w:lang w:eastAsia="en-GB"/>
              </w:rPr>
              <w:t>Issue</w:t>
            </w:r>
          </w:p>
        </w:tc>
        <w:tc>
          <w:tcPr>
            <w:tcW w:w="1985" w:type="dxa"/>
            <w:tcBorders>
              <w:top w:val="single" w:sz="4" w:space="0" w:color="auto"/>
              <w:left w:val="single" w:sz="4" w:space="0" w:color="auto"/>
              <w:bottom w:val="single" w:sz="4" w:space="0" w:color="auto"/>
              <w:right w:val="single" w:sz="4" w:space="0" w:color="auto"/>
            </w:tcBorders>
            <w:hideMark/>
          </w:tcPr>
          <w:p w14:paraId="430731DE" w14:textId="77777777" w:rsidR="007E4B53" w:rsidRDefault="007E4B53" w:rsidP="006E51EF">
            <w:pPr>
              <w:pStyle w:val="FSTableHeading"/>
              <w:widowControl/>
              <w:cnfStyle w:val="100000000000" w:firstRow="1" w:lastRow="0" w:firstColumn="0" w:lastColumn="0" w:oddVBand="0" w:evenVBand="0" w:oddHBand="0" w:evenHBand="0" w:firstRowFirstColumn="0" w:firstRowLastColumn="0" w:lastRowFirstColumn="0" w:lastRowLastColumn="0"/>
              <w:rPr>
                <w:b/>
                <w:sz w:val="22"/>
                <w:szCs w:val="22"/>
                <w:lang w:eastAsia="en-GB"/>
              </w:rPr>
            </w:pPr>
            <w:r>
              <w:rPr>
                <w:b/>
                <w:sz w:val="22"/>
                <w:szCs w:val="22"/>
                <w:lang w:eastAsia="en-GB"/>
              </w:rPr>
              <w:t>Raised by</w:t>
            </w:r>
          </w:p>
        </w:tc>
        <w:tc>
          <w:tcPr>
            <w:tcW w:w="6095" w:type="dxa"/>
            <w:tcBorders>
              <w:top w:val="single" w:sz="4" w:space="0" w:color="auto"/>
              <w:left w:val="single" w:sz="4" w:space="0" w:color="auto"/>
              <w:bottom w:val="single" w:sz="4" w:space="0" w:color="auto"/>
              <w:right w:val="single" w:sz="4" w:space="0" w:color="auto"/>
            </w:tcBorders>
            <w:hideMark/>
          </w:tcPr>
          <w:p w14:paraId="0610ECC4" w14:textId="77777777" w:rsidR="007E4B53" w:rsidRDefault="007E4B53" w:rsidP="006E51EF">
            <w:pPr>
              <w:pStyle w:val="FSTableHeading"/>
              <w:widowControl/>
              <w:cnfStyle w:val="100000000000" w:firstRow="1" w:lastRow="0" w:firstColumn="0" w:lastColumn="0" w:oddVBand="0" w:evenVBand="0" w:oddHBand="0" w:evenHBand="0" w:firstRowFirstColumn="0" w:firstRowLastColumn="0" w:lastRowFirstColumn="0" w:lastRowLastColumn="0"/>
              <w:rPr>
                <w:b/>
                <w:sz w:val="22"/>
                <w:szCs w:val="22"/>
                <w:lang w:eastAsia="en-GB"/>
              </w:rPr>
            </w:pPr>
            <w:r>
              <w:rPr>
                <w:b/>
                <w:sz w:val="22"/>
                <w:szCs w:val="22"/>
                <w:lang w:eastAsia="en-GB"/>
              </w:rPr>
              <w:t>FSANZ response (including any amendments to drafting)</w:t>
            </w:r>
          </w:p>
        </w:tc>
      </w:tr>
      <w:tr w:rsidR="00A53250" w14:paraId="02B63524"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87" w:type="dxa"/>
            <w:gridSpan w:val="4"/>
            <w:tcBorders>
              <w:top w:val="single" w:sz="4" w:space="0" w:color="auto"/>
              <w:left w:val="single" w:sz="4" w:space="0" w:color="auto"/>
              <w:bottom w:val="single" w:sz="4" w:space="0" w:color="auto"/>
              <w:right w:val="single" w:sz="4" w:space="0" w:color="auto"/>
            </w:tcBorders>
            <w:vAlign w:val="center"/>
          </w:tcPr>
          <w:p w14:paraId="0CE8C32A" w14:textId="28E4D958" w:rsidR="00A53250" w:rsidRDefault="00A53250" w:rsidP="00A53250">
            <w:pPr>
              <w:pStyle w:val="FSTableText"/>
              <w:widowControl/>
              <w:jc w:val="center"/>
              <w:rPr>
                <w:b w:val="0"/>
                <w:sz w:val="22"/>
                <w:szCs w:val="22"/>
                <w:lang w:eastAsia="en-GB"/>
              </w:rPr>
            </w:pPr>
          </w:p>
          <w:p w14:paraId="5893D07D" w14:textId="77777777" w:rsidR="00A53250" w:rsidRPr="00213EDA" w:rsidRDefault="00A53250" w:rsidP="00A53250">
            <w:pPr>
              <w:widowControl/>
              <w:jc w:val="center"/>
              <w:rPr>
                <w:rFonts w:cs="Arial"/>
                <w:b w:val="0"/>
                <w:bCs w:val="0"/>
                <w:szCs w:val="22"/>
                <w:lang w:eastAsia="en-GB"/>
              </w:rPr>
            </w:pPr>
            <w:r w:rsidRPr="00213EDA">
              <w:rPr>
                <w:rFonts w:cs="Arial"/>
                <w:szCs w:val="22"/>
                <w:lang w:eastAsia="en-GB"/>
              </w:rPr>
              <w:t>Regulatory approach, drafting and enforcement</w:t>
            </w:r>
          </w:p>
          <w:p w14:paraId="39B22806" w14:textId="77777777" w:rsidR="00A53250" w:rsidRDefault="00A53250" w:rsidP="00A53250">
            <w:pPr>
              <w:pStyle w:val="FSTableText"/>
              <w:widowControl/>
              <w:jc w:val="center"/>
              <w:rPr>
                <w:bCs w:val="0"/>
                <w:sz w:val="22"/>
                <w:szCs w:val="22"/>
                <w:lang w:eastAsia="en-GB"/>
              </w:rPr>
            </w:pPr>
          </w:p>
        </w:tc>
      </w:tr>
      <w:tr w:rsidR="007E4B53" w14:paraId="6574B2ED" w14:textId="77777777" w:rsidTr="00647D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2E5DCEE1" w14:textId="7A5769D5" w:rsidR="007E4B53" w:rsidRDefault="007E4B53" w:rsidP="00E317E4">
            <w:pPr>
              <w:pStyle w:val="Default"/>
              <w:numPr>
                <w:ilvl w:val="0"/>
                <w:numId w:val="38"/>
              </w:numPr>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tcPr>
          <w:p w14:paraId="23215A15" w14:textId="6C1C25EC" w:rsidR="007E4B53" w:rsidRPr="00D93BA0" w:rsidRDefault="007E4B53" w:rsidP="00B777ED">
            <w:pPr>
              <w:pStyle w:val="Default"/>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D93BA0">
              <w:rPr>
                <w:rFonts w:ascii="Arial" w:hAnsi="Arial" w:cs="Arial"/>
                <w:sz w:val="20"/>
                <w:szCs w:val="20"/>
              </w:rPr>
              <w:t xml:space="preserve">FSANZ should regulate </w:t>
            </w:r>
            <w:r w:rsidR="00013FCC">
              <w:rPr>
                <w:rFonts w:ascii="Arial" w:hAnsi="Arial" w:cs="Arial"/>
                <w:sz w:val="20"/>
                <w:szCs w:val="20"/>
              </w:rPr>
              <w:t>s</w:t>
            </w:r>
            <w:r w:rsidRPr="00D93BA0">
              <w:rPr>
                <w:rFonts w:ascii="Arial" w:hAnsi="Arial" w:cs="Arial"/>
                <w:sz w:val="20"/>
                <w:szCs w:val="20"/>
              </w:rPr>
              <w:t>oy leghemoglobin as a food additive (flavouring):</w:t>
            </w:r>
          </w:p>
          <w:p w14:paraId="51898D5B" w14:textId="0DD1AFA9" w:rsidR="007E4B53" w:rsidRPr="00D93BA0" w:rsidRDefault="007E4B53" w:rsidP="00B777ED">
            <w:pPr>
              <w:pStyle w:val="Default"/>
              <w:numPr>
                <w:ilvl w:val="0"/>
                <w:numId w:val="35"/>
              </w:numPr>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lang w:eastAsia="en-US"/>
              </w:rPr>
            </w:pPr>
            <w:r w:rsidRPr="00D93BA0">
              <w:rPr>
                <w:rFonts w:ascii="Arial" w:hAnsi="Arial" w:cs="Arial"/>
                <w:sz w:val="20"/>
                <w:szCs w:val="20"/>
              </w:rPr>
              <w:t>This is its stated purpose in the application, and meets the definition for food additive under Standard 1.1.2.</w:t>
            </w:r>
          </w:p>
          <w:p w14:paraId="265D9517" w14:textId="3811BB2B" w:rsidR="007E4B53" w:rsidRPr="00D93BA0" w:rsidRDefault="007E4B53" w:rsidP="00505AEA">
            <w:pPr>
              <w:pStyle w:val="Default"/>
              <w:numPr>
                <w:ilvl w:val="0"/>
                <w:numId w:val="35"/>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D93BA0">
              <w:rPr>
                <w:rFonts w:ascii="Arial" w:hAnsi="Arial" w:cs="Arial"/>
                <w:sz w:val="20"/>
                <w:szCs w:val="20"/>
              </w:rPr>
              <w:t>There is a concern that under paragraph 1.1.2(a)(</w:t>
            </w:r>
            <w:proofErr w:type="spellStart"/>
            <w:r w:rsidRPr="00D93BA0">
              <w:rPr>
                <w:rFonts w:ascii="Arial" w:hAnsi="Arial" w:cs="Arial"/>
                <w:sz w:val="20"/>
                <w:szCs w:val="20"/>
              </w:rPr>
              <w:t>i</w:t>
            </w:r>
            <w:proofErr w:type="spellEnd"/>
            <w:r w:rsidRPr="00D93BA0">
              <w:rPr>
                <w:rFonts w:ascii="Arial" w:hAnsi="Arial" w:cs="Arial"/>
                <w:sz w:val="20"/>
                <w:szCs w:val="20"/>
              </w:rPr>
              <w:t>) So</w:t>
            </w:r>
            <w:r w:rsidR="00013FCC">
              <w:rPr>
                <w:rFonts w:ascii="Arial" w:hAnsi="Arial" w:cs="Arial"/>
                <w:sz w:val="20"/>
                <w:szCs w:val="20"/>
              </w:rPr>
              <w:t>y leghemoglobin (which has</w:t>
            </w:r>
            <w:r w:rsidRPr="00D93BA0">
              <w:rPr>
                <w:rFonts w:ascii="Arial" w:hAnsi="Arial" w:cs="Arial"/>
                <w:sz w:val="20"/>
                <w:szCs w:val="20"/>
              </w:rPr>
              <w:t xml:space="preserve"> US FDA GRAS status as a flavouring), could be listed by the US Flavour and Extract Manufacturers’ Association (FEMA). This could see soy leghemoglobin added as a flavouring substance, at </w:t>
            </w:r>
            <w:r w:rsidR="00505AEA" w:rsidRPr="00505AEA">
              <w:rPr>
                <w:rFonts w:ascii="Arial" w:hAnsi="Arial" w:cs="Arial"/>
                <w:sz w:val="20"/>
                <w:szCs w:val="20"/>
              </w:rPr>
              <w:t>Good Manufacturing Practice (GMP)</w:t>
            </w:r>
            <w:r w:rsidRPr="00D93BA0">
              <w:rPr>
                <w:rFonts w:ascii="Arial" w:hAnsi="Arial" w:cs="Arial"/>
                <w:sz w:val="20"/>
                <w:szCs w:val="20"/>
              </w:rPr>
              <w:t xml:space="preserve"> levels rather than the proposed 0.8%, to foods in Australia and New Zealand.</w:t>
            </w:r>
          </w:p>
        </w:tc>
        <w:tc>
          <w:tcPr>
            <w:tcW w:w="1985" w:type="dxa"/>
            <w:tcBorders>
              <w:top w:val="single" w:sz="4" w:space="0" w:color="000000"/>
              <w:left w:val="single" w:sz="4" w:space="0" w:color="000000"/>
              <w:bottom w:val="single" w:sz="4" w:space="0" w:color="auto"/>
              <w:right w:val="single" w:sz="4" w:space="0" w:color="000000"/>
            </w:tcBorders>
            <w:hideMark/>
          </w:tcPr>
          <w:p w14:paraId="6F2D6DA4"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SA Health</w:t>
            </w:r>
          </w:p>
        </w:tc>
        <w:tc>
          <w:tcPr>
            <w:tcW w:w="6095" w:type="dxa"/>
            <w:tcBorders>
              <w:top w:val="single" w:sz="4" w:space="0" w:color="000000"/>
              <w:left w:val="single" w:sz="4" w:space="0" w:color="000000"/>
              <w:bottom w:val="single" w:sz="4" w:space="0" w:color="auto"/>
              <w:right w:val="single" w:sz="4" w:space="0" w:color="auto"/>
            </w:tcBorders>
          </w:tcPr>
          <w:p w14:paraId="3211AE7A" w14:textId="3F27851A"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The 2</w:t>
            </w:r>
            <w:r>
              <w:rPr>
                <w:vertAlign w:val="superscript"/>
                <w:lang w:eastAsia="en-GB"/>
              </w:rPr>
              <w:t>nd</w:t>
            </w:r>
            <w:r>
              <w:rPr>
                <w:lang w:eastAsia="en-GB"/>
              </w:rPr>
              <w:t xml:space="preserve"> CFS report outlines FSANZ’s rationale for the proposed regulation of </w:t>
            </w:r>
            <w:r w:rsidR="0070258B">
              <w:rPr>
                <w:lang w:eastAsia="en-GB"/>
              </w:rPr>
              <w:t>s</w:t>
            </w:r>
            <w:r>
              <w:rPr>
                <w:lang w:eastAsia="en-GB"/>
              </w:rPr>
              <w:t>oy</w:t>
            </w:r>
            <w:r w:rsidR="0070258B">
              <w:rPr>
                <w:lang w:eastAsia="en-GB"/>
              </w:rPr>
              <w:t xml:space="preserve"> leghemoglobin (see </w:t>
            </w:r>
            <w:r w:rsidR="00A9765F">
              <w:rPr>
                <w:lang w:eastAsia="en-GB"/>
              </w:rPr>
              <w:t>s</w:t>
            </w:r>
            <w:r w:rsidR="0070258B">
              <w:rPr>
                <w:lang w:eastAsia="en-GB"/>
              </w:rPr>
              <w:t>ection 3.1)</w:t>
            </w:r>
            <w:r>
              <w:rPr>
                <w:lang w:eastAsia="en-GB"/>
              </w:rPr>
              <w:t xml:space="preserve">. </w:t>
            </w:r>
            <w:r w:rsidR="002953CD">
              <w:rPr>
                <w:lang w:eastAsia="en-GB"/>
              </w:rPr>
              <w:t>For the reasons stated</w:t>
            </w:r>
            <w:r w:rsidR="00441B13">
              <w:rPr>
                <w:lang w:eastAsia="en-GB"/>
              </w:rPr>
              <w:t xml:space="preserve"> in </w:t>
            </w:r>
            <w:r w:rsidR="00A9765F">
              <w:rPr>
                <w:lang w:eastAsia="en-GB"/>
              </w:rPr>
              <w:t>s</w:t>
            </w:r>
            <w:r w:rsidR="00441B13">
              <w:rPr>
                <w:lang w:eastAsia="en-GB"/>
              </w:rPr>
              <w:t>ection 3.1</w:t>
            </w:r>
            <w:r w:rsidR="002953CD">
              <w:rPr>
                <w:lang w:eastAsia="en-GB"/>
              </w:rPr>
              <w:t xml:space="preserve">, </w:t>
            </w:r>
            <w:r w:rsidRPr="002953CD">
              <w:rPr>
                <w:lang w:eastAsia="en-GB"/>
              </w:rPr>
              <w:t xml:space="preserve">FSANZ </w:t>
            </w:r>
            <w:r w:rsidR="003D33F1">
              <w:rPr>
                <w:lang w:eastAsia="en-GB"/>
              </w:rPr>
              <w:t>is no</w:t>
            </w:r>
            <w:r w:rsidR="00441B13">
              <w:rPr>
                <w:lang w:eastAsia="en-GB"/>
              </w:rPr>
              <w:t>t</w:t>
            </w:r>
            <w:r w:rsidR="003D33F1">
              <w:rPr>
                <w:lang w:eastAsia="en-GB"/>
              </w:rPr>
              <w:t xml:space="preserve"> aware of any evidence that warrants a change to regulatory approach (i.e.</w:t>
            </w:r>
            <w:r w:rsidRPr="002953CD">
              <w:rPr>
                <w:lang w:eastAsia="en-GB"/>
              </w:rPr>
              <w:t xml:space="preserve"> to categorise </w:t>
            </w:r>
            <w:r w:rsidR="00013FCC">
              <w:rPr>
                <w:lang w:eastAsia="en-GB"/>
              </w:rPr>
              <w:t>s</w:t>
            </w:r>
            <w:r w:rsidRPr="002953CD">
              <w:rPr>
                <w:lang w:eastAsia="en-GB"/>
              </w:rPr>
              <w:t>oy leghemoglobin as a food additive</w:t>
            </w:r>
            <w:r w:rsidR="00441B13">
              <w:rPr>
                <w:lang w:eastAsia="en-GB"/>
              </w:rPr>
              <w:t xml:space="preserve"> (flavouring)</w:t>
            </w:r>
            <w:r w:rsidR="0070258B" w:rsidRPr="002953CD">
              <w:rPr>
                <w:lang w:eastAsia="en-GB"/>
              </w:rPr>
              <w:t>,</w:t>
            </w:r>
            <w:r w:rsidRPr="002953CD">
              <w:rPr>
                <w:lang w:eastAsia="en-GB"/>
              </w:rPr>
              <w:t xml:space="preserve"> </w:t>
            </w:r>
            <w:r w:rsidR="00441B13">
              <w:rPr>
                <w:lang w:eastAsia="en-GB"/>
              </w:rPr>
              <w:t>instead of</w:t>
            </w:r>
            <w:r w:rsidR="000364C1">
              <w:rPr>
                <w:lang w:eastAsia="en-GB"/>
              </w:rPr>
              <w:t>,</w:t>
            </w:r>
            <w:r w:rsidR="00441B13">
              <w:rPr>
                <w:lang w:eastAsia="en-GB"/>
              </w:rPr>
              <w:t xml:space="preserve"> or</w:t>
            </w:r>
            <w:r w:rsidR="003D33F1">
              <w:rPr>
                <w:lang w:eastAsia="en-GB"/>
              </w:rPr>
              <w:t xml:space="preserve"> as well as</w:t>
            </w:r>
            <w:r w:rsidR="000364C1">
              <w:rPr>
                <w:lang w:eastAsia="en-GB"/>
              </w:rPr>
              <w:t>,</w:t>
            </w:r>
            <w:r w:rsidR="003D33F1">
              <w:rPr>
                <w:lang w:eastAsia="en-GB"/>
              </w:rPr>
              <w:t xml:space="preserve"> </w:t>
            </w:r>
            <w:r w:rsidRPr="002953CD">
              <w:rPr>
                <w:lang w:eastAsia="en-GB"/>
              </w:rPr>
              <w:t>a nutritive substance as requested in the application</w:t>
            </w:r>
            <w:r w:rsidR="003D33F1">
              <w:rPr>
                <w:lang w:eastAsia="en-GB"/>
              </w:rPr>
              <w:t>)</w:t>
            </w:r>
            <w:r w:rsidRPr="002953CD">
              <w:rPr>
                <w:lang w:eastAsia="en-GB"/>
              </w:rPr>
              <w:t>.</w:t>
            </w:r>
            <w:r w:rsidR="00B777ED">
              <w:rPr>
                <w:lang w:eastAsia="en-GB"/>
              </w:rPr>
              <w:t xml:space="preserve"> </w:t>
            </w:r>
          </w:p>
          <w:p w14:paraId="71986D8A" w14:textId="3C292A16" w:rsidR="003F6CD4" w:rsidRPr="000364C1" w:rsidRDefault="002953CD" w:rsidP="003F6CD4">
            <w:pPr>
              <w:spacing w:before="120" w:after="120"/>
              <w:cnfStyle w:val="000000010000" w:firstRow="0" w:lastRow="0" w:firstColumn="0" w:lastColumn="0" w:oddVBand="0" w:evenVBand="0" w:oddHBand="0" w:evenHBand="1" w:firstRowFirstColumn="0" w:firstRowLastColumn="0" w:lastRowFirstColumn="0" w:lastRowLastColumn="0"/>
              <w:rPr>
                <w:sz w:val="20"/>
              </w:rPr>
            </w:pPr>
            <w:r>
              <w:rPr>
                <w:sz w:val="20"/>
                <w:lang w:eastAsia="en-GB"/>
              </w:rPr>
              <w:t>FSANZ notes no other jurisdiction raised this as a concern</w:t>
            </w:r>
            <w:r w:rsidR="003D33F1">
              <w:rPr>
                <w:sz w:val="20"/>
                <w:lang w:eastAsia="en-GB"/>
              </w:rPr>
              <w:t xml:space="preserve"> at the 2</w:t>
            </w:r>
            <w:r w:rsidR="003D33F1" w:rsidRPr="001D509F">
              <w:rPr>
                <w:sz w:val="20"/>
                <w:vertAlign w:val="superscript"/>
                <w:lang w:eastAsia="en-GB"/>
              </w:rPr>
              <w:t>nd</w:t>
            </w:r>
            <w:r w:rsidR="003D33F1">
              <w:rPr>
                <w:sz w:val="20"/>
                <w:lang w:eastAsia="en-GB"/>
              </w:rPr>
              <w:t xml:space="preserve"> CFS</w:t>
            </w:r>
            <w:r w:rsidRPr="000364C1">
              <w:rPr>
                <w:sz w:val="18"/>
                <w:lang w:eastAsia="en-GB"/>
              </w:rPr>
              <w:t>.</w:t>
            </w:r>
            <w:r w:rsidR="000364C1" w:rsidRPr="000364C1">
              <w:rPr>
                <w:sz w:val="18"/>
                <w:lang w:eastAsia="en-GB"/>
              </w:rPr>
              <w:t xml:space="preserve"> </w:t>
            </w:r>
          </w:p>
          <w:p w14:paraId="42FC55CF" w14:textId="7756E5F0" w:rsidR="002953CD" w:rsidRDefault="000364C1" w:rsidP="00B550DC">
            <w:pPr>
              <w:widowControl/>
              <w:spacing w:before="120" w:after="120"/>
              <w:cnfStyle w:val="000000010000" w:firstRow="0" w:lastRow="0" w:firstColumn="0" w:lastColumn="0" w:oddVBand="0" w:evenVBand="0" w:oddHBand="0" w:evenHBand="1" w:firstRowFirstColumn="0" w:firstRowLastColumn="0" w:lastRowFirstColumn="0" w:lastRowLastColumn="0"/>
              <w:rPr>
                <w:sz w:val="20"/>
                <w:lang w:eastAsia="en-GB"/>
              </w:rPr>
            </w:pPr>
            <w:r w:rsidRPr="00250795">
              <w:rPr>
                <w:sz w:val="20"/>
              </w:rPr>
              <w:t>FSANZ recognises many substances added to food may also impart flavour and/or colour without being regulated as such.</w:t>
            </w:r>
            <w:r w:rsidRPr="000364C1">
              <w:rPr>
                <w:sz w:val="20"/>
              </w:rPr>
              <w:t xml:space="preserve"> </w:t>
            </w:r>
            <w:r w:rsidR="007E4B53">
              <w:rPr>
                <w:rFonts w:cs="Arial"/>
                <w:sz w:val="20"/>
                <w:szCs w:val="20"/>
                <w:lang w:eastAsia="en-GB"/>
              </w:rPr>
              <w:t xml:space="preserve">FSANZ </w:t>
            </w:r>
            <w:r w:rsidR="002953CD">
              <w:rPr>
                <w:rFonts w:cs="Arial"/>
                <w:sz w:val="20"/>
                <w:szCs w:val="20"/>
                <w:lang w:eastAsia="en-GB"/>
              </w:rPr>
              <w:t xml:space="preserve">also </w:t>
            </w:r>
            <w:r w:rsidR="007E4B53">
              <w:rPr>
                <w:rFonts w:cs="Arial"/>
                <w:sz w:val="20"/>
                <w:szCs w:val="20"/>
                <w:lang w:eastAsia="en-GB"/>
              </w:rPr>
              <w:t xml:space="preserve">notes </w:t>
            </w:r>
            <w:r w:rsidR="007E4B53">
              <w:rPr>
                <w:rFonts w:cs="Arial"/>
                <w:sz w:val="20"/>
                <w:szCs w:val="20"/>
                <w:lang w:val="en-AU" w:eastAsia="en-GB"/>
              </w:rPr>
              <w:t xml:space="preserve">there is currently no listing for </w:t>
            </w:r>
            <w:r w:rsidR="00013FCC">
              <w:rPr>
                <w:rFonts w:cs="Arial"/>
                <w:sz w:val="20"/>
                <w:szCs w:val="20"/>
                <w:lang w:val="en-AU" w:eastAsia="en-GB"/>
              </w:rPr>
              <w:t>‘s</w:t>
            </w:r>
            <w:r w:rsidR="007E4B53">
              <w:rPr>
                <w:rFonts w:cs="Arial"/>
                <w:sz w:val="20"/>
                <w:szCs w:val="20"/>
                <w:lang w:val="en-AU" w:eastAsia="en-GB"/>
              </w:rPr>
              <w:t>oy leghemoglobin</w:t>
            </w:r>
            <w:r w:rsidR="00013FCC">
              <w:rPr>
                <w:rFonts w:cs="Arial"/>
                <w:sz w:val="20"/>
                <w:szCs w:val="20"/>
                <w:lang w:val="en-AU" w:eastAsia="en-GB"/>
              </w:rPr>
              <w:t>’</w:t>
            </w:r>
            <w:r w:rsidR="007E4B53">
              <w:rPr>
                <w:rFonts w:cs="Arial"/>
                <w:sz w:val="20"/>
                <w:szCs w:val="20"/>
                <w:lang w:val="en-AU" w:eastAsia="en-GB"/>
              </w:rPr>
              <w:t xml:space="preserve"> under the FEMA flavouring list. </w:t>
            </w:r>
            <w:r w:rsidR="007E4B53" w:rsidRPr="008B1C6D">
              <w:rPr>
                <w:sz w:val="20"/>
                <w:lang w:eastAsia="en-GB"/>
              </w:rPr>
              <w:t>The applicant highlighted that US regulations do not require a FEMA GRAS notifica</w:t>
            </w:r>
            <w:r w:rsidR="00C345DC">
              <w:rPr>
                <w:sz w:val="20"/>
                <w:lang w:eastAsia="en-GB"/>
              </w:rPr>
              <w:t xml:space="preserve">tion for new flavours, </w:t>
            </w:r>
            <w:r w:rsidR="00521E1A">
              <w:rPr>
                <w:sz w:val="20"/>
                <w:lang w:eastAsia="en-GB"/>
              </w:rPr>
              <w:t xml:space="preserve">including </w:t>
            </w:r>
            <w:r w:rsidR="00C345DC">
              <w:rPr>
                <w:sz w:val="20"/>
                <w:lang w:eastAsia="en-GB"/>
              </w:rPr>
              <w:t>for soy leghemoglobin</w:t>
            </w:r>
            <w:r w:rsidR="007E4B53" w:rsidRPr="008B1C6D">
              <w:rPr>
                <w:sz w:val="20"/>
                <w:lang w:eastAsia="en-GB"/>
              </w:rPr>
              <w:t xml:space="preserve">. </w:t>
            </w:r>
            <w:r w:rsidR="00013F68" w:rsidRPr="008B1C6D">
              <w:rPr>
                <w:sz w:val="20"/>
                <w:lang w:eastAsia="en-GB"/>
              </w:rPr>
              <w:t>Instead, t</w:t>
            </w:r>
            <w:r w:rsidR="007E4B53" w:rsidRPr="008B1C6D">
              <w:rPr>
                <w:sz w:val="20"/>
                <w:lang w:eastAsia="en-GB"/>
              </w:rPr>
              <w:t>he</w:t>
            </w:r>
            <w:r w:rsidR="00013F68" w:rsidRPr="008B1C6D">
              <w:rPr>
                <w:sz w:val="20"/>
                <w:lang w:eastAsia="en-GB"/>
              </w:rPr>
              <w:t xml:space="preserve"> applicant</w:t>
            </w:r>
            <w:r w:rsidR="007E4B53" w:rsidRPr="008B1C6D">
              <w:rPr>
                <w:sz w:val="20"/>
                <w:lang w:eastAsia="en-GB"/>
              </w:rPr>
              <w:t xml:space="preserve"> submitted a GRAS Notice directly to </w:t>
            </w:r>
            <w:r w:rsidR="00521E1A">
              <w:rPr>
                <w:sz w:val="20"/>
                <w:lang w:eastAsia="en-GB"/>
              </w:rPr>
              <w:t xml:space="preserve">the US </w:t>
            </w:r>
            <w:r w:rsidR="007E4B53" w:rsidRPr="008B1C6D">
              <w:rPr>
                <w:sz w:val="20"/>
                <w:lang w:eastAsia="en-GB"/>
              </w:rPr>
              <w:t>FDA and received a "No Questions" letter</w:t>
            </w:r>
            <w:r w:rsidR="00521E1A">
              <w:rPr>
                <w:sz w:val="20"/>
                <w:lang w:eastAsia="en-GB"/>
              </w:rPr>
              <w:t xml:space="preserve">. The applicant </w:t>
            </w:r>
            <w:r w:rsidR="00B550DC" w:rsidRPr="008B1C6D">
              <w:rPr>
                <w:sz w:val="20"/>
                <w:lang w:eastAsia="en-GB"/>
              </w:rPr>
              <w:t>ha</w:t>
            </w:r>
            <w:r w:rsidR="00B550DC">
              <w:rPr>
                <w:sz w:val="20"/>
                <w:lang w:eastAsia="en-GB"/>
              </w:rPr>
              <w:t>s</w:t>
            </w:r>
            <w:r w:rsidR="00B550DC" w:rsidRPr="008B1C6D">
              <w:rPr>
                <w:sz w:val="20"/>
                <w:lang w:eastAsia="en-GB"/>
              </w:rPr>
              <w:t xml:space="preserve"> </w:t>
            </w:r>
            <w:r w:rsidR="007E4B53" w:rsidRPr="008B1C6D">
              <w:rPr>
                <w:sz w:val="20"/>
                <w:lang w:eastAsia="en-GB"/>
              </w:rPr>
              <w:t xml:space="preserve">indicated they will not </w:t>
            </w:r>
            <w:r w:rsidR="00521E1A">
              <w:rPr>
                <w:sz w:val="20"/>
                <w:lang w:eastAsia="en-GB"/>
              </w:rPr>
              <w:t>apply to FEMA.</w:t>
            </w:r>
          </w:p>
        </w:tc>
      </w:tr>
      <w:tr w:rsidR="007E4B53" w14:paraId="030FCEB0" w14:textId="77777777" w:rsidTr="00647D99">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3F8D4DFD" w14:textId="77777777" w:rsidR="007E4B53" w:rsidRDefault="007E4B53" w:rsidP="00A53250">
            <w:pPr>
              <w:pStyle w:val="Default"/>
              <w:numPr>
                <w:ilvl w:val="0"/>
                <w:numId w:val="38"/>
              </w:numPr>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490107F0" w14:textId="213313DA" w:rsidR="007E4B53" w:rsidRPr="00D93BA0" w:rsidRDefault="007E4B53" w:rsidP="00B777ED">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3BA0">
              <w:rPr>
                <w:rFonts w:ascii="Arial" w:hAnsi="Arial" w:cs="Arial"/>
                <w:sz w:val="20"/>
                <w:szCs w:val="20"/>
              </w:rPr>
              <w:t xml:space="preserve">Submitter considers it premature for FSANZ continue the assessment of soy leghemoglobin while EFSA is currently conducting an assessment on the same product. </w:t>
            </w:r>
          </w:p>
        </w:tc>
        <w:tc>
          <w:tcPr>
            <w:tcW w:w="1985" w:type="dxa"/>
            <w:tcBorders>
              <w:top w:val="single" w:sz="4" w:space="0" w:color="000000"/>
              <w:left w:val="single" w:sz="4" w:space="0" w:color="000000"/>
              <w:bottom w:val="single" w:sz="4" w:space="0" w:color="auto"/>
              <w:right w:val="single" w:sz="4" w:space="0" w:color="000000"/>
            </w:tcBorders>
            <w:hideMark/>
          </w:tcPr>
          <w:p w14:paraId="479A53DC" w14:textId="77777777"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The Victorian Departments and </w:t>
            </w:r>
            <w:proofErr w:type="spellStart"/>
            <w:r>
              <w:rPr>
                <w:lang w:eastAsia="en-GB"/>
              </w:rPr>
              <w:t>PrimeSafe</w:t>
            </w:r>
            <w:proofErr w:type="spellEnd"/>
            <w:r>
              <w:rPr>
                <w:lang w:eastAsia="en-GB"/>
              </w:rPr>
              <w:t xml:space="preserve"> (VD/PS)</w:t>
            </w:r>
          </w:p>
        </w:tc>
        <w:tc>
          <w:tcPr>
            <w:tcW w:w="6095" w:type="dxa"/>
            <w:tcBorders>
              <w:top w:val="single" w:sz="4" w:space="0" w:color="000000"/>
              <w:left w:val="single" w:sz="4" w:space="0" w:color="000000"/>
              <w:bottom w:val="single" w:sz="4" w:space="0" w:color="auto"/>
              <w:right w:val="single" w:sz="4" w:space="0" w:color="auto"/>
            </w:tcBorders>
          </w:tcPr>
          <w:p w14:paraId="5C35E349" w14:textId="58119CF2"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The FSANZ Act sets out statutory timelines for assessment procedures. These do not include placing an assessment on hold for the outcome of an </w:t>
            </w:r>
            <w:r w:rsidR="0070258B">
              <w:rPr>
                <w:lang w:eastAsia="en-GB"/>
              </w:rPr>
              <w:t>overseas</w:t>
            </w:r>
            <w:r>
              <w:rPr>
                <w:lang w:eastAsia="en-GB"/>
              </w:rPr>
              <w:t xml:space="preserve"> agency’s a</w:t>
            </w:r>
            <w:r w:rsidR="00B777ED">
              <w:rPr>
                <w:lang w:eastAsia="en-GB"/>
              </w:rPr>
              <w:t xml:space="preserve">ssessment of the same product. </w:t>
            </w:r>
          </w:p>
          <w:p w14:paraId="0A448E32" w14:textId="6AD734D8" w:rsidR="007E4B53" w:rsidRDefault="007E4B53" w:rsidP="00521E1A">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highlight w:val="yellow"/>
                <w:lang w:eastAsia="en-GB"/>
              </w:rPr>
            </w:pPr>
            <w:r>
              <w:rPr>
                <w:lang w:eastAsia="en-GB"/>
              </w:rPr>
              <w:lastRenderedPageBreak/>
              <w:t xml:space="preserve">FSANZ highlights that independent evaluations have been completed by the US FDA, Canada and Singapore authorities. Each of these assessments have concluded that soy leghemoglobin </w:t>
            </w:r>
            <w:r w:rsidR="00521E1A">
              <w:rPr>
                <w:lang w:eastAsia="en-GB"/>
              </w:rPr>
              <w:t>is</w:t>
            </w:r>
            <w:r>
              <w:rPr>
                <w:lang w:eastAsia="en-GB"/>
              </w:rPr>
              <w:t xml:space="preserve"> safe under proposed use conditions.</w:t>
            </w:r>
          </w:p>
        </w:tc>
      </w:tr>
      <w:tr w:rsidR="007E4B53" w14:paraId="128AD493" w14:textId="77777777" w:rsidTr="00647D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64EFC614" w14:textId="77777777" w:rsidR="007E4B53" w:rsidRDefault="007E4B53" w:rsidP="00A53250">
            <w:pPr>
              <w:pStyle w:val="Default"/>
              <w:numPr>
                <w:ilvl w:val="0"/>
                <w:numId w:val="38"/>
              </w:numPr>
              <w:spacing w:before="240" w:after="240"/>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1078E419" w14:textId="334BF2BA" w:rsidR="007E4B53" w:rsidRPr="00D93BA0" w:rsidRDefault="007E4B53" w:rsidP="00B777ED">
            <w:pPr>
              <w:pStyle w:val="Default"/>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D93BA0">
              <w:rPr>
                <w:rFonts w:ascii="Arial" w:hAnsi="Arial" w:cs="Arial"/>
                <w:sz w:val="20"/>
                <w:szCs w:val="20"/>
              </w:rPr>
              <w:t xml:space="preserve">The drafting unit of 0.8% level for </w:t>
            </w:r>
            <w:r w:rsidR="00C345DC" w:rsidRPr="00C345DC">
              <w:rPr>
                <w:rFonts w:ascii="Arial" w:hAnsi="Arial" w:cs="Arial"/>
                <w:sz w:val="20"/>
                <w:szCs w:val="20"/>
              </w:rPr>
              <w:t xml:space="preserve">soy leghemoglobin </w:t>
            </w:r>
            <w:r w:rsidRPr="00D93BA0">
              <w:rPr>
                <w:rFonts w:ascii="Arial" w:hAnsi="Arial" w:cs="Arial"/>
                <w:sz w:val="20"/>
                <w:szCs w:val="20"/>
              </w:rPr>
              <w:t>in raw meat analogue product is not consistent with mg/kg units used elsewhere in the Code for maximum permitted levels.</w:t>
            </w:r>
          </w:p>
        </w:tc>
        <w:tc>
          <w:tcPr>
            <w:tcW w:w="1985" w:type="dxa"/>
            <w:tcBorders>
              <w:top w:val="single" w:sz="4" w:space="0" w:color="000000"/>
              <w:left w:val="single" w:sz="4" w:space="0" w:color="000000"/>
              <w:bottom w:val="single" w:sz="4" w:space="0" w:color="auto"/>
              <w:right w:val="single" w:sz="4" w:space="0" w:color="000000"/>
            </w:tcBorders>
            <w:hideMark/>
          </w:tcPr>
          <w:p w14:paraId="08D3425E"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SA Health</w:t>
            </w:r>
          </w:p>
        </w:tc>
        <w:tc>
          <w:tcPr>
            <w:tcW w:w="6095" w:type="dxa"/>
            <w:tcBorders>
              <w:top w:val="single" w:sz="4" w:space="0" w:color="000000"/>
              <w:left w:val="single" w:sz="4" w:space="0" w:color="000000"/>
              <w:bottom w:val="single" w:sz="4" w:space="0" w:color="auto"/>
              <w:right w:val="single" w:sz="4" w:space="0" w:color="auto"/>
            </w:tcBorders>
            <w:hideMark/>
          </w:tcPr>
          <w:p w14:paraId="2BA5CBDE" w14:textId="597B19F7" w:rsidR="007E4B53" w:rsidRDefault="007E4B53" w:rsidP="00521E1A">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FSANZ acknowledges that mg/kg is used as a common measurement in the Code, however the percentage (%) measurement is also consistently used throughout the Code</w:t>
            </w:r>
            <w:r w:rsidR="00521E1A">
              <w:rPr>
                <w:lang w:eastAsia="en-GB"/>
              </w:rPr>
              <w:t>. F</w:t>
            </w:r>
            <w:r w:rsidR="0082668D">
              <w:rPr>
                <w:lang w:eastAsia="en-GB"/>
              </w:rPr>
              <w:t>or example,</w:t>
            </w:r>
            <w:r>
              <w:rPr>
                <w:lang w:eastAsia="en-GB"/>
              </w:rPr>
              <w:t xml:space="preserve"> within Schedule 17 for vitamins and minerals, Schedule 4 for health claims</w:t>
            </w:r>
            <w:r w:rsidR="0070258B">
              <w:rPr>
                <w:lang w:eastAsia="en-GB"/>
              </w:rPr>
              <w:t>,</w:t>
            </w:r>
            <w:r>
              <w:rPr>
                <w:lang w:eastAsia="en-GB"/>
              </w:rPr>
              <w:t xml:space="preserve"> and Standar</w:t>
            </w:r>
            <w:r w:rsidR="00127E01">
              <w:rPr>
                <w:lang w:eastAsia="en-GB"/>
              </w:rPr>
              <w:t xml:space="preserve">d 1.2.4 for compound </w:t>
            </w:r>
            <w:r w:rsidR="002B4125">
              <w:rPr>
                <w:lang w:eastAsia="en-GB"/>
              </w:rPr>
              <w:t xml:space="preserve">ingredient </w:t>
            </w:r>
            <w:r w:rsidR="00127E01">
              <w:rPr>
                <w:lang w:eastAsia="en-GB"/>
              </w:rPr>
              <w:t>labelling.</w:t>
            </w:r>
          </w:p>
        </w:tc>
      </w:tr>
      <w:tr w:rsidR="007E4B53" w14:paraId="34320F95"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35C05928" w14:textId="77777777" w:rsidR="007E4B53" w:rsidRDefault="007E4B53" w:rsidP="00A53250">
            <w:pPr>
              <w:pStyle w:val="Default"/>
              <w:numPr>
                <w:ilvl w:val="0"/>
                <w:numId w:val="38"/>
              </w:numPr>
              <w:spacing w:before="240"/>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7309C578" w14:textId="7A0EF8E7" w:rsidR="007E4B53" w:rsidRPr="00D93BA0" w:rsidRDefault="007E4B53" w:rsidP="00B777ED">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3BA0">
              <w:rPr>
                <w:rFonts w:ascii="Arial" w:hAnsi="Arial" w:cs="Arial"/>
                <w:sz w:val="20"/>
                <w:szCs w:val="20"/>
              </w:rPr>
              <w:t>Low use levels (e.g. 0.05%) of soy leghemoglobin may not contribut</w:t>
            </w:r>
            <w:r w:rsidR="0070258B" w:rsidRPr="00D93BA0">
              <w:rPr>
                <w:rFonts w:ascii="Arial" w:hAnsi="Arial" w:cs="Arial"/>
                <w:sz w:val="20"/>
                <w:szCs w:val="20"/>
              </w:rPr>
              <w:t>e</w:t>
            </w:r>
            <w:r w:rsidRPr="00D93BA0">
              <w:rPr>
                <w:rFonts w:ascii="Arial" w:hAnsi="Arial" w:cs="Arial"/>
                <w:sz w:val="20"/>
                <w:szCs w:val="20"/>
              </w:rPr>
              <w:t xml:space="preserve"> nutritionally to the diet, and is therefore not used as a nutritive substance. A manufacturer may use the minimum use level to reduce the cost of the product. This could mislead consumers regarding iron consumption.</w:t>
            </w:r>
          </w:p>
        </w:tc>
        <w:tc>
          <w:tcPr>
            <w:tcW w:w="1985" w:type="dxa"/>
            <w:tcBorders>
              <w:top w:val="single" w:sz="4" w:space="0" w:color="000000"/>
              <w:left w:val="single" w:sz="4" w:space="0" w:color="000000"/>
              <w:bottom w:val="single" w:sz="4" w:space="0" w:color="auto"/>
              <w:right w:val="single" w:sz="4" w:space="0" w:color="000000"/>
            </w:tcBorders>
            <w:hideMark/>
          </w:tcPr>
          <w:p w14:paraId="58E98407" w14:textId="77777777"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SA Health</w:t>
            </w:r>
          </w:p>
        </w:tc>
        <w:tc>
          <w:tcPr>
            <w:tcW w:w="6095" w:type="dxa"/>
            <w:tcBorders>
              <w:top w:val="single" w:sz="4" w:space="0" w:color="000000"/>
              <w:left w:val="single" w:sz="4" w:space="0" w:color="000000"/>
              <w:bottom w:val="single" w:sz="4" w:space="0" w:color="auto"/>
              <w:right w:val="single" w:sz="4" w:space="0" w:color="auto"/>
            </w:tcBorders>
            <w:hideMark/>
          </w:tcPr>
          <w:p w14:paraId="7EED4E6F" w14:textId="191DA885" w:rsidR="004F4408" w:rsidRDefault="0070258B"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sidRPr="004F4408">
              <w:rPr>
                <w:lang w:eastAsia="en-GB"/>
              </w:rPr>
              <w:t xml:space="preserve">Permission for voluntary </w:t>
            </w:r>
            <w:r w:rsidR="004C7DBF" w:rsidRPr="004F4408">
              <w:rPr>
                <w:lang w:eastAsia="en-GB"/>
              </w:rPr>
              <w:t xml:space="preserve">addition of a </w:t>
            </w:r>
            <w:r w:rsidR="002B370C" w:rsidRPr="004F4408">
              <w:rPr>
                <w:lang w:eastAsia="en-GB"/>
              </w:rPr>
              <w:t>vitamin or mineral</w:t>
            </w:r>
            <w:r w:rsidRPr="004F4408">
              <w:rPr>
                <w:lang w:eastAsia="en-GB"/>
              </w:rPr>
              <w:t xml:space="preserve"> is not dependent on </w:t>
            </w:r>
            <w:r w:rsidR="002B370C" w:rsidRPr="004F4408">
              <w:rPr>
                <w:lang w:eastAsia="en-GB"/>
              </w:rPr>
              <w:t>its</w:t>
            </w:r>
            <w:r w:rsidRPr="004F4408">
              <w:rPr>
                <w:lang w:eastAsia="en-GB"/>
              </w:rPr>
              <w:t xml:space="preserve"> contribution to the total diet</w:t>
            </w:r>
            <w:r w:rsidR="002B370C" w:rsidRPr="004F4408">
              <w:rPr>
                <w:lang w:eastAsia="en-GB"/>
              </w:rPr>
              <w:t xml:space="preserve">; there are no minimum composition levels set for such vitamins and minerals in the Code since voluntary rules </w:t>
            </w:r>
            <w:r w:rsidR="004C7DBF" w:rsidRPr="004F4408">
              <w:rPr>
                <w:lang w:eastAsia="en-GB"/>
              </w:rPr>
              <w:t xml:space="preserve">also </w:t>
            </w:r>
            <w:r w:rsidR="002B370C" w:rsidRPr="004F4408">
              <w:rPr>
                <w:lang w:eastAsia="en-GB"/>
              </w:rPr>
              <w:t>allow for no addition</w:t>
            </w:r>
            <w:r w:rsidRPr="004F4408">
              <w:rPr>
                <w:lang w:eastAsia="en-GB"/>
              </w:rPr>
              <w:t>.</w:t>
            </w:r>
          </w:p>
          <w:p w14:paraId="77315699" w14:textId="615CDC2B" w:rsidR="007E4B53" w:rsidRDefault="00826802" w:rsidP="00826802">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Likely</w:t>
            </w:r>
            <w:r w:rsidR="00C6646A">
              <w:rPr>
                <w:lang w:eastAsia="en-GB"/>
              </w:rPr>
              <w:t xml:space="preserve"> u</w:t>
            </w:r>
            <w:r w:rsidR="007E4B53">
              <w:rPr>
                <w:lang w:eastAsia="en-GB"/>
              </w:rPr>
              <w:t xml:space="preserve">se levels of soy leghemoglobin (0.25% and </w:t>
            </w:r>
            <w:r w:rsidR="00DE5D83">
              <w:rPr>
                <w:lang w:eastAsia="en-GB"/>
              </w:rPr>
              <w:t>0.</w:t>
            </w:r>
            <w:r w:rsidR="007E4B53">
              <w:rPr>
                <w:lang w:eastAsia="en-GB"/>
              </w:rPr>
              <w:t xml:space="preserve">45% for pork and beef products, respectively) are </w:t>
            </w:r>
            <w:r w:rsidR="00C6646A">
              <w:rPr>
                <w:lang w:eastAsia="en-GB"/>
              </w:rPr>
              <w:t xml:space="preserve">determined </w:t>
            </w:r>
            <w:r w:rsidR="007E4B53">
              <w:rPr>
                <w:lang w:eastAsia="en-GB"/>
              </w:rPr>
              <w:t xml:space="preserve">based on nutrition, flavour </w:t>
            </w:r>
            <w:r w:rsidR="00F70835">
              <w:rPr>
                <w:lang w:eastAsia="en-GB"/>
              </w:rPr>
              <w:t xml:space="preserve">and aroma </w:t>
            </w:r>
            <w:r w:rsidR="007E4B53">
              <w:rPr>
                <w:lang w:eastAsia="en-GB"/>
              </w:rPr>
              <w:t xml:space="preserve">profiles of myoglobin in animal products. </w:t>
            </w:r>
            <w:r w:rsidR="00F70835">
              <w:rPr>
                <w:lang w:eastAsia="en-GB"/>
              </w:rPr>
              <w:t xml:space="preserve">FSANZ notes there is also a colouring effect. </w:t>
            </w:r>
            <w:r w:rsidR="007E4B53">
              <w:rPr>
                <w:lang w:eastAsia="en-GB"/>
              </w:rPr>
              <w:t xml:space="preserve">Adding less would </w:t>
            </w:r>
            <w:r w:rsidR="002B370C">
              <w:rPr>
                <w:lang w:eastAsia="en-GB"/>
              </w:rPr>
              <w:t>not achieve</w:t>
            </w:r>
            <w:r w:rsidR="007E4B53">
              <w:rPr>
                <w:lang w:eastAsia="en-GB"/>
              </w:rPr>
              <w:t xml:space="preserve"> these same profiles in the final meat analogue products. The applicant has patents to protect the ingredient from misuse and, as stated in the 2</w:t>
            </w:r>
            <w:r w:rsidR="007E4B53">
              <w:rPr>
                <w:vertAlign w:val="superscript"/>
                <w:lang w:eastAsia="en-GB"/>
              </w:rPr>
              <w:t>nd</w:t>
            </w:r>
            <w:r w:rsidR="007E4B53">
              <w:rPr>
                <w:lang w:eastAsia="en-GB"/>
              </w:rPr>
              <w:t xml:space="preserve"> CFS, has agreed to share their method for detecting soy leghemoglobin in products with </w:t>
            </w:r>
            <w:r w:rsidR="00F70835">
              <w:rPr>
                <w:lang w:eastAsia="en-GB"/>
              </w:rPr>
              <w:t>enforcement agencies</w:t>
            </w:r>
            <w:r w:rsidR="007E4B53">
              <w:rPr>
                <w:lang w:eastAsia="en-GB"/>
              </w:rPr>
              <w:t xml:space="preserve"> who wish to monitor Impossible </w:t>
            </w:r>
            <w:r w:rsidR="009817DE">
              <w:rPr>
                <w:lang w:eastAsia="en-GB"/>
              </w:rPr>
              <w:t xml:space="preserve">meat analogue </w:t>
            </w:r>
            <w:r w:rsidR="007E4B53">
              <w:rPr>
                <w:lang w:eastAsia="en-GB"/>
              </w:rPr>
              <w:t>products</w:t>
            </w:r>
            <w:r w:rsidR="00F70835">
              <w:rPr>
                <w:lang w:eastAsia="en-GB"/>
              </w:rPr>
              <w:t xml:space="preserve"> in Australia and New Zealand</w:t>
            </w:r>
            <w:r w:rsidR="007E4B53">
              <w:rPr>
                <w:lang w:eastAsia="en-GB"/>
              </w:rPr>
              <w:t>.</w:t>
            </w:r>
          </w:p>
          <w:p w14:paraId="117AEF11" w14:textId="626CA357" w:rsidR="005C0410" w:rsidRDefault="00EC6BD9" w:rsidP="00A9765F">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t xml:space="preserve">Consumer protection and food laws </w:t>
            </w:r>
            <w:r w:rsidRPr="00450AC4">
              <w:t xml:space="preserve">in Australia and New Zealand prohibit misleading or deceptive conduct, and false or misleading representations </w:t>
            </w:r>
            <w:r>
              <w:t>related to food</w:t>
            </w:r>
            <w:r w:rsidR="000364C1">
              <w:t>.</w:t>
            </w:r>
            <w:r>
              <w:t xml:space="preserve"> </w:t>
            </w:r>
            <w:r w:rsidR="005C0410" w:rsidRPr="008D7F54">
              <w:t xml:space="preserve">Existing </w:t>
            </w:r>
            <w:r w:rsidRPr="008D7F54">
              <w:t>minimum</w:t>
            </w:r>
            <w:r w:rsidR="005C0410" w:rsidRPr="008D7F54">
              <w:t xml:space="preserve"> requirements </w:t>
            </w:r>
            <w:r w:rsidRPr="008D7F54">
              <w:t xml:space="preserve">for declaration of iron (i.e.≥ 10% RDI/100 g) </w:t>
            </w:r>
            <w:r w:rsidR="005C0410" w:rsidRPr="008D7F54">
              <w:t xml:space="preserve">are established </w:t>
            </w:r>
            <w:r w:rsidRPr="008D7F54">
              <w:t xml:space="preserve">in the Code </w:t>
            </w:r>
            <w:r w:rsidR="005C0410" w:rsidRPr="008D7F54">
              <w:t xml:space="preserve">so that consumers </w:t>
            </w:r>
            <w:r w:rsidRPr="008D7F54">
              <w:t>can</w:t>
            </w:r>
            <w:r w:rsidR="005C0410" w:rsidRPr="008D7F54">
              <w:t xml:space="preserve"> make informed decisions about the food they consume</w:t>
            </w:r>
            <w:r w:rsidRPr="008D7F54">
              <w:t>, and are not misled</w:t>
            </w:r>
            <w:r w:rsidR="00A9765F">
              <w:t xml:space="preserve"> (see section 3.2 of this report)</w:t>
            </w:r>
            <w:r w:rsidR="005C0410" w:rsidRPr="00450AC4">
              <w:t>.</w:t>
            </w:r>
          </w:p>
        </w:tc>
      </w:tr>
      <w:tr w:rsidR="007E4B53" w14:paraId="23543BE9" w14:textId="77777777" w:rsidTr="00647D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653498DA" w14:textId="77777777" w:rsidR="007E4B53" w:rsidRDefault="007E4B53" w:rsidP="00A53250">
            <w:pPr>
              <w:pStyle w:val="Default"/>
              <w:numPr>
                <w:ilvl w:val="0"/>
                <w:numId w:val="38"/>
              </w:numPr>
              <w:spacing w:before="240" w:after="240"/>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7F8C87A3" w14:textId="1460EB6E" w:rsidR="007E4B53" w:rsidRPr="00D93BA0" w:rsidRDefault="007E4B53" w:rsidP="00B777ED">
            <w:pPr>
              <w:pStyle w:val="Default"/>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D93BA0">
              <w:rPr>
                <w:rFonts w:ascii="Arial" w:hAnsi="Arial" w:cs="Arial"/>
                <w:sz w:val="20"/>
                <w:szCs w:val="20"/>
              </w:rPr>
              <w:t>The ‘soy leghemoglobin preparation’ specification under Schedule 3 mostly contains quality parameters specific to the applicant’s production method. This is restrictive to innovation and trade. These quality parameters (appearance, solids, ash, moisture etc.) do not serve to protect public health and safety and are not required to define soy leghemoglobin as a nutritive substance.</w:t>
            </w:r>
          </w:p>
        </w:tc>
        <w:tc>
          <w:tcPr>
            <w:tcW w:w="1985" w:type="dxa"/>
            <w:tcBorders>
              <w:top w:val="single" w:sz="4" w:space="0" w:color="000000"/>
              <w:left w:val="single" w:sz="4" w:space="0" w:color="000000"/>
              <w:bottom w:val="single" w:sz="4" w:space="0" w:color="auto"/>
              <w:right w:val="single" w:sz="4" w:space="0" w:color="000000"/>
            </w:tcBorders>
            <w:hideMark/>
          </w:tcPr>
          <w:p w14:paraId="4D3C877A"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SA Health</w:t>
            </w:r>
          </w:p>
        </w:tc>
        <w:tc>
          <w:tcPr>
            <w:tcW w:w="6095" w:type="dxa"/>
            <w:tcBorders>
              <w:top w:val="single" w:sz="4" w:space="0" w:color="000000"/>
              <w:left w:val="single" w:sz="4" w:space="0" w:color="000000"/>
              <w:bottom w:val="single" w:sz="4" w:space="0" w:color="auto"/>
              <w:right w:val="single" w:sz="4" w:space="0" w:color="auto"/>
            </w:tcBorders>
            <w:hideMark/>
          </w:tcPr>
          <w:p w14:paraId="15ADDAFD" w14:textId="01742639" w:rsidR="00DE0AC5" w:rsidRDefault="00C27AD6" w:rsidP="00DE0AC5">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sidRPr="008D7F54">
              <w:rPr>
                <w:lang w:eastAsia="en-GB"/>
              </w:rPr>
              <w:t xml:space="preserve">Specifications in Schedule 3 are for identity and purity, and include (among other things) quality parameters </w:t>
            </w:r>
            <w:r w:rsidR="00647D99" w:rsidRPr="008D7F54">
              <w:rPr>
                <w:lang w:eastAsia="en-GB"/>
              </w:rPr>
              <w:t xml:space="preserve">that relate to identity </w:t>
            </w:r>
            <w:r w:rsidRPr="008D7F54">
              <w:rPr>
                <w:lang w:eastAsia="en-GB"/>
              </w:rPr>
              <w:t xml:space="preserve">such as ‘appearance’, description’, and </w:t>
            </w:r>
            <w:r w:rsidR="00647D99" w:rsidRPr="008D7F54">
              <w:rPr>
                <w:lang w:eastAsia="en-GB"/>
              </w:rPr>
              <w:t>relevant compositional factors such as ‘moisture’</w:t>
            </w:r>
            <w:r w:rsidR="008D7F54" w:rsidRPr="008D7F54">
              <w:rPr>
                <w:lang w:eastAsia="en-GB"/>
              </w:rPr>
              <w:t xml:space="preserve"> and</w:t>
            </w:r>
            <w:r w:rsidR="00647D99" w:rsidRPr="008D7F54">
              <w:rPr>
                <w:lang w:eastAsia="en-GB"/>
              </w:rPr>
              <w:t xml:space="preserve"> ‘ash’ for purity</w:t>
            </w:r>
            <w:r w:rsidRPr="008D7F54">
              <w:rPr>
                <w:lang w:eastAsia="en-GB"/>
              </w:rPr>
              <w:t>.</w:t>
            </w:r>
          </w:p>
          <w:p w14:paraId="5434AEE8" w14:textId="1A52CA0C" w:rsidR="00D2523A" w:rsidRDefault="00225AB5" w:rsidP="00D2523A">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FSANZ </w:t>
            </w:r>
            <w:r w:rsidR="00D2523A">
              <w:rPr>
                <w:lang w:eastAsia="en-GB"/>
              </w:rPr>
              <w:t>acknowledges</w:t>
            </w:r>
            <w:r>
              <w:rPr>
                <w:lang w:eastAsia="en-GB"/>
              </w:rPr>
              <w:t xml:space="preserve"> that the new specification is</w:t>
            </w:r>
            <w:r w:rsidR="007E4B53">
              <w:rPr>
                <w:lang w:eastAsia="en-GB"/>
              </w:rPr>
              <w:t xml:space="preserve"> unique to </w:t>
            </w:r>
            <w:r w:rsidR="00D2523A">
              <w:rPr>
                <w:lang w:eastAsia="en-GB"/>
              </w:rPr>
              <w:t>the applicant</w:t>
            </w:r>
            <w:r w:rsidR="00647D99">
              <w:rPr>
                <w:lang w:eastAsia="en-GB"/>
              </w:rPr>
              <w:t>’</w:t>
            </w:r>
            <w:r w:rsidR="00D2523A">
              <w:rPr>
                <w:lang w:eastAsia="en-GB"/>
              </w:rPr>
              <w:t>s Preparation,</w:t>
            </w:r>
            <w:r w:rsidR="007E4B53">
              <w:rPr>
                <w:lang w:eastAsia="en-GB"/>
              </w:rPr>
              <w:t xml:space="preserve"> </w:t>
            </w:r>
            <w:r w:rsidR="00757375">
              <w:rPr>
                <w:lang w:eastAsia="en-GB"/>
              </w:rPr>
              <w:t>and the</w:t>
            </w:r>
            <w:r w:rsidR="00D2523A">
              <w:rPr>
                <w:lang w:eastAsia="en-GB"/>
              </w:rPr>
              <w:t>refore the</w:t>
            </w:r>
            <w:r w:rsidR="00757375">
              <w:rPr>
                <w:lang w:eastAsia="en-GB"/>
              </w:rPr>
              <w:t xml:space="preserve"> </w:t>
            </w:r>
            <w:r w:rsidR="007E4B53">
              <w:rPr>
                <w:lang w:eastAsia="en-GB"/>
              </w:rPr>
              <w:t xml:space="preserve">quality parameters </w:t>
            </w:r>
            <w:r w:rsidR="00D2523A">
              <w:rPr>
                <w:lang w:eastAsia="en-GB"/>
              </w:rPr>
              <w:t xml:space="preserve">are </w:t>
            </w:r>
            <w:r w:rsidR="007E4B53">
              <w:rPr>
                <w:lang w:eastAsia="en-GB"/>
              </w:rPr>
              <w:t xml:space="preserve">specific to the applicant’s </w:t>
            </w:r>
            <w:r w:rsidR="00D2523A">
              <w:rPr>
                <w:lang w:eastAsia="en-GB"/>
              </w:rPr>
              <w:t>manufacturing process</w:t>
            </w:r>
            <w:r w:rsidR="007E4B53">
              <w:rPr>
                <w:lang w:eastAsia="en-GB"/>
              </w:rPr>
              <w:t xml:space="preserve">. </w:t>
            </w:r>
            <w:r w:rsidR="00D2523A">
              <w:rPr>
                <w:lang w:eastAsia="en-GB"/>
              </w:rPr>
              <w:t>However, a</w:t>
            </w:r>
            <w:r w:rsidR="007E4B53">
              <w:rPr>
                <w:lang w:eastAsia="en-GB"/>
              </w:rPr>
              <w:t xml:space="preserve">nother soy leghemoglobin product could be produced in the future using a different gene-gene donor and manufacturing process. This would require pre-market consideration and likely </w:t>
            </w:r>
            <w:r w:rsidR="00D2523A">
              <w:rPr>
                <w:lang w:eastAsia="en-GB"/>
              </w:rPr>
              <w:t xml:space="preserve">an </w:t>
            </w:r>
            <w:r w:rsidR="007E4B53">
              <w:rPr>
                <w:lang w:eastAsia="en-GB"/>
              </w:rPr>
              <w:t xml:space="preserve">application. At that time FSANZ would consider </w:t>
            </w:r>
            <w:r w:rsidR="00D2523A">
              <w:rPr>
                <w:lang w:eastAsia="en-GB"/>
              </w:rPr>
              <w:t xml:space="preserve">any relevant </w:t>
            </w:r>
            <w:r w:rsidR="007E4B53">
              <w:rPr>
                <w:lang w:eastAsia="en-GB"/>
              </w:rPr>
              <w:t xml:space="preserve">specification </w:t>
            </w:r>
            <w:r w:rsidR="00D2523A">
              <w:rPr>
                <w:lang w:eastAsia="en-GB"/>
              </w:rPr>
              <w:t xml:space="preserve">for a ‘soy leghemoglobin preparation’ </w:t>
            </w:r>
            <w:r w:rsidR="007E4B53">
              <w:rPr>
                <w:lang w:eastAsia="en-GB"/>
              </w:rPr>
              <w:t>and decide if it needed to change to allow for inn</w:t>
            </w:r>
            <w:r w:rsidR="00F70835">
              <w:rPr>
                <w:lang w:eastAsia="en-GB"/>
              </w:rPr>
              <w:t>ovation and trade efficiencies.</w:t>
            </w:r>
          </w:p>
          <w:p w14:paraId="2626388D" w14:textId="0F1E7D74" w:rsidR="007E4B53" w:rsidRDefault="007E4B53" w:rsidP="00647D99">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sidRPr="002218C0">
              <w:rPr>
                <w:lang w:eastAsia="en-GB"/>
              </w:rPr>
              <w:t xml:space="preserve">Furthermore, </w:t>
            </w:r>
            <w:r w:rsidR="002625C6">
              <w:rPr>
                <w:lang w:eastAsia="en-GB"/>
              </w:rPr>
              <w:t>the applicant</w:t>
            </w:r>
            <w:r w:rsidRPr="002218C0">
              <w:rPr>
                <w:lang w:eastAsia="en-GB"/>
              </w:rPr>
              <w:t xml:space="preserve"> </w:t>
            </w:r>
            <w:r w:rsidR="002625C6" w:rsidRPr="002218C0">
              <w:rPr>
                <w:lang w:eastAsia="en-GB"/>
              </w:rPr>
              <w:t>ha</w:t>
            </w:r>
            <w:r w:rsidR="002625C6">
              <w:rPr>
                <w:lang w:eastAsia="en-GB"/>
              </w:rPr>
              <w:t>s</w:t>
            </w:r>
            <w:r w:rsidR="002625C6" w:rsidRPr="002218C0">
              <w:rPr>
                <w:lang w:eastAsia="en-GB"/>
              </w:rPr>
              <w:t xml:space="preserve"> </w:t>
            </w:r>
            <w:r w:rsidRPr="002218C0">
              <w:rPr>
                <w:lang w:eastAsia="en-GB"/>
              </w:rPr>
              <w:t>confirmed that they will not be supplying the Preparation ingredient to any distributor or any third party for use in any meat analogue products other than Impossible branded ones. This does not restrict innovation or trade in meat analogue</w:t>
            </w:r>
            <w:r w:rsidR="00647D99">
              <w:rPr>
                <w:lang w:eastAsia="en-GB"/>
              </w:rPr>
              <w:t>s</w:t>
            </w:r>
            <w:r w:rsidRPr="002218C0">
              <w:rPr>
                <w:lang w:eastAsia="en-GB"/>
              </w:rPr>
              <w:t>.</w:t>
            </w:r>
          </w:p>
        </w:tc>
      </w:tr>
      <w:tr w:rsidR="007E4B53" w14:paraId="4F7399BE"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04E09881" w14:textId="77777777" w:rsidR="007E4B53" w:rsidRDefault="007E4B53" w:rsidP="00A53250">
            <w:pPr>
              <w:pStyle w:val="Default"/>
              <w:numPr>
                <w:ilvl w:val="0"/>
                <w:numId w:val="38"/>
              </w:numPr>
              <w:spacing w:before="240" w:after="240"/>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718B2671" w14:textId="503B0FF9" w:rsidR="007E4B53" w:rsidRPr="00D93BA0" w:rsidRDefault="007E4B53" w:rsidP="00B777ED">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3BA0">
              <w:rPr>
                <w:rFonts w:ascii="Arial" w:hAnsi="Arial" w:cs="Arial"/>
                <w:sz w:val="20"/>
                <w:szCs w:val="20"/>
              </w:rPr>
              <w:t>The microbiological detection limits outlined in the proposed specifications, if required to protect public health and safety, should be included in the microbiological standard in the Code, which would reduce ‘vertical standards’ created in the Code which are cumbersome to navigate.</w:t>
            </w:r>
          </w:p>
        </w:tc>
        <w:tc>
          <w:tcPr>
            <w:tcW w:w="1985" w:type="dxa"/>
            <w:tcBorders>
              <w:top w:val="single" w:sz="4" w:space="0" w:color="000000"/>
              <w:left w:val="single" w:sz="4" w:space="0" w:color="000000"/>
              <w:bottom w:val="single" w:sz="4" w:space="0" w:color="auto"/>
              <w:right w:val="single" w:sz="4" w:space="0" w:color="000000"/>
            </w:tcBorders>
            <w:hideMark/>
          </w:tcPr>
          <w:p w14:paraId="024EC43A" w14:textId="77777777"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SA Health</w:t>
            </w:r>
          </w:p>
        </w:tc>
        <w:tc>
          <w:tcPr>
            <w:tcW w:w="6095" w:type="dxa"/>
            <w:tcBorders>
              <w:top w:val="single" w:sz="4" w:space="0" w:color="000000"/>
              <w:left w:val="single" w:sz="4" w:space="0" w:color="000000"/>
              <w:bottom w:val="single" w:sz="4" w:space="0" w:color="auto"/>
              <w:right w:val="single" w:sz="4" w:space="0" w:color="auto"/>
            </w:tcBorders>
            <w:hideMark/>
          </w:tcPr>
          <w:p w14:paraId="1CEC81E4" w14:textId="5FC46BBA" w:rsidR="002625C6" w:rsidRDefault="002625C6" w:rsidP="00E614B1">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t xml:space="preserve">Standard 1.6.1 </w:t>
            </w:r>
            <w:r w:rsidRPr="0089434E">
              <w:rPr>
                <w:i/>
              </w:rPr>
              <w:t>Microbiological limits in food</w:t>
            </w:r>
            <w:r>
              <w:t xml:space="preserve"> and Schedule 27 </w:t>
            </w:r>
            <w:r w:rsidRPr="0089434E">
              <w:rPr>
                <w:i/>
              </w:rPr>
              <w:t>Microbiological limits for food</w:t>
            </w:r>
            <w:r>
              <w:t xml:space="preserve"> are the standards in the Code which set out microbiological limits for food at the point of sale; and relate to nominated foods, or classes of foods. These standards do not apply to substances used in food for sale, such as nutritive substances, processing aids and food additives</w:t>
            </w:r>
            <w:r>
              <w:rPr>
                <w:lang w:eastAsia="en-GB"/>
              </w:rPr>
              <w:t xml:space="preserve"> </w:t>
            </w:r>
          </w:p>
          <w:p w14:paraId="35FA6ADD" w14:textId="1CBD8E96" w:rsidR="002625C6" w:rsidRDefault="002625C6" w:rsidP="00E614B1">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t>As</w:t>
            </w:r>
            <w:r w:rsidR="00F70835">
              <w:t xml:space="preserve"> stated above, when substances (</w:t>
            </w:r>
            <w:r>
              <w:t>such as the Preparation</w:t>
            </w:r>
            <w:r w:rsidR="00F70835">
              <w:t>)</w:t>
            </w:r>
            <w:r>
              <w:t xml:space="preserve"> are added to food or sold for use in food, they must comply with specifications in Schedule 3. Specifications in Schedule 3 may contain microbiological detection limits for the substances concerned.</w:t>
            </w:r>
          </w:p>
          <w:p w14:paraId="22CA8C43" w14:textId="4A3FB6B9" w:rsidR="007E4B53" w:rsidRDefault="007E4B53" w:rsidP="002625C6">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As the Preparation does not have a specification in the primary or secondary sources listed in </w:t>
            </w:r>
            <w:r w:rsidR="002625C6">
              <w:rPr>
                <w:lang w:eastAsia="en-GB"/>
              </w:rPr>
              <w:t xml:space="preserve">relevant sections </w:t>
            </w:r>
            <w:r>
              <w:rPr>
                <w:lang w:eastAsia="en-GB"/>
              </w:rPr>
              <w:t>S3-2 or S</w:t>
            </w:r>
            <w:r w:rsidR="003B71CB">
              <w:rPr>
                <w:lang w:eastAsia="en-GB"/>
              </w:rPr>
              <w:t>3</w:t>
            </w:r>
            <w:r>
              <w:rPr>
                <w:lang w:eastAsia="en-GB"/>
              </w:rPr>
              <w:t xml:space="preserve">-3, FSANZ is required to list a specification in </w:t>
            </w:r>
            <w:r w:rsidRPr="003B71CB">
              <w:rPr>
                <w:lang w:eastAsia="en-GB"/>
              </w:rPr>
              <w:t>that</w:t>
            </w:r>
            <w:r>
              <w:rPr>
                <w:lang w:eastAsia="en-GB"/>
              </w:rPr>
              <w:t xml:space="preserve"> schedule. This is common practice and FSANZ is not aware of any difficulty users have in navigating the Code. </w:t>
            </w:r>
            <w:r w:rsidR="00757375">
              <w:rPr>
                <w:lang w:eastAsia="en-GB"/>
              </w:rPr>
              <w:t xml:space="preserve">Although </w:t>
            </w:r>
            <w:r>
              <w:rPr>
                <w:lang w:eastAsia="en-GB"/>
              </w:rPr>
              <w:t>out of scope for this application, jurisdictions are welcome to raise the issue of ‘vertical standards’ independently.</w:t>
            </w:r>
          </w:p>
        </w:tc>
      </w:tr>
      <w:tr w:rsidR="007E4B53" w14:paraId="17E69A9D" w14:textId="77777777" w:rsidTr="00647D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42487621" w14:textId="77777777" w:rsidR="007E4B53" w:rsidRDefault="007E4B53" w:rsidP="00A53250">
            <w:pPr>
              <w:pStyle w:val="Default"/>
              <w:numPr>
                <w:ilvl w:val="0"/>
                <w:numId w:val="38"/>
              </w:numPr>
              <w:spacing w:before="240" w:after="240"/>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20DDEFBB" w14:textId="7F21441D" w:rsidR="007E4B53" w:rsidRPr="00D93BA0" w:rsidRDefault="007E4B53" w:rsidP="00F70835">
            <w:pPr>
              <w:pStyle w:val="Default"/>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D93BA0">
              <w:rPr>
                <w:rFonts w:ascii="Arial" w:hAnsi="Arial" w:cs="Arial"/>
                <w:sz w:val="20"/>
                <w:szCs w:val="20"/>
              </w:rPr>
              <w:t xml:space="preserve">FSANZ has not undertaken a microbiological assessment examining the parameters listed in the specification of </w:t>
            </w:r>
            <w:r w:rsidR="00F70835">
              <w:rPr>
                <w:rFonts w:ascii="Arial" w:hAnsi="Arial" w:cs="Arial"/>
                <w:sz w:val="20"/>
                <w:szCs w:val="20"/>
              </w:rPr>
              <w:t>s</w:t>
            </w:r>
            <w:r w:rsidRPr="00D93BA0">
              <w:rPr>
                <w:rFonts w:ascii="Arial" w:hAnsi="Arial" w:cs="Arial"/>
                <w:sz w:val="20"/>
                <w:szCs w:val="20"/>
              </w:rPr>
              <w:t xml:space="preserve">oy leghemoglobin for </w:t>
            </w:r>
            <w:r w:rsidRPr="00CF3C94">
              <w:rPr>
                <w:rFonts w:ascii="Arial" w:hAnsi="Arial" w:cs="Arial"/>
                <w:i/>
                <w:sz w:val="20"/>
                <w:szCs w:val="20"/>
              </w:rPr>
              <w:t>E. coli</w:t>
            </w:r>
            <w:r w:rsidRPr="00D93BA0">
              <w:rPr>
                <w:rFonts w:ascii="Arial" w:hAnsi="Arial" w:cs="Arial"/>
                <w:sz w:val="20"/>
                <w:szCs w:val="20"/>
              </w:rPr>
              <w:t>, Salmonella spp. or Listeria that scientifically justifies their inclusion in a standard.</w:t>
            </w:r>
          </w:p>
        </w:tc>
        <w:tc>
          <w:tcPr>
            <w:tcW w:w="1985" w:type="dxa"/>
            <w:tcBorders>
              <w:top w:val="single" w:sz="4" w:space="0" w:color="000000"/>
              <w:left w:val="single" w:sz="4" w:space="0" w:color="000000"/>
              <w:bottom w:val="single" w:sz="4" w:space="0" w:color="auto"/>
              <w:right w:val="single" w:sz="4" w:space="0" w:color="000000"/>
            </w:tcBorders>
            <w:hideMark/>
          </w:tcPr>
          <w:p w14:paraId="7D42AD60"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SA Health</w:t>
            </w:r>
          </w:p>
        </w:tc>
        <w:tc>
          <w:tcPr>
            <w:tcW w:w="6095" w:type="dxa"/>
            <w:tcBorders>
              <w:top w:val="single" w:sz="4" w:space="0" w:color="000000"/>
              <w:left w:val="single" w:sz="4" w:space="0" w:color="000000"/>
              <w:bottom w:val="single" w:sz="4" w:space="0" w:color="auto"/>
              <w:right w:val="single" w:sz="4" w:space="0" w:color="auto"/>
            </w:tcBorders>
          </w:tcPr>
          <w:p w14:paraId="50EF27B1" w14:textId="250A62F8" w:rsidR="00AF7CBA" w:rsidRDefault="007E4B53" w:rsidP="00CE1641">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FSANZ </w:t>
            </w:r>
            <w:r w:rsidR="00FE4AA9">
              <w:rPr>
                <w:lang w:eastAsia="en-GB"/>
              </w:rPr>
              <w:t xml:space="preserve">has assessed and </w:t>
            </w:r>
            <w:r>
              <w:rPr>
                <w:lang w:eastAsia="en-GB"/>
              </w:rPr>
              <w:t>is satisfied with the microbiological specifications and microbiological safety as provided by the applicant, noting that this specification refers to the Preparation only, not the meat analogue product</w:t>
            </w:r>
            <w:r w:rsidR="00F70835">
              <w:rPr>
                <w:lang w:eastAsia="en-GB"/>
              </w:rPr>
              <w:t xml:space="preserve"> in which it would be included.</w:t>
            </w:r>
          </w:p>
          <w:p w14:paraId="525530A0" w14:textId="77777777" w:rsidR="00A340EB" w:rsidRDefault="007E4B53" w:rsidP="009817DE">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sidRPr="007740AB">
              <w:rPr>
                <w:lang w:eastAsia="en-GB"/>
              </w:rPr>
              <w:t>The Preparation is required to be manufactured in accordance with current GMP, employing</w:t>
            </w:r>
            <w:r w:rsidR="008D7F54">
              <w:rPr>
                <w:lang w:eastAsia="en-GB"/>
              </w:rPr>
              <w:t xml:space="preserve"> suitable</w:t>
            </w:r>
            <w:r w:rsidRPr="007740AB">
              <w:rPr>
                <w:lang w:eastAsia="en-GB"/>
              </w:rPr>
              <w:t xml:space="preserve"> in-process controls </w:t>
            </w:r>
            <w:r w:rsidRPr="002218C0">
              <w:rPr>
                <w:lang w:eastAsia="en-GB"/>
              </w:rPr>
              <w:t xml:space="preserve">to ensure the purity of the final product to a level that is technically feasible. </w:t>
            </w:r>
            <w:r w:rsidR="008D7F54">
              <w:t>FSANZ has considered the applicant’s in-process controls requested as part of the 2</w:t>
            </w:r>
            <w:r w:rsidR="008D7F54" w:rsidRPr="001D509F">
              <w:rPr>
                <w:vertAlign w:val="superscript"/>
              </w:rPr>
              <w:t>nd</w:t>
            </w:r>
            <w:r w:rsidR="008D7F54">
              <w:t xml:space="preserve"> CFS.</w:t>
            </w:r>
            <w:r w:rsidR="008D7F54" w:rsidRPr="002218C0">
              <w:rPr>
                <w:lang w:eastAsia="en-GB"/>
              </w:rPr>
              <w:t xml:space="preserve"> </w:t>
            </w:r>
            <w:r w:rsidRPr="002218C0">
              <w:rPr>
                <w:lang w:eastAsia="en-GB"/>
              </w:rPr>
              <w:t>These parameters are necessary to meet the Code’s requirement that it is the manufacturer</w:t>
            </w:r>
            <w:r w:rsidR="00757375" w:rsidRPr="002218C0">
              <w:rPr>
                <w:lang w:eastAsia="en-GB"/>
              </w:rPr>
              <w:t>’</w:t>
            </w:r>
            <w:r w:rsidRPr="002218C0">
              <w:rPr>
                <w:lang w:eastAsia="en-GB"/>
              </w:rPr>
              <w:t xml:space="preserve">s responsibility to provide safe and suitable food. </w:t>
            </w:r>
          </w:p>
          <w:p w14:paraId="291B505C" w14:textId="5BF43C66" w:rsidR="007E4B53" w:rsidRDefault="007E4B53" w:rsidP="009817DE">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sidRPr="002218C0">
              <w:rPr>
                <w:lang w:eastAsia="en-GB"/>
              </w:rPr>
              <w:t xml:space="preserve">FSANZ has </w:t>
            </w:r>
            <w:r w:rsidR="004F4408" w:rsidRPr="002218C0">
              <w:rPr>
                <w:lang w:eastAsia="en-GB"/>
              </w:rPr>
              <w:t>sighted</w:t>
            </w:r>
            <w:r w:rsidR="00757375" w:rsidRPr="002218C0">
              <w:rPr>
                <w:lang w:eastAsia="en-GB"/>
              </w:rPr>
              <w:t xml:space="preserve"> </w:t>
            </w:r>
            <w:r w:rsidRPr="002218C0">
              <w:rPr>
                <w:lang w:eastAsia="en-GB"/>
              </w:rPr>
              <w:t xml:space="preserve">confidential test results and are satisfied that the Preparation complies with the microbiological parameters put in place by </w:t>
            </w:r>
            <w:r w:rsidR="009817DE">
              <w:rPr>
                <w:lang w:eastAsia="en-GB"/>
              </w:rPr>
              <w:t>the applicant</w:t>
            </w:r>
            <w:r w:rsidRPr="002218C0">
              <w:rPr>
                <w:lang w:eastAsia="en-GB"/>
              </w:rPr>
              <w:t>.</w:t>
            </w:r>
            <w:r w:rsidRPr="007740AB">
              <w:rPr>
                <w:lang w:eastAsia="en-GB"/>
              </w:rPr>
              <w:t xml:space="preserve"> The</w:t>
            </w:r>
            <w:r>
              <w:rPr>
                <w:lang w:eastAsia="en-GB"/>
              </w:rPr>
              <w:t xml:space="preserve"> inclusion of microbiological parameters in </w:t>
            </w:r>
            <w:r w:rsidR="00CE1641">
              <w:rPr>
                <w:lang w:eastAsia="en-GB"/>
              </w:rPr>
              <w:t xml:space="preserve">the Preparation’s </w:t>
            </w:r>
            <w:r>
              <w:rPr>
                <w:lang w:eastAsia="en-GB"/>
              </w:rPr>
              <w:t xml:space="preserve">specification </w:t>
            </w:r>
            <w:r w:rsidR="00CE1641">
              <w:rPr>
                <w:lang w:eastAsia="en-GB"/>
              </w:rPr>
              <w:t>in Schedule 3</w:t>
            </w:r>
            <w:r w:rsidR="00BA680A">
              <w:rPr>
                <w:lang w:eastAsia="en-GB"/>
              </w:rPr>
              <w:t xml:space="preserve"> </w:t>
            </w:r>
            <w:r>
              <w:rPr>
                <w:lang w:eastAsia="en-GB"/>
              </w:rPr>
              <w:t>may assist jurisdictions who wish to audit the Preparation should it ever be sold to Australia</w:t>
            </w:r>
            <w:r w:rsidR="00A340EB">
              <w:rPr>
                <w:lang w:eastAsia="en-GB"/>
              </w:rPr>
              <w:t>n and/or</w:t>
            </w:r>
            <w:r>
              <w:rPr>
                <w:lang w:eastAsia="en-GB"/>
              </w:rPr>
              <w:t xml:space="preserve"> New Zealand co-manufacturer</w:t>
            </w:r>
            <w:r w:rsidR="00757375">
              <w:rPr>
                <w:lang w:eastAsia="en-GB"/>
              </w:rPr>
              <w:t>s</w:t>
            </w:r>
            <w:r>
              <w:rPr>
                <w:lang w:eastAsia="en-GB"/>
              </w:rPr>
              <w:t xml:space="preserve"> producing Impossible </w:t>
            </w:r>
            <w:r w:rsidR="009817DE">
              <w:rPr>
                <w:lang w:eastAsia="en-GB"/>
              </w:rPr>
              <w:t xml:space="preserve">meat analogue </w:t>
            </w:r>
            <w:r>
              <w:rPr>
                <w:lang w:eastAsia="en-GB"/>
              </w:rPr>
              <w:t>product</w:t>
            </w:r>
            <w:r w:rsidR="009817DE">
              <w:rPr>
                <w:lang w:eastAsia="en-GB"/>
              </w:rPr>
              <w:t>s</w:t>
            </w:r>
            <w:r>
              <w:rPr>
                <w:lang w:eastAsia="en-GB"/>
              </w:rPr>
              <w:t xml:space="preserve">. </w:t>
            </w:r>
          </w:p>
        </w:tc>
      </w:tr>
      <w:tr w:rsidR="007E4B53" w14:paraId="1DCA231F"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503B3E08" w14:textId="77777777" w:rsidR="007E4B53" w:rsidRDefault="007E4B53" w:rsidP="00A53250">
            <w:pPr>
              <w:pStyle w:val="Default"/>
              <w:numPr>
                <w:ilvl w:val="0"/>
                <w:numId w:val="38"/>
              </w:numPr>
              <w:spacing w:before="240" w:after="240"/>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04C64491" w14:textId="1EFC4DA4" w:rsidR="007E4B53" w:rsidRPr="00D93BA0" w:rsidRDefault="007E4B53" w:rsidP="00B777ED">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3BA0">
              <w:rPr>
                <w:rFonts w:ascii="Arial" w:hAnsi="Arial" w:cs="Arial"/>
                <w:sz w:val="20"/>
                <w:szCs w:val="20"/>
              </w:rPr>
              <w:t>‘Analogues derived from legumes’ and ‘Meat analogue products’ are not defined in the proposed drafting. The difference between the two terms is not clear for enforcement purposes.</w:t>
            </w:r>
          </w:p>
        </w:tc>
        <w:tc>
          <w:tcPr>
            <w:tcW w:w="1985" w:type="dxa"/>
            <w:tcBorders>
              <w:top w:val="single" w:sz="4" w:space="0" w:color="000000"/>
              <w:left w:val="single" w:sz="4" w:space="0" w:color="000000"/>
              <w:bottom w:val="single" w:sz="4" w:space="0" w:color="auto"/>
              <w:right w:val="single" w:sz="4" w:space="0" w:color="000000"/>
            </w:tcBorders>
            <w:hideMark/>
          </w:tcPr>
          <w:p w14:paraId="454125C0" w14:textId="77777777"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SA Health</w:t>
            </w:r>
          </w:p>
        </w:tc>
        <w:tc>
          <w:tcPr>
            <w:tcW w:w="6095" w:type="dxa"/>
            <w:tcBorders>
              <w:top w:val="single" w:sz="4" w:space="0" w:color="000000"/>
              <w:left w:val="single" w:sz="4" w:space="0" w:color="000000"/>
              <w:bottom w:val="single" w:sz="4" w:space="0" w:color="auto"/>
              <w:right w:val="single" w:sz="4" w:space="0" w:color="auto"/>
            </w:tcBorders>
          </w:tcPr>
          <w:p w14:paraId="73165BCB" w14:textId="1A8AA250" w:rsidR="001A310A" w:rsidRDefault="001A310A" w:rsidP="001A310A">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w:t>
            </w:r>
            <w:r w:rsidRPr="00D93BA0">
              <w:t>Analogues derived from legumes’ and ‘Meat analogue products’</w:t>
            </w:r>
            <w:r>
              <w:t xml:space="preserve"> are terms already </w:t>
            </w:r>
            <w:r w:rsidR="00AF7CBA">
              <w:t xml:space="preserve">used </w:t>
            </w:r>
            <w:r>
              <w:t>in the Code. For example:</w:t>
            </w:r>
          </w:p>
          <w:p w14:paraId="4B59A0EA" w14:textId="2C60F4C2" w:rsidR="00757375" w:rsidRDefault="001A310A" w:rsidP="001A310A">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Section </w:t>
            </w:r>
            <w:r w:rsidR="00C345DC">
              <w:rPr>
                <w:lang w:eastAsia="en-GB"/>
              </w:rPr>
              <w:t xml:space="preserve">17—4 </w:t>
            </w:r>
            <w:r w:rsidR="007E4B53">
              <w:rPr>
                <w:i/>
                <w:lang w:eastAsia="en-GB"/>
              </w:rPr>
              <w:t xml:space="preserve">Permitted uses of vitamins and minerals </w:t>
            </w:r>
            <w:r w:rsidR="00757375" w:rsidRPr="00E001C6">
              <w:rPr>
                <w:lang w:eastAsia="en-GB"/>
              </w:rPr>
              <w:t>includes a food category</w:t>
            </w:r>
            <w:r w:rsidR="00757375">
              <w:rPr>
                <w:i/>
                <w:lang w:eastAsia="en-GB"/>
              </w:rPr>
              <w:t xml:space="preserve"> </w:t>
            </w:r>
            <w:r w:rsidR="007E4B53">
              <w:rPr>
                <w:lang w:eastAsia="en-GB"/>
              </w:rPr>
              <w:t xml:space="preserve">‘Analogues derived from legumes’ </w:t>
            </w:r>
            <w:r w:rsidR="00757375">
              <w:rPr>
                <w:lang w:eastAsia="en-GB"/>
              </w:rPr>
              <w:t>with several more specific sub</w:t>
            </w:r>
            <w:r w:rsidR="007E4B53">
              <w:rPr>
                <w:lang w:eastAsia="en-GB"/>
              </w:rPr>
              <w:t>categor</w:t>
            </w:r>
            <w:r w:rsidR="00757375">
              <w:rPr>
                <w:lang w:eastAsia="en-GB"/>
              </w:rPr>
              <w:t xml:space="preserve">ies one of which </w:t>
            </w:r>
            <w:r w:rsidR="007E4B53">
              <w:rPr>
                <w:lang w:eastAsia="en-GB"/>
              </w:rPr>
              <w:t>is ‘Analogues of meat, where no less than 12% of the energy value of the food is derived from protein, and the food contains 5 g protein per serve of the food’.</w:t>
            </w:r>
            <w:r w:rsidR="00757375">
              <w:rPr>
                <w:lang w:eastAsia="en-GB"/>
              </w:rPr>
              <w:t xml:space="preserve"> </w:t>
            </w:r>
          </w:p>
          <w:p w14:paraId="2B95682C" w14:textId="76330B37" w:rsidR="007E4B53" w:rsidRDefault="007E4B53" w:rsidP="00A340EB">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The term ‘analogue’ is not defined in the Code</w:t>
            </w:r>
            <w:r w:rsidR="001A310A">
              <w:rPr>
                <w:lang w:eastAsia="en-GB"/>
              </w:rPr>
              <w:t xml:space="preserve">. In the absence of a definition in the Code, the ordinary meaning of ‘analogue’ applies, for example, the Macquarie Dictionary, defines it as: </w:t>
            </w:r>
            <w:r w:rsidR="001A310A" w:rsidRPr="0005536C">
              <w:rPr>
                <w:i/>
                <w:lang w:eastAsia="en-GB"/>
              </w:rPr>
              <w:t>noun 1. something having analogy to something else</w:t>
            </w:r>
            <w:r w:rsidR="001D509F">
              <w:rPr>
                <w:i/>
                <w:lang w:eastAsia="en-GB"/>
              </w:rPr>
              <w:t>.</w:t>
            </w:r>
            <w:r w:rsidR="001A310A">
              <w:rPr>
                <w:lang w:eastAsia="en-GB"/>
              </w:rPr>
              <w:t xml:space="preserve"> </w:t>
            </w:r>
            <w:r w:rsidR="001D509F">
              <w:rPr>
                <w:lang w:eastAsia="en-GB"/>
              </w:rPr>
              <w:t>I</w:t>
            </w:r>
            <w:r w:rsidR="001A310A">
              <w:rPr>
                <w:lang w:eastAsia="en-GB"/>
              </w:rPr>
              <w:t>n this case, meat.</w:t>
            </w:r>
            <w:r>
              <w:rPr>
                <w:lang w:eastAsia="en-GB"/>
              </w:rPr>
              <w:t xml:space="preserve"> FSANZ is not aware of any </w:t>
            </w:r>
            <w:r w:rsidR="00B550DC">
              <w:rPr>
                <w:lang w:eastAsia="en-GB"/>
              </w:rPr>
              <w:t xml:space="preserve">other </w:t>
            </w:r>
            <w:r>
              <w:rPr>
                <w:lang w:eastAsia="en-GB"/>
              </w:rPr>
              <w:t xml:space="preserve">stakeholder concerns with </w:t>
            </w:r>
            <w:r w:rsidR="00A340EB">
              <w:rPr>
                <w:lang w:eastAsia="en-GB"/>
              </w:rPr>
              <w:t xml:space="preserve">reference to the term ‘analogue’ </w:t>
            </w:r>
            <w:r w:rsidR="001A310A">
              <w:rPr>
                <w:lang w:eastAsia="en-GB"/>
              </w:rPr>
              <w:t>in S</w:t>
            </w:r>
            <w:r>
              <w:rPr>
                <w:lang w:eastAsia="en-GB"/>
              </w:rPr>
              <w:t xml:space="preserve">chedule </w:t>
            </w:r>
            <w:r w:rsidR="001A310A">
              <w:rPr>
                <w:lang w:eastAsia="en-GB"/>
              </w:rPr>
              <w:t xml:space="preserve">17 </w:t>
            </w:r>
            <w:r>
              <w:rPr>
                <w:lang w:eastAsia="en-GB"/>
              </w:rPr>
              <w:t xml:space="preserve">not being clear. </w:t>
            </w:r>
          </w:p>
        </w:tc>
      </w:tr>
      <w:tr w:rsidR="007E4B53" w14:paraId="525FB641" w14:textId="77777777" w:rsidTr="00647D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1D42852B" w14:textId="77777777" w:rsidR="007E4B53" w:rsidRDefault="007E4B53" w:rsidP="00A53250">
            <w:pPr>
              <w:pStyle w:val="Default"/>
              <w:numPr>
                <w:ilvl w:val="0"/>
                <w:numId w:val="38"/>
              </w:numPr>
              <w:spacing w:before="240"/>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6EB22C82" w14:textId="4BDDF666" w:rsidR="007E4B53" w:rsidRPr="00D93BA0" w:rsidRDefault="007E4B53" w:rsidP="00B777ED">
            <w:pPr>
              <w:pStyle w:val="Default"/>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D93BA0">
              <w:rPr>
                <w:rFonts w:ascii="Arial" w:hAnsi="Arial" w:cs="Arial"/>
                <w:sz w:val="20"/>
                <w:szCs w:val="20"/>
              </w:rPr>
              <w:t>It is unclear from the proposed drafting whether permission is being provided for “soy leghemoglobin” or “soy leghemoglobin preparation”. Using the two terms makes interpretation of the regulation confusing.</w:t>
            </w:r>
          </w:p>
        </w:tc>
        <w:tc>
          <w:tcPr>
            <w:tcW w:w="1985" w:type="dxa"/>
            <w:tcBorders>
              <w:top w:val="single" w:sz="4" w:space="0" w:color="000000"/>
              <w:left w:val="single" w:sz="4" w:space="0" w:color="000000"/>
              <w:bottom w:val="single" w:sz="4" w:space="0" w:color="auto"/>
              <w:right w:val="single" w:sz="4" w:space="0" w:color="000000"/>
            </w:tcBorders>
            <w:hideMark/>
          </w:tcPr>
          <w:p w14:paraId="446265AC"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SA Health</w:t>
            </w:r>
          </w:p>
        </w:tc>
        <w:tc>
          <w:tcPr>
            <w:tcW w:w="6095" w:type="dxa"/>
            <w:tcBorders>
              <w:top w:val="single" w:sz="4" w:space="0" w:color="000000"/>
              <w:left w:val="single" w:sz="4" w:space="0" w:color="000000"/>
              <w:bottom w:val="single" w:sz="4" w:space="0" w:color="auto"/>
              <w:right w:val="single" w:sz="4" w:space="0" w:color="auto"/>
            </w:tcBorders>
          </w:tcPr>
          <w:p w14:paraId="0DE34770" w14:textId="7ECACB30" w:rsidR="007E4B53" w:rsidRDefault="00AF7CBA"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In the draft variation, permission </w:t>
            </w:r>
            <w:r w:rsidR="001A310A">
              <w:rPr>
                <w:lang w:eastAsia="en-GB"/>
              </w:rPr>
              <w:t xml:space="preserve">will be </w:t>
            </w:r>
            <w:r w:rsidR="007E4B53">
              <w:rPr>
                <w:lang w:eastAsia="en-GB"/>
              </w:rPr>
              <w:t xml:space="preserve">granted for both </w:t>
            </w:r>
            <w:r w:rsidR="00391B48">
              <w:rPr>
                <w:lang w:eastAsia="en-GB"/>
              </w:rPr>
              <w:t>‘</w:t>
            </w:r>
            <w:r w:rsidR="007E4B53">
              <w:rPr>
                <w:lang w:eastAsia="en-GB"/>
              </w:rPr>
              <w:t>soy leghemoglobin</w:t>
            </w:r>
            <w:r w:rsidR="00391B48">
              <w:rPr>
                <w:lang w:eastAsia="en-GB"/>
              </w:rPr>
              <w:t>’</w:t>
            </w:r>
            <w:r w:rsidR="007E4B53">
              <w:rPr>
                <w:lang w:eastAsia="en-GB"/>
              </w:rPr>
              <w:t xml:space="preserve"> and the GM </w:t>
            </w:r>
            <w:r w:rsidR="00391B48">
              <w:rPr>
                <w:lang w:eastAsia="en-GB"/>
              </w:rPr>
              <w:t>‘</w:t>
            </w:r>
            <w:r w:rsidR="007E4B53">
              <w:rPr>
                <w:lang w:eastAsia="en-GB"/>
              </w:rPr>
              <w:t>soy leghemoglobin preparation</w:t>
            </w:r>
            <w:r w:rsidR="00391B48">
              <w:rPr>
                <w:lang w:eastAsia="en-GB"/>
              </w:rPr>
              <w:t>’</w:t>
            </w:r>
            <w:r w:rsidR="007E4B53">
              <w:rPr>
                <w:lang w:eastAsia="en-GB"/>
              </w:rPr>
              <w:t xml:space="preserve"> </w:t>
            </w:r>
            <w:r w:rsidR="001A310A">
              <w:rPr>
                <w:lang w:eastAsia="en-GB"/>
              </w:rPr>
              <w:t xml:space="preserve">(the Preparation) </w:t>
            </w:r>
            <w:r w:rsidR="00A36371">
              <w:rPr>
                <w:lang w:eastAsia="en-GB"/>
              </w:rPr>
              <w:t>for different reasons</w:t>
            </w:r>
            <w:r w:rsidR="007E4B53">
              <w:rPr>
                <w:lang w:eastAsia="en-GB"/>
              </w:rPr>
              <w:t xml:space="preserve">. </w:t>
            </w:r>
          </w:p>
          <w:p w14:paraId="63383FE5" w14:textId="24C27F8F" w:rsidR="007E4B53" w:rsidRDefault="007E4B53" w:rsidP="00B777ED">
            <w:pPr>
              <w:pStyle w:val="FSTableText"/>
              <w:widowControl/>
              <w:numPr>
                <w:ilvl w:val="0"/>
                <w:numId w:val="36"/>
              </w:numPr>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The </w:t>
            </w:r>
            <w:r w:rsidR="00C345DC">
              <w:rPr>
                <w:lang w:eastAsia="en-GB"/>
              </w:rPr>
              <w:t>Preparation</w:t>
            </w:r>
            <w:r>
              <w:rPr>
                <w:lang w:eastAsia="en-GB"/>
              </w:rPr>
              <w:t xml:space="preserve"> </w:t>
            </w:r>
            <w:r w:rsidR="001A310A">
              <w:rPr>
                <w:lang w:eastAsia="en-GB"/>
              </w:rPr>
              <w:t xml:space="preserve">will be </w:t>
            </w:r>
            <w:r w:rsidR="00A36371">
              <w:rPr>
                <w:lang w:eastAsia="en-GB"/>
              </w:rPr>
              <w:t xml:space="preserve">permitted as a GM food because </w:t>
            </w:r>
            <w:r w:rsidR="00C345DC">
              <w:rPr>
                <w:lang w:eastAsia="en-GB"/>
              </w:rPr>
              <w:t xml:space="preserve">it </w:t>
            </w:r>
            <w:r>
              <w:rPr>
                <w:lang w:eastAsia="en-GB"/>
              </w:rPr>
              <w:t xml:space="preserve">contains the soy leghemoglobin </w:t>
            </w:r>
            <w:r w:rsidR="00C345DC">
              <w:rPr>
                <w:lang w:eastAsia="en-GB"/>
              </w:rPr>
              <w:t>ingredient</w:t>
            </w:r>
            <w:r>
              <w:rPr>
                <w:lang w:eastAsia="en-GB"/>
              </w:rPr>
              <w:t xml:space="preserve">, GM residual </w:t>
            </w:r>
            <w:r w:rsidRPr="00CF3C94">
              <w:rPr>
                <w:i/>
                <w:lang w:eastAsia="en-GB"/>
              </w:rPr>
              <w:t>P</w:t>
            </w:r>
            <w:r w:rsidR="00EA3CBA">
              <w:rPr>
                <w:i/>
                <w:lang w:eastAsia="en-GB"/>
              </w:rPr>
              <w:t>.</w:t>
            </w:r>
            <w:r w:rsidR="00A340EB">
              <w:rPr>
                <w:i/>
                <w:lang w:eastAsia="en-GB"/>
              </w:rPr>
              <w:t xml:space="preserve"> pastoris</w:t>
            </w:r>
            <w:r>
              <w:rPr>
                <w:lang w:eastAsia="en-GB"/>
              </w:rPr>
              <w:t xml:space="preserve"> proteins</w:t>
            </w:r>
            <w:r w:rsidR="00A340EB">
              <w:rPr>
                <w:lang w:eastAsia="en-GB"/>
              </w:rPr>
              <w:t xml:space="preserve"> and DNA,</w:t>
            </w:r>
            <w:r>
              <w:rPr>
                <w:lang w:eastAsia="en-GB"/>
              </w:rPr>
              <w:t xml:space="preserve"> and stabilizers.</w:t>
            </w:r>
          </w:p>
          <w:p w14:paraId="6B364F74" w14:textId="0FCD37A9" w:rsidR="007E4B53" w:rsidRDefault="007E4B53" w:rsidP="00B777ED">
            <w:pPr>
              <w:pStyle w:val="FSTableText"/>
              <w:widowControl/>
              <w:numPr>
                <w:ilvl w:val="0"/>
                <w:numId w:val="36"/>
              </w:numPr>
              <w:spacing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Soy leghemoglobin contains the haem iron </w:t>
            </w:r>
            <w:r w:rsidR="00A36371">
              <w:rPr>
                <w:lang w:eastAsia="en-GB"/>
              </w:rPr>
              <w:t xml:space="preserve">so </w:t>
            </w:r>
            <w:r w:rsidR="001A310A">
              <w:rPr>
                <w:lang w:eastAsia="en-GB"/>
              </w:rPr>
              <w:t xml:space="preserve">will be </w:t>
            </w:r>
            <w:r w:rsidR="00A36371">
              <w:rPr>
                <w:lang w:eastAsia="en-GB"/>
              </w:rPr>
              <w:t>a permitted f</w:t>
            </w:r>
            <w:r w:rsidR="00A340EB">
              <w:rPr>
                <w:lang w:eastAsia="en-GB"/>
              </w:rPr>
              <w:t>orm of the nutritive substance</w:t>
            </w:r>
            <w:r w:rsidR="00A36371">
              <w:rPr>
                <w:lang w:eastAsia="en-GB"/>
              </w:rPr>
              <w:t xml:space="preserve"> </w:t>
            </w:r>
            <w:r w:rsidR="00A340EB">
              <w:rPr>
                <w:lang w:eastAsia="en-GB"/>
              </w:rPr>
              <w:t>‘</w:t>
            </w:r>
            <w:r w:rsidR="00A36371">
              <w:rPr>
                <w:lang w:eastAsia="en-GB"/>
              </w:rPr>
              <w:t>iron</w:t>
            </w:r>
            <w:r w:rsidR="00A340EB">
              <w:rPr>
                <w:lang w:eastAsia="en-GB"/>
              </w:rPr>
              <w:t>’</w:t>
            </w:r>
            <w:r>
              <w:rPr>
                <w:lang w:eastAsia="en-GB"/>
              </w:rPr>
              <w:t>.</w:t>
            </w:r>
          </w:p>
          <w:p w14:paraId="0F7628C1" w14:textId="10C5D0A3" w:rsidR="00AF7CBA" w:rsidRDefault="007E4B53" w:rsidP="00AF7CBA">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The </w:t>
            </w:r>
            <w:r w:rsidR="00AF7CBA">
              <w:rPr>
                <w:lang w:eastAsia="en-GB"/>
              </w:rPr>
              <w:t xml:space="preserve">draft variation also </w:t>
            </w:r>
            <w:r w:rsidR="00891E83">
              <w:rPr>
                <w:lang w:eastAsia="en-GB"/>
              </w:rPr>
              <w:t>controls</w:t>
            </w:r>
            <w:r>
              <w:rPr>
                <w:lang w:eastAsia="en-GB"/>
              </w:rPr>
              <w:t xml:space="preserve"> </w:t>
            </w:r>
            <w:r w:rsidR="00891E83">
              <w:rPr>
                <w:lang w:eastAsia="en-GB"/>
              </w:rPr>
              <w:t>the amount of soy leghemoglobin added to raw meat analogue product (0.8% w/w), under the nutritive substance permission</w:t>
            </w:r>
            <w:r w:rsidR="009A7D86">
              <w:rPr>
                <w:lang w:eastAsia="en-GB"/>
              </w:rPr>
              <w:t xml:space="preserve"> in Standard 1.3.2</w:t>
            </w:r>
            <w:r w:rsidR="00891E83">
              <w:rPr>
                <w:lang w:eastAsia="en-GB"/>
              </w:rPr>
              <w:t xml:space="preserve">. </w:t>
            </w:r>
          </w:p>
          <w:p w14:paraId="6338AFE2" w14:textId="298AC0CC" w:rsidR="00AF7CBA" w:rsidRDefault="00891E83" w:rsidP="00AF7CBA">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Soy leghemoglobin can only be added to </w:t>
            </w:r>
            <w:r w:rsidR="00AF7CBA">
              <w:rPr>
                <w:lang w:eastAsia="en-GB"/>
              </w:rPr>
              <w:t xml:space="preserve">food </w:t>
            </w:r>
            <w:r>
              <w:rPr>
                <w:lang w:eastAsia="en-GB"/>
              </w:rPr>
              <w:t xml:space="preserve">in the form of </w:t>
            </w:r>
            <w:r w:rsidR="007E4B53">
              <w:rPr>
                <w:lang w:eastAsia="en-GB"/>
              </w:rPr>
              <w:t xml:space="preserve">the </w:t>
            </w:r>
            <w:r w:rsidR="00A36371">
              <w:rPr>
                <w:lang w:eastAsia="en-GB"/>
              </w:rPr>
              <w:t>Preparation</w:t>
            </w:r>
            <w:r>
              <w:rPr>
                <w:lang w:eastAsia="en-GB"/>
              </w:rPr>
              <w:t xml:space="preserve">, which must meet </w:t>
            </w:r>
            <w:r w:rsidR="00A340EB">
              <w:rPr>
                <w:lang w:eastAsia="en-GB"/>
              </w:rPr>
              <w:t>the proposed</w:t>
            </w:r>
            <w:r w:rsidR="007E4B53">
              <w:rPr>
                <w:lang w:eastAsia="en-GB"/>
              </w:rPr>
              <w:t xml:space="preserve"> specification outlined in S</w:t>
            </w:r>
            <w:r>
              <w:rPr>
                <w:lang w:eastAsia="en-GB"/>
              </w:rPr>
              <w:t xml:space="preserve">chedule </w:t>
            </w:r>
            <w:r w:rsidR="007E4B53">
              <w:rPr>
                <w:lang w:eastAsia="en-GB"/>
              </w:rPr>
              <w:t>3.</w:t>
            </w:r>
            <w:r w:rsidR="004C7DBF">
              <w:rPr>
                <w:lang w:eastAsia="en-GB"/>
              </w:rPr>
              <w:t xml:space="preserve"> </w:t>
            </w:r>
          </w:p>
          <w:p w14:paraId="268834D6" w14:textId="24277976" w:rsidR="007E4B53" w:rsidRDefault="007E4B53" w:rsidP="00A9765F">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FSANZ has clarified </w:t>
            </w:r>
            <w:r w:rsidR="00A9765F">
              <w:rPr>
                <w:lang w:eastAsia="en-GB"/>
              </w:rPr>
              <w:t>the issue</w:t>
            </w:r>
            <w:r>
              <w:rPr>
                <w:lang w:eastAsia="en-GB"/>
              </w:rPr>
              <w:t xml:space="preserve"> </w:t>
            </w:r>
            <w:r w:rsidR="00891E83">
              <w:rPr>
                <w:lang w:eastAsia="en-GB"/>
              </w:rPr>
              <w:t xml:space="preserve">under </w:t>
            </w:r>
            <w:r w:rsidR="00A9765F">
              <w:rPr>
                <w:lang w:eastAsia="en-GB"/>
              </w:rPr>
              <w:t>s</w:t>
            </w:r>
            <w:r w:rsidR="00891E83">
              <w:rPr>
                <w:lang w:eastAsia="en-GB"/>
              </w:rPr>
              <w:t>ection 3.1</w:t>
            </w:r>
            <w:r w:rsidR="00A9765F">
              <w:rPr>
                <w:lang w:eastAsia="en-GB"/>
              </w:rPr>
              <w:t xml:space="preserve"> of this report</w:t>
            </w:r>
            <w:r w:rsidR="00891E83">
              <w:rPr>
                <w:lang w:eastAsia="en-GB"/>
              </w:rPr>
              <w:t>.</w:t>
            </w:r>
          </w:p>
        </w:tc>
      </w:tr>
      <w:tr w:rsidR="007E4B53" w14:paraId="61D55FC5"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3F078FB6" w14:textId="77777777" w:rsidR="007E4B53" w:rsidRDefault="007E4B53" w:rsidP="00277E11">
            <w:pPr>
              <w:pStyle w:val="Default"/>
              <w:numPr>
                <w:ilvl w:val="0"/>
                <w:numId w:val="38"/>
              </w:numPr>
              <w:spacing w:before="240" w:after="240"/>
              <w:jc w:val="center"/>
              <w:rPr>
                <w:rFonts w:ascii="Arial" w:eastAsiaTheme="minorHAnsi"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3CDFC483" w14:textId="79FECCE6" w:rsidR="007E4B53" w:rsidRPr="00D93BA0" w:rsidRDefault="007E4B53" w:rsidP="00B777ED">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3BA0">
              <w:rPr>
                <w:rFonts w:ascii="Arial" w:eastAsiaTheme="minorHAnsi" w:hAnsi="Arial" w:cs="Arial"/>
                <w:sz w:val="20"/>
                <w:szCs w:val="20"/>
              </w:rPr>
              <w:t>FSANZ has signalled it will approve soy leghemoglobin for general use in non-Impossible products, based on the drafting’s proposed permission in the more general ‘meat analogue products’.</w:t>
            </w:r>
          </w:p>
        </w:tc>
        <w:tc>
          <w:tcPr>
            <w:tcW w:w="1985" w:type="dxa"/>
            <w:tcBorders>
              <w:top w:val="single" w:sz="4" w:space="0" w:color="000000"/>
              <w:left w:val="single" w:sz="4" w:space="0" w:color="000000"/>
              <w:bottom w:val="single" w:sz="4" w:space="0" w:color="auto"/>
              <w:right w:val="single" w:sz="4" w:space="0" w:color="000000"/>
            </w:tcBorders>
            <w:hideMark/>
          </w:tcPr>
          <w:p w14:paraId="6F82BAD1" w14:textId="77777777"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FOE/GE</w:t>
            </w:r>
          </w:p>
        </w:tc>
        <w:tc>
          <w:tcPr>
            <w:tcW w:w="6095" w:type="dxa"/>
            <w:tcBorders>
              <w:top w:val="single" w:sz="4" w:space="0" w:color="000000"/>
              <w:left w:val="single" w:sz="4" w:space="0" w:color="000000"/>
              <w:bottom w:val="single" w:sz="4" w:space="0" w:color="auto"/>
              <w:right w:val="single" w:sz="4" w:space="0" w:color="auto"/>
            </w:tcBorders>
            <w:hideMark/>
          </w:tcPr>
          <w:p w14:paraId="2784949B" w14:textId="77777777" w:rsidR="00F54D58" w:rsidRDefault="007E4B53" w:rsidP="00F54D58">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FSANZ understands the applicant has applied for patents in Australia and New Zealand for the methods of production</w:t>
            </w:r>
            <w:r w:rsidR="00F54D58">
              <w:rPr>
                <w:lang w:eastAsia="en-GB"/>
              </w:rPr>
              <w:t>,</w:t>
            </w:r>
            <w:r>
              <w:rPr>
                <w:lang w:eastAsia="en-GB"/>
              </w:rPr>
              <w:t xml:space="preserve"> specifications for their meat analogue products, and the Preparation (containing soy leghemoglobin). </w:t>
            </w:r>
            <w:r w:rsidR="001A310A">
              <w:rPr>
                <w:lang w:eastAsia="en-GB"/>
              </w:rPr>
              <w:t xml:space="preserve">FSANZ also understands that </w:t>
            </w:r>
            <w:r w:rsidR="0005536C">
              <w:rPr>
                <w:lang w:eastAsia="en-GB"/>
              </w:rPr>
              <w:t>the applicant</w:t>
            </w:r>
            <w:r>
              <w:rPr>
                <w:lang w:eastAsia="en-GB"/>
              </w:rPr>
              <w:t xml:space="preserve"> may establish </w:t>
            </w:r>
            <w:r w:rsidR="00F54D58">
              <w:rPr>
                <w:lang w:eastAsia="en-GB"/>
              </w:rPr>
              <w:t>co-manufacturing agreements</w:t>
            </w:r>
            <w:r>
              <w:rPr>
                <w:lang w:eastAsia="en-GB"/>
              </w:rPr>
              <w:t xml:space="preserve"> </w:t>
            </w:r>
            <w:r w:rsidR="00F54D58">
              <w:rPr>
                <w:lang w:eastAsia="en-GB"/>
              </w:rPr>
              <w:t xml:space="preserve">with </w:t>
            </w:r>
            <w:r>
              <w:rPr>
                <w:lang w:eastAsia="en-GB"/>
              </w:rPr>
              <w:t>Australia</w:t>
            </w:r>
            <w:r w:rsidR="00F54D58">
              <w:rPr>
                <w:lang w:eastAsia="en-GB"/>
              </w:rPr>
              <w:t>n</w:t>
            </w:r>
            <w:r>
              <w:rPr>
                <w:lang w:eastAsia="en-GB"/>
              </w:rPr>
              <w:t xml:space="preserve"> </w:t>
            </w:r>
            <w:r w:rsidR="001A310A">
              <w:rPr>
                <w:lang w:eastAsia="en-GB"/>
              </w:rPr>
              <w:t xml:space="preserve">and </w:t>
            </w:r>
            <w:r>
              <w:rPr>
                <w:lang w:eastAsia="en-GB"/>
              </w:rPr>
              <w:t>New Zealand</w:t>
            </w:r>
            <w:r w:rsidR="00F54D58">
              <w:rPr>
                <w:lang w:eastAsia="en-GB"/>
              </w:rPr>
              <w:t xml:space="preserve"> companies</w:t>
            </w:r>
            <w:r>
              <w:rPr>
                <w:lang w:eastAsia="en-GB"/>
              </w:rPr>
              <w:t xml:space="preserve"> to </w:t>
            </w:r>
            <w:r w:rsidR="00F54D58">
              <w:rPr>
                <w:lang w:eastAsia="en-GB"/>
              </w:rPr>
              <w:t>manufacture</w:t>
            </w:r>
            <w:r>
              <w:rPr>
                <w:lang w:eastAsia="en-GB"/>
              </w:rPr>
              <w:t xml:space="preserve"> Impossible meat analogue products </w:t>
            </w:r>
            <w:r w:rsidR="00F54D58">
              <w:rPr>
                <w:lang w:eastAsia="en-GB"/>
              </w:rPr>
              <w:t>using locally sourced ingredients, with the exception of th</w:t>
            </w:r>
            <w:r w:rsidRPr="00A36371">
              <w:rPr>
                <w:lang w:eastAsia="en-GB"/>
              </w:rPr>
              <w:t>e Preparation</w:t>
            </w:r>
            <w:r w:rsidR="00F54D58">
              <w:rPr>
                <w:lang w:eastAsia="en-GB"/>
              </w:rPr>
              <w:t xml:space="preserve"> which would be produced in an Impossible manufacturing plant outside of Australia/New Zealand and imported for use in Impossible branded meat analogue products only</w:t>
            </w:r>
            <w:r w:rsidRPr="00A36371">
              <w:rPr>
                <w:lang w:eastAsia="en-GB"/>
              </w:rPr>
              <w:t>.</w:t>
            </w:r>
            <w:r>
              <w:rPr>
                <w:lang w:eastAsia="en-GB"/>
              </w:rPr>
              <w:t xml:space="preserve"> </w:t>
            </w:r>
          </w:p>
          <w:p w14:paraId="0545CCFB" w14:textId="663C635F" w:rsidR="007E4B53" w:rsidRDefault="0005536C" w:rsidP="00F54D58">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M</w:t>
            </w:r>
            <w:r w:rsidR="007E4B53">
              <w:rPr>
                <w:lang w:eastAsia="en-GB"/>
              </w:rPr>
              <w:t xml:space="preserve">eat analogue products </w:t>
            </w:r>
            <w:r>
              <w:rPr>
                <w:lang w:eastAsia="en-GB"/>
              </w:rPr>
              <w:t xml:space="preserve">in general </w:t>
            </w:r>
            <w:r w:rsidR="007E4B53">
              <w:rPr>
                <w:lang w:eastAsia="en-GB"/>
              </w:rPr>
              <w:t xml:space="preserve">will </w:t>
            </w:r>
            <w:r>
              <w:rPr>
                <w:lang w:eastAsia="en-GB"/>
              </w:rPr>
              <w:t xml:space="preserve">not </w:t>
            </w:r>
            <w:r w:rsidR="00A36371">
              <w:rPr>
                <w:lang w:eastAsia="en-GB"/>
              </w:rPr>
              <w:t xml:space="preserve">be authorised </w:t>
            </w:r>
            <w:r w:rsidR="007E4B53">
              <w:rPr>
                <w:lang w:eastAsia="en-GB"/>
              </w:rPr>
              <w:t xml:space="preserve">to </w:t>
            </w:r>
            <w:r w:rsidR="00A36371">
              <w:rPr>
                <w:lang w:eastAsia="en-GB"/>
              </w:rPr>
              <w:t>contain</w:t>
            </w:r>
            <w:r w:rsidR="007E4B53">
              <w:rPr>
                <w:lang w:eastAsia="en-GB"/>
              </w:rPr>
              <w:t xml:space="preserve"> the ingredient. </w:t>
            </w:r>
            <w:r w:rsidR="00A36371">
              <w:rPr>
                <w:lang w:eastAsia="en-GB"/>
              </w:rPr>
              <w:t>Any future</w:t>
            </w:r>
            <w:r w:rsidR="007E4B53">
              <w:rPr>
                <w:lang w:eastAsia="en-GB"/>
              </w:rPr>
              <w:t xml:space="preserve"> soy leghemoglobin product (using a separat</w:t>
            </w:r>
            <w:r w:rsidR="00891E83">
              <w:rPr>
                <w:lang w:eastAsia="en-GB"/>
              </w:rPr>
              <w:t>e method of production and gene-</w:t>
            </w:r>
            <w:r w:rsidR="007E4B53">
              <w:rPr>
                <w:lang w:eastAsia="en-GB"/>
              </w:rPr>
              <w:t xml:space="preserve">gene donor) would need to undergo pre-market approval </w:t>
            </w:r>
            <w:r w:rsidR="00A36371">
              <w:rPr>
                <w:lang w:eastAsia="en-GB"/>
              </w:rPr>
              <w:t>before sale</w:t>
            </w:r>
            <w:r w:rsidR="007E4B53">
              <w:rPr>
                <w:lang w:eastAsia="en-GB"/>
              </w:rPr>
              <w:t xml:space="preserve"> in Australia and New Zealand.</w:t>
            </w:r>
          </w:p>
        </w:tc>
      </w:tr>
      <w:tr w:rsidR="007E4B53" w14:paraId="0FCFDA30" w14:textId="77777777" w:rsidTr="00647D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4895E05C" w14:textId="77777777" w:rsidR="007E4B53" w:rsidRDefault="007E4B53" w:rsidP="00E77BDC">
            <w:pPr>
              <w:pStyle w:val="Default"/>
              <w:numPr>
                <w:ilvl w:val="0"/>
                <w:numId w:val="38"/>
              </w:numPr>
              <w:spacing w:before="240" w:after="240"/>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51C7F74F" w14:textId="19D62D55" w:rsidR="007E4B53" w:rsidRPr="00D93BA0" w:rsidRDefault="007E4B53" w:rsidP="00B777ED">
            <w:pPr>
              <w:pStyle w:val="Default"/>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D93BA0">
              <w:rPr>
                <w:rFonts w:ascii="Arial" w:hAnsi="Arial" w:cs="Arial"/>
                <w:sz w:val="20"/>
                <w:szCs w:val="20"/>
              </w:rPr>
              <w:t xml:space="preserve">It is assumed that the meat analogue products will be sold cooked. If a meat analogue product is cooked, then proposed use level of 0.8% cannot be enforced as the product is not in the raw state. </w:t>
            </w:r>
          </w:p>
        </w:tc>
        <w:tc>
          <w:tcPr>
            <w:tcW w:w="1985" w:type="dxa"/>
            <w:tcBorders>
              <w:top w:val="single" w:sz="4" w:space="0" w:color="000000"/>
              <w:left w:val="single" w:sz="4" w:space="0" w:color="000000"/>
              <w:bottom w:val="single" w:sz="4" w:space="0" w:color="auto"/>
              <w:right w:val="single" w:sz="4" w:space="0" w:color="000000"/>
            </w:tcBorders>
            <w:hideMark/>
          </w:tcPr>
          <w:p w14:paraId="7F677D5E"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SA Health</w:t>
            </w:r>
          </w:p>
        </w:tc>
        <w:tc>
          <w:tcPr>
            <w:tcW w:w="6095" w:type="dxa"/>
            <w:tcBorders>
              <w:top w:val="single" w:sz="4" w:space="0" w:color="000000"/>
              <w:left w:val="single" w:sz="4" w:space="0" w:color="000000"/>
              <w:bottom w:val="single" w:sz="4" w:space="0" w:color="auto"/>
              <w:right w:val="single" w:sz="4" w:space="0" w:color="auto"/>
            </w:tcBorders>
          </w:tcPr>
          <w:p w14:paraId="2BD95034" w14:textId="0B99D503"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sidRPr="0024107D">
              <w:rPr>
                <w:lang w:eastAsia="en-GB"/>
              </w:rPr>
              <w:t xml:space="preserve">The applicant intends to </w:t>
            </w:r>
            <w:r w:rsidR="00891E83">
              <w:rPr>
                <w:lang w:eastAsia="en-GB"/>
              </w:rPr>
              <w:t xml:space="preserve">import and </w:t>
            </w:r>
            <w:r w:rsidRPr="0024107D">
              <w:rPr>
                <w:lang w:eastAsia="en-GB"/>
              </w:rPr>
              <w:t>sell</w:t>
            </w:r>
            <w:r w:rsidR="00277E11" w:rsidRPr="0024107D">
              <w:rPr>
                <w:lang w:eastAsia="en-GB"/>
              </w:rPr>
              <w:t xml:space="preserve"> raw </w:t>
            </w:r>
            <w:r w:rsidR="0024107D">
              <w:rPr>
                <w:lang w:eastAsia="en-GB"/>
              </w:rPr>
              <w:t>Impossible</w:t>
            </w:r>
            <w:r w:rsidR="00891E83">
              <w:rPr>
                <w:lang w:eastAsia="en-GB"/>
              </w:rPr>
              <w:t xml:space="preserve"> meat analogue</w:t>
            </w:r>
            <w:r w:rsidR="0024107D">
              <w:rPr>
                <w:lang w:eastAsia="en-GB"/>
              </w:rPr>
              <w:t xml:space="preserve"> </w:t>
            </w:r>
            <w:r w:rsidR="00277E11" w:rsidRPr="0024107D">
              <w:rPr>
                <w:lang w:eastAsia="en-GB"/>
              </w:rPr>
              <w:t>product</w:t>
            </w:r>
            <w:r w:rsidR="00277E11">
              <w:rPr>
                <w:lang w:eastAsia="en-GB"/>
              </w:rPr>
              <w:t xml:space="preserve"> to</w:t>
            </w:r>
            <w:r w:rsidR="00277E11" w:rsidRPr="00277E11" w:rsidDel="00732467">
              <w:rPr>
                <w:lang w:bidi="ar-SA"/>
              </w:rPr>
              <w:t xml:space="preserve"> </w:t>
            </w:r>
            <w:r w:rsidR="00277E11">
              <w:rPr>
                <w:lang w:bidi="ar-SA"/>
              </w:rPr>
              <w:t>retail stores</w:t>
            </w:r>
            <w:r w:rsidR="00277E11" w:rsidRPr="00F031D3">
              <w:rPr>
                <w:lang w:bidi="ar-SA"/>
              </w:rPr>
              <w:t xml:space="preserve"> and vending vehicles </w:t>
            </w:r>
            <w:r w:rsidR="00891E83">
              <w:rPr>
                <w:lang w:bidi="ar-SA"/>
              </w:rPr>
              <w:t>in Australia New Zealand</w:t>
            </w:r>
            <w:r w:rsidR="006B331C">
              <w:rPr>
                <w:lang w:bidi="ar-SA"/>
              </w:rPr>
              <w:t>. These can be</w:t>
            </w:r>
            <w:r w:rsidR="0024107D">
              <w:rPr>
                <w:lang w:bidi="ar-SA"/>
              </w:rPr>
              <w:t xml:space="preserve"> cook</w:t>
            </w:r>
            <w:r w:rsidR="006B331C">
              <w:rPr>
                <w:lang w:bidi="ar-SA"/>
              </w:rPr>
              <w:t>ed (by</w:t>
            </w:r>
            <w:r w:rsidR="00277E11" w:rsidRPr="00F031D3">
              <w:rPr>
                <w:lang w:bidi="ar-SA"/>
              </w:rPr>
              <w:t xml:space="preserve"> restaurants, takeaway outlets, caterers</w:t>
            </w:r>
            <w:r w:rsidR="006B331C">
              <w:rPr>
                <w:lang w:bidi="ar-SA"/>
              </w:rPr>
              <w:t xml:space="preserve"> and self-catering institutions) and</w:t>
            </w:r>
            <w:r w:rsidR="0024107D">
              <w:rPr>
                <w:lang w:bidi="ar-SA"/>
              </w:rPr>
              <w:t xml:space="preserve"> then sold</w:t>
            </w:r>
            <w:r w:rsidR="00277E11">
              <w:rPr>
                <w:lang w:bidi="ar-SA"/>
              </w:rPr>
              <w:t xml:space="preserve"> to consumers</w:t>
            </w:r>
            <w:r w:rsidR="0024107D">
              <w:rPr>
                <w:lang w:bidi="ar-SA"/>
              </w:rPr>
              <w:t xml:space="preserve"> </w:t>
            </w:r>
            <w:r w:rsidR="006B331C">
              <w:rPr>
                <w:lang w:bidi="ar-SA"/>
              </w:rPr>
              <w:t>for immediate consumption</w:t>
            </w:r>
            <w:r w:rsidR="00277E11">
              <w:rPr>
                <w:lang w:bidi="ar-SA"/>
              </w:rPr>
              <w:t xml:space="preserve">. </w:t>
            </w:r>
            <w:r w:rsidR="006B331C">
              <w:rPr>
                <w:lang w:eastAsia="en-GB"/>
              </w:rPr>
              <w:t>Enforcement agencies</w:t>
            </w:r>
            <w:r>
              <w:rPr>
                <w:lang w:eastAsia="en-GB"/>
              </w:rPr>
              <w:t xml:space="preserve"> </w:t>
            </w:r>
            <w:r w:rsidR="00A36371">
              <w:rPr>
                <w:lang w:eastAsia="en-GB"/>
              </w:rPr>
              <w:t xml:space="preserve">will </w:t>
            </w:r>
            <w:r w:rsidR="0024107D">
              <w:rPr>
                <w:lang w:eastAsia="en-GB"/>
              </w:rPr>
              <w:t xml:space="preserve">therefore </w:t>
            </w:r>
            <w:r w:rsidR="00A36371">
              <w:rPr>
                <w:lang w:eastAsia="en-GB"/>
              </w:rPr>
              <w:t>have opportunity to</w:t>
            </w:r>
            <w:r>
              <w:rPr>
                <w:lang w:eastAsia="en-GB"/>
              </w:rPr>
              <w:t xml:space="preserve"> test the raw product before it is cooked.</w:t>
            </w:r>
          </w:p>
          <w:p w14:paraId="1CE259D5" w14:textId="5317D02A" w:rsidR="006B331C" w:rsidRDefault="007E4B53" w:rsidP="006B331C">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Should </w:t>
            </w:r>
            <w:r w:rsidR="006B331C">
              <w:rPr>
                <w:lang w:eastAsia="en-GB"/>
              </w:rPr>
              <w:t>enforcement agencies</w:t>
            </w:r>
            <w:r>
              <w:rPr>
                <w:lang w:eastAsia="en-GB"/>
              </w:rPr>
              <w:t xml:space="preserve"> wish to analyse soy leghemoglobin in cooked product, FSANZ has provided </w:t>
            </w:r>
            <w:r w:rsidR="0024107D">
              <w:rPr>
                <w:lang w:eastAsia="en-GB"/>
              </w:rPr>
              <w:t>a</w:t>
            </w:r>
            <w:r>
              <w:rPr>
                <w:lang w:eastAsia="en-GB"/>
              </w:rPr>
              <w:t xml:space="preserve"> calculation for use as a guide in this </w:t>
            </w:r>
            <w:r w:rsidR="006B331C">
              <w:rPr>
                <w:lang w:eastAsia="en-GB"/>
              </w:rPr>
              <w:t>r</w:t>
            </w:r>
            <w:r w:rsidR="00891E83">
              <w:rPr>
                <w:lang w:eastAsia="en-GB"/>
              </w:rPr>
              <w:t xml:space="preserve">eport – see </w:t>
            </w:r>
            <w:r w:rsidR="00A9765F">
              <w:rPr>
                <w:lang w:eastAsia="en-GB"/>
              </w:rPr>
              <w:t>s</w:t>
            </w:r>
            <w:r w:rsidR="00891E83">
              <w:rPr>
                <w:lang w:eastAsia="en-GB"/>
              </w:rPr>
              <w:t>ection 3.1.2</w:t>
            </w:r>
            <w:r w:rsidR="0024107D" w:rsidRPr="0024107D">
              <w:rPr>
                <w:lang w:eastAsia="en-GB"/>
              </w:rPr>
              <w:t xml:space="preserve">. </w:t>
            </w:r>
          </w:p>
          <w:p w14:paraId="5C4624E5" w14:textId="77777777" w:rsidR="007E4B53" w:rsidRDefault="0024107D" w:rsidP="006B331C">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sidRPr="0024107D">
              <w:rPr>
                <w:lang w:eastAsia="en-GB"/>
              </w:rPr>
              <w:t>FSANZ also note</w:t>
            </w:r>
            <w:r w:rsidR="00CA4B78">
              <w:rPr>
                <w:lang w:eastAsia="en-GB"/>
              </w:rPr>
              <w:t>s</w:t>
            </w:r>
            <w:r w:rsidRPr="0024107D">
              <w:rPr>
                <w:lang w:eastAsia="en-GB"/>
              </w:rPr>
              <w:t xml:space="preserve"> </w:t>
            </w:r>
            <w:r w:rsidR="006B331C">
              <w:rPr>
                <w:lang w:eastAsia="en-GB"/>
              </w:rPr>
              <w:t>enforcers</w:t>
            </w:r>
            <w:r w:rsidRPr="0024107D">
              <w:rPr>
                <w:lang w:eastAsia="en-GB"/>
              </w:rPr>
              <w:t xml:space="preserve"> could audit soy leghemoglobin by </w:t>
            </w:r>
            <w:r>
              <w:rPr>
                <w:lang w:eastAsia="en-GB"/>
              </w:rPr>
              <w:t>l</w:t>
            </w:r>
            <w:r w:rsidRPr="0024107D">
              <w:rPr>
                <w:lang w:eastAsia="en-GB"/>
              </w:rPr>
              <w:t>ot numbers from purchase orders</w:t>
            </w:r>
            <w:r w:rsidR="006B331C">
              <w:rPr>
                <w:lang w:eastAsia="en-GB"/>
              </w:rPr>
              <w:t xml:space="preserve"> from the applicant</w:t>
            </w:r>
            <w:r w:rsidRPr="0024107D">
              <w:rPr>
                <w:lang w:eastAsia="en-GB"/>
              </w:rPr>
              <w:t>.</w:t>
            </w:r>
          </w:p>
          <w:p w14:paraId="4AE6B58E" w14:textId="1DF50825" w:rsidR="00C20180" w:rsidRDefault="00C20180" w:rsidP="006B331C">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p>
        </w:tc>
      </w:tr>
      <w:tr w:rsidR="007E4B53" w14:paraId="5F2E596C"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auto"/>
            </w:tcBorders>
            <w:vAlign w:val="center"/>
          </w:tcPr>
          <w:p w14:paraId="7A639545" w14:textId="77777777" w:rsidR="007E4B53" w:rsidRDefault="007E4B53" w:rsidP="00A53250">
            <w:pPr>
              <w:pStyle w:val="FSTableText"/>
              <w:widowControl/>
              <w:jc w:val="center"/>
              <w:rPr>
                <w:lang w:eastAsia="en-GB"/>
              </w:rPr>
            </w:pPr>
          </w:p>
        </w:tc>
        <w:tc>
          <w:tcPr>
            <w:tcW w:w="13183" w:type="dxa"/>
            <w:gridSpan w:val="3"/>
            <w:tcBorders>
              <w:top w:val="single" w:sz="4" w:space="0" w:color="000000"/>
              <w:left w:val="single" w:sz="4" w:space="0" w:color="auto"/>
              <w:bottom w:val="single" w:sz="4" w:space="0" w:color="auto"/>
              <w:right w:val="single" w:sz="4" w:space="0" w:color="auto"/>
            </w:tcBorders>
          </w:tcPr>
          <w:p w14:paraId="68494D7B" w14:textId="11BBABBA" w:rsidR="007E4B53" w:rsidRPr="007E4B53" w:rsidRDefault="007E4B53" w:rsidP="006E51EF">
            <w:pPr>
              <w:pStyle w:val="FSTableText"/>
              <w:widowControl/>
              <w:spacing w:before="240" w:after="240"/>
              <w:jc w:val="center"/>
              <w:cnfStyle w:val="000000100000" w:firstRow="0" w:lastRow="0" w:firstColumn="0" w:lastColumn="0" w:oddVBand="0" w:evenVBand="0" w:oddHBand="1" w:evenHBand="0" w:firstRowFirstColumn="0" w:firstRowLastColumn="0" w:lastRowFirstColumn="0" w:lastRowLastColumn="0"/>
              <w:rPr>
                <w:b/>
                <w:lang w:eastAsia="en-GB"/>
              </w:rPr>
            </w:pPr>
            <w:r w:rsidRPr="007E4B53">
              <w:rPr>
                <w:b/>
                <w:lang w:eastAsia="en-GB"/>
              </w:rPr>
              <w:t>Labelling</w:t>
            </w:r>
          </w:p>
        </w:tc>
      </w:tr>
      <w:tr w:rsidR="007E4B53" w14:paraId="208C972E" w14:textId="77777777" w:rsidTr="00647D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280CCCE3" w14:textId="77777777" w:rsidR="007E4B53" w:rsidRPr="00D93BA0" w:rsidRDefault="007E4B53" w:rsidP="00E77BDC">
            <w:pPr>
              <w:pStyle w:val="FSTableText"/>
              <w:widowControl/>
              <w:numPr>
                <w:ilvl w:val="0"/>
                <w:numId w:val="38"/>
              </w:numPr>
              <w:spacing w:before="240" w:after="240"/>
              <w:jc w:val="center"/>
              <w:rPr>
                <w:rFonts w:eastAsiaTheme="minorHAnsi"/>
                <w:b w:val="0"/>
                <w:lang w:eastAsia="en-GB" w:bidi="ar-SA"/>
              </w:rPr>
            </w:pPr>
          </w:p>
        </w:tc>
        <w:tc>
          <w:tcPr>
            <w:tcW w:w="5103" w:type="dxa"/>
            <w:tcBorders>
              <w:top w:val="single" w:sz="4" w:space="0" w:color="000000"/>
              <w:left w:val="single" w:sz="4" w:space="0" w:color="auto"/>
              <w:bottom w:val="single" w:sz="4" w:space="0" w:color="auto"/>
              <w:right w:val="single" w:sz="4" w:space="0" w:color="000000"/>
            </w:tcBorders>
          </w:tcPr>
          <w:p w14:paraId="10297A1A" w14:textId="0740A3A9" w:rsidR="007E4B53" w:rsidRPr="00D93BA0"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rFonts w:eastAsiaTheme="minorHAnsi"/>
                <w:bCs/>
                <w:lang w:eastAsia="en-GB" w:bidi="ar-SA"/>
              </w:rPr>
            </w:pPr>
            <w:r w:rsidRPr="00D93BA0">
              <w:rPr>
                <w:rFonts w:eastAsiaTheme="minorHAnsi"/>
                <w:lang w:eastAsia="en-GB" w:bidi="ar-SA"/>
              </w:rPr>
              <w:t xml:space="preserve">Submissions raised concerns that consumers will be misled by the nature of </w:t>
            </w:r>
            <w:r w:rsidR="00213EDA" w:rsidRPr="00D93BA0">
              <w:rPr>
                <w:rFonts w:eastAsiaTheme="minorHAnsi"/>
                <w:lang w:eastAsia="en-GB" w:bidi="ar-SA"/>
              </w:rPr>
              <w:t>s</w:t>
            </w:r>
            <w:r w:rsidR="00891E83">
              <w:rPr>
                <w:rFonts w:eastAsiaTheme="minorHAnsi"/>
                <w:lang w:eastAsia="en-GB" w:bidi="ar-SA"/>
              </w:rPr>
              <w:t>oy leghemoglobin:</w:t>
            </w:r>
            <w:r w:rsidRPr="00D93BA0">
              <w:rPr>
                <w:rFonts w:eastAsiaTheme="minorHAnsi"/>
                <w:lang w:eastAsia="en-GB" w:bidi="ar-SA"/>
              </w:rPr>
              <w:t xml:space="preserve"> </w:t>
            </w:r>
          </w:p>
          <w:p w14:paraId="223DE035" w14:textId="77777777" w:rsidR="007E4B53" w:rsidRPr="00D93BA0" w:rsidRDefault="007E4B53" w:rsidP="00B777ED">
            <w:pPr>
              <w:pStyle w:val="FSTableText"/>
              <w:widowControl/>
              <w:numPr>
                <w:ilvl w:val="0"/>
                <w:numId w:val="37"/>
              </w:numPr>
              <w:spacing w:before="120"/>
              <w:ind w:left="360"/>
              <w:cnfStyle w:val="000000010000" w:firstRow="0" w:lastRow="0" w:firstColumn="0" w:lastColumn="0" w:oddVBand="0" w:evenVBand="0" w:oddHBand="0" w:evenHBand="1" w:firstRowFirstColumn="0" w:firstRowLastColumn="0" w:lastRowFirstColumn="0" w:lastRowLastColumn="0"/>
              <w:rPr>
                <w:rFonts w:eastAsiaTheme="minorHAnsi"/>
                <w:lang w:eastAsia="en-GB" w:bidi="ar-SA"/>
              </w:rPr>
            </w:pPr>
            <w:r w:rsidRPr="00D93BA0">
              <w:rPr>
                <w:rFonts w:eastAsiaTheme="minorHAnsi"/>
                <w:lang w:eastAsia="en-GB" w:bidi="ar-SA"/>
              </w:rPr>
              <w:t xml:space="preserve">There is no requirement to label food as ‘genetically modified’ in point of sale outlets, fast food chains, on packaging and in advertising. </w:t>
            </w:r>
          </w:p>
          <w:p w14:paraId="39CE6537" w14:textId="0C314AA7" w:rsidR="007E4B53" w:rsidRPr="00D93BA0" w:rsidRDefault="007E4B53" w:rsidP="00891E83">
            <w:pPr>
              <w:pStyle w:val="FSTableText"/>
              <w:widowControl/>
              <w:numPr>
                <w:ilvl w:val="0"/>
                <w:numId w:val="37"/>
              </w:numPr>
              <w:ind w:left="360"/>
              <w:cnfStyle w:val="000000010000" w:firstRow="0" w:lastRow="0" w:firstColumn="0" w:lastColumn="0" w:oddVBand="0" w:evenVBand="0" w:oddHBand="0" w:evenHBand="1" w:firstRowFirstColumn="0" w:firstRowLastColumn="0" w:lastRowFirstColumn="0" w:lastRowLastColumn="0"/>
              <w:rPr>
                <w:rFonts w:eastAsiaTheme="minorHAnsi"/>
                <w:lang w:eastAsia="en-GB" w:bidi="ar-SA"/>
              </w:rPr>
            </w:pPr>
            <w:r w:rsidRPr="00D93BA0">
              <w:rPr>
                <w:rFonts w:eastAsiaTheme="minorHAnsi"/>
                <w:lang w:eastAsia="en-GB" w:bidi="ar-SA"/>
              </w:rPr>
              <w:t>The applicant</w:t>
            </w:r>
            <w:r w:rsidR="00213EDA" w:rsidRPr="00D93BA0">
              <w:rPr>
                <w:rFonts w:eastAsiaTheme="minorHAnsi"/>
                <w:lang w:eastAsia="en-GB" w:bidi="ar-SA"/>
              </w:rPr>
              <w:t>’</w:t>
            </w:r>
            <w:r w:rsidRPr="00D93BA0">
              <w:rPr>
                <w:rFonts w:eastAsiaTheme="minorHAnsi"/>
                <w:lang w:eastAsia="en-GB" w:bidi="ar-SA"/>
              </w:rPr>
              <w:t>s website does not declare that its ingredients are made and sourced from GM ingredients, so consumers will not be made aware that they are eating a GM product and cannot make informed choices.</w:t>
            </w:r>
          </w:p>
        </w:tc>
        <w:tc>
          <w:tcPr>
            <w:tcW w:w="1985" w:type="dxa"/>
            <w:tcBorders>
              <w:top w:val="single" w:sz="4" w:space="0" w:color="000000"/>
              <w:left w:val="single" w:sz="4" w:space="0" w:color="000000"/>
              <w:bottom w:val="single" w:sz="4" w:space="0" w:color="auto"/>
              <w:right w:val="single" w:sz="4" w:space="0" w:color="000000"/>
            </w:tcBorders>
            <w:hideMark/>
          </w:tcPr>
          <w:p w14:paraId="3E0DBF9B"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GE Free New Zealand (GEF NZ); Grey Power </w:t>
            </w:r>
            <w:proofErr w:type="spellStart"/>
            <w:r>
              <w:rPr>
                <w:lang w:eastAsia="en-GB"/>
              </w:rPr>
              <w:t>Otamatea</w:t>
            </w:r>
            <w:proofErr w:type="spellEnd"/>
            <w:r>
              <w:rPr>
                <w:lang w:eastAsia="en-GB"/>
              </w:rPr>
              <w:t xml:space="preserve"> Inc. (GPO)</w:t>
            </w:r>
          </w:p>
        </w:tc>
        <w:tc>
          <w:tcPr>
            <w:tcW w:w="6095" w:type="dxa"/>
            <w:tcBorders>
              <w:top w:val="single" w:sz="4" w:space="0" w:color="000000"/>
              <w:left w:val="single" w:sz="4" w:space="0" w:color="000000"/>
              <w:bottom w:val="single" w:sz="4" w:space="0" w:color="auto"/>
              <w:right w:val="single" w:sz="4" w:space="0" w:color="auto"/>
            </w:tcBorders>
          </w:tcPr>
          <w:p w14:paraId="2EC36335" w14:textId="0177F669" w:rsidR="007E4B53" w:rsidRDefault="00FA4617"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Meat analogue products containing s</w:t>
            </w:r>
            <w:r w:rsidR="007E4B53">
              <w:rPr>
                <w:lang w:eastAsia="en-GB"/>
              </w:rPr>
              <w:t xml:space="preserve">oy leghemoglobin will be required to be labelled as ‘genetically modified’ as outlined and discussed in </w:t>
            </w:r>
            <w:r w:rsidR="00A9765F">
              <w:rPr>
                <w:lang w:eastAsia="en-GB"/>
              </w:rPr>
              <w:t>s</w:t>
            </w:r>
            <w:r w:rsidR="007E4B53">
              <w:rPr>
                <w:lang w:eastAsia="en-GB"/>
              </w:rPr>
              <w:t xml:space="preserve">ections 1.3.1.3 and 3.2.3 of this </w:t>
            </w:r>
            <w:r w:rsidR="0056181E">
              <w:rPr>
                <w:lang w:eastAsia="en-GB"/>
              </w:rPr>
              <w:t>r</w:t>
            </w:r>
            <w:r w:rsidR="007E4B53">
              <w:rPr>
                <w:lang w:eastAsia="en-GB"/>
              </w:rPr>
              <w:t xml:space="preserve">eport. </w:t>
            </w:r>
            <w:r w:rsidR="00567088" w:rsidRPr="00567088">
              <w:rPr>
                <w:lang w:eastAsia="en-GB"/>
              </w:rPr>
              <w:t xml:space="preserve">The existing exemption from GM labelling for all GM food and ingredients sold for immediate consumption has been in effect since 2002. This approach was reaffirmed in the 2011 Government response to recommendations made in </w:t>
            </w:r>
            <w:hyperlink r:id="rId17" w:history="1">
              <w:r w:rsidR="00567088" w:rsidRPr="0090093E">
                <w:rPr>
                  <w:rStyle w:val="Hyperlink"/>
                  <w:lang w:eastAsia="en-GB"/>
                </w:rPr>
                <w:t>Labelling Logic: Review of Food Labelling Law and Policy</w:t>
              </w:r>
            </w:hyperlink>
            <w:r w:rsidR="00567088" w:rsidRPr="00567088">
              <w:rPr>
                <w:lang w:eastAsia="en-GB"/>
              </w:rPr>
              <w:t xml:space="preserve">. See section 3.2.3 which states that consumers may seek information about the food from the food business. </w:t>
            </w:r>
            <w:r w:rsidR="007E4B53">
              <w:rPr>
                <w:lang w:eastAsia="en-GB"/>
              </w:rPr>
              <w:t xml:space="preserve">Further information about GM food labelling can be found on the </w:t>
            </w:r>
            <w:hyperlink r:id="rId18" w:history="1">
              <w:r w:rsidR="007E4B53">
                <w:rPr>
                  <w:rStyle w:val="Hyperlink"/>
                  <w:lang w:eastAsia="en-GB"/>
                </w:rPr>
                <w:t>FSANZ</w:t>
              </w:r>
            </w:hyperlink>
            <w:r w:rsidR="007E4B53">
              <w:rPr>
                <w:lang w:eastAsia="en-GB"/>
              </w:rPr>
              <w:t xml:space="preserve"> website.</w:t>
            </w:r>
          </w:p>
          <w:p w14:paraId="2C825F3E" w14:textId="798045DC" w:rsidR="007E4B53" w:rsidRDefault="00AE0181" w:rsidP="00A9765F">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FSANZ notes t</w:t>
            </w:r>
            <w:r w:rsidRPr="008A58B3">
              <w:rPr>
                <w:lang w:eastAsia="en-GB"/>
              </w:rPr>
              <w:t xml:space="preserve">he </w:t>
            </w:r>
            <w:r w:rsidR="007E4B53" w:rsidRPr="008A58B3">
              <w:rPr>
                <w:lang w:eastAsia="en-GB"/>
              </w:rPr>
              <w:t xml:space="preserve">applicant </w:t>
            </w:r>
            <w:r w:rsidR="00734E03">
              <w:rPr>
                <w:lang w:eastAsia="en-GB"/>
              </w:rPr>
              <w:t>indicate</w:t>
            </w:r>
            <w:r w:rsidR="009A7D86">
              <w:rPr>
                <w:lang w:eastAsia="en-GB"/>
              </w:rPr>
              <w:t>s</w:t>
            </w:r>
            <w:r w:rsidR="00734E03">
              <w:rPr>
                <w:lang w:eastAsia="en-GB"/>
              </w:rPr>
              <w:t xml:space="preserve"> </w:t>
            </w:r>
            <w:r w:rsidR="009A7D86">
              <w:rPr>
                <w:lang w:eastAsia="en-GB"/>
              </w:rPr>
              <w:t xml:space="preserve">on their website </w:t>
            </w:r>
            <w:r w:rsidR="00DA1D93">
              <w:rPr>
                <w:lang w:eastAsia="en-GB"/>
              </w:rPr>
              <w:t xml:space="preserve">that </w:t>
            </w:r>
            <w:r w:rsidR="00734E03">
              <w:rPr>
                <w:lang w:eastAsia="en-GB"/>
              </w:rPr>
              <w:t>they produce soy leghemoglobin through GM processes</w:t>
            </w:r>
            <w:r w:rsidR="00DA1D93">
              <w:rPr>
                <w:lang w:eastAsia="en-GB"/>
              </w:rPr>
              <w:t xml:space="preserve">; they also </w:t>
            </w:r>
            <w:r w:rsidR="007E4B53" w:rsidRPr="008A58B3">
              <w:rPr>
                <w:lang w:eastAsia="en-GB"/>
              </w:rPr>
              <w:t>confirmed they provide education material to their retail customers, which include</w:t>
            </w:r>
            <w:r w:rsidR="00F379BA" w:rsidRPr="008A58B3">
              <w:rPr>
                <w:lang w:eastAsia="en-GB"/>
              </w:rPr>
              <w:t>s</w:t>
            </w:r>
            <w:r w:rsidR="007E4B53" w:rsidRPr="008A58B3">
              <w:rPr>
                <w:lang w:eastAsia="en-GB"/>
              </w:rPr>
              <w:t xml:space="preserve"> information on soy leghemoglobin </w:t>
            </w:r>
            <w:r w:rsidR="00E77BDC" w:rsidRPr="008A58B3">
              <w:rPr>
                <w:lang w:eastAsia="en-GB"/>
              </w:rPr>
              <w:t>production processes</w:t>
            </w:r>
            <w:r w:rsidR="008A58B3" w:rsidRPr="008A58B3">
              <w:rPr>
                <w:lang w:eastAsia="en-GB"/>
              </w:rPr>
              <w:t xml:space="preserve"> using GM technology (and other </w:t>
            </w:r>
            <w:r w:rsidR="008A58B3" w:rsidRPr="008A58B3">
              <w:rPr>
                <w:lang w:eastAsia="en-GB"/>
              </w:rPr>
              <w:lastRenderedPageBreak/>
              <w:t xml:space="preserve">technological and nutrition considerations – See </w:t>
            </w:r>
            <w:r w:rsidR="00A9765F">
              <w:rPr>
                <w:lang w:eastAsia="en-GB"/>
              </w:rPr>
              <w:t>s</w:t>
            </w:r>
            <w:r w:rsidR="008A58B3" w:rsidRPr="008A58B3">
              <w:rPr>
                <w:lang w:eastAsia="en-GB"/>
              </w:rPr>
              <w:t xml:space="preserve">ection 4.3 of this </w:t>
            </w:r>
            <w:r w:rsidR="0056181E">
              <w:rPr>
                <w:lang w:eastAsia="en-GB"/>
              </w:rPr>
              <w:t>r</w:t>
            </w:r>
            <w:r w:rsidR="008A58B3" w:rsidRPr="008A58B3">
              <w:rPr>
                <w:lang w:eastAsia="en-GB"/>
              </w:rPr>
              <w:t>eport)</w:t>
            </w:r>
            <w:r w:rsidR="00B777ED">
              <w:rPr>
                <w:lang w:eastAsia="en-GB"/>
              </w:rPr>
              <w:t xml:space="preserve">. </w:t>
            </w:r>
            <w:r w:rsidR="00D0682D" w:rsidRPr="008A58B3">
              <w:rPr>
                <w:lang w:eastAsia="en-GB"/>
              </w:rPr>
              <w:t>FSANZ</w:t>
            </w:r>
            <w:r w:rsidR="00D0682D">
              <w:rPr>
                <w:lang w:eastAsia="en-GB"/>
              </w:rPr>
              <w:t xml:space="preserve"> </w:t>
            </w:r>
            <w:r w:rsidR="001076E6">
              <w:rPr>
                <w:lang w:eastAsia="en-GB"/>
              </w:rPr>
              <w:t>proposes to liaise with interested jurisdictions to</w:t>
            </w:r>
            <w:r w:rsidR="00D0682D">
              <w:rPr>
                <w:lang w:eastAsia="en-GB"/>
              </w:rPr>
              <w:t xml:space="preserve"> updat</w:t>
            </w:r>
            <w:r w:rsidR="001076E6">
              <w:rPr>
                <w:lang w:eastAsia="en-GB"/>
              </w:rPr>
              <w:t>e</w:t>
            </w:r>
            <w:r w:rsidR="00D0682D">
              <w:rPr>
                <w:lang w:eastAsia="en-GB"/>
              </w:rPr>
              <w:t xml:space="preserve"> existing consumer information on our website to include nutritional, science and technological aspects of meat analogue products </w:t>
            </w:r>
            <w:r w:rsidR="001076E6">
              <w:rPr>
                <w:lang w:eastAsia="en-GB"/>
              </w:rPr>
              <w:t xml:space="preserve">generally </w:t>
            </w:r>
            <w:r w:rsidR="00D0682D">
              <w:rPr>
                <w:lang w:eastAsia="en-GB"/>
              </w:rPr>
              <w:t xml:space="preserve">(including GM production processes and varying nutrient </w:t>
            </w:r>
            <w:r w:rsidR="00D0682D" w:rsidRPr="008A58B3">
              <w:rPr>
                <w:lang w:eastAsia="en-GB"/>
              </w:rPr>
              <w:t>levels</w:t>
            </w:r>
            <w:r w:rsidR="00D0682D">
              <w:rPr>
                <w:lang w:eastAsia="en-GB"/>
              </w:rPr>
              <w:t>, such as iron, B12 and protein</w:t>
            </w:r>
            <w:r w:rsidR="00D0682D" w:rsidRPr="008A58B3">
              <w:rPr>
                <w:lang w:eastAsia="en-GB"/>
              </w:rPr>
              <w:t xml:space="preserve"> in </w:t>
            </w:r>
            <w:r w:rsidR="00D0682D">
              <w:rPr>
                <w:lang w:eastAsia="en-GB"/>
              </w:rPr>
              <w:t xml:space="preserve">meat analogue </w:t>
            </w:r>
            <w:r w:rsidR="00D0682D" w:rsidRPr="008A58B3">
              <w:rPr>
                <w:lang w:eastAsia="en-GB"/>
              </w:rPr>
              <w:t>products</w:t>
            </w:r>
            <w:r w:rsidR="00D0682D">
              <w:rPr>
                <w:lang w:eastAsia="en-GB"/>
              </w:rPr>
              <w:t>)</w:t>
            </w:r>
            <w:r w:rsidR="00D0682D" w:rsidRPr="008A58B3">
              <w:rPr>
                <w:lang w:eastAsia="en-GB"/>
              </w:rPr>
              <w:t xml:space="preserve">. </w:t>
            </w:r>
            <w:r w:rsidR="0022363D">
              <w:rPr>
                <w:lang w:eastAsia="en-GB"/>
              </w:rPr>
              <w:t xml:space="preserve">(see </w:t>
            </w:r>
            <w:r w:rsidR="00A9765F">
              <w:rPr>
                <w:lang w:eastAsia="en-GB"/>
              </w:rPr>
              <w:t>s</w:t>
            </w:r>
            <w:r w:rsidR="0022363D">
              <w:rPr>
                <w:lang w:eastAsia="en-GB"/>
              </w:rPr>
              <w:t xml:space="preserve">ection 4.2 of this </w:t>
            </w:r>
            <w:r w:rsidR="0056181E">
              <w:rPr>
                <w:lang w:eastAsia="en-GB"/>
              </w:rPr>
              <w:t>r</w:t>
            </w:r>
            <w:r w:rsidR="0022363D">
              <w:rPr>
                <w:lang w:eastAsia="en-GB"/>
              </w:rPr>
              <w:t>eport)</w:t>
            </w:r>
            <w:r w:rsidR="0022363D" w:rsidRPr="008A58B3">
              <w:rPr>
                <w:lang w:eastAsia="en-GB"/>
              </w:rPr>
              <w:t>.</w:t>
            </w:r>
            <w:r w:rsidR="00B777ED" w:rsidRPr="008A58B3">
              <w:rPr>
                <w:lang w:eastAsia="en-GB"/>
              </w:rPr>
              <w:t>.</w:t>
            </w:r>
          </w:p>
        </w:tc>
      </w:tr>
      <w:tr w:rsidR="007E4B53" w14:paraId="4075BE66"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34DFA010" w14:textId="77777777" w:rsidR="007E4B53" w:rsidRPr="00D93BA0" w:rsidRDefault="007E4B53" w:rsidP="00B777ED">
            <w:pPr>
              <w:pStyle w:val="ListParagraph"/>
              <w:widowControl/>
              <w:numPr>
                <w:ilvl w:val="0"/>
                <w:numId w:val="38"/>
              </w:numPr>
              <w:autoSpaceDE w:val="0"/>
              <w:autoSpaceDN w:val="0"/>
              <w:adjustRightInd w:val="0"/>
              <w:spacing w:before="240" w:after="240"/>
              <w:jc w:val="center"/>
              <w:rPr>
                <w:rFonts w:eastAsiaTheme="minorHAnsi" w:cs="Arial"/>
                <w:b w:val="0"/>
                <w:sz w:val="20"/>
                <w:szCs w:val="20"/>
                <w:lang w:eastAsia="en-GB" w:bidi="ar-SA"/>
              </w:rPr>
            </w:pPr>
          </w:p>
        </w:tc>
        <w:tc>
          <w:tcPr>
            <w:tcW w:w="5103" w:type="dxa"/>
            <w:tcBorders>
              <w:top w:val="single" w:sz="4" w:space="0" w:color="000000"/>
              <w:left w:val="single" w:sz="4" w:space="0" w:color="auto"/>
              <w:bottom w:val="single" w:sz="4" w:space="0" w:color="auto"/>
              <w:right w:val="single" w:sz="4" w:space="0" w:color="000000"/>
            </w:tcBorders>
            <w:hideMark/>
          </w:tcPr>
          <w:p w14:paraId="4C908864" w14:textId="1E08061F" w:rsidR="007E4B53" w:rsidRPr="00D93BA0" w:rsidRDefault="007E4B53" w:rsidP="00B777ED">
            <w:pPr>
              <w:widowControl/>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heme="minorHAnsi" w:cs="Arial"/>
                <w:sz w:val="20"/>
                <w:szCs w:val="20"/>
                <w:lang w:eastAsia="en-GB" w:bidi="ar-SA"/>
              </w:rPr>
            </w:pPr>
            <w:r w:rsidRPr="00D93BA0">
              <w:rPr>
                <w:rFonts w:eastAsiaTheme="minorHAnsi" w:cs="Arial"/>
                <w:sz w:val="20"/>
                <w:szCs w:val="20"/>
                <w:lang w:eastAsia="en-GB" w:bidi="ar-SA"/>
              </w:rPr>
              <w:t>The 2</w:t>
            </w:r>
            <w:r w:rsidRPr="00D93BA0">
              <w:rPr>
                <w:rFonts w:eastAsiaTheme="minorHAnsi" w:cs="Arial"/>
                <w:sz w:val="20"/>
                <w:szCs w:val="20"/>
                <w:vertAlign w:val="superscript"/>
                <w:lang w:eastAsia="en-GB" w:bidi="ar-SA"/>
              </w:rPr>
              <w:t>nd</w:t>
            </w:r>
            <w:r w:rsidRPr="00D93BA0">
              <w:rPr>
                <w:rFonts w:eastAsiaTheme="minorHAnsi" w:cs="Arial"/>
                <w:sz w:val="20"/>
                <w:szCs w:val="20"/>
                <w:lang w:eastAsia="en-GB" w:bidi="ar-SA"/>
              </w:rPr>
              <w:t xml:space="preserve"> CFS has added a health claim relating to its iron levels, meaning that it is now a high level nutritional claim under subdivision G as well as a product from gene technology.</w:t>
            </w:r>
          </w:p>
          <w:p w14:paraId="5FCD4582" w14:textId="77777777" w:rsidR="007E4B53" w:rsidRPr="00D93BA0"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bCs/>
                <w:lang w:eastAsia="en-GB"/>
              </w:rPr>
            </w:pPr>
            <w:r w:rsidRPr="00D93BA0">
              <w:rPr>
                <w:rFonts w:eastAsiaTheme="minorHAnsi"/>
                <w:lang w:eastAsia="en-GB" w:bidi="ar-SA"/>
              </w:rPr>
              <w:t>This now requires further scientific evaluation under the high-level claims committee; however we have found it difficult to access their report.</w:t>
            </w:r>
          </w:p>
        </w:tc>
        <w:tc>
          <w:tcPr>
            <w:tcW w:w="1985" w:type="dxa"/>
            <w:tcBorders>
              <w:top w:val="single" w:sz="4" w:space="0" w:color="000000"/>
              <w:left w:val="single" w:sz="4" w:space="0" w:color="000000"/>
              <w:bottom w:val="single" w:sz="4" w:space="0" w:color="auto"/>
              <w:right w:val="single" w:sz="4" w:space="0" w:color="000000"/>
            </w:tcBorders>
            <w:hideMark/>
          </w:tcPr>
          <w:p w14:paraId="60F07C9E" w14:textId="50B0C555"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GEF NZ</w:t>
            </w:r>
          </w:p>
        </w:tc>
        <w:tc>
          <w:tcPr>
            <w:tcW w:w="6095" w:type="dxa"/>
            <w:tcBorders>
              <w:top w:val="single" w:sz="4" w:space="0" w:color="000000"/>
              <w:left w:val="single" w:sz="4" w:space="0" w:color="000000"/>
              <w:bottom w:val="single" w:sz="4" w:space="0" w:color="auto"/>
              <w:right w:val="single" w:sz="4" w:space="0" w:color="auto"/>
            </w:tcBorders>
          </w:tcPr>
          <w:p w14:paraId="3306EA8C" w14:textId="66950AAD" w:rsidR="00D714F1" w:rsidRDefault="00D714F1" w:rsidP="00B777ED">
            <w:pPr>
              <w:widowControl/>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Pr>
                <w:rFonts w:cs="Arial"/>
                <w:sz w:val="20"/>
                <w:szCs w:val="20"/>
                <w:lang w:eastAsia="en-GB"/>
              </w:rPr>
              <w:t xml:space="preserve">The draft variation does not contain amendments permitting nutrition content or health claims to be made </w:t>
            </w:r>
            <w:r w:rsidR="00DA1D93">
              <w:rPr>
                <w:rFonts w:cs="Arial"/>
                <w:sz w:val="20"/>
                <w:szCs w:val="20"/>
                <w:lang w:eastAsia="en-GB"/>
              </w:rPr>
              <w:t xml:space="preserve">specifically </w:t>
            </w:r>
            <w:r>
              <w:rPr>
                <w:rFonts w:cs="Arial"/>
                <w:sz w:val="20"/>
                <w:szCs w:val="20"/>
                <w:lang w:eastAsia="en-GB"/>
              </w:rPr>
              <w:t xml:space="preserve">about meat analogue products containing </w:t>
            </w:r>
            <w:r w:rsidRPr="00D714F1">
              <w:rPr>
                <w:rFonts w:cs="Arial"/>
                <w:sz w:val="20"/>
                <w:szCs w:val="20"/>
                <w:lang w:eastAsia="en-GB"/>
              </w:rPr>
              <w:t>soy leghemoglobin</w:t>
            </w:r>
            <w:r>
              <w:rPr>
                <w:rFonts w:cs="Arial"/>
                <w:sz w:val="20"/>
                <w:szCs w:val="20"/>
                <w:lang w:eastAsia="en-GB"/>
              </w:rPr>
              <w:t>.</w:t>
            </w:r>
          </w:p>
          <w:p w14:paraId="7CAEA8E4" w14:textId="7E3DE9AA" w:rsidR="00D714F1" w:rsidRDefault="00D714F1" w:rsidP="00B777ED">
            <w:pPr>
              <w:widowControl/>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Pr>
                <w:rFonts w:cs="Arial"/>
                <w:sz w:val="20"/>
                <w:szCs w:val="20"/>
                <w:lang w:eastAsia="en-GB"/>
              </w:rPr>
              <w:t>Such claims may only be made in accordance with existing requirements in the Code (see, in particular, Standard 1.2.7 and Schedule 4).</w:t>
            </w:r>
          </w:p>
          <w:p w14:paraId="1268BE50" w14:textId="6C322905" w:rsidR="007E4B53" w:rsidRDefault="007E4B53" w:rsidP="00B777ED">
            <w:pPr>
              <w:widowControl/>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Pr>
                <w:rFonts w:cs="Arial"/>
                <w:sz w:val="20"/>
                <w:szCs w:val="20"/>
                <w:lang w:eastAsia="en-GB"/>
              </w:rPr>
              <w:t xml:space="preserve">As noted in </w:t>
            </w:r>
            <w:r w:rsidR="002636F0">
              <w:rPr>
                <w:rFonts w:cs="Arial"/>
                <w:sz w:val="20"/>
                <w:szCs w:val="20"/>
                <w:lang w:eastAsia="en-GB"/>
              </w:rPr>
              <w:t xml:space="preserve">the </w:t>
            </w:r>
            <w:r w:rsidR="0056181E">
              <w:rPr>
                <w:rFonts w:cs="Arial"/>
                <w:sz w:val="20"/>
                <w:szCs w:val="20"/>
                <w:lang w:eastAsia="en-GB"/>
              </w:rPr>
              <w:t>r</w:t>
            </w:r>
            <w:r w:rsidR="002636F0">
              <w:rPr>
                <w:rFonts w:cs="Arial"/>
                <w:sz w:val="20"/>
                <w:szCs w:val="20"/>
                <w:lang w:eastAsia="en-GB"/>
              </w:rPr>
              <w:t xml:space="preserve">eport under </w:t>
            </w:r>
            <w:r w:rsidR="00A9765F">
              <w:rPr>
                <w:rFonts w:cs="Arial"/>
                <w:sz w:val="20"/>
                <w:szCs w:val="20"/>
                <w:lang w:eastAsia="en-GB"/>
              </w:rPr>
              <w:t>s</w:t>
            </w:r>
            <w:r w:rsidRPr="002636F0">
              <w:rPr>
                <w:rFonts w:cs="Arial"/>
                <w:sz w:val="20"/>
                <w:szCs w:val="20"/>
                <w:lang w:eastAsia="en-GB"/>
              </w:rPr>
              <w:t>ection 3.2.5</w:t>
            </w:r>
            <w:r>
              <w:rPr>
                <w:rFonts w:cs="Arial"/>
                <w:sz w:val="20"/>
                <w:szCs w:val="20"/>
                <w:lang w:eastAsia="en-GB"/>
              </w:rPr>
              <w:t xml:space="preserve"> </w:t>
            </w:r>
            <w:r>
              <w:rPr>
                <w:rFonts w:cs="Arial"/>
                <w:i/>
                <w:sz w:val="20"/>
                <w:szCs w:val="20"/>
                <w:lang w:eastAsia="en-GB"/>
              </w:rPr>
              <w:t>Nutrition content and health claims</w:t>
            </w:r>
            <w:r>
              <w:rPr>
                <w:rFonts w:cs="Arial"/>
                <w:sz w:val="20"/>
                <w:szCs w:val="20"/>
                <w:lang w:eastAsia="en-GB"/>
              </w:rPr>
              <w:t xml:space="preserve">, meat analogue products containing soy leghemoglobin </w:t>
            </w:r>
            <w:r w:rsidR="00815526">
              <w:rPr>
                <w:rFonts w:cs="Arial"/>
                <w:sz w:val="20"/>
                <w:szCs w:val="20"/>
                <w:lang w:eastAsia="en-GB"/>
              </w:rPr>
              <w:t>will be subject to</w:t>
            </w:r>
            <w:r>
              <w:rPr>
                <w:rFonts w:cs="Arial"/>
                <w:sz w:val="20"/>
                <w:szCs w:val="20"/>
                <w:lang w:eastAsia="en-GB"/>
              </w:rPr>
              <w:t xml:space="preserve"> existing requirements in </w:t>
            </w:r>
            <w:r w:rsidR="00A9765F">
              <w:rPr>
                <w:rFonts w:cs="Arial"/>
                <w:sz w:val="20"/>
                <w:szCs w:val="20"/>
                <w:lang w:eastAsia="en-GB"/>
              </w:rPr>
              <w:t>s</w:t>
            </w:r>
            <w:r>
              <w:rPr>
                <w:rFonts w:cs="Arial"/>
                <w:sz w:val="20"/>
                <w:szCs w:val="20"/>
                <w:lang w:eastAsia="en-GB"/>
              </w:rPr>
              <w:t xml:space="preserve">ection S4—3 for a ‘source of’ or a ‘good source of </w:t>
            </w:r>
            <w:r w:rsidR="00B777ED">
              <w:rPr>
                <w:rFonts w:cs="Arial"/>
                <w:sz w:val="20"/>
                <w:szCs w:val="20"/>
                <w:lang w:eastAsia="en-GB"/>
              </w:rPr>
              <w:t xml:space="preserve">iron’ nutrition content claim. </w:t>
            </w:r>
          </w:p>
          <w:p w14:paraId="2B65B3A5" w14:textId="59F34427" w:rsidR="007E4B53" w:rsidRDefault="007E4B53" w:rsidP="00B777ED">
            <w:pPr>
              <w:widowControl/>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Pr>
                <w:rFonts w:cs="Arial"/>
                <w:sz w:val="20"/>
                <w:szCs w:val="20"/>
                <w:lang w:eastAsia="en-GB"/>
              </w:rPr>
              <w:t>Section S4—5 includes certain permitted food-health relationships about iron for general level health claims, which suppliers may make if the food meets the claim conditions and requirements. However there are none currently permitted for high level health claims about a ser</w:t>
            </w:r>
            <w:r w:rsidR="00B777ED">
              <w:rPr>
                <w:rFonts w:cs="Arial"/>
                <w:sz w:val="20"/>
                <w:szCs w:val="20"/>
                <w:lang w:eastAsia="en-GB"/>
              </w:rPr>
              <w:t xml:space="preserve">ious disease in </w:t>
            </w:r>
            <w:r w:rsidR="00A9765F">
              <w:rPr>
                <w:rFonts w:cs="Arial"/>
                <w:sz w:val="20"/>
                <w:szCs w:val="20"/>
                <w:lang w:eastAsia="en-GB"/>
              </w:rPr>
              <w:t>s</w:t>
            </w:r>
            <w:r w:rsidR="00B777ED">
              <w:rPr>
                <w:rFonts w:cs="Arial"/>
                <w:sz w:val="20"/>
                <w:szCs w:val="20"/>
                <w:lang w:eastAsia="en-GB"/>
              </w:rPr>
              <w:t xml:space="preserve">ection S4—4.  </w:t>
            </w:r>
          </w:p>
          <w:p w14:paraId="77A99994" w14:textId="3CC4994A" w:rsidR="007E4B53" w:rsidRDefault="007E4B53" w:rsidP="00B777ED">
            <w:pPr>
              <w:widowControl/>
              <w:spacing w:before="120" w:after="120"/>
              <w:cnfStyle w:val="000000100000" w:firstRow="0" w:lastRow="0" w:firstColumn="0" w:lastColumn="0" w:oddVBand="0" w:evenVBand="0" w:oddHBand="1" w:evenHBand="0" w:firstRowFirstColumn="0" w:firstRowLastColumn="0" w:lastRowFirstColumn="0" w:lastRowLastColumn="0"/>
              <w:rPr>
                <w:rFonts w:cs="Arial"/>
                <w:i/>
                <w:color w:val="FF0000"/>
                <w:sz w:val="20"/>
                <w:szCs w:val="20"/>
                <w:lang w:eastAsia="en-GB"/>
              </w:rPr>
            </w:pPr>
            <w:r>
              <w:rPr>
                <w:rFonts w:cs="Arial"/>
                <w:sz w:val="20"/>
                <w:szCs w:val="20"/>
                <w:lang w:eastAsia="en-GB"/>
              </w:rPr>
              <w:t>The applicant has not sought to add a food-health relationship about iron for either a general level health or a high level health claim to Schedule 4, and evidence has not been provided to support this. FSANZ has not assessed the application for the purpose of permitting a new food-health relationship about iron for a health claim in the Code.</w:t>
            </w:r>
          </w:p>
        </w:tc>
      </w:tr>
      <w:tr w:rsidR="007E4B53" w14:paraId="7E9181DB" w14:textId="77777777" w:rsidTr="00647D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auto"/>
            </w:tcBorders>
            <w:vAlign w:val="center"/>
          </w:tcPr>
          <w:p w14:paraId="6883CBB8" w14:textId="77777777" w:rsidR="007E4B53" w:rsidRDefault="007E4B53" w:rsidP="00A53250">
            <w:pPr>
              <w:pStyle w:val="Default"/>
              <w:ind w:left="720"/>
              <w:jc w:val="center"/>
              <w:rPr>
                <w:rFonts w:ascii="Arial" w:hAnsi="Arial" w:cs="Arial"/>
                <w:sz w:val="22"/>
                <w:szCs w:val="22"/>
              </w:rPr>
            </w:pPr>
          </w:p>
        </w:tc>
        <w:tc>
          <w:tcPr>
            <w:tcW w:w="13183" w:type="dxa"/>
            <w:gridSpan w:val="3"/>
            <w:tcBorders>
              <w:top w:val="single" w:sz="4" w:space="0" w:color="000000"/>
              <w:left w:val="single" w:sz="4" w:space="0" w:color="auto"/>
              <w:bottom w:val="single" w:sz="4" w:space="0" w:color="auto"/>
              <w:right w:val="single" w:sz="4" w:space="0" w:color="auto"/>
            </w:tcBorders>
          </w:tcPr>
          <w:p w14:paraId="6B823E00" w14:textId="3F1A0A63" w:rsidR="007E4B53" w:rsidRPr="007E4B53" w:rsidRDefault="007E4B53" w:rsidP="006E51EF">
            <w:pPr>
              <w:pStyle w:val="Default"/>
              <w:spacing w:before="240" w:after="240"/>
              <w:jc w:val="center"/>
              <w:cnfStyle w:val="000000010000" w:firstRow="0" w:lastRow="0" w:firstColumn="0" w:lastColumn="0" w:oddVBand="0" w:evenVBand="0" w:oddHBand="0" w:evenHBand="1" w:firstRowFirstColumn="0" w:firstRowLastColumn="0" w:lastRowFirstColumn="0" w:lastRowLastColumn="0"/>
              <w:rPr>
                <w:rFonts w:ascii="Arial" w:hAnsi="Arial" w:cs="Arial"/>
                <w:b/>
                <w:sz w:val="22"/>
                <w:szCs w:val="22"/>
              </w:rPr>
            </w:pPr>
            <w:r w:rsidRPr="007E4B53">
              <w:rPr>
                <w:rFonts w:ascii="Arial" w:hAnsi="Arial" w:cs="Arial"/>
                <w:b/>
                <w:sz w:val="22"/>
                <w:szCs w:val="22"/>
              </w:rPr>
              <w:t>Safety and technical assessment</w:t>
            </w:r>
          </w:p>
        </w:tc>
      </w:tr>
      <w:tr w:rsidR="007E4B53" w14:paraId="2D167F4D" w14:textId="77777777" w:rsidTr="00647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208CA73D" w14:textId="77777777" w:rsidR="007E4B53" w:rsidRDefault="007E4B53" w:rsidP="008C2861">
            <w:pPr>
              <w:pStyle w:val="Default"/>
              <w:numPr>
                <w:ilvl w:val="0"/>
                <w:numId w:val="38"/>
              </w:numPr>
              <w:spacing w:before="240" w:after="240"/>
              <w:ind w:left="357" w:hanging="357"/>
              <w:jc w:val="center"/>
              <w:rPr>
                <w:rFonts w:ascii="Arial" w:hAnsi="Arial" w:cs="Arial"/>
                <w:b w:val="0"/>
                <w:sz w:val="20"/>
                <w:szCs w:val="22"/>
              </w:rPr>
            </w:pPr>
          </w:p>
        </w:tc>
        <w:tc>
          <w:tcPr>
            <w:tcW w:w="5103" w:type="dxa"/>
            <w:tcBorders>
              <w:top w:val="single" w:sz="4" w:space="0" w:color="000000"/>
              <w:left w:val="single" w:sz="4" w:space="0" w:color="auto"/>
              <w:bottom w:val="single" w:sz="4" w:space="0" w:color="auto"/>
              <w:right w:val="single" w:sz="4" w:space="0" w:color="000000"/>
            </w:tcBorders>
            <w:hideMark/>
          </w:tcPr>
          <w:p w14:paraId="2F2F9FC7" w14:textId="5D910C2B" w:rsidR="007E4B53" w:rsidRPr="00D93BA0" w:rsidRDefault="007E4B53" w:rsidP="00B777ED">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2"/>
              </w:rPr>
            </w:pPr>
            <w:r w:rsidRPr="00D93BA0">
              <w:rPr>
                <w:rFonts w:ascii="Arial" w:hAnsi="Arial" w:cs="Arial"/>
                <w:sz w:val="20"/>
                <w:szCs w:val="22"/>
              </w:rPr>
              <w:t xml:space="preserve">In order to provide quality information to those with soy allergies, and their </w:t>
            </w:r>
            <w:proofErr w:type="spellStart"/>
            <w:r w:rsidRPr="00D93BA0">
              <w:rPr>
                <w:rFonts w:ascii="Arial" w:hAnsi="Arial" w:cs="Arial"/>
                <w:sz w:val="20"/>
                <w:szCs w:val="22"/>
              </w:rPr>
              <w:t>carers</w:t>
            </w:r>
            <w:proofErr w:type="spellEnd"/>
            <w:r w:rsidRPr="00D93BA0">
              <w:rPr>
                <w:rFonts w:ascii="Arial" w:hAnsi="Arial" w:cs="Arial"/>
                <w:sz w:val="20"/>
                <w:szCs w:val="22"/>
              </w:rPr>
              <w:t xml:space="preserve">, submitter requests that the issue of </w:t>
            </w:r>
            <w:proofErr w:type="spellStart"/>
            <w:r w:rsidRPr="00D93BA0">
              <w:rPr>
                <w:rFonts w:ascii="Arial" w:hAnsi="Arial" w:cs="Arial"/>
                <w:sz w:val="20"/>
                <w:szCs w:val="22"/>
              </w:rPr>
              <w:t>allergenicity</w:t>
            </w:r>
            <w:proofErr w:type="spellEnd"/>
            <w:r w:rsidRPr="00D93BA0">
              <w:rPr>
                <w:rFonts w:ascii="Arial" w:hAnsi="Arial" w:cs="Arial"/>
                <w:sz w:val="20"/>
                <w:szCs w:val="22"/>
              </w:rPr>
              <w:t xml:space="preserve"> be referred to the Food Allergy and Intolerance Scientific Advisory Group (FAISAG) of experts in allergic disease to confirm FSANZ’s conclusions, specific to medical science on </w:t>
            </w:r>
            <w:proofErr w:type="spellStart"/>
            <w:r w:rsidRPr="00D93BA0">
              <w:rPr>
                <w:rFonts w:ascii="Arial" w:hAnsi="Arial" w:cs="Arial"/>
                <w:sz w:val="20"/>
                <w:szCs w:val="22"/>
              </w:rPr>
              <w:t>allergenicity</w:t>
            </w:r>
            <w:proofErr w:type="spellEnd"/>
            <w:r w:rsidRPr="00D93BA0">
              <w:rPr>
                <w:rFonts w:ascii="Arial" w:hAnsi="Arial" w:cs="Arial"/>
                <w:sz w:val="20"/>
                <w:szCs w:val="22"/>
              </w:rPr>
              <w:t xml:space="preserve"> of soy leghemoglobin</w:t>
            </w:r>
          </w:p>
        </w:tc>
        <w:tc>
          <w:tcPr>
            <w:tcW w:w="1985" w:type="dxa"/>
            <w:tcBorders>
              <w:top w:val="single" w:sz="4" w:space="0" w:color="000000"/>
              <w:left w:val="single" w:sz="4" w:space="0" w:color="000000"/>
              <w:bottom w:val="single" w:sz="4" w:space="0" w:color="auto"/>
              <w:right w:val="single" w:sz="4" w:space="0" w:color="000000"/>
            </w:tcBorders>
            <w:hideMark/>
          </w:tcPr>
          <w:p w14:paraId="51115A73" w14:textId="77777777"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szCs w:val="22"/>
                <w:lang w:eastAsia="en-GB"/>
              </w:rPr>
            </w:pPr>
            <w:r>
              <w:rPr>
                <w:szCs w:val="22"/>
                <w:lang w:eastAsia="en-GB"/>
              </w:rPr>
              <w:t>A&amp;AA</w:t>
            </w:r>
          </w:p>
        </w:tc>
        <w:tc>
          <w:tcPr>
            <w:tcW w:w="6095" w:type="dxa"/>
            <w:tcBorders>
              <w:top w:val="single" w:sz="4" w:space="0" w:color="000000"/>
              <w:left w:val="single" w:sz="4" w:space="0" w:color="000000"/>
              <w:bottom w:val="single" w:sz="4" w:space="0" w:color="auto"/>
              <w:right w:val="single" w:sz="4" w:space="0" w:color="auto"/>
            </w:tcBorders>
            <w:hideMark/>
          </w:tcPr>
          <w:p w14:paraId="1114EAD4" w14:textId="1DC063C2" w:rsidR="0064307A" w:rsidRDefault="007E4B53" w:rsidP="00346CDA">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szCs w:val="22"/>
                <w:lang w:eastAsia="en-GB"/>
              </w:rPr>
            </w:pPr>
            <w:r w:rsidRPr="00CF6C95">
              <w:rPr>
                <w:szCs w:val="22"/>
                <w:lang w:eastAsia="en-GB"/>
              </w:rPr>
              <w:t xml:space="preserve">The </w:t>
            </w:r>
            <w:r w:rsidR="00213EDA" w:rsidRPr="00CF6C95">
              <w:rPr>
                <w:szCs w:val="22"/>
                <w:lang w:eastAsia="en-GB"/>
              </w:rPr>
              <w:t>Preparation</w:t>
            </w:r>
            <w:r w:rsidRPr="00CF6C95">
              <w:rPr>
                <w:szCs w:val="22"/>
                <w:lang w:eastAsia="en-GB"/>
              </w:rPr>
              <w:t xml:space="preserve"> and Impossible </w:t>
            </w:r>
            <w:r w:rsidR="00891E83">
              <w:rPr>
                <w:szCs w:val="22"/>
                <w:lang w:eastAsia="en-GB"/>
              </w:rPr>
              <w:t xml:space="preserve">meat </w:t>
            </w:r>
            <w:r w:rsidRPr="00CF6C95">
              <w:rPr>
                <w:szCs w:val="22"/>
                <w:lang w:eastAsia="en-GB"/>
              </w:rPr>
              <w:t xml:space="preserve">analogue products contain ingredients derived from </w:t>
            </w:r>
            <w:r w:rsidR="00213EDA" w:rsidRPr="00CF6C95">
              <w:rPr>
                <w:szCs w:val="22"/>
                <w:lang w:eastAsia="en-GB"/>
              </w:rPr>
              <w:t>soy</w:t>
            </w:r>
            <w:r w:rsidR="00101D55">
              <w:rPr>
                <w:szCs w:val="22"/>
                <w:lang w:eastAsia="en-GB"/>
              </w:rPr>
              <w:t xml:space="preserve">. When soy is present in a food it must be </w:t>
            </w:r>
            <w:r w:rsidR="00F407CD">
              <w:rPr>
                <w:szCs w:val="22"/>
                <w:lang w:eastAsia="en-GB"/>
              </w:rPr>
              <w:t>declared</w:t>
            </w:r>
            <w:r w:rsidR="00101D55">
              <w:rPr>
                <w:szCs w:val="22"/>
                <w:lang w:eastAsia="en-GB"/>
              </w:rPr>
              <w:t xml:space="preserve">, or in the case of food not required to bear a label, </w:t>
            </w:r>
            <w:r w:rsidR="00EF788E" w:rsidRPr="0069118F">
              <w:t>displayed in connection with the display of the food</w:t>
            </w:r>
            <w:r w:rsidR="00EF788E">
              <w:rPr>
                <w:szCs w:val="22"/>
                <w:lang w:eastAsia="en-GB"/>
              </w:rPr>
              <w:t xml:space="preserve"> or provided to the purchaser on request</w:t>
            </w:r>
            <w:r w:rsidR="00F407CD">
              <w:rPr>
                <w:szCs w:val="22"/>
                <w:lang w:eastAsia="en-GB"/>
              </w:rPr>
              <w:t xml:space="preserve"> (s</w:t>
            </w:r>
            <w:r w:rsidR="00B81F4C">
              <w:rPr>
                <w:szCs w:val="22"/>
                <w:lang w:eastAsia="en-GB"/>
              </w:rPr>
              <w:t xml:space="preserve">ee </w:t>
            </w:r>
            <w:r w:rsidR="00A9765F">
              <w:rPr>
                <w:szCs w:val="22"/>
                <w:lang w:eastAsia="en-GB"/>
              </w:rPr>
              <w:t>s</w:t>
            </w:r>
            <w:r w:rsidR="00346CDA">
              <w:rPr>
                <w:szCs w:val="22"/>
                <w:lang w:eastAsia="en-GB"/>
              </w:rPr>
              <w:t xml:space="preserve">ection </w:t>
            </w:r>
            <w:r w:rsidR="00B81F4C">
              <w:rPr>
                <w:szCs w:val="22"/>
                <w:lang w:eastAsia="en-GB"/>
              </w:rPr>
              <w:t>3.2.2</w:t>
            </w:r>
            <w:r w:rsidR="00346CDA">
              <w:rPr>
                <w:szCs w:val="22"/>
                <w:lang w:eastAsia="en-GB"/>
              </w:rPr>
              <w:t xml:space="preserve"> of this </w:t>
            </w:r>
            <w:r w:rsidR="0056181E">
              <w:rPr>
                <w:szCs w:val="22"/>
                <w:lang w:eastAsia="en-GB"/>
              </w:rPr>
              <w:t>r</w:t>
            </w:r>
            <w:r w:rsidR="00346CDA">
              <w:rPr>
                <w:szCs w:val="22"/>
                <w:lang w:eastAsia="en-GB"/>
              </w:rPr>
              <w:t>eport</w:t>
            </w:r>
            <w:r w:rsidR="00F407CD">
              <w:rPr>
                <w:szCs w:val="22"/>
                <w:lang w:eastAsia="en-GB"/>
              </w:rPr>
              <w:t xml:space="preserve">). </w:t>
            </w:r>
          </w:p>
          <w:p w14:paraId="76EC740B" w14:textId="4751D38C" w:rsidR="0064307A" w:rsidRDefault="002F1318" w:rsidP="00346CDA">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szCs w:val="22"/>
                <w:lang w:eastAsia="en-GB"/>
              </w:rPr>
            </w:pPr>
            <w:r>
              <w:rPr>
                <w:szCs w:val="22"/>
                <w:lang w:eastAsia="en-GB"/>
              </w:rPr>
              <w:t xml:space="preserve">However, </w:t>
            </w:r>
            <w:r w:rsidR="0064307A">
              <w:rPr>
                <w:szCs w:val="22"/>
                <w:lang w:eastAsia="en-GB"/>
              </w:rPr>
              <w:t xml:space="preserve">FSANZ does not consider there is a need for further consideration of </w:t>
            </w:r>
            <w:proofErr w:type="spellStart"/>
            <w:r w:rsidR="0064307A">
              <w:rPr>
                <w:szCs w:val="22"/>
                <w:lang w:eastAsia="en-GB"/>
              </w:rPr>
              <w:t>allergenicity</w:t>
            </w:r>
            <w:proofErr w:type="spellEnd"/>
            <w:r w:rsidR="0064307A">
              <w:rPr>
                <w:szCs w:val="22"/>
                <w:lang w:eastAsia="en-GB"/>
              </w:rPr>
              <w:t xml:space="preserve"> by FAISAG for the following reasons:</w:t>
            </w:r>
          </w:p>
          <w:p w14:paraId="092A3107" w14:textId="77777777" w:rsidR="0064307A" w:rsidRDefault="007E4B53" w:rsidP="00222824">
            <w:pPr>
              <w:pStyle w:val="FSTableText"/>
              <w:widowControl/>
              <w:numPr>
                <w:ilvl w:val="0"/>
                <w:numId w:val="49"/>
              </w:numPr>
              <w:spacing w:before="120"/>
              <w:cnfStyle w:val="000000100000" w:firstRow="0" w:lastRow="0" w:firstColumn="0" w:lastColumn="0" w:oddVBand="0" w:evenVBand="0" w:oddHBand="1" w:evenHBand="0" w:firstRowFirstColumn="0" w:firstRowLastColumn="0" w:lastRowFirstColumn="0" w:lastRowLastColumn="0"/>
              <w:rPr>
                <w:szCs w:val="22"/>
                <w:lang w:eastAsia="en-GB"/>
              </w:rPr>
            </w:pPr>
            <w:r>
              <w:rPr>
                <w:szCs w:val="22"/>
                <w:lang w:eastAsia="en-GB"/>
              </w:rPr>
              <w:t xml:space="preserve">FSANZ has </w:t>
            </w:r>
            <w:r w:rsidR="007852FE">
              <w:rPr>
                <w:szCs w:val="22"/>
                <w:lang w:eastAsia="en-GB"/>
              </w:rPr>
              <w:t>compared</w:t>
            </w:r>
            <w:r>
              <w:rPr>
                <w:szCs w:val="22"/>
                <w:lang w:eastAsia="en-GB"/>
              </w:rPr>
              <w:t xml:space="preserve"> the novel protein sequences in soy leghemoglobin against those of known allergens, and found no similarities. </w:t>
            </w:r>
          </w:p>
          <w:p w14:paraId="0C04BEC0" w14:textId="2847CA1B" w:rsidR="007E4B53" w:rsidRDefault="00222824" w:rsidP="00222824">
            <w:pPr>
              <w:pStyle w:val="FSTableText"/>
              <w:widowControl/>
              <w:numPr>
                <w:ilvl w:val="0"/>
                <w:numId w:val="49"/>
              </w:numPr>
              <w:spacing w:after="120"/>
              <w:cnfStyle w:val="000000100000" w:firstRow="0" w:lastRow="0" w:firstColumn="0" w:lastColumn="0" w:oddVBand="0" w:evenVBand="0" w:oddHBand="1" w:evenHBand="0" w:firstRowFirstColumn="0" w:firstRowLastColumn="0" w:lastRowFirstColumn="0" w:lastRowLastColumn="0"/>
              <w:rPr>
                <w:szCs w:val="22"/>
                <w:lang w:eastAsia="en-GB"/>
              </w:rPr>
            </w:pPr>
            <w:r>
              <w:rPr>
                <w:szCs w:val="22"/>
                <w:lang w:eastAsia="en-GB"/>
              </w:rPr>
              <w:t>A</w:t>
            </w:r>
            <w:r w:rsidR="007E4B53">
              <w:rPr>
                <w:szCs w:val="22"/>
                <w:lang w:eastAsia="en-GB"/>
              </w:rPr>
              <w:t>dverse events data reported in the 2</w:t>
            </w:r>
            <w:r w:rsidR="007E4B53">
              <w:rPr>
                <w:szCs w:val="22"/>
                <w:vertAlign w:val="superscript"/>
                <w:lang w:eastAsia="en-GB"/>
              </w:rPr>
              <w:t>nd</w:t>
            </w:r>
            <w:r w:rsidR="007E4B53">
              <w:rPr>
                <w:szCs w:val="22"/>
                <w:lang w:eastAsia="en-GB"/>
              </w:rPr>
              <w:t xml:space="preserve"> CFS on over 100 million Impossible </w:t>
            </w:r>
            <w:r w:rsidR="00213EDA">
              <w:rPr>
                <w:szCs w:val="22"/>
                <w:lang w:eastAsia="en-GB"/>
              </w:rPr>
              <w:t xml:space="preserve">burgers </w:t>
            </w:r>
            <w:r w:rsidR="007E4B53">
              <w:rPr>
                <w:szCs w:val="22"/>
                <w:lang w:eastAsia="en-GB"/>
              </w:rPr>
              <w:t xml:space="preserve">sold have not presented any medically-confirmed allergic reactions. </w:t>
            </w:r>
          </w:p>
        </w:tc>
      </w:tr>
      <w:tr w:rsidR="007E4B53" w14:paraId="63E5B800" w14:textId="77777777" w:rsidTr="00647D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7066F9ED" w14:textId="77777777" w:rsidR="007E4B53" w:rsidRDefault="007E4B53" w:rsidP="008C2861">
            <w:pPr>
              <w:pStyle w:val="Default"/>
              <w:numPr>
                <w:ilvl w:val="0"/>
                <w:numId w:val="38"/>
              </w:numPr>
              <w:spacing w:before="240" w:after="240"/>
              <w:ind w:left="357" w:hanging="357"/>
              <w:jc w:val="center"/>
              <w:rPr>
                <w:rFonts w:ascii="Arial" w:hAnsi="Arial" w:cs="Arial"/>
                <w:b w:val="0"/>
                <w:color w:val="auto"/>
                <w:sz w:val="20"/>
                <w:szCs w:val="20"/>
              </w:rPr>
            </w:pPr>
          </w:p>
        </w:tc>
        <w:tc>
          <w:tcPr>
            <w:tcW w:w="5103" w:type="dxa"/>
            <w:tcBorders>
              <w:top w:val="single" w:sz="4" w:space="0" w:color="000000"/>
              <w:left w:val="single" w:sz="4" w:space="0" w:color="auto"/>
              <w:bottom w:val="single" w:sz="4" w:space="0" w:color="auto"/>
              <w:right w:val="single" w:sz="4" w:space="0" w:color="000000"/>
            </w:tcBorders>
          </w:tcPr>
          <w:p w14:paraId="631D57EF" w14:textId="0D3E478A" w:rsidR="007E4B53" w:rsidRPr="00D93BA0" w:rsidRDefault="007E4B53" w:rsidP="00B777ED">
            <w:pPr>
              <w:pStyle w:val="Default"/>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Cs/>
                <w:color w:val="auto"/>
                <w:sz w:val="20"/>
                <w:szCs w:val="20"/>
                <w:lang w:eastAsia="en-US"/>
              </w:rPr>
            </w:pPr>
            <w:r w:rsidRPr="00D93BA0">
              <w:rPr>
                <w:rFonts w:ascii="Arial" w:hAnsi="Arial" w:cs="Arial"/>
                <w:color w:val="auto"/>
                <w:sz w:val="20"/>
                <w:szCs w:val="20"/>
              </w:rPr>
              <w:t>FSANZ did not rely on independent data sources for the risk assessment.</w:t>
            </w:r>
          </w:p>
        </w:tc>
        <w:tc>
          <w:tcPr>
            <w:tcW w:w="1985" w:type="dxa"/>
            <w:tcBorders>
              <w:top w:val="single" w:sz="4" w:space="0" w:color="000000"/>
              <w:left w:val="single" w:sz="4" w:space="0" w:color="000000"/>
              <w:bottom w:val="single" w:sz="4" w:space="0" w:color="auto"/>
              <w:right w:val="single" w:sz="4" w:space="0" w:color="000000"/>
            </w:tcBorders>
            <w:hideMark/>
          </w:tcPr>
          <w:p w14:paraId="77C35A6A"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VD/PS; FOE/GE; MC (private)</w:t>
            </w:r>
          </w:p>
        </w:tc>
        <w:tc>
          <w:tcPr>
            <w:tcW w:w="6095" w:type="dxa"/>
            <w:tcBorders>
              <w:top w:val="single" w:sz="4" w:space="0" w:color="000000"/>
              <w:left w:val="single" w:sz="4" w:space="0" w:color="000000"/>
              <w:bottom w:val="single" w:sz="4" w:space="0" w:color="auto"/>
              <w:right w:val="single" w:sz="4" w:space="0" w:color="auto"/>
            </w:tcBorders>
          </w:tcPr>
          <w:p w14:paraId="71ABF636" w14:textId="7B43DCE3" w:rsidR="00213EDA"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An application must meet specific data requirements for FSANZ to undertake the safety assessment. These requirements are listed in the FSANZ Application Handbook (Guideline 3.5.1) and follow international</w:t>
            </w:r>
            <w:r w:rsidR="007852FE">
              <w:rPr>
                <w:lang w:eastAsia="en-GB"/>
              </w:rPr>
              <w:t>ly</w:t>
            </w:r>
            <w:r>
              <w:rPr>
                <w:lang w:eastAsia="en-GB"/>
              </w:rPr>
              <w:t xml:space="preserve"> agreed guidelines est</w:t>
            </w:r>
            <w:r w:rsidR="00B777ED">
              <w:rPr>
                <w:lang w:eastAsia="en-GB"/>
              </w:rPr>
              <w:t>ablished by Codex.</w:t>
            </w:r>
          </w:p>
          <w:p w14:paraId="168E69AD" w14:textId="77777777" w:rsidR="00AE0181"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Studies (including raw data) supplied by the applicant were independently assessed by FSANZ to ensure they were of sufficient quality, have been conducted in an appropriate manner, and did not raise concerns regarding the safety of the product. </w:t>
            </w:r>
          </w:p>
          <w:p w14:paraId="01CB00AE" w14:textId="25BB1E84"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In addition to data submitted by the applicant, FSANZ considered information from a variety of other sources including the scientific literature, general technical information, and information from other regulatory agencies, as well as from international bodies such as the OECD </w:t>
            </w:r>
            <w:r w:rsidR="00213EDA">
              <w:rPr>
                <w:lang w:eastAsia="en-GB"/>
              </w:rPr>
              <w:t>and</w:t>
            </w:r>
            <w:r>
              <w:rPr>
                <w:lang w:eastAsia="en-GB"/>
              </w:rPr>
              <w:t xml:space="preserve"> Codex. </w:t>
            </w:r>
          </w:p>
        </w:tc>
      </w:tr>
      <w:tr w:rsidR="007E4B53" w14:paraId="7B286C7E"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3B015E22" w14:textId="77777777" w:rsidR="007E4B53" w:rsidRDefault="007E4B53" w:rsidP="008C2861">
            <w:pPr>
              <w:pStyle w:val="Default"/>
              <w:numPr>
                <w:ilvl w:val="0"/>
                <w:numId w:val="38"/>
              </w:numPr>
              <w:spacing w:before="240" w:after="240"/>
              <w:ind w:left="357" w:hanging="357"/>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7ED0B8F5" w14:textId="38CBFF7D" w:rsidR="007E4B53" w:rsidRPr="00D93BA0" w:rsidRDefault="00D93BA0" w:rsidP="00B777ED">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3BA0">
              <w:rPr>
                <w:rFonts w:ascii="Arial" w:hAnsi="Arial" w:cs="Arial"/>
                <w:bCs/>
                <w:sz w:val="20"/>
                <w:szCs w:val="20"/>
                <w:lang w:val="en-GB"/>
              </w:rPr>
              <w:t>FSANZ has not outlined all the differences between the two strains: the purity of</w:t>
            </w:r>
            <w:r w:rsidRPr="00D93BA0">
              <w:rPr>
                <w:rFonts w:ascii="Arial" w:hAnsi="Arial" w:cs="Arial"/>
                <w:sz w:val="20"/>
                <w:szCs w:val="20"/>
                <w:lang w:val="en-GB"/>
              </w:rPr>
              <w:t xml:space="preserve"> the soy leghemoglobin protein</w:t>
            </w:r>
            <w:r w:rsidRPr="00D93BA0">
              <w:rPr>
                <w:rFonts w:ascii="Arial" w:hAnsi="Arial" w:cs="Arial"/>
                <w:bCs/>
                <w:sz w:val="20"/>
                <w:szCs w:val="20"/>
                <w:lang w:val="en-GB"/>
              </w:rPr>
              <w:t xml:space="preserve"> is only 76% with MYX0541 as opposed to 80% with MXY0291. The fat, ash and carbohydrate levels </w:t>
            </w:r>
            <w:r w:rsidRPr="00D93BA0">
              <w:rPr>
                <w:rFonts w:ascii="Arial" w:hAnsi="Arial" w:cs="Arial"/>
                <w:sz w:val="20"/>
                <w:szCs w:val="20"/>
                <w:lang w:val="en-GB"/>
              </w:rPr>
              <w:t xml:space="preserve">for the Preparation </w:t>
            </w:r>
            <w:r w:rsidRPr="00D93BA0">
              <w:rPr>
                <w:rFonts w:ascii="Arial" w:hAnsi="Arial" w:cs="Arial"/>
                <w:bCs/>
                <w:sz w:val="20"/>
                <w:szCs w:val="20"/>
                <w:lang w:val="en-GB"/>
              </w:rPr>
              <w:t>are also altered.</w:t>
            </w:r>
          </w:p>
        </w:tc>
        <w:tc>
          <w:tcPr>
            <w:tcW w:w="1985" w:type="dxa"/>
            <w:tcBorders>
              <w:top w:val="single" w:sz="4" w:space="0" w:color="000000"/>
              <w:left w:val="single" w:sz="4" w:space="0" w:color="000000"/>
              <w:bottom w:val="single" w:sz="4" w:space="0" w:color="auto"/>
              <w:right w:val="single" w:sz="4" w:space="0" w:color="000000"/>
            </w:tcBorders>
            <w:hideMark/>
          </w:tcPr>
          <w:p w14:paraId="2854817F" w14:textId="77777777"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GEF NZ</w:t>
            </w:r>
          </w:p>
        </w:tc>
        <w:tc>
          <w:tcPr>
            <w:tcW w:w="6095" w:type="dxa"/>
            <w:tcBorders>
              <w:top w:val="single" w:sz="4" w:space="0" w:color="000000"/>
              <w:left w:val="single" w:sz="4" w:space="0" w:color="000000"/>
              <w:bottom w:val="single" w:sz="4" w:space="0" w:color="auto"/>
              <w:right w:val="single" w:sz="4" w:space="0" w:color="auto"/>
            </w:tcBorders>
            <w:hideMark/>
          </w:tcPr>
          <w:p w14:paraId="4CF8AD98" w14:textId="16DF9CEB" w:rsidR="007E4B53" w:rsidRDefault="00D022AC" w:rsidP="00E86523">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b/>
                <w:lang w:eastAsia="en-GB"/>
              </w:rPr>
            </w:pPr>
            <w:r>
              <w:rPr>
                <w:lang w:eastAsia="en-GB"/>
              </w:rPr>
              <w:t>It</w:t>
            </w:r>
            <w:r w:rsidR="007E4B53">
              <w:rPr>
                <w:lang w:eastAsia="en-GB"/>
              </w:rPr>
              <w:t xml:space="preserve"> is expected that </w:t>
            </w:r>
            <w:r w:rsidR="006E3055">
              <w:rPr>
                <w:lang w:eastAsia="en-GB"/>
              </w:rPr>
              <w:t xml:space="preserve">natural </w:t>
            </w:r>
            <w:r w:rsidR="007E4B53">
              <w:rPr>
                <w:lang w:eastAsia="en-GB"/>
              </w:rPr>
              <w:t xml:space="preserve">variation will exist </w:t>
            </w:r>
            <w:r w:rsidR="006E3055">
              <w:rPr>
                <w:lang w:eastAsia="en-GB"/>
              </w:rPr>
              <w:t xml:space="preserve">between each </w:t>
            </w:r>
            <w:r w:rsidR="007E4B53">
              <w:rPr>
                <w:lang w:eastAsia="en-GB"/>
              </w:rPr>
              <w:t xml:space="preserve">fermentation run </w:t>
            </w:r>
            <w:r>
              <w:rPr>
                <w:lang w:eastAsia="en-GB"/>
              </w:rPr>
              <w:t xml:space="preserve">leading to slightly different yields and proportions of constituents. These variations do not </w:t>
            </w:r>
            <w:r w:rsidR="007E4B53">
              <w:rPr>
                <w:lang w:eastAsia="en-GB"/>
              </w:rPr>
              <w:t>pose</w:t>
            </w:r>
            <w:r>
              <w:rPr>
                <w:lang w:eastAsia="en-GB"/>
              </w:rPr>
              <w:t xml:space="preserve"> a public health and safety concern</w:t>
            </w:r>
            <w:r w:rsidR="007E4B53">
              <w:rPr>
                <w:lang w:eastAsia="en-GB"/>
              </w:rPr>
              <w:t>.</w:t>
            </w:r>
            <w:r>
              <w:rPr>
                <w:lang w:eastAsia="en-GB"/>
              </w:rPr>
              <w:t xml:space="preserve"> All production batches of soy leghemoglobin must meet product specifications</w:t>
            </w:r>
            <w:r w:rsidR="00222824">
              <w:rPr>
                <w:lang w:eastAsia="en-GB"/>
              </w:rPr>
              <w:t xml:space="preserve"> as proposed in the draft variation for </w:t>
            </w:r>
            <w:r w:rsidR="00E86523">
              <w:rPr>
                <w:lang w:eastAsia="en-GB"/>
              </w:rPr>
              <w:t xml:space="preserve">Schedule </w:t>
            </w:r>
            <w:r w:rsidR="00222824">
              <w:rPr>
                <w:lang w:eastAsia="en-GB"/>
              </w:rPr>
              <w:t>3</w:t>
            </w:r>
            <w:r w:rsidR="006559B9">
              <w:rPr>
                <w:lang w:eastAsia="en-GB"/>
              </w:rPr>
              <w:t>.</w:t>
            </w:r>
          </w:p>
        </w:tc>
      </w:tr>
      <w:tr w:rsidR="007E4B53" w14:paraId="16BDD177" w14:textId="77777777" w:rsidTr="00647D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10AAC169" w14:textId="77777777" w:rsidR="007E4B53" w:rsidRPr="008C2861" w:rsidRDefault="007E4B53" w:rsidP="008C2861">
            <w:pPr>
              <w:pStyle w:val="ListParagraph"/>
              <w:widowControl/>
              <w:numPr>
                <w:ilvl w:val="0"/>
                <w:numId w:val="38"/>
              </w:numPr>
              <w:autoSpaceDE w:val="0"/>
              <w:autoSpaceDN w:val="0"/>
              <w:adjustRightInd w:val="0"/>
              <w:spacing w:before="240" w:after="240"/>
              <w:ind w:left="357" w:hanging="357"/>
              <w:jc w:val="center"/>
              <w:rPr>
                <w:rFonts w:cs="Arial"/>
                <w:b w:val="0"/>
                <w:sz w:val="20"/>
                <w:szCs w:val="20"/>
                <w:lang w:eastAsia="en-GB"/>
              </w:rPr>
            </w:pPr>
          </w:p>
        </w:tc>
        <w:tc>
          <w:tcPr>
            <w:tcW w:w="5103" w:type="dxa"/>
            <w:tcBorders>
              <w:top w:val="single" w:sz="4" w:space="0" w:color="000000"/>
              <w:left w:val="single" w:sz="4" w:space="0" w:color="auto"/>
              <w:bottom w:val="single" w:sz="4" w:space="0" w:color="auto"/>
              <w:right w:val="single" w:sz="4" w:space="0" w:color="000000"/>
            </w:tcBorders>
            <w:hideMark/>
          </w:tcPr>
          <w:p w14:paraId="58D71A87" w14:textId="7F9EF85B" w:rsidR="007E4B53" w:rsidRPr="00D93BA0" w:rsidRDefault="007E4B53" w:rsidP="00B777ED">
            <w:pPr>
              <w:widowControl/>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D93BA0">
              <w:rPr>
                <w:rFonts w:cs="Arial"/>
                <w:sz w:val="20"/>
                <w:szCs w:val="20"/>
                <w:lang w:eastAsia="en-GB"/>
              </w:rPr>
              <w:t>Human feeding trials should be undertaken to prove safety of soy leghemoglobin:</w:t>
            </w:r>
          </w:p>
          <w:p w14:paraId="4F219784" w14:textId="3DC4E304" w:rsidR="007E4B53" w:rsidRPr="00D93BA0" w:rsidRDefault="007E4B53" w:rsidP="00B777ED">
            <w:pPr>
              <w:pStyle w:val="ListParagraph"/>
              <w:widowControl/>
              <w:numPr>
                <w:ilvl w:val="0"/>
                <w:numId w:val="40"/>
              </w:numPr>
              <w:autoSpaceDE w:val="0"/>
              <w:autoSpaceDN w:val="0"/>
              <w:adjustRightInd w:val="0"/>
              <w:spacing w:before="120" w:after="120"/>
              <w:ind w:left="319"/>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D93BA0">
              <w:rPr>
                <w:rFonts w:cs="Arial"/>
                <w:sz w:val="20"/>
                <w:szCs w:val="20"/>
                <w:lang w:eastAsia="en-GB"/>
              </w:rPr>
              <w:t>should cover a range of ages and health states, especially due to the variations in pH found in stomach acid due to age and health status</w:t>
            </w:r>
          </w:p>
          <w:p w14:paraId="56BE8110" w14:textId="49FEF3F9" w:rsidR="007E4B53" w:rsidRPr="00D93BA0" w:rsidRDefault="007E4B53" w:rsidP="00B777ED">
            <w:pPr>
              <w:pStyle w:val="ListParagraph"/>
              <w:widowControl/>
              <w:numPr>
                <w:ilvl w:val="0"/>
                <w:numId w:val="40"/>
              </w:numPr>
              <w:autoSpaceDE w:val="0"/>
              <w:autoSpaceDN w:val="0"/>
              <w:adjustRightInd w:val="0"/>
              <w:spacing w:before="120" w:after="120"/>
              <w:ind w:left="319"/>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D93BA0">
              <w:rPr>
                <w:rFonts w:cs="Arial"/>
                <w:sz w:val="20"/>
                <w:szCs w:val="20"/>
                <w:lang w:eastAsia="en-GB"/>
              </w:rPr>
              <w:t>should occur for a period of at least 20 years</w:t>
            </w:r>
            <w:r w:rsidR="00213EDA" w:rsidRPr="00D93BA0">
              <w:rPr>
                <w:rFonts w:cs="Arial"/>
                <w:sz w:val="20"/>
                <w:szCs w:val="20"/>
                <w:lang w:eastAsia="en-GB"/>
              </w:rPr>
              <w:t>.</w:t>
            </w:r>
          </w:p>
        </w:tc>
        <w:tc>
          <w:tcPr>
            <w:tcW w:w="1985" w:type="dxa"/>
            <w:tcBorders>
              <w:top w:val="single" w:sz="4" w:space="0" w:color="000000"/>
              <w:left w:val="single" w:sz="4" w:space="0" w:color="000000"/>
              <w:bottom w:val="single" w:sz="4" w:space="0" w:color="auto"/>
              <w:right w:val="single" w:sz="4" w:space="0" w:color="000000"/>
            </w:tcBorders>
            <w:hideMark/>
          </w:tcPr>
          <w:p w14:paraId="656A220B"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BA/GP; GEFNZ; FOE/GE</w:t>
            </w:r>
          </w:p>
        </w:tc>
        <w:tc>
          <w:tcPr>
            <w:tcW w:w="6095" w:type="dxa"/>
            <w:tcBorders>
              <w:top w:val="single" w:sz="4" w:space="0" w:color="000000"/>
              <w:left w:val="single" w:sz="4" w:space="0" w:color="000000"/>
              <w:bottom w:val="single" w:sz="4" w:space="0" w:color="auto"/>
              <w:right w:val="single" w:sz="4" w:space="0" w:color="auto"/>
            </w:tcBorders>
            <w:hideMark/>
          </w:tcPr>
          <w:p w14:paraId="33A8FB08" w14:textId="5D6C5917" w:rsidR="007E4B53" w:rsidRDefault="007E4B53" w:rsidP="00B777ED">
            <w:pPr>
              <w:widowControl/>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Pr>
                <w:rFonts w:cs="Arial"/>
                <w:sz w:val="20"/>
                <w:szCs w:val="20"/>
                <w:lang w:eastAsia="en-GB"/>
              </w:rPr>
              <w:t xml:space="preserve">Human feeding trials are not routine requirements of GM food safety assessments and are not </w:t>
            </w:r>
            <w:r w:rsidR="00B777ED">
              <w:rPr>
                <w:rFonts w:cs="Arial"/>
                <w:sz w:val="20"/>
                <w:szCs w:val="20"/>
                <w:lang w:eastAsia="en-GB"/>
              </w:rPr>
              <w:t>required anywhere in the world.</w:t>
            </w:r>
          </w:p>
          <w:p w14:paraId="74B31F1F" w14:textId="0F529570" w:rsidR="007E4B53" w:rsidRDefault="007E4B53" w:rsidP="006513FF">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b/>
                <w:lang w:eastAsia="en-GB"/>
              </w:rPr>
            </w:pPr>
            <w:r>
              <w:rPr>
                <w:lang w:eastAsia="en-GB"/>
              </w:rPr>
              <w:t xml:space="preserve">While FSANZ does not require human feeding studies, FSANZ included </w:t>
            </w:r>
            <w:r w:rsidR="006513FF">
              <w:rPr>
                <w:lang w:eastAsia="en-GB"/>
              </w:rPr>
              <w:t>current</w:t>
            </w:r>
            <w:r w:rsidR="009104EB">
              <w:rPr>
                <w:lang w:eastAsia="en-GB"/>
              </w:rPr>
              <w:t xml:space="preserve"> </w:t>
            </w:r>
            <w:r>
              <w:rPr>
                <w:lang w:eastAsia="en-GB"/>
              </w:rPr>
              <w:t xml:space="preserve">overseas experience </w:t>
            </w:r>
            <w:r w:rsidR="00241A18">
              <w:rPr>
                <w:lang w:eastAsia="en-GB"/>
              </w:rPr>
              <w:t xml:space="preserve">as part of the scientific weight-of-evidence </w:t>
            </w:r>
            <w:r>
              <w:rPr>
                <w:lang w:eastAsia="en-GB"/>
              </w:rPr>
              <w:t>consider</w:t>
            </w:r>
            <w:r w:rsidR="00241A18">
              <w:rPr>
                <w:lang w:eastAsia="en-GB"/>
              </w:rPr>
              <w:t>ed for this application</w:t>
            </w:r>
            <w:r>
              <w:rPr>
                <w:lang w:eastAsia="en-GB"/>
              </w:rPr>
              <w:t>. The applicant advised they had sold approximately 100 million Impossible burger servings as of March 2020, with no reports of medically-confirmed adverse health effects. This supports the conclusion that the food product poses minimal risk to consumers.</w:t>
            </w:r>
          </w:p>
        </w:tc>
      </w:tr>
      <w:tr w:rsidR="007E4B53" w14:paraId="1C40E8FB"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61C088DC" w14:textId="77777777" w:rsidR="007E4B53" w:rsidRPr="00D93BA0" w:rsidRDefault="007E4B53" w:rsidP="008C2861">
            <w:pPr>
              <w:pStyle w:val="ListParagraph"/>
              <w:widowControl/>
              <w:numPr>
                <w:ilvl w:val="0"/>
                <w:numId w:val="38"/>
              </w:numPr>
              <w:spacing w:before="240"/>
              <w:ind w:left="357" w:hanging="357"/>
              <w:jc w:val="center"/>
              <w:rPr>
                <w:rFonts w:cs="Arial"/>
                <w:b w:val="0"/>
                <w:sz w:val="20"/>
                <w:szCs w:val="20"/>
                <w:lang w:eastAsia="en-GB"/>
              </w:rPr>
            </w:pPr>
          </w:p>
        </w:tc>
        <w:tc>
          <w:tcPr>
            <w:tcW w:w="5103" w:type="dxa"/>
            <w:tcBorders>
              <w:top w:val="single" w:sz="4" w:space="0" w:color="000000"/>
              <w:left w:val="single" w:sz="4" w:space="0" w:color="auto"/>
              <w:bottom w:val="single" w:sz="4" w:space="0" w:color="auto"/>
              <w:right w:val="single" w:sz="4" w:space="0" w:color="000000"/>
            </w:tcBorders>
            <w:hideMark/>
          </w:tcPr>
          <w:p w14:paraId="0B19769C" w14:textId="46D39086" w:rsidR="007E4B53" w:rsidRPr="00D93BA0" w:rsidRDefault="007E4B53" w:rsidP="00B777ED">
            <w:pPr>
              <w:widowControl/>
              <w:spacing w:before="120" w:after="120"/>
              <w:cnfStyle w:val="000000100000" w:firstRow="0" w:lastRow="0" w:firstColumn="0" w:lastColumn="0" w:oddVBand="0" w:evenVBand="0" w:oddHBand="1" w:evenHBand="0" w:firstRowFirstColumn="0" w:firstRowLastColumn="0" w:lastRowFirstColumn="0" w:lastRowLastColumn="0"/>
              <w:rPr>
                <w:rFonts w:cs="Arial"/>
                <w:bCs/>
                <w:sz w:val="20"/>
                <w:szCs w:val="20"/>
                <w:lang w:eastAsia="en-GB"/>
              </w:rPr>
            </w:pPr>
            <w:bookmarkStart w:id="107" w:name="IssueNo3"/>
            <w:bookmarkEnd w:id="107"/>
            <w:r w:rsidRPr="00D93BA0">
              <w:rPr>
                <w:rFonts w:cs="Arial"/>
                <w:sz w:val="20"/>
                <w:szCs w:val="20"/>
                <w:lang w:eastAsia="en-GB"/>
              </w:rPr>
              <w:t xml:space="preserve">Safety of the </w:t>
            </w:r>
            <w:r w:rsidRPr="00D93BA0">
              <w:rPr>
                <w:rFonts w:cs="Arial"/>
                <w:i/>
                <w:sz w:val="20"/>
                <w:szCs w:val="20"/>
                <w:lang w:eastAsia="en-GB"/>
              </w:rPr>
              <w:t>P</w:t>
            </w:r>
            <w:r w:rsidR="00EA3CBA">
              <w:rPr>
                <w:rFonts w:cs="Arial"/>
                <w:i/>
                <w:sz w:val="20"/>
                <w:szCs w:val="20"/>
                <w:lang w:eastAsia="en-GB"/>
              </w:rPr>
              <w:t>.</w:t>
            </w:r>
            <w:r w:rsidRPr="00D93BA0">
              <w:rPr>
                <w:rFonts w:cs="Arial"/>
                <w:i/>
                <w:sz w:val="20"/>
                <w:szCs w:val="20"/>
                <w:lang w:eastAsia="en-GB"/>
              </w:rPr>
              <w:t xml:space="preserve"> pastoris</w:t>
            </w:r>
            <w:r w:rsidRPr="00D93BA0">
              <w:rPr>
                <w:rFonts w:cs="Arial"/>
                <w:sz w:val="20"/>
                <w:szCs w:val="20"/>
                <w:lang w:eastAsia="en-GB"/>
              </w:rPr>
              <w:t xml:space="preserve"> host and production strains has not been demonstrated:</w:t>
            </w:r>
          </w:p>
          <w:p w14:paraId="6AE7F0DF" w14:textId="6C32054E" w:rsidR="007E4B53" w:rsidRPr="00D93BA0" w:rsidRDefault="007A2CBD" w:rsidP="007A2CBD">
            <w:pPr>
              <w:pStyle w:val="ListParagraph"/>
              <w:widowControl/>
              <w:numPr>
                <w:ilvl w:val="0"/>
                <w:numId w:val="41"/>
              </w:numPr>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Pr>
                <w:rFonts w:cs="Arial"/>
                <w:sz w:val="20"/>
                <w:szCs w:val="20"/>
                <w:lang w:eastAsia="en-GB"/>
              </w:rPr>
              <w:t>W</w:t>
            </w:r>
            <w:r w:rsidR="007E4B53" w:rsidRPr="00D93BA0">
              <w:rPr>
                <w:rFonts w:cs="Arial"/>
                <w:sz w:val="20"/>
                <w:szCs w:val="20"/>
                <w:lang w:eastAsia="en-GB"/>
              </w:rPr>
              <w:t xml:space="preserve">hy is the emphasis on the safety of the </w:t>
            </w:r>
            <w:r w:rsidR="007E4B53" w:rsidRPr="00D93BA0">
              <w:rPr>
                <w:rFonts w:cs="Arial"/>
                <w:i/>
                <w:sz w:val="20"/>
                <w:szCs w:val="20"/>
                <w:lang w:eastAsia="en-GB"/>
              </w:rPr>
              <w:t>P</w:t>
            </w:r>
            <w:r w:rsidR="00EA3CBA">
              <w:rPr>
                <w:rFonts w:cs="Arial"/>
                <w:i/>
                <w:sz w:val="20"/>
                <w:szCs w:val="20"/>
                <w:lang w:eastAsia="en-GB"/>
              </w:rPr>
              <w:t>.</w:t>
            </w:r>
            <w:r w:rsidR="007E4B53" w:rsidRPr="00D93BA0">
              <w:rPr>
                <w:rFonts w:cs="Arial"/>
                <w:i/>
                <w:sz w:val="20"/>
                <w:szCs w:val="20"/>
                <w:lang w:eastAsia="en-GB"/>
              </w:rPr>
              <w:t xml:space="preserve"> pastoris</w:t>
            </w:r>
            <w:r w:rsidR="007E4B53" w:rsidRPr="00D93BA0">
              <w:rPr>
                <w:rFonts w:cs="Arial"/>
                <w:sz w:val="20"/>
                <w:szCs w:val="20"/>
                <w:lang w:eastAsia="en-GB"/>
              </w:rPr>
              <w:t xml:space="preserve"> host and not the purified soy leghemoglobin product?</w:t>
            </w:r>
          </w:p>
          <w:p w14:paraId="5F108FAC" w14:textId="3DBB755F" w:rsidR="007E4B53" w:rsidRPr="00D93BA0" w:rsidRDefault="007A2CBD" w:rsidP="007A2CBD">
            <w:pPr>
              <w:pStyle w:val="Default"/>
              <w:numPr>
                <w:ilvl w:val="0"/>
                <w:numId w:val="41"/>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S</w:t>
            </w:r>
            <w:r w:rsidR="007E4B53" w:rsidRPr="00D93BA0">
              <w:rPr>
                <w:rFonts w:ascii="Arial" w:hAnsi="Arial" w:cs="Arial"/>
                <w:color w:val="auto"/>
                <w:sz w:val="20"/>
                <w:szCs w:val="20"/>
              </w:rPr>
              <w:t xml:space="preserve">hould identify the trace </w:t>
            </w:r>
            <w:r w:rsidR="007E4B53" w:rsidRPr="00D93BA0">
              <w:rPr>
                <w:rFonts w:ascii="Arial" w:hAnsi="Arial" w:cs="Arial"/>
                <w:i/>
                <w:color w:val="auto"/>
                <w:sz w:val="20"/>
                <w:szCs w:val="20"/>
              </w:rPr>
              <w:t>P. pastoris</w:t>
            </w:r>
            <w:r w:rsidR="007E4B53" w:rsidRPr="00D93BA0">
              <w:rPr>
                <w:rFonts w:ascii="Arial" w:hAnsi="Arial" w:cs="Arial"/>
                <w:color w:val="auto"/>
                <w:sz w:val="20"/>
                <w:szCs w:val="20"/>
              </w:rPr>
              <w:t xml:space="preserve"> proteins present in the preparation and confirm they do not cause anaphylaxis.</w:t>
            </w:r>
          </w:p>
        </w:tc>
        <w:tc>
          <w:tcPr>
            <w:tcW w:w="1985" w:type="dxa"/>
            <w:tcBorders>
              <w:top w:val="single" w:sz="4" w:space="0" w:color="000000"/>
              <w:left w:val="single" w:sz="4" w:space="0" w:color="000000"/>
              <w:bottom w:val="single" w:sz="4" w:space="0" w:color="auto"/>
              <w:right w:val="single" w:sz="4" w:space="0" w:color="000000"/>
            </w:tcBorders>
            <w:hideMark/>
          </w:tcPr>
          <w:p w14:paraId="1964B2A5" w14:textId="77777777"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GEF NZ; FOE/GE; GPO; MC (private)</w:t>
            </w:r>
          </w:p>
        </w:tc>
        <w:tc>
          <w:tcPr>
            <w:tcW w:w="6095" w:type="dxa"/>
            <w:tcBorders>
              <w:top w:val="single" w:sz="4" w:space="0" w:color="000000"/>
              <w:left w:val="single" w:sz="4" w:space="0" w:color="000000"/>
              <w:bottom w:val="single" w:sz="4" w:space="0" w:color="auto"/>
              <w:right w:val="single" w:sz="4" w:space="0" w:color="auto"/>
            </w:tcBorders>
            <w:hideMark/>
          </w:tcPr>
          <w:p w14:paraId="472632C4" w14:textId="3D7BBB15" w:rsidR="007E4B53" w:rsidRDefault="007E4B53" w:rsidP="00B777ED">
            <w:pPr>
              <w:widowControl/>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Pr>
                <w:rFonts w:cs="Arial"/>
                <w:sz w:val="20"/>
                <w:szCs w:val="20"/>
                <w:lang w:eastAsia="en-GB"/>
              </w:rPr>
              <w:t xml:space="preserve">The </w:t>
            </w:r>
            <w:r w:rsidR="007C22D1" w:rsidRPr="0024783B">
              <w:rPr>
                <w:rFonts w:cs="Arial"/>
                <w:sz w:val="20"/>
                <w:szCs w:val="20"/>
                <w:lang w:eastAsia="en-GB"/>
              </w:rPr>
              <w:t xml:space="preserve">Preparation </w:t>
            </w:r>
            <w:r w:rsidR="009104EB">
              <w:rPr>
                <w:rFonts w:cs="Arial"/>
                <w:sz w:val="20"/>
                <w:szCs w:val="20"/>
                <w:lang w:eastAsia="en-GB"/>
              </w:rPr>
              <w:t>comprises</w:t>
            </w:r>
            <w:r>
              <w:rPr>
                <w:rFonts w:cs="Arial"/>
                <w:sz w:val="20"/>
                <w:szCs w:val="20"/>
                <w:lang w:eastAsia="en-GB"/>
              </w:rPr>
              <w:t xml:space="preserve"> cells of the </w:t>
            </w:r>
            <w:r>
              <w:rPr>
                <w:rFonts w:cs="Arial"/>
                <w:i/>
                <w:sz w:val="20"/>
                <w:szCs w:val="20"/>
                <w:lang w:eastAsia="en-GB"/>
              </w:rPr>
              <w:t>Pichia</w:t>
            </w:r>
            <w:r>
              <w:rPr>
                <w:rFonts w:cs="Arial"/>
                <w:sz w:val="20"/>
                <w:szCs w:val="20"/>
                <w:lang w:eastAsia="en-GB"/>
              </w:rPr>
              <w:t xml:space="preserve"> production strain that have been ruptured (see also the Report: Executive Summary, </w:t>
            </w:r>
            <w:r w:rsidR="00A9765F">
              <w:rPr>
                <w:rFonts w:cs="Arial"/>
                <w:sz w:val="20"/>
                <w:szCs w:val="20"/>
                <w:lang w:eastAsia="en-GB"/>
              </w:rPr>
              <w:t>s</w:t>
            </w:r>
            <w:r>
              <w:rPr>
                <w:rFonts w:cs="Arial"/>
                <w:sz w:val="20"/>
                <w:szCs w:val="20"/>
                <w:lang w:eastAsia="en-GB"/>
              </w:rPr>
              <w:t xml:space="preserve">ection 1 </w:t>
            </w:r>
            <w:r w:rsidRPr="00A9765F">
              <w:rPr>
                <w:rFonts w:cs="Arial"/>
                <w:i/>
                <w:sz w:val="20"/>
                <w:szCs w:val="20"/>
                <w:lang w:eastAsia="en-GB"/>
              </w:rPr>
              <w:t>Introduction</w:t>
            </w:r>
            <w:r>
              <w:rPr>
                <w:rFonts w:cs="Arial"/>
                <w:sz w:val="20"/>
                <w:szCs w:val="20"/>
                <w:lang w:eastAsia="en-GB"/>
              </w:rPr>
              <w:t xml:space="preserve">, </w:t>
            </w:r>
            <w:r w:rsidR="00A9765F">
              <w:rPr>
                <w:rFonts w:cs="Arial"/>
                <w:sz w:val="20"/>
                <w:szCs w:val="20"/>
                <w:lang w:eastAsia="en-GB"/>
              </w:rPr>
              <w:t>s</w:t>
            </w:r>
            <w:r>
              <w:rPr>
                <w:rFonts w:cs="Arial"/>
                <w:sz w:val="20"/>
                <w:szCs w:val="20"/>
                <w:lang w:eastAsia="en-GB"/>
              </w:rPr>
              <w:t xml:space="preserve">ection 3.3 </w:t>
            </w:r>
            <w:r>
              <w:rPr>
                <w:rFonts w:cs="Arial"/>
                <w:i/>
                <w:sz w:val="20"/>
                <w:szCs w:val="20"/>
                <w:lang w:eastAsia="en-GB"/>
              </w:rPr>
              <w:t>Summary of proposed regulatory measures</w:t>
            </w:r>
            <w:r>
              <w:rPr>
                <w:rFonts w:cs="Arial"/>
                <w:sz w:val="20"/>
                <w:szCs w:val="20"/>
                <w:lang w:eastAsia="en-GB"/>
              </w:rPr>
              <w:t xml:space="preserve">). It contains both the novel soy leghemoglobin protein as well as the native </w:t>
            </w:r>
            <w:r w:rsidRPr="00E86523">
              <w:rPr>
                <w:rFonts w:cs="Arial"/>
                <w:i/>
                <w:sz w:val="20"/>
                <w:szCs w:val="20"/>
                <w:lang w:eastAsia="en-GB"/>
              </w:rPr>
              <w:t>Pichia</w:t>
            </w:r>
            <w:r>
              <w:rPr>
                <w:rFonts w:cs="Arial"/>
                <w:sz w:val="20"/>
                <w:szCs w:val="20"/>
                <w:lang w:eastAsia="en-GB"/>
              </w:rPr>
              <w:t xml:space="preserve"> proteins. The safety assessment therefore considered both.</w:t>
            </w:r>
          </w:p>
          <w:p w14:paraId="1F766657" w14:textId="5CF36B87" w:rsidR="007E4B53" w:rsidRDefault="007E4B53" w:rsidP="006513FF">
            <w:pPr>
              <w:widowControl/>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Pr>
                <w:rFonts w:cs="Arial"/>
                <w:sz w:val="20"/>
                <w:szCs w:val="20"/>
                <w:lang w:eastAsia="en-GB"/>
              </w:rPr>
              <w:t xml:space="preserve">In regards to the safety of the </w:t>
            </w:r>
            <w:r w:rsidRPr="00CF3C94">
              <w:rPr>
                <w:rFonts w:cs="Arial"/>
                <w:i/>
                <w:sz w:val="20"/>
                <w:szCs w:val="20"/>
                <w:lang w:eastAsia="en-GB"/>
              </w:rPr>
              <w:t>Pichia</w:t>
            </w:r>
            <w:r>
              <w:rPr>
                <w:rFonts w:cs="Arial"/>
                <w:sz w:val="20"/>
                <w:szCs w:val="20"/>
                <w:lang w:eastAsia="en-GB"/>
              </w:rPr>
              <w:t xml:space="preserve"> host, the assessment of the organism did not raise any concerns. In addition, as stated above, FSANZ </w:t>
            </w:r>
            <w:r w:rsidRPr="006513FF">
              <w:rPr>
                <w:rFonts w:cs="Arial"/>
                <w:sz w:val="20"/>
                <w:szCs w:val="20"/>
                <w:lang w:eastAsia="en-GB"/>
              </w:rPr>
              <w:t xml:space="preserve">included </w:t>
            </w:r>
            <w:r w:rsidR="006513FF" w:rsidRPr="006513FF">
              <w:rPr>
                <w:sz w:val="20"/>
                <w:szCs w:val="20"/>
                <w:lang w:eastAsia="en-GB"/>
              </w:rPr>
              <w:t>current</w:t>
            </w:r>
            <w:r w:rsidRPr="006513FF">
              <w:rPr>
                <w:rFonts w:cs="Arial"/>
                <w:sz w:val="20"/>
                <w:szCs w:val="20"/>
                <w:lang w:eastAsia="en-GB"/>
              </w:rPr>
              <w:t xml:space="preserve"> overseas</w:t>
            </w:r>
            <w:r>
              <w:rPr>
                <w:rFonts w:cs="Arial"/>
                <w:sz w:val="20"/>
                <w:szCs w:val="20"/>
                <w:lang w:eastAsia="en-GB"/>
              </w:rPr>
              <w:t xml:space="preserve"> experience in their considerations. This supports the conclusion that the </w:t>
            </w:r>
            <w:r w:rsidR="007A2CBD">
              <w:rPr>
                <w:rFonts w:cs="Arial"/>
                <w:sz w:val="20"/>
                <w:szCs w:val="20"/>
                <w:lang w:eastAsia="en-GB"/>
              </w:rPr>
              <w:t>P</w:t>
            </w:r>
            <w:r>
              <w:rPr>
                <w:rFonts w:cs="Arial"/>
                <w:sz w:val="20"/>
                <w:szCs w:val="20"/>
                <w:lang w:eastAsia="en-GB"/>
              </w:rPr>
              <w:t>reparation poses minimal risk to consumers.</w:t>
            </w:r>
          </w:p>
        </w:tc>
      </w:tr>
      <w:tr w:rsidR="007E4B53" w14:paraId="4C9F9B94" w14:textId="77777777" w:rsidTr="00647D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3A69A030" w14:textId="77777777" w:rsidR="007E4B53" w:rsidRPr="00D93BA0" w:rsidRDefault="007E4B53" w:rsidP="008C2861">
            <w:pPr>
              <w:pStyle w:val="Default"/>
              <w:numPr>
                <w:ilvl w:val="0"/>
                <w:numId w:val="38"/>
              </w:numPr>
              <w:spacing w:before="240"/>
              <w:ind w:left="357" w:hanging="357"/>
              <w:jc w:val="center"/>
              <w:rPr>
                <w:rFonts w:ascii="Arial" w:hAnsi="Arial" w:cs="Arial"/>
                <w:b w:val="0"/>
                <w:color w:val="auto"/>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0136A2B4" w14:textId="3ED98900" w:rsidR="007E4B53" w:rsidRPr="00D93BA0" w:rsidRDefault="007E4B53" w:rsidP="00B777ED">
            <w:pPr>
              <w:pStyle w:val="Default"/>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Cs/>
                <w:color w:val="auto"/>
                <w:sz w:val="20"/>
                <w:szCs w:val="20"/>
              </w:rPr>
            </w:pPr>
            <w:bookmarkStart w:id="108" w:name="IssueNo4"/>
            <w:bookmarkEnd w:id="108"/>
            <w:r w:rsidRPr="00D93BA0">
              <w:rPr>
                <w:rFonts w:ascii="Arial" w:hAnsi="Arial" w:cs="Arial"/>
                <w:color w:val="auto"/>
                <w:sz w:val="20"/>
                <w:szCs w:val="20"/>
              </w:rPr>
              <w:t>How can safety data from the two different strains be comparable?</w:t>
            </w:r>
          </w:p>
          <w:p w14:paraId="280C8BBD" w14:textId="77777777" w:rsidR="007E4B53" w:rsidRPr="00D93BA0" w:rsidRDefault="007E4B53" w:rsidP="00B777ED">
            <w:pPr>
              <w:pStyle w:val="Default"/>
              <w:numPr>
                <w:ilvl w:val="0"/>
                <w:numId w:val="42"/>
              </w:numPr>
              <w:spacing w:before="120"/>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rPr>
            </w:pPr>
            <w:r w:rsidRPr="00D93BA0">
              <w:rPr>
                <w:rFonts w:ascii="Arial" w:hAnsi="Arial" w:cs="Arial"/>
                <w:color w:val="auto"/>
                <w:sz w:val="20"/>
                <w:szCs w:val="20"/>
              </w:rPr>
              <w:t xml:space="preserve">In regards to </w:t>
            </w:r>
            <w:proofErr w:type="spellStart"/>
            <w:r w:rsidRPr="00D93BA0">
              <w:rPr>
                <w:rFonts w:ascii="Arial" w:hAnsi="Arial" w:cs="Arial"/>
                <w:color w:val="auto"/>
                <w:sz w:val="20"/>
                <w:szCs w:val="20"/>
              </w:rPr>
              <w:t>allergenicity</w:t>
            </w:r>
            <w:proofErr w:type="spellEnd"/>
            <w:r w:rsidRPr="00D93BA0">
              <w:rPr>
                <w:rFonts w:ascii="Arial" w:hAnsi="Arial" w:cs="Arial"/>
                <w:color w:val="auto"/>
                <w:sz w:val="20"/>
                <w:szCs w:val="20"/>
              </w:rPr>
              <w:t xml:space="preserve"> and toxicity concerns, FSANZ has relied too much on data obtained from the first commercial strain used to produce </w:t>
            </w:r>
            <w:r w:rsidRPr="00D93BA0">
              <w:rPr>
                <w:rFonts w:ascii="Arial" w:hAnsi="Arial" w:cs="Arial"/>
                <w:color w:val="auto"/>
                <w:sz w:val="20"/>
                <w:szCs w:val="20"/>
              </w:rPr>
              <w:lastRenderedPageBreak/>
              <w:t>soy leghemoglobin (MXY0291) and should demand the same information from the more recent strain (MXY0541).</w:t>
            </w:r>
          </w:p>
          <w:p w14:paraId="04599BEB" w14:textId="77777777" w:rsidR="007E4B53" w:rsidRPr="00D93BA0" w:rsidRDefault="007E4B53" w:rsidP="00B777ED">
            <w:pPr>
              <w:pStyle w:val="Default"/>
              <w:numPr>
                <w:ilvl w:val="0"/>
                <w:numId w:val="42"/>
              </w:numP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rPr>
            </w:pPr>
            <w:r w:rsidRPr="00D93BA0">
              <w:rPr>
                <w:rFonts w:ascii="Arial" w:hAnsi="Arial" w:cs="Arial"/>
                <w:color w:val="auto"/>
                <w:sz w:val="20"/>
                <w:szCs w:val="20"/>
              </w:rPr>
              <w:t>Did FSANZ consider the genetic differences between the two strains and the potential risks from the gene truncations and base pair differences?</w:t>
            </w:r>
          </w:p>
          <w:p w14:paraId="7CBF4592" w14:textId="77777777" w:rsidR="007E4B53" w:rsidRPr="00D93BA0" w:rsidRDefault="007E4B53" w:rsidP="00B777ED">
            <w:pPr>
              <w:pStyle w:val="Default"/>
              <w:numPr>
                <w:ilvl w:val="0"/>
                <w:numId w:val="42"/>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szCs w:val="20"/>
              </w:rPr>
            </w:pPr>
            <w:r w:rsidRPr="00D93BA0">
              <w:rPr>
                <w:rFonts w:ascii="Arial" w:hAnsi="Arial" w:cs="Arial"/>
                <w:color w:val="auto"/>
                <w:sz w:val="20"/>
                <w:szCs w:val="20"/>
              </w:rPr>
              <w:t>FSANZ argues that available studies with soy leghemoglobin found that it was not genotoxic. Importantly, these studies used strain MXY0291 not MXY0541.</w:t>
            </w:r>
            <w:r w:rsidRPr="00D93BA0">
              <w:rPr>
                <w:rFonts w:cs="Arial"/>
                <w:color w:val="auto"/>
                <w:szCs w:val="20"/>
              </w:rPr>
              <w:t xml:space="preserve"> </w:t>
            </w:r>
          </w:p>
        </w:tc>
        <w:tc>
          <w:tcPr>
            <w:tcW w:w="1985" w:type="dxa"/>
            <w:tcBorders>
              <w:top w:val="single" w:sz="4" w:space="0" w:color="000000"/>
              <w:left w:val="single" w:sz="4" w:space="0" w:color="000000"/>
              <w:bottom w:val="single" w:sz="4" w:space="0" w:color="auto"/>
              <w:right w:val="single" w:sz="4" w:space="0" w:color="000000"/>
            </w:tcBorders>
            <w:hideMark/>
          </w:tcPr>
          <w:p w14:paraId="50DCE744"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lastRenderedPageBreak/>
              <w:t>VD/PS; FOE/GE</w:t>
            </w:r>
          </w:p>
        </w:tc>
        <w:tc>
          <w:tcPr>
            <w:tcW w:w="6095" w:type="dxa"/>
            <w:tcBorders>
              <w:top w:val="single" w:sz="4" w:space="0" w:color="000000"/>
              <w:left w:val="single" w:sz="4" w:space="0" w:color="000000"/>
              <w:bottom w:val="single" w:sz="4" w:space="0" w:color="auto"/>
              <w:right w:val="single" w:sz="4" w:space="0" w:color="auto"/>
            </w:tcBorders>
          </w:tcPr>
          <w:p w14:paraId="45A0E941"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u w:val="single"/>
                <w:lang w:eastAsia="en-GB"/>
              </w:rPr>
            </w:pPr>
            <w:proofErr w:type="spellStart"/>
            <w:r>
              <w:rPr>
                <w:u w:val="single"/>
                <w:lang w:eastAsia="en-GB"/>
              </w:rPr>
              <w:t>Allergenicity</w:t>
            </w:r>
            <w:proofErr w:type="spellEnd"/>
            <w:r>
              <w:rPr>
                <w:u w:val="single"/>
                <w:lang w:eastAsia="en-GB"/>
              </w:rPr>
              <w:t xml:space="preserve"> and toxicity</w:t>
            </w:r>
          </w:p>
          <w:p w14:paraId="21720CA3" w14:textId="4EF1989B" w:rsidR="00C332C4" w:rsidRDefault="00C332C4"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A weight of evidence approach is used for the assessment of potential </w:t>
            </w:r>
            <w:proofErr w:type="spellStart"/>
            <w:r>
              <w:rPr>
                <w:lang w:eastAsia="en-GB"/>
              </w:rPr>
              <w:t>allergenicity</w:t>
            </w:r>
            <w:proofErr w:type="spellEnd"/>
            <w:r>
              <w:rPr>
                <w:lang w:eastAsia="en-GB"/>
              </w:rPr>
              <w:t xml:space="preserve"> and toxicity of proteins. This internationally </w:t>
            </w:r>
            <w:r>
              <w:rPr>
                <w:lang w:eastAsia="en-GB"/>
              </w:rPr>
              <w:lastRenderedPageBreak/>
              <w:t xml:space="preserve">accepted approach relies on evidence from a number of studies to draw conclusions about the safety of the protein or proteins. </w:t>
            </w:r>
          </w:p>
          <w:p w14:paraId="49213C61" w14:textId="2F8AC27F"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One component of the approach </w:t>
            </w:r>
            <w:r w:rsidR="00C332C4">
              <w:rPr>
                <w:lang w:eastAsia="en-GB"/>
              </w:rPr>
              <w:t>relies on the use of</w:t>
            </w:r>
            <w:r>
              <w:rPr>
                <w:lang w:eastAsia="en-GB"/>
              </w:rPr>
              <w:t xml:space="preserve"> bioinformatics </w:t>
            </w:r>
            <w:r w:rsidR="00C332C4">
              <w:rPr>
                <w:lang w:eastAsia="en-GB"/>
              </w:rPr>
              <w:t>to compare</w:t>
            </w:r>
            <w:r>
              <w:rPr>
                <w:lang w:eastAsia="en-GB"/>
              </w:rPr>
              <w:t xml:space="preserve"> the novel protein sequence to that of known toxins and allergens. </w:t>
            </w:r>
          </w:p>
          <w:p w14:paraId="1B161FF2" w14:textId="0EA0562A"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A second component of the approach examines the susceptibility of the novel proteins to thermal and acid degradation, mimicking the conditions of cooking and digestion.</w:t>
            </w:r>
          </w:p>
          <w:p w14:paraId="3AD43E10" w14:textId="2AD7D8B8"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Only if there is </w:t>
            </w:r>
            <w:r w:rsidR="00C332C4">
              <w:rPr>
                <w:lang w:eastAsia="en-GB"/>
              </w:rPr>
              <w:t xml:space="preserve">biologically relevant </w:t>
            </w:r>
            <w:r>
              <w:rPr>
                <w:lang w:eastAsia="en-GB"/>
              </w:rPr>
              <w:t>similarity to known toxins or allergens and the novel protein is resistant to degradation will further studies be required.</w:t>
            </w:r>
          </w:p>
          <w:p w14:paraId="7B5DB9A9"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In this application, the novel soy leghemoglobin is the same across both production strains. This protein shares no similarity to known toxins or allergens. Soy leghemoglobin was also shown to be susceptible to degradation at normal cooking temperatures and gastric </w:t>
            </w:r>
            <w:proofErr w:type="spellStart"/>
            <w:r>
              <w:rPr>
                <w:lang w:eastAsia="en-GB"/>
              </w:rPr>
              <w:t>pH.</w:t>
            </w:r>
            <w:proofErr w:type="spellEnd"/>
            <w:r>
              <w:rPr>
                <w:lang w:eastAsia="en-GB"/>
              </w:rPr>
              <w:t xml:space="preserve"> The conclusion from this standard assessment approach was that the soy leghemoglobin poses minimal risk to consumers and did not warrant further studies.</w:t>
            </w:r>
          </w:p>
          <w:p w14:paraId="55A87E08"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u w:val="single"/>
                <w:lang w:eastAsia="en-GB"/>
              </w:rPr>
            </w:pPr>
            <w:r>
              <w:rPr>
                <w:u w:val="single"/>
                <w:lang w:eastAsia="en-GB"/>
              </w:rPr>
              <w:t>Genetic differences</w:t>
            </w:r>
          </w:p>
          <w:p w14:paraId="2E652F29" w14:textId="643C3CB6"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As described in </w:t>
            </w:r>
            <w:r w:rsidR="00D12384">
              <w:rPr>
                <w:lang w:eastAsia="en-GB"/>
              </w:rPr>
              <w:t>s</w:t>
            </w:r>
            <w:r>
              <w:rPr>
                <w:lang w:eastAsia="en-GB"/>
              </w:rPr>
              <w:t xml:space="preserve">ection 2.7.3 in </w:t>
            </w:r>
            <w:r w:rsidR="001E7C1C">
              <w:rPr>
                <w:lang w:eastAsia="en-GB"/>
              </w:rPr>
              <w:t>SD1</w:t>
            </w:r>
            <w:r>
              <w:rPr>
                <w:lang w:eastAsia="en-GB"/>
              </w:rPr>
              <w:t xml:space="preserve">, some base pair changes were identified in an insert lacking a functional terminator. FSANZ concluded “ … it is unlikely these proteins would be translated because of the non-functional polyadenylation sequence”. This was confirmed by the mass spectroscopy analyses summarised in </w:t>
            </w:r>
            <w:r w:rsidR="00D12384">
              <w:rPr>
                <w:lang w:eastAsia="en-GB"/>
              </w:rPr>
              <w:t>s</w:t>
            </w:r>
            <w:r>
              <w:rPr>
                <w:lang w:eastAsia="en-GB"/>
              </w:rPr>
              <w:t>ection 2.3.1 of SD1, where only a single full length soy leghemoglobin protein with the expected sequence was identified. Considering this evidence, FSANZ concluded these differences would not impact sa</w:t>
            </w:r>
            <w:r w:rsidR="00B777ED">
              <w:rPr>
                <w:lang w:eastAsia="en-GB"/>
              </w:rPr>
              <w:t>fety of the final food product.</w:t>
            </w:r>
          </w:p>
          <w:p w14:paraId="7ACF15C7" w14:textId="02A2BA23"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u w:val="single"/>
                <w:lang w:eastAsia="en-GB"/>
              </w:rPr>
            </w:pPr>
            <w:r>
              <w:rPr>
                <w:u w:val="single"/>
                <w:lang w:eastAsia="en-GB"/>
              </w:rPr>
              <w:t xml:space="preserve">Studies with </w:t>
            </w:r>
            <w:r w:rsidR="008A58B3">
              <w:rPr>
                <w:u w:val="single"/>
                <w:lang w:eastAsia="en-GB"/>
              </w:rPr>
              <w:t>the Preparation</w:t>
            </w:r>
            <w:r>
              <w:rPr>
                <w:u w:val="single"/>
                <w:lang w:eastAsia="en-GB"/>
              </w:rPr>
              <w:t xml:space="preserve"> produced by MXY0291</w:t>
            </w:r>
          </w:p>
          <w:p w14:paraId="758363FB" w14:textId="59C1929D" w:rsidR="007E4B53" w:rsidRDefault="007E4B53" w:rsidP="00EA3CBA">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As noted in FSANZ’s safety assessment, the genotoxicity and toxicity studies using </w:t>
            </w:r>
            <w:r w:rsidR="00691ABA">
              <w:rPr>
                <w:lang w:eastAsia="en-GB"/>
              </w:rPr>
              <w:t>the Preparation</w:t>
            </w:r>
            <w:r>
              <w:rPr>
                <w:lang w:eastAsia="en-GB"/>
              </w:rPr>
              <w:t xml:space="preserve"> produced using the MXY0291 strain are considered to be relevant to the assessment </w:t>
            </w:r>
            <w:r>
              <w:rPr>
                <w:lang w:eastAsia="en-GB"/>
              </w:rPr>
              <w:lastRenderedPageBreak/>
              <w:t xml:space="preserve">of </w:t>
            </w:r>
            <w:r w:rsidR="008A58B3">
              <w:rPr>
                <w:lang w:eastAsia="en-GB"/>
              </w:rPr>
              <w:t>the Preparation</w:t>
            </w:r>
            <w:r>
              <w:rPr>
                <w:lang w:eastAsia="en-GB"/>
              </w:rPr>
              <w:t xml:space="preserve"> produced by MXY0541. This is because the expressed soy leghemoglobin protein is equivalent in both strains, several of the </w:t>
            </w:r>
            <w:r w:rsidRPr="006872D6">
              <w:rPr>
                <w:i/>
                <w:lang w:eastAsia="en-GB"/>
              </w:rPr>
              <w:t>Pichia</w:t>
            </w:r>
            <w:r>
              <w:rPr>
                <w:lang w:eastAsia="en-GB"/>
              </w:rPr>
              <w:t xml:space="preserve"> proteins expressed in </w:t>
            </w:r>
            <w:r w:rsidR="008A58B3">
              <w:rPr>
                <w:lang w:eastAsia="en-GB"/>
              </w:rPr>
              <w:t xml:space="preserve">the Preparation </w:t>
            </w:r>
            <w:r>
              <w:rPr>
                <w:lang w:eastAsia="en-GB"/>
              </w:rPr>
              <w:t xml:space="preserve">from MXY0541 are also present in </w:t>
            </w:r>
            <w:r w:rsidR="006872D6">
              <w:rPr>
                <w:lang w:eastAsia="en-GB"/>
              </w:rPr>
              <w:t xml:space="preserve">the </w:t>
            </w:r>
            <w:r w:rsidR="008A58B3">
              <w:rPr>
                <w:lang w:eastAsia="en-GB"/>
              </w:rPr>
              <w:t>Preparation</w:t>
            </w:r>
            <w:r>
              <w:rPr>
                <w:lang w:eastAsia="en-GB"/>
              </w:rPr>
              <w:t xml:space="preserve"> from MXY0291, and the composition of </w:t>
            </w:r>
            <w:r w:rsidR="008A58B3">
              <w:rPr>
                <w:lang w:eastAsia="en-GB"/>
              </w:rPr>
              <w:t>the Preparation</w:t>
            </w:r>
            <w:r>
              <w:rPr>
                <w:lang w:eastAsia="en-GB"/>
              </w:rPr>
              <w:t xml:space="preserve"> from each strain meets the same specifications. A sufficient body of knowledge exists on the safety of the production organism</w:t>
            </w:r>
            <w:r w:rsidR="006872D6">
              <w:rPr>
                <w:lang w:eastAsia="en-GB"/>
              </w:rPr>
              <w:t xml:space="preserve"> (</w:t>
            </w:r>
            <w:r w:rsidR="006872D6">
              <w:rPr>
                <w:i/>
                <w:lang w:eastAsia="en-GB"/>
              </w:rPr>
              <w:t>P</w:t>
            </w:r>
            <w:r w:rsidR="00EA3CBA">
              <w:rPr>
                <w:i/>
                <w:lang w:eastAsia="en-GB"/>
              </w:rPr>
              <w:t>.</w:t>
            </w:r>
            <w:r w:rsidR="006872D6">
              <w:rPr>
                <w:i/>
                <w:lang w:eastAsia="en-GB"/>
              </w:rPr>
              <w:t xml:space="preserve"> pastori</w:t>
            </w:r>
            <w:r w:rsidR="006872D6" w:rsidRPr="006872D6">
              <w:rPr>
                <w:i/>
                <w:lang w:eastAsia="en-GB"/>
              </w:rPr>
              <w:t>s</w:t>
            </w:r>
            <w:r w:rsidR="006872D6">
              <w:rPr>
                <w:lang w:eastAsia="en-GB"/>
              </w:rPr>
              <w:t>)</w:t>
            </w:r>
            <w:r>
              <w:rPr>
                <w:lang w:eastAsia="en-GB"/>
              </w:rPr>
              <w:t xml:space="preserve"> and the proteins in </w:t>
            </w:r>
            <w:r w:rsidR="008A58B3">
              <w:rPr>
                <w:lang w:eastAsia="en-GB"/>
              </w:rPr>
              <w:t>the Preparation</w:t>
            </w:r>
            <w:r>
              <w:rPr>
                <w:lang w:eastAsia="en-GB"/>
              </w:rPr>
              <w:t xml:space="preserve"> from both strains were shown to be digested like other dietary proteins.</w:t>
            </w:r>
          </w:p>
        </w:tc>
      </w:tr>
      <w:tr w:rsidR="007E4B53" w14:paraId="68CD5C25"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3526AD5F" w14:textId="77777777" w:rsidR="007E4B53" w:rsidRDefault="007E4B53" w:rsidP="008C2861">
            <w:pPr>
              <w:pStyle w:val="Default"/>
              <w:numPr>
                <w:ilvl w:val="0"/>
                <w:numId w:val="38"/>
              </w:numPr>
              <w:spacing w:before="60" w:after="60"/>
              <w:ind w:left="357" w:hanging="357"/>
              <w:jc w:val="center"/>
              <w:rPr>
                <w:rFonts w:ascii="Arial" w:hAnsi="Arial" w:cs="Arial"/>
                <w:b w:val="0"/>
                <w:color w:val="auto"/>
                <w:sz w:val="20"/>
                <w:szCs w:val="22"/>
              </w:rPr>
            </w:pPr>
          </w:p>
        </w:tc>
        <w:tc>
          <w:tcPr>
            <w:tcW w:w="5103" w:type="dxa"/>
            <w:tcBorders>
              <w:top w:val="single" w:sz="4" w:space="0" w:color="000000"/>
              <w:left w:val="single" w:sz="4" w:space="0" w:color="auto"/>
              <w:bottom w:val="single" w:sz="4" w:space="0" w:color="auto"/>
              <w:right w:val="single" w:sz="4" w:space="0" w:color="000000"/>
            </w:tcBorders>
            <w:hideMark/>
          </w:tcPr>
          <w:p w14:paraId="22205F4C" w14:textId="381012E6" w:rsidR="007E4B53" w:rsidRPr="00D93BA0" w:rsidRDefault="007E4B53" w:rsidP="00B777ED">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2"/>
              </w:rPr>
            </w:pPr>
            <w:r w:rsidRPr="00D93BA0">
              <w:rPr>
                <w:rFonts w:ascii="Arial" w:hAnsi="Arial" w:cs="Arial"/>
                <w:color w:val="auto"/>
                <w:sz w:val="20"/>
                <w:szCs w:val="22"/>
              </w:rPr>
              <w:t xml:space="preserve">A peer-reviewed research article concluded that the plant-based meat analogue food matrix provides conditions more favourable for pathogenic bacterial growth than meat-based </w:t>
            </w:r>
            <w:r w:rsidR="000F661B">
              <w:rPr>
                <w:rFonts w:ascii="Arial" w:hAnsi="Arial" w:cs="Arial"/>
                <w:color w:val="auto"/>
                <w:sz w:val="20"/>
                <w:szCs w:val="22"/>
              </w:rPr>
              <w:t>counterparts (</w:t>
            </w:r>
            <w:proofErr w:type="spellStart"/>
            <w:r w:rsidR="000F661B">
              <w:rPr>
                <w:rFonts w:ascii="Arial" w:hAnsi="Arial" w:cs="Arial"/>
                <w:color w:val="auto"/>
                <w:sz w:val="20"/>
                <w:szCs w:val="22"/>
              </w:rPr>
              <w:t>Luchansky</w:t>
            </w:r>
            <w:proofErr w:type="spellEnd"/>
            <w:r w:rsidR="000F661B">
              <w:rPr>
                <w:rFonts w:ascii="Arial" w:hAnsi="Arial" w:cs="Arial"/>
                <w:color w:val="auto"/>
                <w:sz w:val="20"/>
                <w:szCs w:val="22"/>
              </w:rPr>
              <w:t xml:space="preserve"> et al </w:t>
            </w:r>
            <w:r w:rsidRPr="00D93BA0">
              <w:rPr>
                <w:rFonts w:ascii="Arial" w:hAnsi="Arial" w:cs="Arial"/>
                <w:color w:val="auto"/>
                <w:sz w:val="20"/>
                <w:szCs w:val="22"/>
              </w:rPr>
              <w:t>2020). Microbiological risk assessment data for the Impossible Foods meat analogue products is missing from FSANZ’s risk assessment document.</w:t>
            </w:r>
          </w:p>
        </w:tc>
        <w:tc>
          <w:tcPr>
            <w:tcW w:w="1985" w:type="dxa"/>
            <w:tcBorders>
              <w:top w:val="single" w:sz="4" w:space="0" w:color="000000"/>
              <w:left w:val="single" w:sz="4" w:space="0" w:color="000000"/>
              <w:bottom w:val="single" w:sz="4" w:space="0" w:color="auto"/>
              <w:right w:val="single" w:sz="4" w:space="0" w:color="000000"/>
            </w:tcBorders>
            <w:hideMark/>
          </w:tcPr>
          <w:p w14:paraId="4EF4BAFA" w14:textId="77777777"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szCs w:val="22"/>
                <w:lang w:eastAsia="en-GB"/>
              </w:rPr>
            </w:pPr>
            <w:r>
              <w:rPr>
                <w:szCs w:val="22"/>
                <w:lang w:eastAsia="en-GB"/>
              </w:rPr>
              <w:t>VD/PS</w:t>
            </w:r>
          </w:p>
        </w:tc>
        <w:tc>
          <w:tcPr>
            <w:tcW w:w="6095" w:type="dxa"/>
            <w:tcBorders>
              <w:top w:val="single" w:sz="4" w:space="0" w:color="000000"/>
              <w:left w:val="single" w:sz="4" w:space="0" w:color="000000"/>
              <w:bottom w:val="single" w:sz="4" w:space="0" w:color="auto"/>
              <w:right w:val="single" w:sz="4" w:space="0" w:color="auto"/>
            </w:tcBorders>
            <w:hideMark/>
          </w:tcPr>
          <w:p w14:paraId="48D23C52" w14:textId="471E9547" w:rsidR="000F661B"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szCs w:val="22"/>
                <w:lang w:eastAsia="en-GB"/>
              </w:rPr>
            </w:pPr>
            <w:r>
              <w:rPr>
                <w:szCs w:val="22"/>
                <w:lang w:eastAsia="en-GB"/>
              </w:rPr>
              <w:t xml:space="preserve">The paper by </w:t>
            </w:r>
            <w:proofErr w:type="spellStart"/>
            <w:r>
              <w:rPr>
                <w:szCs w:val="22"/>
                <w:lang w:eastAsia="en-GB"/>
              </w:rPr>
              <w:t>Luchansky</w:t>
            </w:r>
            <w:proofErr w:type="spellEnd"/>
            <w:r>
              <w:rPr>
                <w:szCs w:val="22"/>
                <w:lang w:eastAsia="en-GB"/>
              </w:rPr>
              <w:t xml:space="preserve"> et al. presents data on the impact of storage and cooking conditions on the growth of</w:t>
            </w:r>
            <w:r w:rsidR="006872D6">
              <w:rPr>
                <w:szCs w:val="22"/>
                <w:lang w:eastAsia="en-GB"/>
              </w:rPr>
              <w:t xml:space="preserve"> bacteria inoculated onto plant </w:t>
            </w:r>
            <w:r>
              <w:rPr>
                <w:szCs w:val="22"/>
                <w:lang w:eastAsia="en-GB"/>
              </w:rPr>
              <w:t xml:space="preserve">based meat analogue versus beef patties. As the focus is on the </w:t>
            </w:r>
            <w:r w:rsidR="00FE4AA9">
              <w:rPr>
                <w:szCs w:val="22"/>
                <w:lang w:eastAsia="en-GB"/>
              </w:rPr>
              <w:t xml:space="preserve">pattie </w:t>
            </w:r>
            <w:r>
              <w:rPr>
                <w:szCs w:val="22"/>
                <w:lang w:eastAsia="en-GB"/>
              </w:rPr>
              <w:t xml:space="preserve">rather than the soy leghemoglobin, this </w:t>
            </w:r>
            <w:r w:rsidR="006872D6">
              <w:rPr>
                <w:szCs w:val="22"/>
                <w:lang w:eastAsia="en-GB"/>
              </w:rPr>
              <w:t>article</w:t>
            </w:r>
            <w:r>
              <w:rPr>
                <w:szCs w:val="22"/>
                <w:lang w:eastAsia="en-GB"/>
              </w:rPr>
              <w:t xml:space="preserve"> is out of scope for this application. </w:t>
            </w:r>
          </w:p>
          <w:p w14:paraId="1DB5F6E4" w14:textId="35C29F65" w:rsidR="007E4B53" w:rsidRDefault="007E4B53" w:rsidP="00FE4AA9">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b/>
                <w:szCs w:val="22"/>
                <w:lang w:eastAsia="en-GB"/>
              </w:rPr>
            </w:pPr>
            <w:r>
              <w:rPr>
                <w:szCs w:val="22"/>
                <w:lang w:eastAsia="en-GB"/>
              </w:rPr>
              <w:t xml:space="preserve">However, as outlined in Table 1 of </w:t>
            </w:r>
            <w:r w:rsidR="000F661B">
              <w:rPr>
                <w:szCs w:val="22"/>
                <w:lang w:eastAsia="en-GB"/>
              </w:rPr>
              <w:t>SD</w:t>
            </w:r>
            <w:r>
              <w:rPr>
                <w:szCs w:val="22"/>
                <w:lang w:eastAsia="en-GB"/>
              </w:rPr>
              <w:t xml:space="preserve">1, the microbial limits listed in the specifications </w:t>
            </w:r>
            <w:r w:rsidR="00FE4AA9">
              <w:rPr>
                <w:szCs w:val="22"/>
                <w:lang w:eastAsia="en-GB"/>
              </w:rPr>
              <w:t xml:space="preserve">include </w:t>
            </w:r>
            <w:r>
              <w:rPr>
                <w:szCs w:val="22"/>
                <w:lang w:eastAsia="en-GB"/>
              </w:rPr>
              <w:t>the bacteria (</w:t>
            </w:r>
            <w:r>
              <w:rPr>
                <w:i/>
                <w:szCs w:val="22"/>
                <w:lang w:eastAsia="en-GB"/>
              </w:rPr>
              <w:t>Salmonella</w:t>
            </w:r>
            <w:r>
              <w:rPr>
                <w:szCs w:val="22"/>
                <w:lang w:eastAsia="en-GB"/>
              </w:rPr>
              <w:t xml:space="preserve"> spp., </w:t>
            </w:r>
            <w:proofErr w:type="spellStart"/>
            <w:r>
              <w:rPr>
                <w:szCs w:val="22"/>
                <w:lang w:eastAsia="en-GB"/>
              </w:rPr>
              <w:t>Enterohemorrhagic</w:t>
            </w:r>
            <w:proofErr w:type="spellEnd"/>
            <w:r>
              <w:rPr>
                <w:szCs w:val="22"/>
                <w:lang w:eastAsia="en-GB"/>
              </w:rPr>
              <w:t xml:space="preserve"> </w:t>
            </w:r>
            <w:r>
              <w:rPr>
                <w:i/>
                <w:szCs w:val="22"/>
                <w:lang w:eastAsia="en-GB"/>
              </w:rPr>
              <w:t>Escherichia</w:t>
            </w:r>
            <w:r>
              <w:rPr>
                <w:szCs w:val="22"/>
                <w:lang w:eastAsia="en-GB"/>
              </w:rPr>
              <w:t xml:space="preserve"> </w:t>
            </w:r>
            <w:r>
              <w:rPr>
                <w:i/>
                <w:szCs w:val="22"/>
                <w:lang w:eastAsia="en-GB"/>
              </w:rPr>
              <w:t>coli</w:t>
            </w:r>
            <w:r>
              <w:rPr>
                <w:szCs w:val="22"/>
                <w:lang w:eastAsia="en-GB"/>
              </w:rPr>
              <w:t xml:space="preserve">, including </w:t>
            </w:r>
            <w:r>
              <w:rPr>
                <w:i/>
                <w:szCs w:val="22"/>
                <w:lang w:eastAsia="en-GB"/>
              </w:rPr>
              <w:t>E</w:t>
            </w:r>
            <w:r>
              <w:rPr>
                <w:szCs w:val="22"/>
                <w:lang w:eastAsia="en-GB"/>
              </w:rPr>
              <w:t xml:space="preserve">. </w:t>
            </w:r>
            <w:r>
              <w:rPr>
                <w:i/>
                <w:szCs w:val="22"/>
                <w:lang w:eastAsia="en-GB"/>
              </w:rPr>
              <w:t>coli</w:t>
            </w:r>
            <w:r>
              <w:rPr>
                <w:szCs w:val="22"/>
                <w:lang w:eastAsia="en-GB"/>
              </w:rPr>
              <w:t xml:space="preserve"> O157:H7 and </w:t>
            </w:r>
            <w:r>
              <w:rPr>
                <w:i/>
                <w:szCs w:val="22"/>
                <w:lang w:eastAsia="en-GB"/>
              </w:rPr>
              <w:t>Listeria</w:t>
            </w:r>
            <w:r>
              <w:rPr>
                <w:szCs w:val="22"/>
                <w:lang w:eastAsia="en-GB"/>
              </w:rPr>
              <w:t xml:space="preserve"> </w:t>
            </w:r>
            <w:proofErr w:type="spellStart"/>
            <w:r>
              <w:rPr>
                <w:i/>
                <w:szCs w:val="22"/>
                <w:lang w:eastAsia="en-GB"/>
              </w:rPr>
              <w:t>monocytogenes</w:t>
            </w:r>
            <w:proofErr w:type="spellEnd"/>
            <w:r>
              <w:rPr>
                <w:szCs w:val="22"/>
                <w:lang w:eastAsia="en-GB"/>
              </w:rPr>
              <w:t xml:space="preserve">) addressed in the research article. The specification for each bacteria is </w:t>
            </w:r>
            <w:r>
              <w:rPr>
                <w:i/>
                <w:szCs w:val="22"/>
                <w:lang w:eastAsia="en-GB"/>
              </w:rPr>
              <w:t>not detected</w:t>
            </w:r>
            <w:r>
              <w:rPr>
                <w:szCs w:val="22"/>
                <w:lang w:eastAsia="en-GB"/>
              </w:rPr>
              <w:t>. This enforceable limit ensures the soy leghemoglobin product poses minimal microbiological risk to consumers.</w:t>
            </w:r>
          </w:p>
        </w:tc>
      </w:tr>
      <w:tr w:rsidR="007E4B53" w14:paraId="69A20949" w14:textId="77777777" w:rsidTr="00647D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7BDB853D" w14:textId="77777777" w:rsidR="007E4B53" w:rsidRDefault="007E4B53" w:rsidP="008C2861">
            <w:pPr>
              <w:pStyle w:val="Default"/>
              <w:numPr>
                <w:ilvl w:val="0"/>
                <w:numId w:val="38"/>
              </w:numPr>
              <w:ind w:left="357" w:hanging="357"/>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2954F70C" w14:textId="4F9E02BA" w:rsidR="007E4B53" w:rsidRPr="00D93BA0" w:rsidRDefault="007E4B53" w:rsidP="00B777ED">
            <w:pPr>
              <w:pStyle w:val="Default"/>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D93BA0">
              <w:rPr>
                <w:rFonts w:ascii="Arial" w:hAnsi="Arial" w:cs="Arial"/>
                <w:sz w:val="20"/>
                <w:szCs w:val="20"/>
              </w:rPr>
              <w:t xml:space="preserve">Submitter considers the duration of the toxicity study (28 days) is too short. It is suggested that the size of the test groups is too small and it is noted that a number of statistically significant changes were observed between controls and the test groups. </w:t>
            </w:r>
          </w:p>
        </w:tc>
        <w:tc>
          <w:tcPr>
            <w:tcW w:w="1985" w:type="dxa"/>
            <w:tcBorders>
              <w:top w:val="single" w:sz="4" w:space="0" w:color="000000"/>
              <w:left w:val="single" w:sz="4" w:space="0" w:color="000000"/>
              <w:bottom w:val="single" w:sz="4" w:space="0" w:color="auto"/>
              <w:right w:val="single" w:sz="4" w:space="0" w:color="000000"/>
            </w:tcBorders>
            <w:hideMark/>
          </w:tcPr>
          <w:p w14:paraId="3B9647A6"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FOE/GE</w:t>
            </w:r>
          </w:p>
        </w:tc>
        <w:tc>
          <w:tcPr>
            <w:tcW w:w="6095" w:type="dxa"/>
            <w:tcBorders>
              <w:top w:val="single" w:sz="4" w:space="0" w:color="000000"/>
              <w:left w:val="single" w:sz="4" w:space="0" w:color="000000"/>
              <w:bottom w:val="single" w:sz="4" w:space="0" w:color="auto"/>
              <w:right w:val="single" w:sz="4" w:space="0" w:color="auto"/>
            </w:tcBorders>
          </w:tcPr>
          <w:p w14:paraId="44EB7833" w14:textId="3576574F"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These points were raised previously and addressed in the 2</w:t>
            </w:r>
            <w:r>
              <w:rPr>
                <w:vertAlign w:val="superscript"/>
                <w:lang w:eastAsia="en-GB"/>
              </w:rPr>
              <w:t>nd</w:t>
            </w:r>
            <w:r>
              <w:rPr>
                <w:lang w:eastAsia="en-GB"/>
              </w:rPr>
              <w:t xml:space="preserve"> CFS. No new information has been provided that would change the conclus</w:t>
            </w:r>
            <w:r w:rsidR="000F661B">
              <w:rPr>
                <w:lang w:eastAsia="en-GB"/>
              </w:rPr>
              <w:t xml:space="preserve">ions of the safety assessment. </w:t>
            </w:r>
          </w:p>
          <w:p w14:paraId="186F2475"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u w:val="single"/>
                <w:lang w:eastAsia="en-GB"/>
              </w:rPr>
            </w:pPr>
            <w:r>
              <w:rPr>
                <w:u w:val="single"/>
                <w:lang w:eastAsia="en-GB"/>
              </w:rPr>
              <w:t>Sample sizes</w:t>
            </w:r>
          </w:p>
          <w:p w14:paraId="5D5701A1" w14:textId="764B2D26"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In the 14-day study 6 males and 6 females were</w:t>
            </w:r>
            <w:r w:rsidR="007C22D1">
              <w:rPr>
                <w:lang w:eastAsia="en-GB"/>
              </w:rPr>
              <w:t xml:space="preserve"> </w:t>
            </w:r>
            <w:r>
              <w:rPr>
                <w:lang w:eastAsia="en-GB"/>
              </w:rPr>
              <w:t>used at each dose level, while in the 28-day study 10 males and 10 females. were used at each dose. In the investigative 28-day study in female rats, 15 animals were used per dose group. These numbers are all higher than those recommended in the OECD Test Guideline for 28-day toxicity studies (5/sex/group) and therefore</w:t>
            </w:r>
            <w:r w:rsidR="000F661B">
              <w:rPr>
                <w:lang w:eastAsia="en-GB"/>
              </w:rPr>
              <w:t xml:space="preserve"> are considered to be adequate.</w:t>
            </w:r>
          </w:p>
          <w:p w14:paraId="6DE66CAE"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u w:val="single"/>
                <w:lang w:eastAsia="en-GB"/>
              </w:rPr>
            </w:pPr>
            <w:r>
              <w:rPr>
                <w:u w:val="single"/>
                <w:lang w:eastAsia="en-GB"/>
              </w:rPr>
              <w:lastRenderedPageBreak/>
              <w:t>Statistically significant changes</w:t>
            </w:r>
          </w:p>
          <w:p w14:paraId="3E3804BE" w14:textId="50AFF601"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Statistically significant changes are frequently observed in toxicity studies but these do not necessarily represent test article-related effects. Such changes may be due to normal variability between individual animals. Considerations taken into account in determining whether differences between control and treated groups are due to the test article, and whether such differences are adverse, include the magnitude of change, whether effects show a dose-response, consistency over time and between sexes, correlation with clinical observations, correlation with other clinical pathology and histopathologic observations and comparison with historical control ranges </w:t>
            </w:r>
            <w:r w:rsidRPr="00D63F2A">
              <w:rPr>
                <w:lang w:eastAsia="en-GB"/>
              </w:rPr>
              <w:t>(Hayes Principles and Methods of Toxicology, 6</w:t>
            </w:r>
            <w:r w:rsidRPr="00D63F2A">
              <w:rPr>
                <w:vertAlign w:val="superscript"/>
                <w:lang w:eastAsia="en-GB"/>
              </w:rPr>
              <w:t>th</w:t>
            </w:r>
            <w:r w:rsidRPr="00D63F2A">
              <w:rPr>
                <w:lang w:eastAsia="en-GB"/>
              </w:rPr>
              <w:t xml:space="preserve"> Edition).</w:t>
            </w:r>
          </w:p>
          <w:p w14:paraId="4A5A9454" w14:textId="51140EE0"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In the case of the statistically significant differences observed in the 28-day study with the Preparation, these were not considered to be treatment-related as they were of a small magnitude, did not show a dose-response, were only seen in one sex and were not accompanied by other c</w:t>
            </w:r>
            <w:r w:rsidR="000F661B">
              <w:rPr>
                <w:lang w:eastAsia="en-GB"/>
              </w:rPr>
              <w:t>orrelated pathological changes.</w:t>
            </w:r>
          </w:p>
          <w:p w14:paraId="0FF94A50"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u w:val="single"/>
                <w:lang w:eastAsia="en-GB"/>
              </w:rPr>
            </w:pPr>
            <w:r>
              <w:rPr>
                <w:u w:val="single"/>
                <w:lang w:eastAsia="en-GB"/>
              </w:rPr>
              <w:t>Study duration</w:t>
            </w:r>
          </w:p>
          <w:p w14:paraId="69A492D6" w14:textId="77777777" w:rsidR="007E4B53" w:rsidRDefault="007E4B53" w:rsidP="00B777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Proteins known to be toxic to mammals generally cause acute toxicity, so further testing of the Preparation in a 90-day study would not be justified given it is rapidly digested and showed no toxicity in the 28-day study. </w:t>
            </w:r>
          </w:p>
        </w:tc>
      </w:tr>
      <w:tr w:rsidR="007E4B53" w14:paraId="31013B33"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2D15003E" w14:textId="2DF3BA25" w:rsidR="007E4B53" w:rsidRPr="00327B95" w:rsidRDefault="007E4B53" w:rsidP="00327B95">
            <w:pPr>
              <w:pStyle w:val="Default"/>
              <w:numPr>
                <w:ilvl w:val="0"/>
                <w:numId w:val="38"/>
              </w:numPr>
              <w:jc w:val="center"/>
              <w:rPr>
                <w:rFonts w:ascii="Arial" w:hAnsi="Arial" w:cs="Arial"/>
                <w:b w:val="0"/>
                <w:sz w:val="20"/>
                <w:szCs w:val="20"/>
              </w:rPr>
            </w:pPr>
          </w:p>
        </w:tc>
        <w:tc>
          <w:tcPr>
            <w:tcW w:w="5103" w:type="dxa"/>
            <w:tcBorders>
              <w:top w:val="single" w:sz="4" w:space="0" w:color="000000"/>
              <w:left w:val="single" w:sz="4" w:space="0" w:color="auto"/>
              <w:bottom w:val="single" w:sz="4" w:space="0" w:color="auto"/>
              <w:right w:val="single" w:sz="4" w:space="0" w:color="000000"/>
            </w:tcBorders>
            <w:hideMark/>
          </w:tcPr>
          <w:p w14:paraId="084B24CB" w14:textId="501E14E9" w:rsidR="007E4B53" w:rsidRDefault="007E4B53" w:rsidP="00B777ED">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sz w:val="20"/>
                <w:szCs w:val="20"/>
              </w:rPr>
              <w:t>The 14 day toxicity study found that numbers of white blood cells, neutrophils and lymphocytes in males were &gt;25% lower than those of controls. The 28 day study reported statistically significant changes in haematology, liver and clinical chemistry values as well as oestrus cycles. These changes have been ignored as not treatment related and were not fully addressed by the assessment.</w:t>
            </w:r>
          </w:p>
        </w:tc>
        <w:tc>
          <w:tcPr>
            <w:tcW w:w="1985" w:type="dxa"/>
            <w:tcBorders>
              <w:top w:val="single" w:sz="4" w:space="0" w:color="000000"/>
              <w:left w:val="single" w:sz="4" w:space="0" w:color="000000"/>
              <w:bottom w:val="single" w:sz="4" w:space="0" w:color="auto"/>
              <w:right w:val="single" w:sz="4" w:space="0" w:color="000000"/>
            </w:tcBorders>
            <w:hideMark/>
          </w:tcPr>
          <w:p w14:paraId="45CF291B" w14:textId="77777777"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GEF NZ</w:t>
            </w:r>
          </w:p>
        </w:tc>
        <w:tc>
          <w:tcPr>
            <w:tcW w:w="6095" w:type="dxa"/>
            <w:tcBorders>
              <w:top w:val="single" w:sz="4" w:space="0" w:color="000000"/>
              <w:left w:val="single" w:sz="4" w:space="0" w:color="000000"/>
              <w:bottom w:val="single" w:sz="4" w:space="0" w:color="auto"/>
              <w:right w:val="single" w:sz="4" w:space="0" w:color="auto"/>
            </w:tcBorders>
          </w:tcPr>
          <w:p w14:paraId="4BBA0263" w14:textId="5B656D2E"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These majority of these points were raised previously and addressed in the 2</w:t>
            </w:r>
            <w:r>
              <w:rPr>
                <w:vertAlign w:val="superscript"/>
                <w:lang w:eastAsia="en-GB"/>
              </w:rPr>
              <w:t>nd</w:t>
            </w:r>
            <w:r>
              <w:rPr>
                <w:lang w:eastAsia="en-GB"/>
              </w:rPr>
              <w:t xml:space="preserve"> CFS. No new information has been provided that would change the conclusions</w:t>
            </w:r>
            <w:r w:rsidR="00FF442A">
              <w:rPr>
                <w:lang w:eastAsia="en-GB"/>
              </w:rPr>
              <w:t xml:space="preserve"> of FSANZ’s safety assessment. </w:t>
            </w:r>
          </w:p>
          <w:p w14:paraId="58E77C6B" w14:textId="4FB5751E"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As discussed in FSANZ’s safety assessment, a dose-response was not observed for the changes in white blood cells in the 14 day study and these changes were not considered to be treatment-related. In addition, these findings were not replicated</w:t>
            </w:r>
            <w:r w:rsidR="00FF442A">
              <w:rPr>
                <w:lang w:eastAsia="en-GB"/>
              </w:rPr>
              <w:t xml:space="preserve"> in the 28 day toxicity study. </w:t>
            </w:r>
          </w:p>
          <w:p w14:paraId="775903F5" w14:textId="7AA4112A"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As noted above, statistically significant differences observed in the 28-day study with the Preparation were not consi</w:t>
            </w:r>
            <w:r w:rsidR="00FF442A">
              <w:rPr>
                <w:lang w:eastAsia="en-GB"/>
              </w:rPr>
              <w:t xml:space="preserve">dered to be treatment-related. </w:t>
            </w:r>
          </w:p>
          <w:p w14:paraId="0565E4A5" w14:textId="527651FB" w:rsidR="007E4B53" w:rsidRDefault="007E4B53" w:rsidP="00B777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With respect to differences in oestrus cycling, no dose-response was observed and the differences were considered to be a result of normal variation in oestrus cycling between animals. The additional investigative study confirmed this conclusion. </w:t>
            </w:r>
          </w:p>
        </w:tc>
      </w:tr>
      <w:tr w:rsidR="007E4B53" w14:paraId="621D93F5" w14:textId="77777777" w:rsidTr="00647D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auto"/>
            </w:tcBorders>
            <w:vAlign w:val="center"/>
          </w:tcPr>
          <w:p w14:paraId="794D9557" w14:textId="77777777" w:rsidR="007E4B53" w:rsidRPr="00327B95" w:rsidRDefault="007E4B53" w:rsidP="00327B95">
            <w:pPr>
              <w:pStyle w:val="FSTableText"/>
              <w:widowControl/>
              <w:spacing w:before="120" w:after="120"/>
              <w:jc w:val="center"/>
              <w:rPr>
                <w:b w:val="0"/>
                <w:lang w:eastAsia="en-GB"/>
              </w:rPr>
            </w:pPr>
          </w:p>
        </w:tc>
        <w:tc>
          <w:tcPr>
            <w:tcW w:w="13183" w:type="dxa"/>
            <w:gridSpan w:val="3"/>
            <w:tcBorders>
              <w:top w:val="single" w:sz="4" w:space="0" w:color="000000"/>
              <w:left w:val="single" w:sz="4" w:space="0" w:color="auto"/>
              <w:bottom w:val="single" w:sz="4" w:space="0" w:color="auto"/>
              <w:right w:val="single" w:sz="4" w:space="0" w:color="auto"/>
            </w:tcBorders>
            <w:hideMark/>
          </w:tcPr>
          <w:p w14:paraId="1748E248" w14:textId="09A0CFB9" w:rsidR="007E4B53" w:rsidRPr="007E4B53" w:rsidRDefault="007E4B53" w:rsidP="006E51EF">
            <w:pPr>
              <w:pStyle w:val="FSTableText"/>
              <w:widowControl/>
              <w:spacing w:before="120" w:after="120"/>
              <w:jc w:val="center"/>
              <w:cnfStyle w:val="000000010000" w:firstRow="0" w:lastRow="0" w:firstColumn="0" w:lastColumn="0" w:oddVBand="0" w:evenVBand="0" w:oddHBand="0" w:evenHBand="1" w:firstRowFirstColumn="0" w:firstRowLastColumn="0" w:lastRowFirstColumn="0" w:lastRowLastColumn="0"/>
              <w:rPr>
                <w:b/>
                <w:lang w:eastAsia="en-GB"/>
              </w:rPr>
            </w:pPr>
            <w:r w:rsidRPr="007E4B53">
              <w:rPr>
                <w:b/>
                <w:lang w:eastAsia="en-GB"/>
              </w:rPr>
              <w:t>Iron in soy leghemoglobin</w:t>
            </w:r>
          </w:p>
        </w:tc>
      </w:tr>
      <w:tr w:rsidR="007E4B53" w14:paraId="52F60EE0" w14:textId="77777777" w:rsidTr="00647D9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left w:val="single" w:sz="4" w:space="0" w:color="auto"/>
              <w:bottom w:val="single" w:sz="4" w:space="0" w:color="auto"/>
              <w:right w:val="single" w:sz="4" w:space="0" w:color="000000"/>
            </w:tcBorders>
            <w:vAlign w:val="center"/>
          </w:tcPr>
          <w:p w14:paraId="069EFCCD" w14:textId="77777777" w:rsidR="007E4B53" w:rsidRPr="00327B95" w:rsidRDefault="007E4B53" w:rsidP="00327B95">
            <w:pPr>
              <w:pStyle w:val="ListParagraph"/>
              <w:widowControl/>
              <w:numPr>
                <w:ilvl w:val="0"/>
                <w:numId w:val="38"/>
              </w:numPr>
              <w:autoSpaceDE w:val="0"/>
              <w:autoSpaceDN w:val="0"/>
              <w:adjustRightInd w:val="0"/>
              <w:spacing w:before="240" w:after="240"/>
              <w:jc w:val="center"/>
              <w:rPr>
                <w:rFonts w:eastAsiaTheme="minorHAnsi" w:cs="Arial"/>
                <w:b w:val="0"/>
                <w:sz w:val="20"/>
                <w:szCs w:val="20"/>
                <w:lang w:eastAsia="en-GB" w:bidi="ar-SA"/>
              </w:rPr>
            </w:pPr>
          </w:p>
        </w:tc>
        <w:tc>
          <w:tcPr>
            <w:tcW w:w="5103" w:type="dxa"/>
            <w:tcBorders>
              <w:top w:val="single" w:sz="4" w:space="0" w:color="000000"/>
              <w:left w:val="single" w:sz="4" w:space="0" w:color="auto"/>
              <w:bottom w:val="single" w:sz="4" w:space="0" w:color="auto"/>
              <w:right w:val="single" w:sz="4" w:space="0" w:color="000000"/>
            </w:tcBorders>
            <w:hideMark/>
          </w:tcPr>
          <w:p w14:paraId="23C219DD" w14:textId="2CAF6054" w:rsidR="007E4B53" w:rsidRPr="00D93BA0" w:rsidRDefault="007E4B53" w:rsidP="006872D6">
            <w:pPr>
              <w:widowControl/>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sidRPr="00D93BA0">
              <w:rPr>
                <w:rFonts w:eastAsiaTheme="minorHAnsi" w:cs="Arial"/>
                <w:sz w:val="20"/>
                <w:szCs w:val="20"/>
                <w:lang w:eastAsia="en-GB" w:bidi="ar-SA"/>
              </w:rPr>
              <w:t xml:space="preserve">Submitter highlights the evidence </w:t>
            </w:r>
            <w:r w:rsidR="006872D6">
              <w:rPr>
                <w:rFonts w:eastAsiaTheme="minorHAnsi" w:cs="Arial"/>
                <w:sz w:val="20"/>
                <w:szCs w:val="20"/>
                <w:lang w:eastAsia="en-GB" w:bidi="ar-SA"/>
              </w:rPr>
              <w:t>the applicant</w:t>
            </w:r>
            <w:r w:rsidRPr="00D93BA0">
              <w:rPr>
                <w:rFonts w:eastAsiaTheme="minorHAnsi" w:cs="Arial"/>
                <w:sz w:val="20"/>
                <w:szCs w:val="20"/>
                <w:lang w:eastAsia="en-GB" w:bidi="ar-SA"/>
              </w:rPr>
              <w:t xml:space="preserve"> provided to demonstrate the bioavailability of iron from haem was based on extracts of soy leghemoglobin, rather than the </w:t>
            </w:r>
            <w:r w:rsidR="006872D6">
              <w:rPr>
                <w:rFonts w:eastAsiaTheme="minorHAnsi" w:cs="Arial"/>
                <w:sz w:val="20"/>
                <w:szCs w:val="20"/>
                <w:lang w:eastAsia="en-GB" w:bidi="ar-SA"/>
              </w:rPr>
              <w:t>P</w:t>
            </w:r>
            <w:r w:rsidRPr="00D93BA0">
              <w:rPr>
                <w:rFonts w:eastAsiaTheme="minorHAnsi" w:cs="Arial"/>
                <w:sz w:val="20"/>
                <w:szCs w:val="20"/>
                <w:lang w:eastAsia="en-GB" w:bidi="ar-SA"/>
              </w:rPr>
              <w:t>reparation itself</w:t>
            </w:r>
          </w:p>
        </w:tc>
        <w:tc>
          <w:tcPr>
            <w:tcW w:w="1985" w:type="dxa"/>
            <w:tcBorders>
              <w:top w:val="single" w:sz="4" w:space="0" w:color="000000"/>
              <w:left w:val="single" w:sz="4" w:space="0" w:color="000000"/>
              <w:bottom w:val="single" w:sz="4" w:space="0" w:color="auto"/>
              <w:right w:val="single" w:sz="4" w:space="0" w:color="000000"/>
            </w:tcBorders>
            <w:hideMark/>
          </w:tcPr>
          <w:p w14:paraId="6866F06D" w14:textId="77777777" w:rsidR="007E4B53" w:rsidRDefault="007E4B53" w:rsidP="00AD14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FOE/GE</w:t>
            </w:r>
          </w:p>
        </w:tc>
        <w:tc>
          <w:tcPr>
            <w:tcW w:w="6095" w:type="dxa"/>
            <w:tcBorders>
              <w:top w:val="single" w:sz="4" w:space="0" w:color="000000"/>
              <w:left w:val="single" w:sz="4" w:space="0" w:color="000000"/>
              <w:bottom w:val="single" w:sz="4" w:space="0" w:color="auto"/>
              <w:right w:val="single" w:sz="4" w:space="0" w:color="auto"/>
            </w:tcBorders>
            <w:hideMark/>
          </w:tcPr>
          <w:p w14:paraId="502267D4" w14:textId="34C472DE" w:rsidR="007E4B53" w:rsidRDefault="00DC25D8" w:rsidP="000B1561">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This evidence was from an in vitro study which provided  supporting evidence</w:t>
            </w:r>
            <w:r w:rsidR="009A408E">
              <w:rPr>
                <w:lang w:eastAsia="en-GB"/>
              </w:rPr>
              <w:t xml:space="preserve"> that the</w:t>
            </w:r>
            <w:r w:rsidRPr="00DC25D8">
              <w:rPr>
                <w:lang w:eastAsia="en-GB"/>
              </w:rPr>
              <w:t xml:space="preserve"> </w:t>
            </w:r>
            <w:proofErr w:type="spellStart"/>
            <w:r w:rsidRPr="00DC25D8">
              <w:rPr>
                <w:lang w:eastAsia="en-GB"/>
              </w:rPr>
              <w:t>bioavailabilities</w:t>
            </w:r>
            <w:proofErr w:type="spellEnd"/>
            <w:r w:rsidRPr="00DC25D8">
              <w:rPr>
                <w:lang w:eastAsia="en-GB"/>
              </w:rPr>
              <w:t xml:space="preserve"> of </w:t>
            </w:r>
            <w:r w:rsidR="009A408E">
              <w:rPr>
                <w:lang w:eastAsia="en-GB"/>
              </w:rPr>
              <w:t xml:space="preserve">iron from </w:t>
            </w:r>
            <w:r w:rsidRPr="00DC25D8">
              <w:rPr>
                <w:lang w:eastAsia="en-GB"/>
              </w:rPr>
              <w:t>soy leghemoglobin and bovine h</w:t>
            </w:r>
            <w:r w:rsidR="00AE3413">
              <w:rPr>
                <w:lang w:eastAsia="en-GB"/>
              </w:rPr>
              <w:t>a</w:t>
            </w:r>
            <w:r w:rsidRPr="00DC25D8">
              <w:rPr>
                <w:lang w:eastAsia="en-GB"/>
              </w:rPr>
              <w:t>emoglobin are likely to be similar</w:t>
            </w:r>
            <w:r>
              <w:rPr>
                <w:lang w:eastAsia="en-GB"/>
              </w:rPr>
              <w:t>.</w:t>
            </w:r>
            <w:r w:rsidRPr="00DC25D8">
              <w:rPr>
                <w:lang w:eastAsia="en-GB"/>
              </w:rPr>
              <w:t xml:space="preserve"> </w:t>
            </w:r>
            <w:r w:rsidR="000B1561">
              <w:rPr>
                <w:lang w:eastAsia="en-GB"/>
              </w:rPr>
              <w:t>Approximately 15-25% of dietary haem iron is absorbed, and there is no evidence to indicate that the bioavailability of haem iron from soy leghemoglobin would lie outside this range.</w:t>
            </w:r>
          </w:p>
        </w:tc>
      </w:tr>
      <w:tr w:rsidR="007E4B53" w14:paraId="0C238405" w14:textId="77777777" w:rsidTr="00647D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14:paraId="569CA81F" w14:textId="77777777" w:rsidR="007E4B53" w:rsidRPr="00327B95" w:rsidRDefault="007E4B53" w:rsidP="00327B95">
            <w:pPr>
              <w:pStyle w:val="ListParagraph"/>
              <w:widowControl/>
              <w:numPr>
                <w:ilvl w:val="0"/>
                <w:numId w:val="38"/>
              </w:numPr>
              <w:autoSpaceDE w:val="0"/>
              <w:autoSpaceDN w:val="0"/>
              <w:adjustRightInd w:val="0"/>
              <w:spacing w:before="240" w:after="240"/>
              <w:jc w:val="center"/>
              <w:rPr>
                <w:rFonts w:eastAsiaTheme="minorHAnsi" w:cs="Arial"/>
                <w:b w:val="0"/>
                <w:sz w:val="20"/>
                <w:szCs w:val="20"/>
                <w:lang w:eastAsia="en-GB" w:bidi="ar-SA"/>
              </w:rPr>
            </w:pPr>
          </w:p>
        </w:tc>
        <w:tc>
          <w:tcPr>
            <w:tcW w:w="5103" w:type="dxa"/>
            <w:tcBorders>
              <w:top w:val="single" w:sz="4" w:space="0" w:color="auto"/>
              <w:left w:val="single" w:sz="4" w:space="0" w:color="auto"/>
              <w:bottom w:val="single" w:sz="4" w:space="0" w:color="auto"/>
              <w:right w:val="single" w:sz="4" w:space="0" w:color="auto"/>
            </w:tcBorders>
          </w:tcPr>
          <w:p w14:paraId="6D288276" w14:textId="46B9666E" w:rsidR="007E4B53" w:rsidRPr="00D93BA0" w:rsidRDefault="007E4B53" w:rsidP="00AD14ED">
            <w:pPr>
              <w:widowControl/>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Calibri" w:hAnsi="Calibri" w:cs="Arial"/>
                <w:sz w:val="20"/>
                <w:szCs w:val="20"/>
                <w:lang w:eastAsia="en-GB"/>
              </w:rPr>
            </w:pPr>
            <w:r w:rsidRPr="00D93BA0">
              <w:rPr>
                <w:rFonts w:eastAsiaTheme="minorHAnsi" w:cs="Arial"/>
                <w:sz w:val="20"/>
                <w:szCs w:val="20"/>
                <w:lang w:eastAsia="en-GB" w:bidi="ar-SA"/>
              </w:rPr>
              <w:t>It remains unknown whether the haem iron from soy leghemoglobin may pose that same risk as that from meat.</w:t>
            </w:r>
            <w:r w:rsidR="007C22D1" w:rsidRPr="00D93BA0">
              <w:rPr>
                <w:rFonts w:eastAsiaTheme="minorHAnsi" w:cs="Arial"/>
                <w:sz w:val="20"/>
                <w:szCs w:val="20"/>
                <w:lang w:eastAsia="en-GB" w:bidi="ar-SA"/>
              </w:rPr>
              <w:t xml:space="preserve"> </w:t>
            </w:r>
            <w:r w:rsidRPr="00D93BA0">
              <w:rPr>
                <w:rFonts w:cs="Arial"/>
                <w:sz w:val="20"/>
                <w:szCs w:val="20"/>
                <w:lang w:eastAsia="en-GB"/>
              </w:rPr>
              <w:t xml:space="preserve">FSANZ dismissed research that suggests that [haem] iron may contribute to an increased risk of colon cancer and other health problems on the basis of two reviews funded by the beef industry. </w:t>
            </w:r>
          </w:p>
        </w:tc>
        <w:tc>
          <w:tcPr>
            <w:tcW w:w="1985" w:type="dxa"/>
            <w:tcBorders>
              <w:top w:val="single" w:sz="4" w:space="0" w:color="auto"/>
              <w:left w:val="single" w:sz="4" w:space="0" w:color="auto"/>
              <w:bottom w:val="single" w:sz="4" w:space="0" w:color="auto"/>
              <w:right w:val="single" w:sz="4" w:space="0" w:color="auto"/>
            </w:tcBorders>
            <w:hideMark/>
          </w:tcPr>
          <w:p w14:paraId="4621D537" w14:textId="77777777" w:rsidR="007E4B53" w:rsidRDefault="007E4B53" w:rsidP="00AD14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FOE/GE</w:t>
            </w:r>
          </w:p>
        </w:tc>
        <w:tc>
          <w:tcPr>
            <w:tcW w:w="6095" w:type="dxa"/>
            <w:tcBorders>
              <w:top w:val="single" w:sz="4" w:space="0" w:color="auto"/>
              <w:left w:val="single" w:sz="4" w:space="0" w:color="auto"/>
              <w:bottom w:val="single" w:sz="4" w:space="0" w:color="auto"/>
              <w:right w:val="single" w:sz="4" w:space="0" w:color="auto"/>
            </w:tcBorders>
          </w:tcPr>
          <w:p w14:paraId="1750A701" w14:textId="5426E3FB" w:rsidR="007E4B53" w:rsidRDefault="007E4B53" w:rsidP="00AD14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The submitter has not provided any new information that would change the conclusions of FSANZ’s safety assessment. FSANZ’s comments on colon cancer were based on the weight of scientific opinion, including an extensive review by the World Health Organization’s International Agency for Research on Cancer (IARC</w:t>
            </w:r>
            <w:r w:rsidR="00FF442A">
              <w:rPr>
                <w:lang w:eastAsia="en-GB"/>
              </w:rPr>
              <w:t>, 2018</w:t>
            </w:r>
            <w:r>
              <w:rPr>
                <w:lang w:eastAsia="en-GB"/>
              </w:rPr>
              <w:t xml:space="preserve">). </w:t>
            </w:r>
          </w:p>
        </w:tc>
      </w:tr>
    </w:tbl>
    <w:p w14:paraId="00B666B5" w14:textId="4EDDD9A4" w:rsidR="003F7C9B" w:rsidRDefault="003F7C9B" w:rsidP="006E51EF">
      <w:pPr>
        <w:widowControl/>
        <w:rPr>
          <w:rFonts w:cs="Arial"/>
          <w:sz w:val="20"/>
          <w:szCs w:val="20"/>
        </w:rPr>
      </w:pPr>
    </w:p>
    <w:p w14:paraId="135D3AAB" w14:textId="77777777" w:rsidR="003F7C9B" w:rsidRDefault="003F7C9B" w:rsidP="006E51EF">
      <w:pPr>
        <w:widowControl/>
        <w:rPr>
          <w:rFonts w:cs="Arial"/>
          <w:sz w:val="20"/>
          <w:szCs w:val="20"/>
        </w:rPr>
      </w:pPr>
    </w:p>
    <w:p w14:paraId="39FB3358" w14:textId="3375F4CA" w:rsidR="003F7C9B" w:rsidRPr="003F7C9B" w:rsidRDefault="003F7C9B" w:rsidP="006E51EF">
      <w:pPr>
        <w:widowControl/>
        <w:rPr>
          <w:rFonts w:cs="Arial"/>
          <w:b/>
          <w:sz w:val="20"/>
          <w:szCs w:val="20"/>
        </w:rPr>
      </w:pPr>
      <w:r w:rsidRPr="003F7C9B">
        <w:rPr>
          <w:rFonts w:cs="Arial"/>
          <w:b/>
          <w:sz w:val="20"/>
          <w:szCs w:val="20"/>
        </w:rPr>
        <w:t>Table 2</w:t>
      </w:r>
      <w:r w:rsidR="00AC6DD0">
        <w:rPr>
          <w:rFonts w:cs="Arial"/>
          <w:b/>
          <w:sz w:val="20"/>
          <w:szCs w:val="20"/>
        </w:rPr>
        <w:t>. Submission issues relating to</w:t>
      </w:r>
      <w:r w:rsidR="00AC6DD0" w:rsidRPr="00AC6DD0">
        <w:rPr>
          <w:rFonts w:cs="Arial"/>
          <w:b/>
          <w:sz w:val="20"/>
          <w:szCs w:val="20"/>
        </w:rPr>
        <w:t xml:space="preserve"> the applicant's meat analogue products or</w:t>
      </w:r>
      <w:r w:rsidR="00AC6DD0">
        <w:rPr>
          <w:rFonts w:cs="Arial"/>
          <w:b/>
          <w:sz w:val="20"/>
          <w:szCs w:val="20"/>
        </w:rPr>
        <w:t xml:space="preserve"> analogue products</w:t>
      </w:r>
      <w:r w:rsidR="00AC6DD0" w:rsidRPr="00AC6DD0">
        <w:rPr>
          <w:rFonts w:cs="Arial"/>
          <w:b/>
          <w:sz w:val="20"/>
          <w:szCs w:val="20"/>
        </w:rPr>
        <w:t xml:space="preserve"> more broadly</w:t>
      </w:r>
    </w:p>
    <w:p w14:paraId="74ED8EA2" w14:textId="77777777" w:rsidR="003F7C9B" w:rsidRDefault="003F7C9B" w:rsidP="006E51EF">
      <w:pPr>
        <w:widowControl/>
        <w:rPr>
          <w:rFonts w:cs="Arial"/>
          <w:sz w:val="20"/>
          <w:szCs w:val="20"/>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bmission issues relating to the applicant's meat analogue products or analogue products more broadly"/>
      </w:tblPr>
      <w:tblGrid>
        <w:gridCol w:w="988"/>
        <w:gridCol w:w="4961"/>
        <w:gridCol w:w="1984"/>
        <w:gridCol w:w="6059"/>
      </w:tblGrid>
      <w:tr w:rsidR="007E4B53" w14:paraId="42F8D4E2" w14:textId="77777777" w:rsidTr="007E4B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0000"/>
              <w:left w:val="single" w:sz="4" w:space="0" w:color="000000"/>
              <w:bottom w:val="single" w:sz="4" w:space="0" w:color="000000"/>
              <w:right w:val="single" w:sz="4" w:space="0" w:color="000000"/>
            </w:tcBorders>
          </w:tcPr>
          <w:p w14:paraId="344A37B0" w14:textId="77777777" w:rsidR="007E4B53" w:rsidRDefault="007E4B53" w:rsidP="006E51EF">
            <w:pPr>
              <w:pStyle w:val="FSTableHeading"/>
              <w:widowControl/>
              <w:rPr>
                <w:b/>
                <w:lang w:eastAsia="en-GB"/>
              </w:rPr>
            </w:pPr>
          </w:p>
        </w:tc>
        <w:tc>
          <w:tcPr>
            <w:tcW w:w="4961" w:type="dxa"/>
            <w:tcBorders>
              <w:top w:val="single" w:sz="4" w:space="0" w:color="000000"/>
              <w:left w:val="single" w:sz="4" w:space="0" w:color="000000"/>
              <w:bottom w:val="single" w:sz="4" w:space="0" w:color="000000"/>
              <w:right w:val="single" w:sz="4" w:space="0" w:color="000000"/>
            </w:tcBorders>
            <w:hideMark/>
          </w:tcPr>
          <w:p w14:paraId="5885CA9F" w14:textId="56D7EA74" w:rsidR="007E4B53" w:rsidRDefault="007E4B53" w:rsidP="006E51EF">
            <w:pPr>
              <w:pStyle w:val="FSTableHeading"/>
              <w:widowControl/>
              <w:cnfStyle w:val="100000000000" w:firstRow="1" w:lastRow="0" w:firstColumn="0" w:lastColumn="0" w:oddVBand="0" w:evenVBand="0" w:oddHBand="0" w:evenHBand="0" w:firstRowFirstColumn="0" w:firstRowLastColumn="0" w:lastRowFirstColumn="0" w:lastRowLastColumn="0"/>
              <w:rPr>
                <w:lang w:eastAsia="en-GB"/>
              </w:rPr>
            </w:pPr>
            <w:r>
              <w:rPr>
                <w:b/>
                <w:lang w:eastAsia="en-GB"/>
              </w:rPr>
              <w:t>Issue</w:t>
            </w:r>
          </w:p>
        </w:tc>
        <w:tc>
          <w:tcPr>
            <w:tcW w:w="1984" w:type="dxa"/>
            <w:tcBorders>
              <w:top w:val="single" w:sz="4" w:space="0" w:color="000000"/>
              <w:left w:val="single" w:sz="4" w:space="0" w:color="000000"/>
              <w:bottom w:val="single" w:sz="4" w:space="0" w:color="000000"/>
              <w:right w:val="single" w:sz="4" w:space="0" w:color="000000"/>
            </w:tcBorders>
            <w:hideMark/>
          </w:tcPr>
          <w:p w14:paraId="1FBB13A6" w14:textId="77777777" w:rsidR="007E4B53" w:rsidRDefault="007E4B53" w:rsidP="006E51EF">
            <w:pPr>
              <w:pStyle w:val="FSTableHeading"/>
              <w:widowControl/>
              <w:cnfStyle w:val="100000000000" w:firstRow="1" w:lastRow="0" w:firstColumn="0" w:lastColumn="0" w:oddVBand="0" w:evenVBand="0" w:oddHBand="0" w:evenHBand="0" w:firstRowFirstColumn="0" w:firstRowLastColumn="0" w:lastRowFirstColumn="0" w:lastRowLastColumn="0"/>
              <w:rPr>
                <w:b/>
                <w:lang w:eastAsia="en-GB"/>
              </w:rPr>
            </w:pPr>
            <w:r>
              <w:rPr>
                <w:b/>
                <w:lang w:eastAsia="en-GB"/>
              </w:rPr>
              <w:t>Raised by</w:t>
            </w:r>
          </w:p>
        </w:tc>
        <w:tc>
          <w:tcPr>
            <w:tcW w:w="6059" w:type="dxa"/>
            <w:tcBorders>
              <w:top w:val="single" w:sz="4" w:space="0" w:color="000000"/>
              <w:left w:val="single" w:sz="4" w:space="0" w:color="000000"/>
              <w:bottom w:val="single" w:sz="4" w:space="0" w:color="000000"/>
              <w:right w:val="single" w:sz="4" w:space="0" w:color="000000"/>
            </w:tcBorders>
            <w:hideMark/>
          </w:tcPr>
          <w:p w14:paraId="66ED91A2" w14:textId="77777777" w:rsidR="007E4B53" w:rsidRDefault="007E4B53" w:rsidP="006E51EF">
            <w:pPr>
              <w:pStyle w:val="FSTableHeading"/>
              <w:widowControl/>
              <w:cnfStyle w:val="100000000000" w:firstRow="1" w:lastRow="0" w:firstColumn="0" w:lastColumn="0" w:oddVBand="0" w:evenVBand="0" w:oddHBand="0" w:evenHBand="0" w:firstRowFirstColumn="0" w:firstRowLastColumn="0" w:lastRowFirstColumn="0" w:lastRowLastColumn="0"/>
              <w:rPr>
                <w:b/>
                <w:lang w:eastAsia="en-GB"/>
              </w:rPr>
            </w:pPr>
            <w:r>
              <w:rPr>
                <w:b/>
                <w:lang w:eastAsia="en-GB"/>
              </w:rPr>
              <w:t>FSANZ response (including any amendments to drafting)</w:t>
            </w:r>
          </w:p>
        </w:tc>
      </w:tr>
      <w:tr w:rsidR="007E4B53" w14:paraId="173C9B87" w14:textId="77777777" w:rsidTr="007E4B5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0000"/>
              <w:left w:val="single" w:sz="4" w:space="0" w:color="auto"/>
              <w:bottom w:val="single" w:sz="4" w:space="0" w:color="auto"/>
              <w:right w:val="single" w:sz="4" w:space="0" w:color="auto"/>
            </w:tcBorders>
          </w:tcPr>
          <w:p w14:paraId="47FA3A9F" w14:textId="77777777" w:rsidR="007E4B53" w:rsidRDefault="007E4B53" w:rsidP="006E51EF">
            <w:pPr>
              <w:pStyle w:val="FSTableText"/>
              <w:widowControl/>
              <w:spacing w:before="240"/>
              <w:jc w:val="center"/>
              <w:rPr>
                <w:lang w:eastAsia="en-GB"/>
              </w:rPr>
            </w:pPr>
          </w:p>
        </w:tc>
        <w:tc>
          <w:tcPr>
            <w:tcW w:w="13004" w:type="dxa"/>
            <w:gridSpan w:val="3"/>
            <w:tcBorders>
              <w:top w:val="single" w:sz="4" w:space="0" w:color="000000"/>
              <w:left w:val="single" w:sz="4" w:space="0" w:color="auto"/>
              <w:bottom w:val="single" w:sz="4" w:space="0" w:color="auto"/>
              <w:right w:val="single" w:sz="4" w:space="0" w:color="auto"/>
            </w:tcBorders>
          </w:tcPr>
          <w:p w14:paraId="5F0BC48E" w14:textId="20E33879" w:rsidR="007E4B53" w:rsidRPr="00157133" w:rsidRDefault="007E4B53" w:rsidP="006E51EF">
            <w:pPr>
              <w:pStyle w:val="FSTableText"/>
              <w:widowControl/>
              <w:spacing w:before="240"/>
              <w:jc w:val="center"/>
              <w:cnfStyle w:val="000000100000" w:firstRow="0" w:lastRow="0" w:firstColumn="0" w:lastColumn="0" w:oddVBand="0" w:evenVBand="0" w:oddHBand="1" w:evenHBand="0" w:firstRowFirstColumn="0" w:firstRowLastColumn="0" w:lastRowFirstColumn="0" w:lastRowLastColumn="0"/>
              <w:rPr>
                <w:b/>
                <w:lang w:eastAsia="en-GB"/>
              </w:rPr>
            </w:pPr>
            <w:r w:rsidRPr="00157133">
              <w:rPr>
                <w:b/>
                <w:lang w:eastAsia="en-GB"/>
              </w:rPr>
              <w:t>Concerns with misleading consumers</w:t>
            </w:r>
          </w:p>
          <w:p w14:paraId="61806F59" w14:textId="77777777" w:rsidR="007E4B53" w:rsidRDefault="007E4B53" w:rsidP="006E51EF">
            <w:pPr>
              <w:pStyle w:val="FSTableText"/>
              <w:widowControl/>
              <w:cnfStyle w:val="000000100000" w:firstRow="0" w:lastRow="0" w:firstColumn="0" w:lastColumn="0" w:oddVBand="0" w:evenVBand="0" w:oddHBand="1" w:evenHBand="0" w:firstRowFirstColumn="0" w:firstRowLastColumn="0" w:lastRowFirstColumn="0" w:lastRowLastColumn="0"/>
              <w:rPr>
                <w:b/>
                <w:bCs/>
                <w:lang w:eastAsia="en-GB"/>
              </w:rPr>
            </w:pPr>
          </w:p>
        </w:tc>
      </w:tr>
      <w:tr w:rsidR="007E4B53" w14:paraId="7733849D" w14:textId="77777777" w:rsidTr="007E4B5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0000"/>
              <w:left w:val="single" w:sz="4" w:space="0" w:color="auto"/>
              <w:bottom w:val="single" w:sz="4" w:space="0" w:color="auto"/>
              <w:right w:val="single" w:sz="4" w:space="0" w:color="000000"/>
            </w:tcBorders>
          </w:tcPr>
          <w:p w14:paraId="67CF2043" w14:textId="77777777" w:rsidR="007E4B53" w:rsidRDefault="007E4B53" w:rsidP="00FF61AD">
            <w:pPr>
              <w:pStyle w:val="FSTableText"/>
              <w:widowControl/>
              <w:numPr>
                <w:ilvl w:val="0"/>
                <w:numId w:val="39"/>
              </w:numPr>
              <w:rPr>
                <w:b w:val="0"/>
                <w:lang w:eastAsia="en-GB"/>
              </w:rPr>
            </w:pPr>
          </w:p>
        </w:tc>
        <w:tc>
          <w:tcPr>
            <w:tcW w:w="4961" w:type="dxa"/>
            <w:tcBorders>
              <w:top w:val="single" w:sz="4" w:space="0" w:color="000000"/>
              <w:left w:val="single" w:sz="4" w:space="0" w:color="auto"/>
              <w:bottom w:val="single" w:sz="4" w:space="0" w:color="auto"/>
              <w:right w:val="single" w:sz="4" w:space="0" w:color="000000"/>
            </w:tcBorders>
            <w:hideMark/>
          </w:tcPr>
          <w:p w14:paraId="0B2736A1" w14:textId="52F44167" w:rsidR="007E4B53" w:rsidRPr="00D93BA0" w:rsidRDefault="007E4B53" w:rsidP="006872D6">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bCs/>
                <w:lang w:eastAsia="en-GB"/>
              </w:rPr>
            </w:pPr>
            <w:r w:rsidRPr="00D93BA0">
              <w:rPr>
                <w:lang w:eastAsia="en-GB"/>
              </w:rPr>
              <w:t xml:space="preserve">Could </w:t>
            </w:r>
            <w:r w:rsidR="006872D6">
              <w:rPr>
                <w:lang w:eastAsia="en-GB"/>
              </w:rPr>
              <w:t>soy</w:t>
            </w:r>
            <w:r w:rsidRPr="00D93BA0">
              <w:rPr>
                <w:lang w:eastAsia="en-GB"/>
              </w:rPr>
              <w:t xml:space="preserve"> leghemoglobin be found in mixed meat products such as a mixture of sausage meat and meat analogue containing leghemoglobin by ‘carry over’?</w:t>
            </w:r>
          </w:p>
        </w:tc>
        <w:tc>
          <w:tcPr>
            <w:tcW w:w="1984" w:type="dxa"/>
            <w:tcBorders>
              <w:top w:val="single" w:sz="4" w:space="0" w:color="000000"/>
              <w:left w:val="single" w:sz="4" w:space="0" w:color="000000"/>
              <w:bottom w:val="single" w:sz="4" w:space="0" w:color="auto"/>
              <w:right w:val="single" w:sz="4" w:space="0" w:color="000000"/>
            </w:tcBorders>
            <w:hideMark/>
          </w:tcPr>
          <w:p w14:paraId="7A6774E2" w14:textId="77777777" w:rsidR="007E4B53" w:rsidRDefault="007E4B53" w:rsidP="00FF442A">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SA Health</w:t>
            </w:r>
          </w:p>
        </w:tc>
        <w:tc>
          <w:tcPr>
            <w:tcW w:w="6059" w:type="dxa"/>
            <w:tcBorders>
              <w:top w:val="single" w:sz="4" w:space="0" w:color="000000"/>
              <w:left w:val="single" w:sz="4" w:space="0" w:color="000000"/>
              <w:bottom w:val="single" w:sz="4" w:space="0" w:color="auto"/>
              <w:right w:val="single" w:sz="4" w:space="0" w:color="auto"/>
            </w:tcBorders>
            <w:hideMark/>
          </w:tcPr>
          <w:p w14:paraId="6DFBFD5B" w14:textId="05E42584" w:rsidR="007E4B53" w:rsidRDefault="007E4B53" w:rsidP="00D12384">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FSANZ has consulted with the applicant to enquire about the possibility of a ‘hybrid’ Impossible </w:t>
            </w:r>
            <w:r w:rsidR="006872D6">
              <w:rPr>
                <w:lang w:eastAsia="en-GB"/>
              </w:rPr>
              <w:t xml:space="preserve">meat analogue </w:t>
            </w:r>
            <w:r>
              <w:rPr>
                <w:lang w:eastAsia="en-GB"/>
              </w:rPr>
              <w:t>product</w:t>
            </w:r>
            <w:r w:rsidR="006872D6">
              <w:rPr>
                <w:lang w:eastAsia="en-GB"/>
              </w:rPr>
              <w:t>s</w:t>
            </w:r>
            <w:r>
              <w:rPr>
                <w:lang w:eastAsia="en-GB"/>
              </w:rPr>
              <w:t xml:space="preserve">, containing a mixture of meat analogue product and meat. Based on the </w:t>
            </w:r>
            <w:r w:rsidR="009817DE">
              <w:rPr>
                <w:lang w:eastAsia="en-GB"/>
              </w:rPr>
              <w:t>intent of the applicant</w:t>
            </w:r>
            <w:r>
              <w:rPr>
                <w:lang w:eastAsia="en-GB"/>
              </w:rPr>
              <w:t xml:space="preserve">, combined with their patents, FSANZ does not consider </w:t>
            </w:r>
            <w:r w:rsidR="00E82007">
              <w:rPr>
                <w:lang w:eastAsia="en-GB"/>
              </w:rPr>
              <w:t>the two products</w:t>
            </w:r>
            <w:r w:rsidR="00613D7F">
              <w:rPr>
                <w:lang w:eastAsia="en-GB"/>
              </w:rPr>
              <w:t xml:space="preserve"> will be mixed</w:t>
            </w:r>
            <w:r>
              <w:rPr>
                <w:lang w:eastAsia="en-GB"/>
              </w:rPr>
              <w:t xml:space="preserve">. FSANZ discusses further in </w:t>
            </w:r>
            <w:r w:rsidR="00D12384">
              <w:rPr>
                <w:lang w:eastAsia="en-GB"/>
              </w:rPr>
              <w:t>s</w:t>
            </w:r>
            <w:r w:rsidRPr="00691ABA">
              <w:rPr>
                <w:lang w:eastAsia="en-GB"/>
              </w:rPr>
              <w:t xml:space="preserve">ection </w:t>
            </w:r>
            <w:r w:rsidR="00691ABA" w:rsidRPr="00691ABA">
              <w:rPr>
                <w:lang w:eastAsia="en-GB"/>
              </w:rPr>
              <w:t>3.1.2</w:t>
            </w:r>
            <w:r w:rsidRPr="00691ABA">
              <w:rPr>
                <w:lang w:eastAsia="en-GB"/>
              </w:rPr>
              <w:t xml:space="preserve"> of this report</w:t>
            </w:r>
            <w:r>
              <w:rPr>
                <w:lang w:eastAsia="en-GB"/>
              </w:rPr>
              <w:t>.</w:t>
            </w:r>
          </w:p>
        </w:tc>
      </w:tr>
      <w:tr w:rsidR="007E4B53" w14:paraId="6E35B0DA" w14:textId="77777777" w:rsidTr="007E4B5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0000"/>
              <w:left w:val="single" w:sz="4" w:space="0" w:color="auto"/>
              <w:bottom w:val="single" w:sz="4" w:space="0" w:color="000000"/>
              <w:right w:val="single" w:sz="4" w:space="0" w:color="000000"/>
            </w:tcBorders>
          </w:tcPr>
          <w:p w14:paraId="452BFBA7" w14:textId="77777777" w:rsidR="007E4B53" w:rsidRDefault="007E4B53" w:rsidP="00FF61AD">
            <w:pPr>
              <w:pStyle w:val="Default"/>
              <w:numPr>
                <w:ilvl w:val="0"/>
                <w:numId w:val="39"/>
              </w:numPr>
              <w:rPr>
                <w:rFonts w:ascii="Arial" w:eastAsiaTheme="minorHAnsi" w:hAnsi="Arial" w:cs="Arial"/>
                <w:b w:val="0"/>
                <w:sz w:val="20"/>
                <w:szCs w:val="20"/>
              </w:rPr>
            </w:pPr>
          </w:p>
        </w:tc>
        <w:tc>
          <w:tcPr>
            <w:tcW w:w="4961" w:type="dxa"/>
            <w:tcBorders>
              <w:top w:val="single" w:sz="4" w:space="0" w:color="000000"/>
              <w:left w:val="single" w:sz="4" w:space="0" w:color="auto"/>
              <w:bottom w:val="single" w:sz="4" w:space="0" w:color="000000"/>
              <w:right w:val="single" w:sz="4" w:space="0" w:color="000000"/>
            </w:tcBorders>
            <w:hideMark/>
          </w:tcPr>
          <w:p w14:paraId="0E738548" w14:textId="233A72DE" w:rsidR="007E4B53" w:rsidRPr="00D93BA0" w:rsidRDefault="007E4B53" w:rsidP="00FF442A">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3BA0">
              <w:rPr>
                <w:rFonts w:ascii="Arial" w:eastAsiaTheme="minorHAnsi" w:hAnsi="Arial" w:cs="Arial"/>
                <w:sz w:val="20"/>
                <w:szCs w:val="20"/>
              </w:rPr>
              <w:t xml:space="preserve">The Impossible burger is an ultra-processed food, high in sodium and contains added preservatives. A recent review </w:t>
            </w:r>
            <w:r w:rsidR="00FF442A">
              <w:rPr>
                <w:rFonts w:ascii="Arial" w:eastAsiaTheme="minorHAnsi" w:hAnsi="Arial" w:cs="Arial"/>
                <w:sz w:val="20"/>
                <w:szCs w:val="20"/>
              </w:rPr>
              <w:t xml:space="preserve">(Elizabeth et al 2020) </w:t>
            </w:r>
            <w:r w:rsidRPr="00D93BA0">
              <w:rPr>
                <w:rFonts w:ascii="Arial" w:eastAsiaTheme="minorHAnsi" w:hAnsi="Arial" w:cs="Arial"/>
                <w:sz w:val="20"/>
                <w:szCs w:val="20"/>
              </w:rPr>
              <w:t>found that ultra-processed foods in the diet are associated with higher risks of obesity, heart disease and stroke, type-2 diabetes, cancer,</w:t>
            </w:r>
            <w:r w:rsidR="00691ABA" w:rsidRPr="00D93BA0">
              <w:rPr>
                <w:rFonts w:ascii="Arial" w:eastAsiaTheme="minorHAnsi" w:hAnsi="Arial" w:cs="Arial"/>
                <w:sz w:val="20"/>
                <w:szCs w:val="20"/>
              </w:rPr>
              <w:t xml:space="preserve"> frailty, depression and death.</w:t>
            </w:r>
          </w:p>
        </w:tc>
        <w:tc>
          <w:tcPr>
            <w:tcW w:w="1984" w:type="dxa"/>
            <w:tcBorders>
              <w:top w:val="single" w:sz="4" w:space="0" w:color="000000"/>
              <w:left w:val="single" w:sz="4" w:space="0" w:color="000000"/>
              <w:bottom w:val="single" w:sz="4" w:space="0" w:color="000000"/>
              <w:right w:val="single" w:sz="4" w:space="0" w:color="000000"/>
            </w:tcBorders>
            <w:hideMark/>
          </w:tcPr>
          <w:p w14:paraId="00CCD395" w14:textId="77777777" w:rsidR="007E4B53" w:rsidRDefault="007E4B53" w:rsidP="00FF442A">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FOE/GE</w:t>
            </w:r>
          </w:p>
        </w:tc>
        <w:tc>
          <w:tcPr>
            <w:tcW w:w="6059" w:type="dxa"/>
            <w:tcBorders>
              <w:top w:val="single" w:sz="4" w:space="0" w:color="000000"/>
              <w:left w:val="single" w:sz="4" w:space="0" w:color="000000"/>
              <w:bottom w:val="single" w:sz="4" w:space="0" w:color="000000"/>
              <w:right w:val="single" w:sz="4" w:space="0" w:color="auto"/>
            </w:tcBorders>
            <w:hideMark/>
          </w:tcPr>
          <w:p w14:paraId="144D9A33" w14:textId="77777777" w:rsidR="00EC1E91" w:rsidRPr="00F27FD3" w:rsidRDefault="00EC1E91" w:rsidP="00EC1E91">
            <w:pPr>
              <w:pStyle w:val="FSTableText"/>
              <w:spacing w:before="120" w:after="120"/>
              <w:cnfStyle w:val="000000100000" w:firstRow="0" w:lastRow="0" w:firstColumn="0" w:lastColumn="0" w:oddVBand="0" w:evenVBand="0" w:oddHBand="1" w:evenHBand="0" w:firstRowFirstColumn="0" w:firstRowLastColumn="0" w:lastRowFirstColumn="0" w:lastRowLastColumn="0"/>
              <w:rPr>
                <w:highlight w:val="yellow"/>
                <w:lang w:eastAsia="en-GB" w:bidi="ar-SA"/>
              </w:rPr>
            </w:pPr>
            <w:r w:rsidRPr="00F27FD3">
              <w:rPr>
                <w:lang w:eastAsia="en-GB"/>
              </w:rPr>
              <w:t>FSANZ has assessed the Preparation and soy leghemoglobin for safety and nutritional considerations around soy leghemoglobin. Meat analogue products, such as the Impossible burger are permitted to contain added vitamins and minerals in S17—4 that align with the levels found in meat – the counterpart traditional food. FSANZ notes there are meat analogue products currently for sale in Australia and New Zealand without fortification.</w:t>
            </w:r>
          </w:p>
          <w:p w14:paraId="00216488" w14:textId="77777777" w:rsidR="00EC1E91" w:rsidRPr="00F27FD3" w:rsidRDefault="00EC1E91" w:rsidP="00EC1E91">
            <w:pPr>
              <w:pStyle w:val="FSTableText"/>
              <w:spacing w:before="120" w:after="120"/>
              <w:cnfStyle w:val="000000100000" w:firstRow="0" w:lastRow="0" w:firstColumn="0" w:lastColumn="0" w:oddVBand="0" w:evenVBand="0" w:oddHBand="1" w:evenHBand="0" w:firstRowFirstColumn="0" w:firstRowLastColumn="0" w:lastRowFirstColumn="0" w:lastRowLastColumn="0"/>
              <w:rPr>
                <w:lang w:eastAsia="en-GB"/>
              </w:rPr>
            </w:pPr>
            <w:r w:rsidRPr="00F27FD3">
              <w:rPr>
                <w:lang w:eastAsia="en-GB"/>
              </w:rPr>
              <w:t xml:space="preserve">FSANZ also clarified the protein criteria in S17—4 for vitamin and mineral addition is a minimum level (see attachment A in this report). </w:t>
            </w:r>
          </w:p>
          <w:p w14:paraId="4CDDA5FD" w14:textId="7D927F44" w:rsidR="007E4B53" w:rsidRPr="00F27FD3" w:rsidRDefault="00EC1E91" w:rsidP="00EC1E91">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sidRPr="00F27FD3">
              <w:rPr>
                <w:lang w:eastAsia="en-GB"/>
              </w:rPr>
              <w:t>Concerns about the entire nutritional profile of meat analogue products, and diets including meat analogue products more broadly are out of scope and, therefore, not addressed under A1186. These concerns may be relevant to future ministerial policy guidance (see point 5 under section 5.3 of this report).</w:t>
            </w:r>
          </w:p>
        </w:tc>
      </w:tr>
      <w:tr w:rsidR="007E4B53" w14:paraId="2947A1F3" w14:textId="77777777" w:rsidTr="007E4B5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0000"/>
              <w:left w:val="single" w:sz="4" w:space="0" w:color="auto"/>
              <w:bottom w:val="single" w:sz="4" w:space="0" w:color="000000"/>
              <w:right w:val="single" w:sz="4" w:space="0" w:color="auto"/>
            </w:tcBorders>
          </w:tcPr>
          <w:p w14:paraId="64DC5DF3" w14:textId="77777777" w:rsidR="007E4B53" w:rsidRDefault="007E4B53" w:rsidP="006E51EF">
            <w:pPr>
              <w:pStyle w:val="Default"/>
              <w:spacing w:before="240" w:after="240"/>
              <w:jc w:val="center"/>
              <w:rPr>
                <w:rFonts w:ascii="Arial" w:hAnsi="Arial" w:cs="Arial"/>
                <w:sz w:val="20"/>
                <w:szCs w:val="20"/>
              </w:rPr>
            </w:pPr>
          </w:p>
        </w:tc>
        <w:tc>
          <w:tcPr>
            <w:tcW w:w="13004" w:type="dxa"/>
            <w:gridSpan w:val="3"/>
            <w:tcBorders>
              <w:top w:val="single" w:sz="4" w:space="0" w:color="000000"/>
              <w:left w:val="single" w:sz="4" w:space="0" w:color="auto"/>
              <w:bottom w:val="single" w:sz="4" w:space="0" w:color="000000"/>
              <w:right w:val="single" w:sz="4" w:space="0" w:color="auto"/>
            </w:tcBorders>
          </w:tcPr>
          <w:p w14:paraId="3B1B8199" w14:textId="7EAD993B" w:rsidR="007E4B53" w:rsidRPr="00157133" w:rsidRDefault="007E4B53" w:rsidP="006E51EF">
            <w:pPr>
              <w:pStyle w:val="Default"/>
              <w:spacing w:before="240" w:after="240"/>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157133">
              <w:rPr>
                <w:rFonts w:ascii="Arial" w:hAnsi="Arial" w:cs="Arial"/>
                <w:b/>
                <w:sz w:val="20"/>
                <w:szCs w:val="20"/>
              </w:rPr>
              <w:t>Labelling</w:t>
            </w:r>
          </w:p>
        </w:tc>
      </w:tr>
      <w:tr w:rsidR="007E4B53" w14:paraId="2D88B3CE" w14:textId="77777777" w:rsidTr="00611E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0000"/>
              <w:left w:val="single" w:sz="4" w:space="0" w:color="auto"/>
              <w:bottom w:val="single" w:sz="4" w:space="0" w:color="000000"/>
              <w:right w:val="single" w:sz="4" w:space="0" w:color="000000"/>
            </w:tcBorders>
          </w:tcPr>
          <w:p w14:paraId="460BC065" w14:textId="77777777" w:rsidR="007E4B53" w:rsidRDefault="007E4B53" w:rsidP="00E82007">
            <w:pPr>
              <w:pStyle w:val="Default"/>
              <w:numPr>
                <w:ilvl w:val="0"/>
                <w:numId w:val="39"/>
              </w:numPr>
              <w:rPr>
                <w:rFonts w:ascii="Arial" w:eastAsiaTheme="minorHAnsi" w:hAnsi="Arial" w:cs="Arial"/>
                <w:b w:val="0"/>
                <w:sz w:val="20"/>
                <w:szCs w:val="20"/>
              </w:rPr>
            </w:pPr>
          </w:p>
        </w:tc>
        <w:tc>
          <w:tcPr>
            <w:tcW w:w="4961" w:type="dxa"/>
            <w:tcBorders>
              <w:top w:val="single" w:sz="4" w:space="0" w:color="000000"/>
              <w:left w:val="single" w:sz="4" w:space="0" w:color="auto"/>
              <w:bottom w:val="single" w:sz="4" w:space="0" w:color="000000"/>
              <w:right w:val="single" w:sz="4" w:space="0" w:color="000000"/>
            </w:tcBorders>
            <w:hideMark/>
          </w:tcPr>
          <w:p w14:paraId="3C1CB92D" w14:textId="434D372E" w:rsidR="007E4B53" w:rsidRPr="00157133" w:rsidRDefault="007E4B53" w:rsidP="006872D6">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57133">
              <w:rPr>
                <w:rFonts w:ascii="Arial" w:eastAsiaTheme="minorHAnsi" w:hAnsi="Arial" w:cs="Arial"/>
                <w:sz w:val="20"/>
                <w:szCs w:val="20"/>
              </w:rPr>
              <w:t xml:space="preserve">The Impossible </w:t>
            </w:r>
            <w:r w:rsidR="006872D6">
              <w:rPr>
                <w:rFonts w:ascii="Arial" w:eastAsiaTheme="minorHAnsi" w:hAnsi="Arial" w:cs="Arial"/>
                <w:sz w:val="20"/>
                <w:szCs w:val="20"/>
              </w:rPr>
              <w:t>b</w:t>
            </w:r>
            <w:r w:rsidRPr="00157133">
              <w:rPr>
                <w:rFonts w:ascii="Arial" w:eastAsiaTheme="minorHAnsi" w:hAnsi="Arial" w:cs="Arial"/>
                <w:sz w:val="20"/>
                <w:szCs w:val="20"/>
              </w:rPr>
              <w:t xml:space="preserve">urger is made from a range of GM ingredients all </w:t>
            </w:r>
            <w:r w:rsidRPr="0071617D">
              <w:rPr>
                <w:rFonts w:ascii="Arial" w:eastAsiaTheme="minorHAnsi" w:hAnsi="Arial" w:cs="Arial"/>
                <w:sz w:val="20"/>
                <w:szCs w:val="20"/>
              </w:rPr>
              <w:t>escaping labelling requirements due to various exemptions. There</w:t>
            </w:r>
            <w:r w:rsidRPr="00157133">
              <w:rPr>
                <w:rFonts w:ascii="Arial" w:eastAsiaTheme="minorHAnsi" w:hAnsi="Arial" w:cs="Arial"/>
                <w:sz w:val="20"/>
                <w:szCs w:val="20"/>
              </w:rPr>
              <w:t xml:space="preserve"> is also a gap in legislation in that it is not clear whether a food that contains 100% GM ingredients but each ingredient is below the level of labelling is considered </w:t>
            </w:r>
            <w:r w:rsidR="006872D6">
              <w:rPr>
                <w:rFonts w:ascii="Arial" w:eastAsiaTheme="minorHAnsi" w:hAnsi="Arial" w:cs="Arial"/>
                <w:sz w:val="20"/>
                <w:szCs w:val="20"/>
              </w:rPr>
              <w:t>‘</w:t>
            </w:r>
            <w:r w:rsidRPr="00157133">
              <w:rPr>
                <w:rFonts w:ascii="Arial" w:eastAsiaTheme="minorHAnsi" w:hAnsi="Arial" w:cs="Arial"/>
                <w:sz w:val="20"/>
                <w:szCs w:val="20"/>
              </w:rPr>
              <w:t>adventitious</w:t>
            </w:r>
            <w:r w:rsidR="006872D6">
              <w:rPr>
                <w:rFonts w:ascii="Arial" w:eastAsiaTheme="minorHAnsi" w:hAnsi="Arial" w:cs="Arial"/>
                <w:sz w:val="20"/>
                <w:szCs w:val="20"/>
              </w:rPr>
              <w:t>’</w:t>
            </w:r>
            <w:r w:rsidRPr="00157133">
              <w:rPr>
                <w:rFonts w:ascii="Arial" w:eastAsiaTheme="minorHAnsi" w:hAnsi="Arial" w:cs="Arial"/>
                <w:sz w:val="20"/>
                <w:szCs w:val="20"/>
              </w:rPr>
              <w:t xml:space="preserve"> or required to be labelled.</w:t>
            </w:r>
          </w:p>
        </w:tc>
        <w:tc>
          <w:tcPr>
            <w:tcW w:w="1984" w:type="dxa"/>
            <w:tcBorders>
              <w:top w:val="single" w:sz="4" w:space="0" w:color="000000"/>
              <w:left w:val="single" w:sz="4" w:space="0" w:color="000000"/>
              <w:bottom w:val="single" w:sz="4" w:space="0" w:color="000000"/>
              <w:right w:val="single" w:sz="4" w:space="0" w:color="000000"/>
            </w:tcBorders>
            <w:hideMark/>
          </w:tcPr>
          <w:p w14:paraId="34F8BB48" w14:textId="77777777" w:rsidR="007E4B53" w:rsidRDefault="007E4B53" w:rsidP="00AD14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GEFNZ</w:t>
            </w:r>
          </w:p>
        </w:tc>
        <w:tc>
          <w:tcPr>
            <w:tcW w:w="6059" w:type="dxa"/>
            <w:tcBorders>
              <w:top w:val="single" w:sz="4" w:space="0" w:color="000000"/>
              <w:left w:val="single" w:sz="4" w:space="0" w:color="000000"/>
              <w:bottom w:val="single" w:sz="4" w:space="0" w:color="000000"/>
              <w:right w:val="single" w:sz="4" w:space="0" w:color="auto"/>
            </w:tcBorders>
          </w:tcPr>
          <w:p w14:paraId="2FBD3BB2" w14:textId="3C11BD92" w:rsidR="007E4B53" w:rsidRDefault="007E4B53" w:rsidP="00AD14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Exemptions from GM labelling may apply to soy leghemoglobin as an ingredient, as is the status quo for all approved GM foods. A change to existing labelling requirements for GM foods </w:t>
            </w:r>
            <w:r w:rsidR="00D95759">
              <w:rPr>
                <w:lang w:eastAsia="en-GB"/>
              </w:rPr>
              <w:t xml:space="preserve">generally </w:t>
            </w:r>
            <w:r>
              <w:rPr>
                <w:lang w:eastAsia="en-GB"/>
              </w:rPr>
              <w:t xml:space="preserve">would be a policy matter and is outside the scope of this application. </w:t>
            </w:r>
          </w:p>
          <w:p w14:paraId="07D911B3" w14:textId="648A5C70" w:rsidR="007E4B53" w:rsidRDefault="007E4B53" w:rsidP="00AD14ED">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Only approved GM foods can either be added as ingredients or present unintentionally in a food for sale in an amount of no more than </w:t>
            </w:r>
            <w:r w:rsidRPr="00E82007">
              <w:rPr>
                <w:lang w:eastAsia="en-GB"/>
              </w:rPr>
              <w:t>10</w:t>
            </w:r>
            <w:r w:rsidR="00E82007" w:rsidRPr="00E82007">
              <w:rPr>
                <w:lang w:eastAsia="en-GB"/>
              </w:rPr>
              <w:t xml:space="preserve"> </w:t>
            </w:r>
            <w:r w:rsidRPr="00E82007">
              <w:rPr>
                <w:lang w:eastAsia="en-GB"/>
              </w:rPr>
              <w:t>g/kg (1%) of</w:t>
            </w:r>
            <w:r>
              <w:rPr>
                <w:lang w:eastAsia="en-GB"/>
              </w:rPr>
              <w:t xml:space="preserve"> each ingredient. Unapproved GM foods are not permitted in any amount.</w:t>
            </w:r>
          </w:p>
        </w:tc>
      </w:tr>
      <w:tr w:rsidR="007E4B53" w14:paraId="2F4184B9" w14:textId="77777777" w:rsidTr="007E4B5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0000"/>
              <w:left w:val="single" w:sz="4" w:space="0" w:color="auto"/>
              <w:bottom w:val="single" w:sz="4" w:space="0" w:color="000000"/>
              <w:right w:val="single" w:sz="4" w:space="0" w:color="000000"/>
            </w:tcBorders>
          </w:tcPr>
          <w:p w14:paraId="0EBBE14D" w14:textId="77777777" w:rsidR="007E4B53" w:rsidRDefault="007E4B53" w:rsidP="00E82007">
            <w:pPr>
              <w:pStyle w:val="Default"/>
              <w:numPr>
                <w:ilvl w:val="0"/>
                <w:numId w:val="39"/>
              </w:numPr>
              <w:rPr>
                <w:rFonts w:ascii="Arial" w:eastAsiaTheme="minorHAnsi" w:hAnsi="Arial" w:cs="Arial"/>
                <w:b w:val="0"/>
                <w:bCs w:val="0"/>
                <w:sz w:val="20"/>
                <w:szCs w:val="20"/>
              </w:rPr>
            </w:pPr>
          </w:p>
        </w:tc>
        <w:tc>
          <w:tcPr>
            <w:tcW w:w="4961" w:type="dxa"/>
            <w:tcBorders>
              <w:top w:val="single" w:sz="4" w:space="0" w:color="000000"/>
              <w:left w:val="single" w:sz="4" w:space="0" w:color="auto"/>
              <w:bottom w:val="single" w:sz="4" w:space="0" w:color="000000"/>
              <w:right w:val="single" w:sz="4" w:space="0" w:color="000000"/>
            </w:tcBorders>
          </w:tcPr>
          <w:p w14:paraId="2E0861B9" w14:textId="08FED9B4" w:rsidR="007E4B53" w:rsidRPr="00157133" w:rsidRDefault="007E4B53" w:rsidP="00AD14ED">
            <w:pPr>
              <w:pStyle w:val="Default"/>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157133">
              <w:rPr>
                <w:rFonts w:ascii="Arial" w:eastAsiaTheme="minorHAnsi" w:hAnsi="Arial" w:cs="Arial"/>
                <w:bCs/>
                <w:sz w:val="20"/>
                <w:szCs w:val="20"/>
              </w:rPr>
              <w:t xml:space="preserve">Requests FSANZ consider a strategy for providing suitable information on the iron content of meat analogue products containing soy leghemoglobin to the public and health professionals to assist people manage their iron intake when required for medical reasons. This may include people </w:t>
            </w:r>
            <w:r w:rsidR="00E82007">
              <w:rPr>
                <w:rFonts w:ascii="Arial" w:eastAsiaTheme="minorHAnsi" w:hAnsi="Arial" w:cs="Arial"/>
                <w:bCs/>
                <w:sz w:val="20"/>
                <w:szCs w:val="20"/>
              </w:rPr>
              <w:t>who</w:t>
            </w:r>
            <w:r w:rsidRPr="00157133">
              <w:rPr>
                <w:rFonts w:ascii="Arial" w:eastAsiaTheme="minorHAnsi" w:hAnsi="Arial" w:cs="Arial"/>
                <w:bCs/>
                <w:sz w:val="20"/>
                <w:szCs w:val="20"/>
              </w:rPr>
              <w:t xml:space="preserve"> suffer from haemochromatosis, </w:t>
            </w:r>
            <w:r w:rsidR="00E82007">
              <w:rPr>
                <w:rFonts w:ascii="Arial" w:eastAsiaTheme="minorHAnsi" w:hAnsi="Arial" w:cs="Arial"/>
                <w:bCs/>
                <w:sz w:val="20"/>
                <w:szCs w:val="20"/>
              </w:rPr>
              <w:t>or</w:t>
            </w:r>
            <w:r w:rsidR="00AD14ED">
              <w:rPr>
                <w:rFonts w:ascii="Arial" w:eastAsiaTheme="minorHAnsi" w:hAnsi="Arial" w:cs="Arial"/>
                <w:bCs/>
                <w:sz w:val="20"/>
                <w:szCs w:val="20"/>
              </w:rPr>
              <w:t xml:space="preserve"> people with anaemia.</w:t>
            </w:r>
          </w:p>
        </w:tc>
        <w:tc>
          <w:tcPr>
            <w:tcW w:w="1984" w:type="dxa"/>
            <w:tcBorders>
              <w:top w:val="single" w:sz="4" w:space="0" w:color="000000"/>
              <w:left w:val="single" w:sz="4" w:space="0" w:color="000000"/>
              <w:bottom w:val="single" w:sz="4" w:space="0" w:color="000000"/>
              <w:right w:val="single" w:sz="4" w:space="0" w:color="000000"/>
            </w:tcBorders>
            <w:hideMark/>
          </w:tcPr>
          <w:p w14:paraId="1299C602" w14:textId="77777777" w:rsidR="007E4B53" w:rsidRDefault="007E4B53" w:rsidP="00AD14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QLD Health</w:t>
            </w:r>
          </w:p>
        </w:tc>
        <w:tc>
          <w:tcPr>
            <w:tcW w:w="6059" w:type="dxa"/>
            <w:tcBorders>
              <w:top w:val="single" w:sz="4" w:space="0" w:color="000000"/>
              <w:left w:val="single" w:sz="4" w:space="0" w:color="000000"/>
              <w:bottom w:val="single" w:sz="4" w:space="0" w:color="000000"/>
              <w:right w:val="single" w:sz="4" w:space="0" w:color="auto"/>
            </w:tcBorders>
          </w:tcPr>
          <w:p w14:paraId="3B4A54F3" w14:textId="1C58EF19" w:rsidR="007E4B53" w:rsidRDefault="007E4B53" w:rsidP="00AD14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FSANZ consider</w:t>
            </w:r>
            <w:r w:rsidR="00E82007">
              <w:rPr>
                <w:lang w:eastAsia="en-GB"/>
              </w:rPr>
              <w:t>s</w:t>
            </w:r>
            <w:r>
              <w:rPr>
                <w:lang w:eastAsia="en-GB"/>
              </w:rPr>
              <w:t xml:space="preserve"> that Impossible </w:t>
            </w:r>
            <w:r w:rsidR="009817DE">
              <w:rPr>
                <w:lang w:eastAsia="en-GB"/>
              </w:rPr>
              <w:t xml:space="preserve">meat analogue </w:t>
            </w:r>
            <w:r>
              <w:rPr>
                <w:lang w:eastAsia="en-GB"/>
              </w:rPr>
              <w:t xml:space="preserve">products contain higher (and more bioavailable) iron levels than known meat analogue products on the market in Australia and New Zealand. As the submitter highlighted, </w:t>
            </w:r>
            <w:r w:rsidR="0067684C">
              <w:rPr>
                <w:lang w:eastAsia="en-GB"/>
              </w:rPr>
              <w:t xml:space="preserve">inclusion of </w:t>
            </w:r>
            <w:r>
              <w:rPr>
                <w:lang w:eastAsia="en-GB"/>
              </w:rPr>
              <w:t>iron</w:t>
            </w:r>
            <w:r w:rsidR="0067684C">
              <w:rPr>
                <w:lang w:eastAsia="en-GB"/>
              </w:rPr>
              <w:t xml:space="preserve"> content</w:t>
            </w:r>
            <w:r>
              <w:rPr>
                <w:lang w:eastAsia="en-GB"/>
              </w:rPr>
              <w:t xml:space="preserve"> in an NIP is not mandatory unless the manufacturer is making a nutrition</w:t>
            </w:r>
            <w:r w:rsidR="00AD14ED">
              <w:rPr>
                <w:lang w:eastAsia="en-GB"/>
              </w:rPr>
              <w:t xml:space="preserve"> content or health claim.</w:t>
            </w:r>
          </w:p>
          <w:p w14:paraId="61EB410C" w14:textId="118438FE" w:rsidR="007E4B53" w:rsidRDefault="007E4B53" w:rsidP="00AD14ED">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FSANZ consulted with the applicant who advised that they do not currently make ‘good source of iron’ claims on their packaged products, but may do so in retail marketing and advertising. </w:t>
            </w:r>
            <w:r w:rsidR="008A58B3" w:rsidRPr="008A58B3">
              <w:rPr>
                <w:lang w:eastAsia="en-GB"/>
              </w:rPr>
              <w:t xml:space="preserve">The applicant has confirmed they provide education material to their retail customers, </w:t>
            </w:r>
            <w:r w:rsidR="008A58B3">
              <w:rPr>
                <w:lang w:eastAsia="en-GB"/>
              </w:rPr>
              <w:t>this could include</w:t>
            </w:r>
            <w:r w:rsidRPr="008A58B3">
              <w:rPr>
                <w:lang w:eastAsia="en-GB"/>
              </w:rPr>
              <w:t xml:space="preserve"> </w:t>
            </w:r>
            <w:r w:rsidR="008A58B3">
              <w:rPr>
                <w:lang w:eastAsia="en-GB"/>
              </w:rPr>
              <w:t>n</w:t>
            </w:r>
            <w:r w:rsidRPr="008A58B3">
              <w:rPr>
                <w:lang w:eastAsia="en-GB"/>
              </w:rPr>
              <w:t xml:space="preserve">utrition information </w:t>
            </w:r>
            <w:r w:rsidR="008A58B3">
              <w:rPr>
                <w:lang w:eastAsia="en-GB"/>
              </w:rPr>
              <w:t>specifying</w:t>
            </w:r>
            <w:r w:rsidRPr="008A58B3">
              <w:rPr>
                <w:lang w:eastAsia="en-GB"/>
              </w:rPr>
              <w:t xml:space="preserve"> iron levels in the meat analogue product</w:t>
            </w:r>
            <w:r w:rsidR="008A58B3">
              <w:rPr>
                <w:lang w:eastAsia="en-GB"/>
              </w:rPr>
              <w:t xml:space="preserve"> </w:t>
            </w:r>
            <w:r w:rsidR="008A58B3" w:rsidRPr="008A58B3">
              <w:rPr>
                <w:lang w:eastAsia="en-GB"/>
              </w:rPr>
              <w:t>(and other technological and nutrition</w:t>
            </w:r>
            <w:r w:rsidR="00FD51B4">
              <w:rPr>
                <w:lang w:eastAsia="en-GB"/>
              </w:rPr>
              <w:t>al</w:t>
            </w:r>
            <w:r w:rsidR="008A58B3" w:rsidRPr="008A58B3">
              <w:rPr>
                <w:lang w:eastAsia="en-GB"/>
              </w:rPr>
              <w:t xml:space="preserve"> considerations – See </w:t>
            </w:r>
            <w:r w:rsidR="00D12384">
              <w:rPr>
                <w:lang w:eastAsia="en-GB"/>
              </w:rPr>
              <w:t>s</w:t>
            </w:r>
            <w:r w:rsidR="008A58B3" w:rsidRPr="008A58B3">
              <w:rPr>
                <w:lang w:eastAsia="en-GB"/>
              </w:rPr>
              <w:t xml:space="preserve">ection 4.3 of this </w:t>
            </w:r>
            <w:r w:rsidR="00FD51B4">
              <w:rPr>
                <w:lang w:eastAsia="en-GB"/>
              </w:rPr>
              <w:t>r</w:t>
            </w:r>
            <w:r w:rsidR="008A58B3" w:rsidRPr="008A58B3">
              <w:rPr>
                <w:lang w:eastAsia="en-GB"/>
              </w:rPr>
              <w:t>eport)</w:t>
            </w:r>
            <w:r w:rsidR="00AD14ED">
              <w:rPr>
                <w:lang w:eastAsia="en-GB"/>
              </w:rPr>
              <w:t xml:space="preserve">. </w:t>
            </w:r>
          </w:p>
          <w:p w14:paraId="192B5AA7" w14:textId="5ED707C1" w:rsidR="007E4B53" w:rsidRDefault="0022363D" w:rsidP="00D12384">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lang w:eastAsia="en-GB"/>
              </w:rPr>
            </w:pPr>
            <w:r w:rsidRPr="008A58B3">
              <w:rPr>
                <w:lang w:eastAsia="en-GB"/>
              </w:rPr>
              <w:t>FSANZ</w:t>
            </w:r>
            <w:r>
              <w:rPr>
                <w:lang w:eastAsia="en-GB"/>
              </w:rPr>
              <w:t xml:space="preserve"> </w:t>
            </w:r>
            <w:r w:rsidR="00963A2F">
              <w:rPr>
                <w:lang w:eastAsia="en-GB"/>
              </w:rPr>
              <w:t>will liaise with interested jurisdictions to</w:t>
            </w:r>
            <w:r>
              <w:rPr>
                <w:lang w:eastAsia="en-GB"/>
              </w:rPr>
              <w:t xml:space="preserve"> updat</w:t>
            </w:r>
            <w:r w:rsidR="00963A2F">
              <w:rPr>
                <w:lang w:eastAsia="en-GB"/>
              </w:rPr>
              <w:t>e</w:t>
            </w:r>
            <w:r>
              <w:rPr>
                <w:lang w:eastAsia="en-GB"/>
              </w:rPr>
              <w:t xml:space="preserve"> existing consumer information on our website to include nutritional, science and technological aspects of meat analogue products </w:t>
            </w:r>
            <w:r w:rsidR="00963A2F">
              <w:rPr>
                <w:lang w:eastAsia="en-GB"/>
              </w:rPr>
              <w:t xml:space="preserve">generally </w:t>
            </w:r>
            <w:r>
              <w:rPr>
                <w:lang w:eastAsia="en-GB"/>
              </w:rPr>
              <w:t xml:space="preserve">(including some GM production processes and varying nutrient </w:t>
            </w:r>
            <w:r w:rsidRPr="008A58B3">
              <w:rPr>
                <w:lang w:eastAsia="en-GB"/>
              </w:rPr>
              <w:t>levels</w:t>
            </w:r>
            <w:r w:rsidR="009A352F">
              <w:rPr>
                <w:lang w:eastAsia="en-GB"/>
              </w:rPr>
              <w:t>, such as iron, B12 and protein</w:t>
            </w:r>
            <w:r w:rsidRPr="008A58B3">
              <w:rPr>
                <w:lang w:eastAsia="en-GB"/>
              </w:rPr>
              <w:t xml:space="preserve"> in </w:t>
            </w:r>
            <w:r>
              <w:rPr>
                <w:lang w:eastAsia="en-GB"/>
              </w:rPr>
              <w:t xml:space="preserve">meat analogue </w:t>
            </w:r>
            <w:r w:rsidRPr="008A58B3">
              <w:rPr>
                <w:lang w:eastAsia="en-GB"/>
              </w:rPr>
              <w:t>products</w:t>
            </w:r>
            <w:r>
              <w:rPr>
                <w:lang w:eastAsia="en-GB"/>
              </w:rPr>
              <w:t>)</w:t>
            </w:r>
            <w:r w:rsidR="00DE5D83">
              <w:rPr>
                <w:lang w:eastAsia="en-GB"/>
              </w:rPr>
              <w:t xml:space="preserve"> </w:t>
            </w:r>
            <w:r>
              <w:rPr>
                <w:lang w:eastAsia="en-GB"/>
              </w:rPr>
              <w:t xml:space="preserve">(see </w:t>
            </w:r>
            <w:r w:rsidR="00D12384">
              <w:rPr>
                <w:lang w:eastAsia="en-GB"/>
              </w:rPr>
              <w:t>s</w:t>
            </w:r>
            <w:r w:rsidR="00FD51B4">
              <w:rPr>
                <w:lang w:eastAsia="en-GB"/>
              </w:rPr>
              <w:t>ection 4.2 of this r</w:t>
            </w:r>
            <w:r>
              <w:rPr>
                <w:lang w:eastAsia="en-GB"/>
              </w:rPr>
              <w:t>eport)</w:t>
            </w:r>
            <w:r w:rsidRPr="008A58B3">
              <w:rPr>
                <w:lang w:eastAsia="en-GB"/>
              </w:rPr>
              <w:t>.</w:t>
            </w:r>
          </w:p>
        </w:tc>
      </w:tr>
    </w:tbl>
    <w:p w14:paraId="7F8D6EB1" w14:textId="77777777" w:rsidR="003F7C9B" w:rsidRDefault="003F7C9B" w:rsidP="006E51EF">
      <w:pPr>
        <w:widowControl/>
        <w:rPr>
          <w:rFonts w:cs="Arial"/>
          <w:szCs w:val="22"/>
        </w:rPr>
      </w:pPr>
    </w:p>
    <w:p w14:paraId="34A4592C" w14:textId="77777777" w:rsidR="003F7C9B" w:rsidRDefault="003F7C9B" w:rsidP="006E51EF">
      <w:pPr>
        <w:widowControl/>
        <w:rPr>
          <w:color w:val="00B050"/>
        </w:rPr>
        <w:sectPr w:rsidR="003F7C9B" w:rsidSect="00F45A8F">
          <w:pgSz w:w="16838" w:h="11906" w:orient="landscape" w:code="9"/>
          <w:pgMar w:top="1418" w:right="1418" w:bottom="1418" w:left="1418" w:header="709" w:footer="709" w:gutter="0"/>
          <w:cols w:space="708"/>
          <w:docGrid w:linePitch="360"/>
        </w:sectPr>
      </w:pPr>
    </w:p>
    <w:p w14:paraId="1455C7D6" w14:textId="77777777" w:rsidR="006F6359" w:rsidRPr="00932F14" w:rsidRDefault="006F6359" w:rsidP="006E51EF">
      <w:pPr>
        <w:pStyle w:val="Heading2"/>
        <w:widowControl/>
      </w:pPr>
      <w:bookmarkStart w:id="109" w:name="_Toc41576652"/>
      <w:bookmarkStart w:id="110" w:name="_Toc42875215"/>
      <w:bookmarkStart w:id="111" w:name="_Toc43128120"/>
      <w:bookmarkStart w:id="112" w:name="_Toc53406104"/>
      <w:bookmarkStart w:id="113" w:name="_Toc53484614"/>
      <w:bookmarkStart w:id="114" w:name="_Toc58840797"/>
      <w:bookmarkStart w:id="115" w:name="_Toc370223473"/>
      <w:bookmarkStart w:id="116" w:name="_Toc370225388"/>
      <w:bookmarkStart w:id="117" w:name="_Toc175381450"/>
      <w:bookmarkEnd w:id="101"/>
      <w:bookmarkEnd w:id="102"/>
      <w:bookmarkEnd w:id="103"/>
      <w:bookmarkEnd w:id="104"/>
      <w:bookmarkEnd w:id="105"/>
      <w:bookmarkEnd w:id="106"/>
      <w:r>
        <w:lastRenderedPageBreak/>
        <w:t>2.2</w:t>
      </w:r>
      <w:r>
        <w:tab/>
      </w:r>
      <w:r w:rsidRPr="00932F14">
        <w:t xml:space="preserve">Risk </w:t>
      </w:r>
      <w:r>
        <w:t>a</w:t>
      </w:r>
      <w:r w:rsidRPr="00932F14">
        <w:t>ssessment</w:t>
      </w:r>
      <w:bookmarkEnd w:id="109"/>
      <w:bookmarkEnd w:id="110"/>
      <w:bookmarkEnd w:id="111"/>
      <w:bookmarkEnd w:id="112"/>
      <w:bookmarkEnd w:id="113"/>
      <w:bookmarkEnd w:id="114"/>
      <w:r w:rsidRPr="00932F14">
        <w:t xml:space="preserve"> </w:t>
      </w:r>
    </w:p>
    <w:p w14:paraId="39E0086D" w14:textId="26D350B0" w:rsidR="006F6359" w:rsidRDefault="006F6359" w:rsidP="006E51EF">
      <w:pPr>
        <w:widowControl/>
        <w:rPr>
          <w:color w:val="000000" w:themeColor="text1"/>
        </w:rPr>
      </w:pPr>
      <w:r w:rsidRPr="00B012C9">
        <w:rPr>
          <w:color w:val="000000" w:themeColor="text1"/>
        </w:rPr>
        <w:t xml:space="preserve">FSANZ conducted a comprehensive assessment </w:t>
      </w:r>
      <w:r>
        <w:rPr>
          <w:color w:val="000000" w:themeColor="text1"/>
        </w:rPr>
        <w:t>consistent with</w:t>
      </w:r>
      <w:r w:rsidRPr="00B012C9">
        <w:rPr>
          <w:color w:val="000000" w:themeColor="text1"/>
        </w:rPr>
        <w:t xml:space="preserve"> the internationally recognised risk analysis framework based on </w:t>
      </w:r>
      <w:r>
        <w:rPr>
          <w:color w:val="000000" w:themeColor="text1"/>
        </w:rPr>
        <w:t>a weight of evidence approach, combining information and scientific evidence provided by the applicant with independent sources</w:t>
      </w:r>
      <w:r>
        <w:t xml:space="preserve"> (see SD1 – Risk and technical assessment report)</w:t>
      </w:r>
      <w:r>
        <w:rPr>
          <w:color w:val="000000" w:themeColor="text1"/>
        </w:rPr>
        <w:t xml:space="preserve">. </w:t>
      </w:r>
      <w:r w:rsidR="002B73F6">
        <w:rPr>
          <w:color w:val="000000" w:themeColor="text1"/>
        </w:rPr>
        <w:t>A</w:t>
      </w:r>
      <w:r w:rsidR="004C285B">
        <w:rPr>
          <w:color w:val="000000" w:themeColor="text1"/>
        </w:rPr>
        <w:t xml:space="preserve">mendments </w:t>
      </w:r>
      <w:r w:rsidR="002B73F6">
        <w:rPr>
          <w:color w:val="000000" w:themeColor="text1"/>
        </w:rPr>
        <w:t xml:space="preserve">were </w:t>
      </w:r>
      <w:r w:rsidR="004C285B">
        <w:rPr>
          <w:color w:val="000000" w:themeColor="text1"/>
        </w:rPr>
        <w:t>made to the SD1</w:t>
      </w:r>
      <w:r w:rsidR="007F2BF1">
        <w:rPr>
          <w:color w:val="000000" w:themeColor="text1"/>
        </w:rPr>
        <w:t>,</w:t>
      </w:r>
      <w:r w:rsidR="004C285B">
        <w:rPr>
          <w:color w:val="000000" w:themeColor="text1"/>
        </w:rPr>
        <w:t xml:space="preserve"> following the 2</w:t>
      </w:r>
      <w:r w:rsidR="004C285B" w:rsidRPr="00DB0193">
        <w:rPr>
          <w:color w:val="000000" w:themeColor="text1"/>
          <w:vertAlign w:val="superscript"/>
        </w:rPr>
        <w:t>nd</w:t>
      </w:r>
      <w:r w:rsidR="004C285B">
        <w:rPr>
          <w:color w:val="000000" w:themeColor="text1"/>
        </w:rPr>
        <w:t xml:space="preserve"> CFS</w:t>
      </w:r>
      <w:r w:rsidR="007F2BF1">
        <w:rPr>
          <w:color w:val="000000" w:themeColor="text1"/>
        </w:rPr>
        <w:t>,</w:t>
      </w:r>
      <w:r w:rsidR="004C285B">
        <w:rPr>
          <w:color w:val="000000" w:themeColor="text1"/>
        </w:rPr>
        <w:t xml:space="preserve"> related to terminology (i.e. removal of reference to </w:t>
      </w:r>
      <w:proofErr w:type="spellStart"/>
      <w:r w:rsidR="004C285B">
        <w:rPr>
          <w:color w:val="000000" w:themeColor="text1"/>
        </w:rPr>
        <w:t>LegH</w:t>
      </w:r>
      <w:proofErr w:type="spellEnd"/>
      <w:r w:rsidR="004C285B">
        <w:rPr>
          <w:color w:val="000000" w:themeColor="text1"/>
        </w:rPr>
        <w:t xml:space="preserve"> Prep and substitution with ‘soy leghemoglobin preparation’ or ‘the Preparation’, to a</w:t>
      </w:r>
      <w:r w:rsidR="002B73F6">
        <w:rPr>
          <w:color w:val="000000" w:themeColor="text1"/>
        </w:rPr>
        <w:t>lign with drafting terminology) and an additional reference was added to Section 2.3.4. This reference is an article recently accepted for publication by the applicant, summarising some of the data from the production strain.</w:t>
      </w:r>
    </w:p>
    <w:p w14:paraId="17E79C37" w14:textId="66A49621" w:rsidR="006F6359" w:rsidRPr="009F6454" w:rsidRDefault="006F6359" w:rsidP="006E51EF">
      <w:pPr>
        <w:pStyle w:val="Heading3"/>
        <w:widowControl/>
      </w:pPr>
      <w:bookmarkStart w:id="118" w:name="_Toc53406105"/>
      <w:bookmarkStart w:id="119" w:name="_Toc53484615"/>
      <w:bookmarkStart w:id="120" w:name="_Toc58840798"/>
      <w:r w:rsidRPr="006A3FAB">
        <w:t>2.2.1</w:t>
      </w:r>
      <w:r w:rsidRPr="006A3FAB">
        <w:tab/>
        <w:t>Safety assessment</w:t>
      </w:r>
      <w:bookmarkEnd w:id="118"/>
      <w:bookmarkEnd w:id="119"/>
      <w:bookmarkEnd w:id="120"/>
    </w:p>
    <w:p w14:paraId="2B60B79C" w14:textId="56126312" w:rsidR="006F6359" w:rsidRDefault="006F6359" w:rsidP="006E51EF">
      <w:pPr>
        <w:widowControl/>
        <w:rPr>
          <w:color w:val="000000" w:themeColor="text1"/>
        </w:rPr>
      </w:pPr>
      <w:r w:rsidRPr="007378C0">
        <w:rPr>
          <w:color w:val="000000" w:themeColor="text1"/>
        </w:rPr>
        <w:t xml:space="preserve">The toxicological assessment was </w:t>
      </w:r>
      <w:r>
        <w:rPr>
          <w:color w:val="000000" w:themeColor="text1"/>
        </w:rPr>
        <w:t>consistent with</w:t>
      </w:r>
      <w:r w:rsidRPr="007378C0">
        <w:rPr>
          <w:color w:val="000000" w:themeColor="text1"/>
        </w:rPr>
        <w:t xml:space="preserve"> internationally agreed practices and processes set out in the International Programme on Chemical Safety’s Principles and Methods for the Risk A</w:t>
      </w:r>
      <w:r>
        <w:rPr>
          <w:color w:val="000000" w:themeColor="text1"/>
        </w:rPr>
        <w:t>ssessment of Chemicals in Food (FAO/WHO 2009</w:t>
      </w:r>
      <w:r w:rsidRPr="007378C0">
        <w:rPr>
          <w:color w:val="000000" w:themeColor="text1"/>
        </w:rPr>
        <w:t>). This guidance establishes common practices for food regulators and is applied by the pre-eminent FAO/WHO food toxicology committees including the Joint</w:t>
      </w:r>
      <w:r>
        <w:rPr>
          <w:color w:val="000000" w:themeColor="text1"/>
        </w:rPr>
        <w:t xml:space="preserve"> FAO/WHO</w:t>
      </w:r>
      <w:r w:rsidRPr="007378C0">
        <w:rPr>
          <w:color w:val="000000" w:themeColor="text1"/>
        </w:rPr>
        <w:t xml:space="preserve"> Expert Committee </w:t>
      </w:r>
      <w:r>
        <w:rPr>
          <w:color w:val="000000" w:themeColor="text1"/>
        </w:rPr>
        <w:t>on</w:t>
      </w:r>
      <w:r w:rsidRPr="007378C0">
        <w:rPr>
          <w:color w:val="000000" w:themeColor="text1"/>
        </w:rPr>
        <w:t xml:space="preserve"> Food Additives a</w:t>
      </w:r>
      <w:r>
        <w:rPr>
          <w:color w:val="000000" w:themeColor="text1"/>
        </w:rPr>
        <w:t>nd Joint FAO/WHO Meeting on Pesticide R</w:t>
      </w:r>
      <w:r w:rsidRPr="007378C0">
        <w:rPr>
          <w:color w:val="000000" w:themeColor="text1"/>
        </w:rPr>
        <w:t>esidues.</w:t>
      </w:r>
      <w:r>
        <w:rPr>
          <w:color w:val="000000" w:themeColor="text1"/>
        </w:rPr>
        <w:t xml:space="preserve"> Similarly, the safety assessment of the food produced by gene technology was undertaken according to the internationally agreed GM food safety guidelines established by FAO/WHO Codex (Codex 2009). </w:t>
      </w:r>
    </w:p>
    <w:p w14:paraId="3870960B" w14:textId="77777777" w:rsidR="006F6359" w:rsidRDefault="006F6359" w:rsidP="006E51EF">
      <w:pPr>
        <w:widowControl/>
      </w:pPr>
    </w:p>
    <w:p w14:paraId="5238EA94" w14:textId="616BFA68" w:rsidR="006F6359" w:rsidRPr="00CF1F1E" w:rsidRDefault="006F6359" w:rsidP="006E51EF">
      <w:pPr>
        <w:widowControl/>
        <w:rPr>
          <w:color w:val="000000" w:themeColor="text1"/>
        </w:rPr>
      </w:pPr>
      <w:r>
        <w:t xml:space="preserve">In conducting the risk assessment of the soy leghemoglobin and the </w:t>
      </w:r>
      <w:r w:rsidR="004C285B">
        <w:t>Preparation</w:t>
      </w:r>
      <w:r>
        <w:t xml:space="preserve">, a number of criteria have been addressed, including the safety of the </w:t>
      </w:r>
      <w:r w:rsidR="00A764F7">
        <w:rPr>
          <w:i/>
        </w:rPr>
        <w:t>P</w:t>
      </w:r>
      <w:r w:rsidR="00EA3CBA">
        <w:rPr>
          <w:i/>
        </w:rPr>
        <w:t>.</w:t>
      </w:r>
      <w:r w:rsidRPr="00912F00">
        <w:rPr>
          <w:i/>
        </w:rPr>
        <w:t xml:space="preserve"> pastoris</w:t>
      </w:r>
      <w:r>
        <w:t xml:space="preserve"> host strain, novel proteins, toxicity and a nutritional </w:t>
      </w:r>
      <w:r w:rsidR="00E321AA">
        <w:t xml:space="preserve">and dietary intake </w:t>
      </w:r>
      <w:r>
        <w:t>assessment.</w:t>
      </w:r>
      <w:r>
        <w:rPr>
          <w:color w:val="000000" w:themeColor="text1"/>
        </w:rPr>
        <w:t xml:space="preserve"> </w:t>
      </w:r>
      <w:r>
        <w:t>The safety assessment of the source organism and novel proteins concluded there were no public health and safety concerns. The source organism is a well characterised yeast with a recognised safe history of use for the production of food enzymes. It is neither pathogenic nor toxigenic.</w:t>
      </w:r>
      <w:r w:rsidR="00C941B0">
        <w:t xml:space="preserve"> </w:t>
      </w:r>
      <w:r w:rsidR="00E41661">
        <w:t>Th</w:t>
      </w:r>
      <w:r w:rsidR="00C941B0">
        <w:t>ere are no microbiological concerns regarding pathogens in the Preparation.</w:t>
      </w:r>
    </w:p>
    <w:p w14:paraId="6C8C0DA6" w14:textId="77777777" w:rsidR="006F6359" w:rsidRDefault="006F6359" w:rsidP="006E51EF">
      <w:pPr>
        <w:widowControl/>
      </w:pPr>
    </w:p>
    <w:p w14:paraId="53F489FF" w14:textId="4E096915" w:rsidR="006F6359" w:rsidRDefault="006F6359" w:rsidP="006E51EF">
      <w:pPr>
        <w:widowControl/>
        <w:rPr>
          <w:lang w:eastAsia="en-AU" w:bidi="ar-SA"/>
        </w:rPr>
      </w:pPr>
      <w:r>
        <w:t xml:space="preserve">The novel soy leghemoglobin was shown to be equivalent to that expressed in soybean and was shown to be expressed as a </w:t>
      </w:r>
      <w:proofErr w:type="spellStart"/>
      <w:r>
        <w:t>holoprotein</w:t>
      </w:r>
      <w:proofErr w:type="spellEnd"/>
      <w:r>
        <w:t>. A</w:t>
      </w:r>
      <w:r>
        <w:rPr>
          <w:lang w:eastAsia="en-AU" w:bidi="ar-SA"/>
        </w:rPr>
        <w:t>nalyses of the</w:t>
      </w:r>
      <w:r w:rsidRPr="00C15217">
        <w:rPr>
          <w:lang w:eastAsia="en-AU" w:bidi="ar-SA"/>
        </w:rPr>
        <w:t xml:space="preserve"> potential</w:t>
      </w:r>
      <w:r>
        <w:rPr>
          <w:lang w:eastAsia="en-AU" w:bidi="ar-SA"/>
        </w:rPr>
        <w:t xml:space="preserve"> </w:t>
      </w:r>
      <w:proofErr w:type="spellStart"/>
      <w:r>
        <w:rPr>
          <w:lang w:eastAsia="en-AU" w:bidi="ar-SA"/>
        </w:rPr>
        <w:t>allergenicity</w:t>
      </w:r>
      <w:proofErr w:type="spellEnd"/>
      <w:r>
        <w:rPr>
          <w:lang w:eastAsia="en-AU" w:bidi="ar-SA"/>
        </w:rPr>
        <w:t xml:space="preserve"> or</w:t>
      </w:r>
      <w:r w:rsidRPr="00C15217">
        <w:rPr>
          <w:lang w:eastAsia="en-AU" w:bidi="ar-SA"/>
        </w:rPr>
        <w:t xml:space="preserve"> t</w:t>
      </w:r>
      <w:r>
        <w:rPr>
          <w:lang w:eastAsia="en-AU" w:bidi="ar-SA"/>
        </w:rPr>
        <w:t xml:space="preserve">oxicity of all the novel proteins, including soy leghemoglobin and the </w:t>
      </w:r>
      <w:r w:rsidRPr="00F25F99">
        <w:rPr>
          <w:i/>
          <w:lang w:eastAsia="en-AU" w:bidi="ar-SA"/>
        </w:rPr>
        <w:t>Pichia</w:t>
      </w:r>
      <w:r>
        <w:rPr>
          <w:lang w:eastAsia="en-AU" w:bidi="ar-SA"/>
        </w:rPr>
        <w:t xml:space="preserve"> proteins, did not identify any significant similarities to known allergens or toxins. The proteins were shown to be susceptible to pepsin digestion and were denatured at standard cooking temperatures and in acidic conditions that mimic the stomach environment. The shelf life and specifications of the </w:t>
      </w:r>
      <w:r w:rsidR="004C285B">
        <w:rPr>
          <w:lang w:eastAsia="en-AU" w:bidi="ar-SA"/>
        </w:rPr>
        <w:t>Preparation</w:t>
      </w:r>
      <w:r>
        <w:rPr>
          <w:lang w:eastAsia="en-AU" w:bidi="ar-SA"/>
        </w:rPr>
        <w:t xml:space="preserve"> are also appropriate for addition to </w:t>
      </w:r>
      <w:r w:rsidR="00CF346F">
        <w:rPr>
          <w:lang w:eastAsia="en-AU" w:bidi="ar-SA"/>
        </w:rPr>
        <w:t>meat</w:t>
      </w:r>
      <w:r w:rsidR="005C540D">
        <w:rPr>
          <w:lang w:eastAsia="en-AU" w:bidi="ar-SA"/>
        </w:rPr>
        <w:t xml:space="preserve"> </w:t>
      </w:r>
      <w:r>
        <w:rPr>
          <w:lang w:eastAsia="en-AU" w:bidi="ar-SA"/>
        </w:rPr>
        <w:t>analogue products.</w:t>
      </w:r>
    </w:p>
    <w:p w14:paraId="675EDCAB" w14:textId="77777777" w:rsidR="006F6359" w:rsidRDefault="006F6359" w:rsidP="006E51EF">
      <w:pPr>
        <w:widowControl/>
        <w:rPr>
          <w:lang w:eastAsia="en-AU" w:bidi="ar-SA"/>
        </w:rPr>
      </w:pPr>
    </w:p>
    <w:p w14:paraId="3D446E94" w14:textId="10B73B93" w:rsidR="006F6359" w:rsidRDefault="006F6359" w:rsidP="006E51EF">
      <w:pPr>
        <w:widowControl/>
        <w:rPr>
          <w:rFonts w:eastAsia="Calibri"/>
          <w:szCs w:val="22"/>
          <w:lang w:bidi="ar-SA"/>
        </w:rPr>
      </w:pPr>
      <w:r>
        <w:rPr>
          <w:lang w:eastAsia="en-AU" w:bidi="ar-SA"/>
        </w:rPr>
        <w:t xml:space="preserve">The applicant submitted </w:t>
      </w:r>
      <w:r w:rsidRPr="008B77F9">
        <w:rPr>
          <w:i/>
          <w:lang w:eastAsia="en-AU" w:bidi="ar-SA"/>
        </w:rPr>
        <w:t>in vitro</w:t>
      </w:r>
      <w:r>
        <w:rPr>
          <w:lang w:eastAsia="en-AU" w:bidi="ar-SA"/>
        </w:rPr>
        <w:t xml:space="preserve"> genotoxicity studies in bacterial and mammalian cells and an oral toxicity study in rats. These studies are intended to confirm the outcome of the compositional and </w:t>
      </w:r>
      <w:proofErr w:type="spellStart"/>
      <w:r>
        <w:rPr>
          <w:lang w:eastAsia="en-AU" w:bidi="ar-SA"/>
        </w:rPr>
        <w:t>bioinformatic</w:t>
      </w:r>
      <w:proofErr w:type="spellEnd"/>
      <w:r>
        <w:rPr>
          <w:lang w:eastAsia="en-AU" w:bidi="ar-SA"/>
        </w:rPr>
        <w:t xml:space="preserve"> analysis conducted as a part of the safety assessment. </w:t>
      </w:r>
      <w:r w:rsidRPr="001D7A3F">
        <w:rPr>
          <w:lang w:eastAsia="en-AU" w:bidi="ar-SA"/>
        </w:rPr>
        <w:t xml:space="preserve">No hazard was identified in the submitted studies. </w:t>
      </w:r>
      <w:r w:rsidR="004C285B">
        <w:rPr>
          <w:rFonts w:eastAsia="Calibri"/>
          <w:szCs w:val="22"/>
          <w:lang w:bidi="ar-SA"/>
        </w:rPr>
        <w:t>The Preparation</w:t>
      </w:r>
      <w:r w:rsidRPr="000F7F69">
        <w:rPr>
          <w:rFonts w:eastAsia="Calibri"/>
          <w:szCs w:val="22"/>
          <w:lang w:bidi="ar-SA"/>
        </w:rPr>
        <w:t xml:space="preserve"> was not genotoxic </w:t>
      </w:r>
      <w:r w:rsidRPr="008B77F9">
        <w:rPr>
          <w:rFonts w:eastAsia="Calibri"/>
          <w:i/>
          <w:lang w:eastAsia="en-AU" w:bidi="ar-SA"/>
        </w:rPr>
        <w:t>in vitro</w:t>
      </w:r>
      <w:r w:rsidRPr="000F7F69">
        <w:rPr>
          <w:rFonts w:eastAsia="Calibri"/>
          <w:szCs w:val="22"/>
          <w:lang w:bidi="ar-SA"/>
        </w:rPr>
        <w:t xml:space="preserve"> and did not cause adverse effects in short-term toxicity studies in rats. The N</w:t>
      </w:r>
      <w:r w:rsidR="00222824">
        <w:rPr>
          <w:rFonts w:eastAsia="Calibri"/>
          <w:szCs w:val="22"/>
          <w:lang w:bidi="ar-SA"/>
        </w:rPr>
        <w:t xml:space="preserve">o </w:t>
      </w:r>
      <w:r w:rsidRPr="000F7F69">
        <w:rPr>
          <w:rFonts w:eastAsia="Calibri"/>
          <w:szCs w:val="22"/>
          <w:lang w:bidi="ar-SA"/>
        </w:rPr>
        <w:t>O</w:t>
      </w:r>
      <w:r w:rsidR="00222824">
        <w:rPr>
          <w:rFonts w:eastAsia="Calibri"/>
          <w:szCs w:val="22"/>
          <w:lang w:bidi="ar-SA"/>
        </w:rPr>
        <w:t xml:space="preserve">bserved </w:t>
      </w:r>
      <w:r w:rsidRPr="000F7F69">
        <w:rPr>
          <w:rFonts w:eastAsia="Calibri"/>
          <w:szCs w:val="22"/>
          <w:lang w:bidi="ar-SA"/>
        </w:rPr>
        <w:t>A</w:t>
      </w:r>
      <w:r w:rsidR="00222824">
        <w:rPr>
          <w:rFonts w:eastAsia="Calibri"/>
          <w:szCs w:val="22"/>
          <w:lang w:bidi="ar-SA"/>
        </w:rPr>
        <w:t xml:space="preserve">dverse </w:t>
      </w:r>
      <w:r w:rsidRPr="000F7F69">
        <w:rPr>
          <w:rFonts w:eastAsia="Calibri"/>
          <w:szCs w:val="22"/>
          <w:lang w:bidi="ar-SA"/>
        </w:rPr>
        <w:t>E</w:t>
      </w:r>
      <w:r w:rsidR="00222824">
        <w:rPr>
          <w:rFonts w:eastAsia="Calibri"/>
          <w:szCs w:val="22"/>
          <w:lang w:bidi="ar-SA"/>
        </w:rPr>
        <w:t xml:space="preserve">ffects </w:t>
      </w:r>
      <w:r w:rsidRPr="000F7F69">
        <w:rPr>
          <w:rFonts w:eastAsia="Calibri"/>
          <w:szCs w:val="22"/>
          <w:lang w:bidi="ar-SA"/>
        </w:rPr>
        <w:t>L</w:t>
      </w:r>
      <w:r w:rsidR="00222824">
        <w:rPr>
          <w:rFonts w:eastAsia="Calibri"/>
          <w:szCs w:val="22"/>
          <w:lang w:bidi="ar-SA"/>
        </w:rPr>
        <w:t>evel (NOAEL)</w:t>
      </w:r>
      <w:r w:rsidRPr="000F7F69">
        <w:rPr>
          <w:rFonts w:eastAsia="Calibri"/>
          <w:szCs w:val="22"/>
          <w:lang w:bidi="ar-SA"/>
        </w:rPr>
        <w:t xml:space="preserve"> of freeze-dried </w:t>
      </w:r>
      <w:r w:rsidR="004C285B">
        <w:rPr>
          <w:rFonts w:eastAsia="Calibri"/>
          <w:szCs w:val="22"/>
          <w:lang w:bidi="ar-SA"/>
        </w:rPr>
        <w:t>Preparation</w:t>
      </w:r>
      <w:r w:rsidRPr="000F7F69">
        <w:rPr>
          <w:rFonts w:eastAsia="Calibri"/>
          <w:szCs w:val="22"/>
          <w:lang w:bidi="ar-SA"/>
        </w:rPr>
        <w:t xml:space="preserve"> in a 28-day dietary toxicity study in rats was 1536 mg/kg </w:t>
      </w:r>
      <w:proofErr w:type="spellStart"/>
      <w:r w:rsidRPr="000F7F69">
        <w:rPr>
          <w:rFonts w:eastAsia="Calibri"/>
          <w:szCs w:val="22"/>
          <w:lang w:bidi="ar-SA"/>
        </w:rPr>
        <w:t>bw</w:t>
      </w:r>
      <w:proofErr w:type="spellEnd"/>
      <w:r w:rsidRPr="000F7F69">
        <w:rPr>
          <w:rFonts w:eastAsia="Calibri"/>
          <w:szCs w:val="22"/>
          <w:lang w:bidi="ar-SA"/>
        </w:rPr>
        <w:t xml:space="preserve">/day, the highest dose tested. This dose corresponds to 1421 mg/kg </w:t>
      </w:r>
      <w:proofErr w:type="spellStart"/>
      <w:r w:rsidRPr="000F7F69">
        <w:rPr>
          <w:rFonts w:eastAsia="Calibri"/>
          <w:szCs w:val="22"/>
          <w:lang w:bidi="ar-SA"/>
        </w:rPr>
        <w:t>bw</w:t>
      </w:r>
      <w:proofErr w:type="spellEnd"/>
      <w:r w:rsidRPr="000F7F69">
        <w:rPr>
          <w:rFonts w:eastAsia="Calibri"/>
          <w:szCs w:val="22"/>
          <w:lang w:bidi="ar-SA"/>
        </w:rPr>
        <w:t xml:space="preserve">/day </w:t>
      </w:r>
      <w:r>
        <w:rPr>
          <w:rFonts w:eastAsia="Calibri"/>
          <w:szCs w:val="22"/>
          <w:lang w:bidi="ar-SA"/>
        </w:rPr>
        <w:t>total organic solids (</w:t>
      </w:r>
      <w:r w:rsidRPr="000F7F69">
        <w:rPr>
          <w:rFonts w:eastAsia="Calibri"/>
          <w:szCs w:val="22"/>
          <w:lang w:bidi="ar-SA"/>
        </w:rPr>
        <w:t>TOS</w:t>
      </w:r>
      <w:r>
        <w:rPr>
          <w:rFonts w:eastAsia="Calibri"/>
          <w:szCs w:val="22"/>
          <w:lang w:bidi="ar-SA"/>
        </w:rPr>
        <w:t>).</w:t>
      </w:r>
    </w:p>
    <w:p w14:paraId="0552F12C" w14:textId="77777777" w:rsidR="006F6359" w:rsidRDefault="006F6359" w:rsidP="006E51EF">
      <w:pPr>
        <w:widowControl/>
        <w:rPr>
          <w:rFonts w:eastAsia="Calibri"/>
          <w:szCs w:val="22"/>
          <w:lang w:bidi="ar-SA"/>
        </w:rPr>
      </w:pPr>
    </w:p>
    <w:p w14:paraId="59FACA73" w14:textId="443BCE8A" w:rsidR="006F6359" w:rsidRPr="005F7957" w:rsidRDefault="006F6359" w:rsidP="006E51EF">
      <w:pPr>
        <w:widowControl/>
        <w:rPr>
          <w:rFonts w:eastAsia="Calibri"/>
          <w:lang w:eastAsia="en-AU" w:bidi="ar-SA"/>
        </w:rPr>
      </w:pPr>
      <w:r w:rsidRPr="000F7F69">
        <w:rPr>
          <w:rFonts w:eastAsia="Calibri"/>
          <w:szCs w:val="22"/>
          <w:lang w:bidi="ar-SA"/>
        </w:rPr>
        <w:t xml:space="preserve">Mean and P90 estimated dietary intakes of </w:t>
      </w:r>
      <w:r w:rsidR="004C285B">
        <w:rPr>
          <w:rFonts w:eastAsia="Calibri"/>
          <w:szCs w:val="22"/>
          <w:lang w:bidi="ar-SA"/>
        </w:rPr>
        <w:t>the Preparation</w:t>
      </w:r>
      <w:r w:rsidRPr="000F7F69">
        <w:rPr>
          <w:rFonts w:eastAsia="Calibri"/>
          <w:szCs w:val="22"/>
          <w:lang w:bidi="ar-SA"/>
        </w:rPr>
        <w:t xml:space="preserve"> at the maximum proposed use level were 20 – 60 mg/kg </w:t>
      </w:r>
      <w:proofErr w:type="spellStart"/>
      <w:r w:rsidRPr="000F7F69">
        <w:rPr>
          <w:rFonts w:eastAsia="Calibri"/>
          <w:szCs w:val="22"/>
          <w:lang w:bidi="ar-SA"/>
        </w:rPr>
        <w:t>bw</w:t>
      </w:r>
      <w:proofErr w:type="spellEnd"/>
      <w:r w:rsidRPr="000F7F69">
        <w:rPr>
          <w:rFonts w:eastAsia="Calibri"/>
          <w:szCs w:val="22"/>
          <w:lang w:bidi="ar-SA"/>
        </w:rPr>
        <w:t xml:space="preserve">/day TOS and 45 – 124 mg/kg </w:t>
      </w:r>
      <w:proofErr w:type="spellStart"/>
      <w:r w:rsidRPr="000F7F69">
        <w:rPr>
          <w:rFonts w:eastAsia="Calibri"/>
          <w:szCs w:val="22"/>
          <w:lang w:bidi="ar-SA"/>
        </w:rPr>
        <w:t>bw</w:t>
      </w:r>
      <w:proofErr w:type="spellEnd"/>
      <w:r w:rsidRPr="000F7F69">
        <w:rPr>
          <w:rFonts w:eastAsia="Calibri"/>
          <w:szCs w:val="22"/>
          <w:lang w:bidi="ar-SA"/>
        </w:rPr>
        <w:t xml:space="preserve">/day TOS, respectively. Mean and P90 estimated dietary intakes of </w:t>
      </w:r>
      <w:r w:rsidR="004C285B">
        <w:rPr>
          <w:rFonts w:eastAsia="Calibri"/>
          <w:szCs w:val="22"/>
          <w:lang w:bidi="ar-SA"/>
        </w:rPr>
        <w:t>the Preparation</w:t>
      </w:r>
      <w:r w:rsidRPr="000F7F69">
        <w:rPr>
          <w:rFonts w:eastAsia="Calibri"/>
          <w:szCs w:val="22"/>
          <w:lang w:bidi="ar-SA"/>
        </w:rPr>
        <w:t xml:space="preserve"> at the likely use level were 11 – 32 mg/kg </w:t>
      </w:r>
      <w:proofErr w:type="spellStart"/>
      <w:r w:rsidRPr="000F7F69">
        <w:rPr>
          <w:rFonts w:eastAsia="Calibri"/>
          <w:szCs w:val="22"/>
          <w:lang w:bidi="ar-SA"/>
        </w:rPr>
        <w:t>bw</w:t>
      </w:r>
      <w:proofErr w:type="spellEnd"/>
      <w:r w:rsidRPr="000F7F69">
        <w:rPr>
          <w:rFonts w:eastAsia="Calibri"/>
          <w:szCs w:val="22"/>
          <w:lang w:bidi="ar-SA"/>
        </w:rPr>
        <w:t xml:space="preserve">/day TOS and 24 – 68 mg/kg </w:t>
      </w:r>
      <w:proofErr w:type="spellStart"/>
      <w:r w:rsidRPr="000F7F69">
        <w:rPr>
          <w:rFonts w:eastAsia="Calibri"/>
          <w:szCs w:val="22"/>
          <w:lang w:bidi="ar-SA"/>
        </w:rPr>
        <w:t>bw</w:t>
      </w:r>
      <w:proofErr w:type="spellEnd"/>
      <w:r w:rsidRPr="000F7F69">
        <w:rPr>
          <w:rFonts w:eastAsia="Calibri"/>
          <w:szCs w:val="22"/>
          <w:lang w:bidi="ar-SA"/>
        </w:rPr>
        <w:t xml:space="preserve">/day TOS, respectively. </w:t>
      </w:r>
      <w:r w:rsidRPr="00E9534C">
        <w:rPr>
          <w:rFonts w:eastAsia="Calibri"/>
          <w:szCs w:val="22"/>
          <w:lang w:bidi="ar-SA"/>
        </w:rPr>
        <w:t xml:space="preserve">The estimated intakes of </w:t>
      </w:r>
      <w:r w:rsidR="00CF346F">
        <w:rPr>
          <w:rFonts w:eastAsia="Calibri"/>
          <w:szCs w:val="22"/>
          <w:lang w:bidi="ar-SA"/>
        </w:rPr>
        <w:t xml:space="preserve">the </w:t>
      </w:r>
      <w:r w:rsidR="004C285B">
        <w:rPr>
          <w:rFonts w:eastAsia="Calibri"/>
          <w:szCs w:val="22"/>
          <w:lang w:bidi="ar-SA"/>
        </w:rPr>
        <w:t>Preparation</w:t>
      </w:r>
      <w:r w:rsidRPr="00E9534C">
        <w:rPr>
          <w:rFonts w:eastAsia="Calibri"/>
          <w:szCs w:val="22"/>
          <w:lang w:bidi="ar-SA"/>
        </w:rPr>
        <w:t xml:space="preserve"> for both scenarios are considered to be conservative </w:t>
      </w:r>
      <w:r>
        <w:rPr>
          <w:rFonts w:eastAsia="Calibri"/>
          <w:szCs w:val="22"/>
          <w:lang w:bidi="ar-SA"/>
        </w:rPr>
        <w:t xml:space="preserve">and over-estimate </w:t>
      </w:r>
      <w:r>
        <w:rPr>
          <w:rFonts w:eastAsia="Calibri"/>
          <w:szCs w:val="22"/>
          <w:lang w:bidi="ar-SA"/>
        </w:rPr>
        <w:lastRenderedPageBreak/>
        <w:t xml:space="preserve">exposure </w:t>
      </w:r>
      <w:r w:rsidRPr="00E9534C">
        <w:rPr>
          <w:rFonts w:eastAsia="Calibri"/>
          <w:szCs w:val="22"/>
          <w:lang w:bidi="ar-SA"/>
        </w:rPr>
        <w:t>as it is unlikely that consumers will eat meat analogue products containing soy leghemoglobin in the same amounts</w:t>
      </w:r>
      <w:r>
        <w:rPr>
          <w:rFonts w:eastAsia="Calibri"/>
          <w:szCs w:val="22"/>
          <w:lang w:bidi="ar-SA"/>
        </w:rPr>
        <w:t xml:space="preserve"> or with the same frequency</w:t>
      </w:r>
      <w:r w:rsidRPr="00E9534C">
        <w:rPr>
          <w:rFonts w:eastAsia="Calibri"/>
          <w:szCs w:val="22"/>
          <w:lang w:bidi="ar-SA"/>
        </w:rPr>
        <w:t xml:space="preserve"> </w:t>
      </w:r>
      <w:r>
        <w:rPr>
          <w:rFonts w:eastAsia="Calibri"/>
          <w:szCs w:val="22"/>
          <w:lang w:bidi="ar-SA"/>
        </w:rPr>
        <w:t xml:space="preserve">as </w:t>
      </w:r>
      <w:r w:rsidRPr="00E9534C">
        <w:rPr>
          <w:rFonts w:eastAsia="Calibri"/>
          <w:szCs w:val="22"/>
          <w:lang w:bidi="ar-SA"/>
        </w:rPr>
        <w:t>they currently consume minced meat and poultry products, and vegetarian meat alternatives (particularly over a long period of time).</w:t>
      </w:r>
    </w:p>
    <w:p w14:paraId="053570BA" w14:textId="77777777" w:rsidR="006F6359" w:rsidRDefault="006F6359" w:rsidP="006E51EF">
      <w:pPr>
        <w:widowControl/>
        <w:rPr>
          <w:lang w:eastAsia="en-AU" w:bidi="ar-SA"/>
        </w:rPr>
      </w:pPr>
    </w:p>
    <w:p w14:paraId="6E3245F7" w14:textId="3E0AE822" w:rsidR="006F6359" w:rsidRDefault="006F6359" w:rsidP="006E51EF">
      <w:pPr>
        <w:widowControl/>
        <w:spacing w:after="240"/>
        <w:rPr>
          <w:rFonts w:eastAsia="Calibri"/>
          <w:lang w:eastAsia="en-AU" w:bidi="ar-SA"/>
        </w:rPr>
      </w:pPr>
      <w:r>
        <w:rPr>
          <w:rFonts w:eastAsia="Calibri"/>
          <w:lang w:eastAsia="en-AU" w:bidi="ar-SA"/>
        </w:rPr>
        <w:t xml:space="preserve">The margins of exposure (MOEs) between the NOAEL of </w:t>
      </w:r>
      <w:r w:rsidRPr="001649D0">
        <w:rPr>
          <w:rFonts w:eastAsia="Calibri"/>
          <w:lang w:eastAsia="en-AU" w:bidi="ar-SA"/>
        </w:rPr>
        <w:t xml:space="preserve">1421 mg/kg </w:t>
      </w:r>
      <w:proofErr w:type="spellStart"/>
      <w:r w:rsidRPr="001649D0">
        <w:rPr>
          <w:rFonts w:eastAsia="Calibri"/>
          <w:lang w:eastAsia="en-AU" w:bidi="ar-SA"/>
        </w:rPr>
        <w:t>bw</w:t>
      </w:r>
      <w:proofErr w:type="spellEnd"/>
      <w:r w:rsidRPr="001649D0">
        <w:rPr>
          <w:rFonts w:eastAsia="Calibri"/>
          <w:lang w:eastAsia="en-AU" w:bidi="ar-SA"/>
        </w:rPr>
        <w:t>/day TOS</w:t>
      </w:r>
      <w:r>
        <w:rPr>
          <w:rFonts w:eastAsia="Calibri"/>
          <w:lang w:eastAsia="en-AU" w:bidi="ar-SA"/>
        </w:rPr>
        <w:t xml:space="preserve"> in the rat oral toxicity study and estimated dietary </w:t>
      </w:r>
      <w:r w:rsidR="00826802">
        <w:rPr>
          <w:rFonts w:eastAsia="Calibri"/>
          <w:lang w:eastAsia="en-AU" w:bidi="ar-SA"/>
        </w:rPr>
        <w:t xml:space="preserve">intakes </w:t>
      </w:r>
      <w:r>
        <w:rPr>
          <w:rFonts w:eastAsia="Calibri"/>
          <w:lang w:eastAsia="en-AU" w:bidi="ar-SA"/>
        </w:rPr>
        <w:t xml:space="preserve">at the maximum proposed use level ranged between 20 – 70 for mean </w:t>
      </w:r>
      <w:r w:rsidR="00826802">
        <w:rPr>
          <w:rFonts w:eastAsia="Calibri"/>
          <w:lang w:eastAsia="en-AU" w:bidi="ar-SA"/>
        </w:rPr>
        <w:t xml:space="preserve">intakes </w:t>
      </w:r>
      <w:r>
        <w:rPr>
          <w:rFonts w:eastAsia="Calibri"/>
          <w:lang w:eastAsia="en-AU" w:bidi="ar-SA"/>
        </w:rPr>
        <w:t>and between 10 – 30 at the 90</w:t>
      </w:r>
      <w:r w:rsidRPr="00C25CFE">
        <w:rPr>
          <w:rFonts w:eastAsia="Calibri"/>
          <w:vertAlign w:val="superscript"/>
          <w:lang w:eastAsia="en-AU" w:bidi="ar-SA"/>
        </w:rPr>
        <w:t>th</w:t>
      </w:r>
      <w:r>
        <w:rPr>
          <w:rFonts w:eastAsia="Calibri"/>
          <w:lang w:eastAsia="en-AU" w:bidi="ar-SA"/>
        </w:rPr>
        <w:t xml:space="preserve"> percentile. At likely use levels, MOEs for mean and P90 estimated dietary intakes ranged between 40 – 130 and 20 – 60, respectively. These MOEs are not considered to be of concern given that: a sufficient body of knowledge exists on the safety of the organism (it is not pathogenic or toxigenic); the proteins in </w:t>
      </w:r>
      <w:r w:rsidR="00C37BDA">
        <w:rPr>
          <w:rFonts w:eastAsia="Calibri"/>
          <w:lang w:eastAsia="en-AU" w:bidi="ar-SA"/>
        </w:rPr>
        <w:t>the Preparation</w:t>
      </w:r>
      <w:r>
        <w:rPr>
          <w:rFonts w:eastAsia="Calibri"/>
          <w:lang w:eastAsia="en-AU" w:bidi="ar-SA"/>
        </w:rPr>
        <w:t xml:space="preserve"> will be digested like other dietary proteins and do not share any significant similarities to known allergens or toxins; and the conservative nature of the dietary </w:t>
      </w:r>
      <w:r w:rsidR="00826802">
        <w:rPr>
          <w:rFonts w:eastAsia="Calibri"/>
          <w:lang w:eastAsia="en-AU" w:bidi="ar-SA"/>
        </w:rPr>
        <w:t xml:space="preserve">intake </w:t>
      </w:r>
      <w:r>
        <w:rPr>
          <w:rFonts w:eastAsia="Calibri"/>
          <w:lang w:eastAsia="en-AU" w:bidi="ar-SA"/>
        </w:rPr>
        <w:t xml:space="preserve">assessment which is likely to overestimate intakes over a long period of time. </w:t>
      </w:r>
    </w:p>
    <w:p w14:paraId="4E9841C0" w14:textId="60C120B1" w:rsidR="00C37BDA" w:rsidRDefault="00C37BDA" w:rsidP="006E51EF">
      <w:pPr>
        <w:widowControl/>
        <w:spacing w:after="240"/>
        <w:rPr>
          <w:color w:val="A6A6A6" w:themeColor="background1" w:themeShade="A6"/>
          <w:lang w:eastAsia="en-AU" w:bidi="ar-SA"/>
        </w:rPr>
      </w:pPr>
      <w:r>
        <w:rPr>
          <w:rFonts w:cs="Arial"/>
        </w:rPr>
        <w:t>As of March 2020, the applicant advised they had sold approximately 100,000,000 quarter-pound (113 g) servings of meat analogue products containing the Preparation. I</w:t>
      </w:r>
      <w:r w:rsidRPr="00C332FC">
        <w:rPr>
          <w:rFonts w:cs="Arial"/>
        </w:rPr>
        <w:t xml:space="preserve">ts post-marketing surveillance </w:t>
      </w:r>
      <w:r>
        <w:rPr>
          <w:rFonts w:cs="Arial"/>
        </w:rPr>
        <w:t xml:space="preserve">has </w:t>
      </w:r>
      <w:r w:rsidRPr="00C332FC">
        <w:rPr>
          <w:rFonts w:cs="Arial"/>
        </w:rPr>
        <w:t xml:space="preserve">identified </w:t>
      </w:r>
      <w:r>
        <w:rPr>
          <w:rFonts w:cs="Arial"/>
        </w:rPr>
        <w:t>one</w:t>
      </w:r>
      <w:r w:rsidRPr="00C332FC">
        <w:rPr>
          <w:rFonts w:cs="Arial"/>
        </w:rPr>
        <w:t xml:space="preserve"> complaint per </w:t>
      </w:r>
      <w:r>
        <w:rPr>
          <w:rFonts w:cs="Arial"/>
        </w:rPr>
        <w:t>6</w:t>
      </w:r>
      <w:r w:rsidRPr="00C332FC">
        <w:rPr>
          <w:rFonts w:cs="Arial"/>
        </w:rPr>
        <w:t xml:space="preserve">00,000 servings </w:t>
      </w:r>
      <w:r>
        <w:rPr>
          <w:rFonts w:cs="Arial"/>
        </w:rPr>
        <w:t>based on the current formulation (released on the market in the US in early 2019), but none of these complaints has been confirmed as an adverse event due to consumption of these products.</w:t>
      </w:r>
    </w:p>
    <w:p w14:paraId="19B30FFD" w14:textId="565936F6" w:rsidR="006F6359" w:rsidRPr="00920ACD" w:rsidRDefault="004B4FE0" w:rsidP="006E51EF">
      <w:pPr>
        <w:pStyle w:val="Heading3"/>
        <w:widowControl/>
        <w:ind w:left="0" w:firstLine="0"/>
        <w:jc w:val="both"/>
      </w:pPr>
      <w:bookmarkStart w:id="121" w:name="_Toc53406106"/>
      <w:bookmarkStart w:id="122" w:name="_Toc53484616"/>
      <w:bookmarkStart w:id="123" w:name="_Toc58840799"/>
      <w:r>
        <w:t>2.2.2</w:t>
      </w:r>
      <w:r>
        <w:tab/>
      </w:r>
      <w:r w:rsidR="006F6359" w:rsidRPr="006A3FAB">
        <w:t>Nutrition assessment</w:t>
      </w:r>
      <w:bookmarkEnd w:id="121"/>
      <w:bookmarkEnd w:id="122"/>
      <w:bookmarkEnd w:id="123"/>
    </w:p>
    <w:p w14:paraId="73C0781F" w14:textId="1B254D60" w:rsidR="006C040F" w:rsidRDefault="006C040F" w:rsidP="006E51EF">
      <w:pPr>
        <w:widowControl/>
        <w:rPr>
          <w:rFonts w:cs="Arial"/>
        </w:rPr>
      </w:pPr>
      <w:r>
        <w:rPr>
          <w:rFonts w:cs="Arial"/>
        </w:rPr>
        <w:t xml:space="preserve">The nutrition assessment </w:t>
      </w:r>
      <w:r w:rsidR="00DC544A">
        <w:rPr>
          <w:rFonts w:cs="Arial"/>
        </w:rPr>
        <w:t>considered</w:t>
      </w:r>
      <w:r>
        <w:rPr>
          <w:rFonts w:cs="Arial"/>
        </w:rPr>
        <w:t xml:space="preserve"> </w:t>
      </w:r>
      <w:r w:rsidR="00DC544A">
        <w:rPr>
          <w:rFonts w:cs="Arial"/>
        </w:rPr>
        <w:t xml:space="preserve">structural and </w:t>
      </w:r>
      <w:r>
        <w:rPr>
          <w:rFonts w:cs="Arial"/>
        </w:rPr>
        <w:t xml:space="preserve">physicochemical data </w:t>
      </w:r>
      <w:r w:rsidR="00DC544A">
        <w:rPr>
          <w:rFonts w:cs="Arial"/>
        </w:rPr>
        <w:t xml:space="preserve">on soy leghemoglobin, </w:t>
      </w:r>
      <w:r>
        <w:rPr>
          <w:rFonts w:cs="Arial"/>
        </w:rPr>
        <w:t xml:space="preserve">and an </w:t>
      </w:r>
      <w:r w:rsidRPr="00555731">
        <w:rPr>
          <w:rFonts w:cs="Arial"/>
        </w:rPr>
        <w:t>in vitro</w:t>
      </w:r>
      <w:r>
        <w:rPr>
          <w:rFonts w:cs="Arial"/>
        </w:rPr>
        <w:t xml:space="preserve"> study using an intestinal cell model that compared the bioavailability of iron from soy leghaemoglobin with bovine haemoglobin. </w:t>
      </w:r>
      <w:r w:rsidR="009E2032">
        <w:t xml:space="preserve">The available data </w:t>
      </w:r>
      <w:r w:rsidR="00D60B61">
        <w:rPr>
          <w:rFonts w:cs="Arial"/>
        </w:rPr>
        <w:t>indicates that soy</w:t>
      </w:r>
      <w:r w:rsidR="00DC544A">
        <w:rPr>
          <w:rFonts w:cs="Arial"/>
        </w:rPr>
        <w:t xml:space="preserve"> </w:t>
      </w:r>
      <w:r w:rsidR="00D60B61">
        <w:rPr>
          <w:rFonts w:cs="Arial"/>
        </w:rPr>
        <w:t xml:space="preserve">leghemoglobin </w:t>
      </w:r>
      <w:r w:rsidR="00B23B6B">
        <w:rPr>
          <w:rFonts w:cs="Arial"/>
        </w:rPr>
        <w:t xml:space="preserve">is structurally similar to animal </w:t>
      </w:r>
      <w:proofErr w:type="spellStart"/>
      <w:r w:rsidR="00B23B6B">
        <w:rPr>
          <w:rFonts w:cs="Arial"/>
        </w:rPr>
        <w:t>myoglobins</w:t>
      </w:r>
      <w:proofErr w:type="spellEnd"/>
      <w:r w:rsidR="00B23B6B">
        <w:rPr>
          <w:rFonts w:cs="Arial"/>
        </w:rPr>
        <w:t xml:space="preserve"> and </w:t>
      </w:r>
      <w:r w:rsidR="00D60B61">
        <w:rPr>
          <w:rFonts w:cs="Arial"/>
        </w:rPr>
        <w:t>has similar physicochemical properties</w:t>
      </w:r>
      <w:r w:rsidR="00B23B6B">
        <w:rPr>
          <w:rFonts w:cs="Arial"/>
        </w:rPr>
        <w:t>;</w:t>
      </w:r>
      <w:r w:rsidR="00D60B61">
        <w:rPr>
          <w:rFonts w:cs="Arial"/>
        </w:rPr>
        <w:t xml:space="preserve"> it denatures at similar temperatures; </w:t>
      </w:r>
      <w:r w:rsidR="00D60B61">
        <w:t xml:space="preserve">is completely digested by </w:t>
      </w:r>
      <w:r w:rsidR="009E2032">
        <w:t xml:space="preserve">the stomach enzyme </w:t>
      </w:r>
      <w:r w:rsidR="00D60B61">
        <w:t xml:space="preserve">pepsin; and </w:t>
      </w:r>
      <w:r w:rsidR="00893CDD">
        <w:t xml:space="preserve">the </w:t>
      </w:r>
      <w:r w:rsidR="00D60B61">
        <w:t xml:space="preserve">haem </w:t>
      </w:r>
      <w:r w:rsidR="00893CDD">
        <w:t>group</w:t>
      </w:r>
      <w:r w:rsidR="00E03DFC">
        <w:t xml:space="preserve"> </w:t>
      </w:r>
      <w:r w:rsidR="00D60B61">
        <w:t xml:space="preserve">is released </w:t>
      </w:r>
      <w:r w:rsidR="00E03DFC">
        <w:t xml:space="preserve">from soy leghaemoglobin </w:t>
      </w:r>
      <w:r w:rsidR="00D60B61">
        <w:t>within the pH range that</w:t>
      </w:r>
      <w:r w:rsidR="00B23B6B">
        <w:t xml:space="preserve"> is</w:t>
      </w:r>
      <w:r w:rsidR="00D60B61">
        <w:t xml:space="preserve"> found in the stomach</w:t>
      </w:r>
      <w:r w:rsidR="00D60B61">
        <w:rPr>
          <w:rFonts w:cs="Arial"/>
        </w:rPr>
        <w:t xml:space="preserve">. </w:t>
      </w:r>
      <w:r w:rsidR="00555731">
        <w:rPr>
          <w:rFonts w:cs="Arial"/>
        </w:rPr>
        <w:t xml:space="preserve">An in </w:t>
      </w:r>
      <w:r w:rsidR="00B23B6B">
        <w:rPr>
          <w:rFonts w:cs="Arial"/>
        </w:rPr>
        <w:t xml:space="preserve">vitro study using intestinal cell model provided supporting evidence of bioavailability. </w:t>
      </w:r>
    </w:p>
    <w:p w14:paraId="092382CF" w14:textId="77777777" w:rsidR="006C040F" w:rsidRDefault="006C040F" w:rsidP="006E51EF">
      <w:pPr>
        <w:widowControl/>
        <w:rPr>
          <w:rFonts w:cs="Arial"/>
        </w:rPr>
      </w:pPr>
    </w:p>
    <w:p w14:paraId="05792F1C" w14:textId="670F9F40" w:rsidR="006F6359" w:rsidRDefault="006C040F" w:rsidP="006E51EF">
      <w:pPr>
        <w:widowControl/>
      </w:pPr>
      <w:r>
        <w:t xml:space="preserve">The nutrition assessment concluded that haem iron from soy leghemoglobin is expected to have similar bioavailability to haem iron </w:t>
      </w:r>
      <w:r>
        <w:rPr>
          <w:rFonts w:cs="Arial"/>
        </w:rPr>
        <w:t>from mammalian haem proteins (e.g. myoglobin present in muscle tissue)</w:t>
      </w:r>
      <w:r>
        <w:t xml:space="preserve">. </w:t>
      </w:r>
      <w:r w:rsidR="00893CDD" w:rsidRPr="00893CDD">
        <w:rPr>
          <w:rFonts w:cs="Arial"/>
        </w:rPr>
        <w:t>However, in the absence of in vivo studies, a quantitative comparison of haem ir</w:t>
      </w:r>
      <w:r w:rsidR="00893CDD">
        <w:rPr>
          <w:rFonts w:cs="Arial"/>
        </w:rPr>
        <w:t>on bioavailability from soy leg</w:t>
      </w:r>
      <w:r w:rsidR="00893CDD" w:rsidRPr="00893CDD">
        <w:rPr>
          <w:rFonts w:cs="Arial"/>
        </w:rPr>
        <w:t>hemoglobin and other haem proteins is not possible.</w:t>
      </w:r>
      <w:r w:rsidR="00893CDD">
        <w:rPr>
          <w:rFonts w:cs="Arial"/>
        </w:rPr>
        <w:t xml:space="preserve"> </w:t>
      </w:r>
      <w:r w:rsidR="00955FB0">
        <w:rPr>
          <w:rFonts w:cs="Arial"/>
        </w:rPr>
        <w:t>T</w:t>
      </w:r>
      <w:r w:rsidR="006F6359">
        <w:t>he absence of meat proteins in the proposed meat analogue products may decrease the bioavailability of haem iron from soy leghemoglobin. However, as i</w:t>
      </w:r>
      <w:r w:rsidR="006F6359" w:rsidRPr="00B237C9">
        <w:rPr>
          <w:rFonts w:cs="Arial"/>
        </w:rPr>
        <w:t>ron absorption is regulated</w:t>
      </w:r>
      <w:r w:rsidR="006F6359">
        <w:rPr>
          <w:rFonts w:cs="Arial"/>
        </w:rPr>
        <w:t xml:space="preserve"> tightly</w:t>
      </w:r>
      <w:r w:rsidR="006F6359" w:rsidRPr="00B237C9">
        <w:rPr>
          <w:rFonts w:cs="Arial"/>
        </w:rPr>
        <w:t xml:space="preserve"> by the body</w:t>
      </w:r>
      <w:r w:rsidR="006F6359">
        <w:rPr>
          <w:rFonts w:cs="Arial"/>
        </w:rPr>
        <w:t>, and</w:t>
      </w:r>
      <w:r w:rsidR="006F6359">
        <w:t xml:space="preserve"> </w:t>
      </w:r>
      <w:r w:rsidR="00D60B61">
        <w:t xml:space="preserve">the </w:t>
      </w:r>
      <w:r w:rsidR="00131DA0">
        <w:t>proposed</w:t>
      </w:r>
      <w:r w:rsidR="00D60B61">
        <w:t xml:space="preserve"> </w:t>
      </w:r>
      <w:r w:rsidR="006F6359">
        <w:t>meat analogue products have higher total iron content due to higher content of non-haem iron relative to comparison foods, any decrease in haem iron bioavailability should not result in a nutritional disadvantage to consumers in Australia and New Zealand.</w:t>
      </w:r>
    </w:p>
    <w:p w14:paraId="1511029E" w14:textId="77777777" w:rsidR="006F6359" w:rsidRDefault="006F6359" w:rsidP="006E51EF">
      <w:pPr>
        <w:widowControl/>
        <w:tabs>
          <w:tab w:val="left" w:pos="1139"/>
        </w:tabs>
        <w:rPr>
          <w:rFonts w:cs="Arial"/>
        </w:rPr>
      </w:pPr>
    </w:p>
    <w:p w14:paraId="1089FC60" w14:textId="1BBA9046" w:rsidR="006F6359" w:rsidRPr="00357E4A" w:rsidRDefault="006F6359" w:rsidP="006E51EF">
      <w:pPr>
        <w:widowControl/>
        <w:rPr>
          <w:rFonts w:cs="Arial"/>
        </w:rPr>
      </w:pPr>
      <w:r w:rsidRPr="00874E96">
        <w:rPr>
          <w:rFonts w:cs="Arial"/>
        </w:rPr>
        <w:t>The estimated intake</w:t>
      </w:r>
      <w:r>
        <w:rPr>
          <w:rFonts w:cs="Arial"/>
        </w:rPr>
        <w:t>s</w:t>
      </w:r>
      <w:r w:rsidRPr="00874E96">
        <w:rPr>
          <w:rFonts w:cs="Arial"/>
        </w:rPr>
        <w:t xml:space="preserve"> of iron (with the additional iron contribution from soy leghemoglobin) for all population age/sex groups assessed for both the Australian and New Zealand populations </w:t>
      </w:r>
      <w:r>
        <w:rPr>
          <w:rFonts w:cs="Arial"/>
        </w:rPr>
        <w:t>are</w:t>
      </w:r>
      <w:r w:rsidRPr="00874E96">
        <w:rPr>
          <w:rFonts w:cs="Arial"/>
        </w:rPr>
        <w:t xml:space="preserve"> below the U</w:t>
      </w:r>
      <w:r w:rsidR="00222824">
        <w:rPr>
          <w:rFonts w:cs="Arial"/>
        </w:rPr>
        <w:t xml:space="preserve">pper </w:t>
      </w:r>
      <w:r w:rsidRPr="00874E96">
        <w:rPr>
          <w:rFonts w:cs="Arial"/>
        </w:rPr>
        <w:t>L</w:t>
      </w:r>
      <w:r w:rsidR="00222824">
        <w:rPr>
          <w:rFonts w:cs="Arial"/>
        </w:rPr>
        <w:t>imit</w:t>
      </w:r>
      <w:r>
        <w:rPr>
          <w:rFonts w:cs="Arial"/>
        </w:rPr>
        <w:t>s</w:t>
      </w:r>
      <w:r w:rsidR="00222824">
        <w:rPr>
          <w:rFonts w:cs="Arial"/>
        </w:rPr>
        <w:t xml:space="preserve"> (ULs)</w:t>
      </w:r>
      <w:r w:rsidRPr="00874E96">
        <w:rPr>
          <w:rFonts w:cs="Arial"/>
        </w:rPr>
        <w:t xml:space="preserve"> for iron. The estimated iron intakes in FSANZs assessment, for both the </w:t>
      </w:r>
      <w:r w:rsidRPr="00874E96">
        <w:rPr>
          <w:rFonts w:cs="Arial"/>
          <w:i/>
        </w:rPr>
        <w:t xml:space="preserve">maximum proposed use level </w:t>
      </w:r>
      <w:r w:rsidRPr="00874E96">
        <w:rPr>
          <w:rFonts w:cs="Arial"/>
        </w:rPr>
        <w:t xml:space="preserve">and </w:t>
      </w:r>
      <w:r w:rsidRPr="00874E96">
        <w:rPr>
          <w:rFonts w:cs="Arial"/>
          <w:i/>
        </w:rPr>
        <w:t xml:space="preserve">likely use level </w:t>
      </w:r>
      <w:r w:rsidRPr="00874E96">
        <w:rPr>
          <w:rFonts w:cs="Arial"/>
        </w:rPr>
        <w:t>scenarios, are considered to be conservative and an overestimation of actual iron intakes. It is unlikely that consumption of meat analogue products containing soy leghemoglobin would pose a risk of iron exceedance to the Australian and New Zealand populations, including at levels up to 0.8% soy leghemoglobin</w:t>
      </w:r>
      <w:r>
        <w:rPr>
          <w:rFonts w:cs="Arial"/>
        </w:rPr>
        <w:t>.</w:t>
      </w:r>
    </w:p>
    <w:p w14:paraId="57ED8B38" w14:textId="1D2B3ACA" w:rsidR="00C37BDA" w:rsidRDefault="00C37BDA" w:rsidP="006E51EF">
      <w:pPr>
        <w:pStyle w:val="Heading3"/>
        <w:widowControl/>
        <w:rPr>
          <w:rFonts w:eastAsia="Calibri"/>
        </w:rPr>
      </w:pPr>
      <w:bookmarkStart w:id="124" w:name="_Toc53406107"/>
      <w:bookmarkStart w:id="125" w:name="_Toc53484617"/>
      <w:bookmarkStart w:id="126" w:name="_Toc58840800"/>
      <w:r>
        <w:rPr>
          <w:rFonts w:eastAsia="Calibri"/>
        </w:rPr>
        <w:lastRenderedPageBreak/>
        <w:t>2.2.3</w:t>
      </w:r>
      <w:r w:rsidR="004B4FE0" w:rsidRPr="006A3FAB">
        <w:tab/>
      </w:r>
      <w:r>
        <w:rPr>
          <w:rFonts w:eastAsia="Calibri"/>
        </w:rPr>
        <w:t>Risk and technical assessment conclusion</w:t>
      </w:r>
      <w:bookmarkEnd w:id="124"/>
      <w:bookmarkEnd w:id="125"/>
      <w:bookmarkEnd w:id="126"/>
    </w:p>
    <w:p w14:paraId="1B51DBD3" w14:textId="2ADCFC5F" w:rsidR="00891975" w:rsidRDefault="00C37BDA" w:rsidP="008318CD">
      <w:pPr>
        <w:widowControl/>
        <w:spacing w:after="240"/>
        <w:rPr>
          <w:rFonts w:eastAsia="Calibri"/>
          <w:szCs w:val="22"/>
          <w:lang w:bidi="ar-SA"/>
        </w:rPr>
      </w:pPr>
      <w:r>
        <w:rPr>
          <w:rFonts w:eastAsia="Calibri"/>
          <w:szCs w:val="22"/>
          <w:lang w:bidi="ar-SA"/>
        </w:rPr>
        <w:t>FSANZ consider</w:t>
      </w:r>
      <w:r w:rsidR="004B4FE0">
        <w:rPr>
          <w:rFonts w:eastAsia="Calibri"/>
          <w:szCs w:val="22"/>
          <w:lang w:bidi="ar-SA"/>
        </w:rPr>
        <w:t>ed</w:t>
      </w:r>
      <w:r>
        <w:rPr>
          <w:rFonts w:eastAsia="Calibri"/>
          <w:szCs w:val="22"/>
          <w:lang w:bidi="ar-SA"/>
        </w:rPr>
        <w:t xml:space="preserve"> t</w:t>
      </w:r>
      <w:r w:rsidR="006F6359">
        <w:rPr>
          <w:rFonts w:eastAsia="Calibri"/>
          <w:szCs w:val="22"/>
          <w:lang w:bidi="ar-SA"/>
        </w:rPr>
        <w:t xml:space="preserve">he </w:t>
      </w:r>
      <w:r w:rsidR="006F6359" w:rsidRPr="00874E96">
        <w:rPr>
          <w:rFonts w:eastAsia="Calibri"/>
          <w:szCs w:val="22"/>
          <w:lang w:bidi="ar-SA"/>
        </w:rPr>
        <w:t>assessment of</w:t>
      </w:r>
      <w:r w:rsidR="006F6359">
        <w:rPr>
          <w:rFonts w:eastAsia="Calibri"/>
          <w:szCs w:val="22"/>
          <w:lang w:bidi="ar-SA"/>
        </w:rPr>
        <w:t xml:space="preserve"> the</w:t>
      </w:r>
      <w:r w:rsidR="006F6359" w:rsidRPr="00874E96">
        <w:rPr>
          <w:rFonts w:eastAsia="Calibri"/>
          <w:szCs w:val="22"/>
          <w:lang w:bidi="ar-SA"/>
        </w:rPr>
        <w:t xml:space="preserve"> </w:t>
      </w:r>
      <w:r w:rsidR="004B4FE0">
        <w:rPr>
          <w:rFonts w:eastAsia="Calibri"/>
          <w:szCs w:val="22"/>
          <w:lang w:bidi="ar-SA"/>
        </w:rPr>
        <w:t>P</w:t>
      </w:r>
      <w:r>
        <w:rPr>
          <w:rFonts w:eastAsia="Calibri"/>
          <w:szCs w:val="22"/>
          <w:lang w:bidi="ar-SA"/>
        </w:rPr>
        <w:t>reparation, including the soy leghemoglobin,</w:t>
      </w:r>
      <w:r w:rsidR="00357E4A">
        <w:rPr>
          <w:rFonts w:eastAsia="Calibri"/>
          <w:szCs w:val="22"/>
          <w:lang w:bidi="ar-SA"/>
        </w:rPr>
        <w:t xml:space="preserve"> </w:t>
      </w:r>
      <w:r>
        <w:rPr>
          <w:rFonts w:eastAsia="Calibri"/>
          <w:szCs w:val="22"/>
          <w:lang w:bidi="ar-SA"/>
        </w:rPr>
        <w:t>raise</w:t>
      </w:r>
      <w:r w:rsidR="004B4FE0">
        <w:rPr>
          <w:rFonts w:eastAsia="Calibri"/>
          <w:szCs w:val="22"/>
          <w:lang w:bidi="ar-SA"/>
        </w:rPr>
        <w:t>d</w:t>
      </w:r>
      <w:r w:rsidRPr="00874E96">
        <w:rPr>
          <w:rFonts w:eastAsia="Calibri"/>
          <w:szCs w:val="22"/>
          <w:lang w:bidi="ar-SA"/>
        </w:rPr>
        <w:t xml:space="preserve"> </w:t>
      </w:r>
      <w:r w:rsidR="006F6359" w:rsidRPr="00874E96">
        <w:rPr>
          <w:rFonts w:eastAsia="Calibri"/>
          <w:szCs w:val="22"/>
          <w:lang w:bidi="ar-SA"/>
        </w:rPr>
        <w:t xml:space="preserve">no public health and safety concerns associated with its use in meat analogue products at the proposed </w:t>
      </w:r>
      <w:r w:rsidR="006F6359">
        <w:rPr>
          <w:rFonts w:eastAsia="Calibri"/>
          <w:szCs w:val="22"/>
          <w:lang w:bidi="ar-SA"/>
        </w:rPr>
        <w:t xml:space="preserve">maximum </w:t>
      </w:r>
      <w:r w:rsidR="006F6359" w:rsidRPr="00874E96">
        <w:rPr>
          <w:rFonts w:eastAsia="Calibri"/>
          <w:szCs w:val="22"/>
          <w:lang w:bidi="ar-SA"/>
        </w:rPr>
        <w:t>level</w:t>
      </w:r>
      <w:r w:rsidR="006F6359">
        <w:rPr>
          <w:rFonts w:eastAsia="Calibri"/>
          <w:szCs w:val="22"/>
          <w:lang w:bidi="ar-SA"/>
        </w:rPr>
        <w:t xml:space="preserve"> of 0.8%</w:t>
      </w:r>
      <w:r w:rsidR="00F57184">
        <w:rPr>
          <w:rFonts w:eastAsia="Calibri"/>
          <w:szCs w:val="22"/>
          <w:lang w:bidi="ar-SA"/>
        </w:rPr>
        <w:t xml:space="preserve"> soy leghemoglobin</w:t>
      </w:r>
      <w:r>
        <w:rPr>
          <w:rFonts w:eastAsia="Calibri"/>
          <w:szCs w:val="22"/>
          <w:lang w:bidi="ar-SA"/>
        </w:rPr>
        <w:t xml:space="preserve"> in raw product</w:t>
      </w:r>
      <w:r w:rsidR="006F6359" w:rsidRPr="00874E96">
        <w:rPr>
          <w:rFonts w:eastAsia="Calibri"/>
          <w:szCs w:val="22"/>
          <w:lang w:bidi="ar-SA"/>
        </w:rPr>
        <w:t xml:space="preserve">. </w:t>
      </w:r>
      <w:r w:rsidR="00891975">
        <w:rPr>
          <w:rFonts w:eastAsia="Calibri"/>
          <w:szCs w:val="22"/>
          <w:lang w:bidi="ar-SA"/>
        </w:rPr>
        <w:br w:type="page"/>
      </w:r>
    </w:p>
    <w:p w14:paraId="20AEDEC2" w14:textId="2D6D1C5C" w:rsidR="006F6359" w:rsidRPr="00932F14" w:rsidRDefault="006F6359" w:rsidP="006E51EF">
      <w:pPr>
        <w:pStyle w:val="Heading1"/>
        <w:widowControl/>
      </w:pPr>
      <w:bookmarkStart w:id="127" w:name="_Toc41576653"/>
      <w:bookmarkStart w:id="128" w:name="_Toc42875216"/>
      <w:bookmarkStart w:id="129" w:name="_Toc43128121"/>
      <w:bookmarkStart w:id="130" w:name="_Toc53406108"/>
      <w:bookmarkStart w:id="131" w:name="_Toc53484618"/>
      <w:bookmarkStart w:id="132" w:name="_Toc58840801"/>
      <w:bookmarkStart w:id="133" w:name="_Toc309291814"/>
      <w:bookmarkStart w:id="134" w:name="_Toc370225389"/>
      <w:bookmarkStart w:id="135" w:name="_Toc286391012"/>
      <w:bookmarkEnd w:id="115"/>
      <w:bookmarkEnd w:id="116"/>
      <w:bookmarkEnd w:id="117"/>
      <w:r>
        <w:lastRenderedPageBreak/>
        <w:t>3</w:t>
      </w:r>
      <w:r>
        <w:tab/>
        <w:t>Risk management</w:t>
      </w:r>
      <w:bookmarkEnd w:id="127"/>
      <w:bookmarkEnd w:id="128"/>
      <w:bookmarkEnd w:id="129"/>
      <w:bookmarkEnd w:id="130"/>
      <w:bookmarkEnd w:id="131"/>
      <w:bookmarkEnd w:id="132"/>
    </w:p>
    <w:p w14:paraId="6FA46B20" w14:textId="28C99251" w:rsidR="006F6359" w:rsidRPr="006716FD" w:rsidRDefault="006F6359" w:rsidP="006E51EF">
      <w:pPr>
        <w:pStyle w:val="Heading2"/>
        <w:widowControl/>
        <w:rPr>
          <w:rFonts w:eastAsia="Calibri"/>
        </w:rPr>
      </w:pPr>
      <w:bookmarkStart w:id="136" w:name="_Toc26284647"/>
      <w:bookmarkStart w:id="137" w:name="_Toc26980498"/>
      <w:bookmarkStart w:id="138" w:name="_Toc26980500"/>
      <w:bookmarkStart w:id="139" w:name="_Toc41576654"/>
      <w:bookmarkStart w:id="140" w:name="_Toc42875217"/>
      <w:bookmarkStart w:id="141" w:name="_Toc43128122"/>
      <w:bookmarkStart w:id="142" w:name="_Toc53406109"/>
      <w:bookmarkStart w:id="143" w:name="_Toc53484619"/>
      <w:bookmarkStart w:id="144" w:name="_Toc58840802"/>
      <w:bookmarkEnd w:id="136"/>
      <w:bookmarkEnd w:id="137"/>
      <w:r>
        <w:rPr>
          <w:rFonts w:eastAsia="Calibri"/>
        </w:rPr>
        <w:t>3</w:t>
      </w:r>
      <w:r w:rsidRPr="006716FD">
        <w:rPr>
          <w:rFonts w:eastAsia="Calibri"/>
        </w:rPr>
        <w:t>.</w:t>
      </w:r>
      <w:r>
        <w:rPr>
          <w:rFonts w:eastAsia="Calibri"/>
        </w:rPr>
        <w:t>1</w:t>
      </w:r>
      <w:r w:rsidRPr="006716FD">
        <w:rPr>
          <w:rFonts w:eastAsia="Calibri"/>
        </w:rPr>
        <w:tab/>
      </w:r>
      <w:bookmarkEnd w:id="138"/>
      <w:r>
        <w:rPr>
          <w:rFonts w:eastAsia="Calibri"/>
        </w:rPr>
        <w:t>Regulation of soy leghemoglobin in the Code</w:t>
      </w:r>
      <w:bookmarkEnd w:id="139"/>
      <w:bookmarkEnd w:id="140"/>
      <w:bookmarkEnd w:id="141"/>
      <w:bookmarkEnd w:id="142"/>
      <w:bookmarkEnd w:id="143"/>
      <w:bookmarkEnd w:id="144"/>
    </w:p>
    <w:p w14:paraId="24AF6BC3" w14:textId="5EEC1018" w:rsidR="00B86919" w:rsidRDefault="00EE0FFD" w:rsidP="006E51EF">
      <w:pPr>
        <w:widowControl/>
      </w:pPr>
      <w:r>
        <w:t>Due to its production method,</w:t>
      </w:r>
      <w:r>
        <w:rPr>
          <w:szCs w:val="22"/>
        </w:rPr>
        <w:t xml:space="preserve"> </w:t>
      </w:r>
      <w:r w:rsidR="006F6359">
        <w:rPr>
          <w:szCs w:val="22"/>
        </w:rPr>
        <w:t xml:space="preserve">FSANZ assessed </w:t>
      </w:r>
      <w:r w:rsidR="00A764F7">
        <w:rPr>
          <w:szCs w:val="22"/>
        </w:rPr>
        <w:t>the Preparation containing</w:t>
      </w:r>
      <w:r>
        <w:rPr>
          <w:szCs w:val="22"/>
        </w:rPr>
        <w:t xml:space="preserve"> soy leghemoglobin </w:t>
      </w:r>
      <w:r w:rsidR="006F6359">
        <w:rPr>
          <w:szCs w:val="22"/>
        </w:rPr>
        <w:t>as a</w:t>
      </w:r>
      <w:r w:rsidR="006F6359">
        <w:t xml:space="preserve"> food produced using gene technology. </w:t>
      </w:r>
      <w:r w:rsidR="00B86919">
        <w:t xml:space="preserve">This enabled an assessment of the residual </w:t>
      </w:r>
      <w:r w:rsidR="00B86919" w:rsidRPr="00B86919">
        <w:rPr>
          <w:i/>
        </w:rPr>
        <w:t>Pichia</w:t>
      </w:r>
      <w:r w:rsidR="00B86919">
        <w:rPr>
          <w:i/>
        </w:rPr>
        <w:t xml:space="preserve"> </w:t>
      </w:r>
      <w:r w:rsidR="00B86919">
        <w:t xml:space="preserve">protein and genomic DNA in the Preparation. </w:t>
      </w:r>
      <w:r w:rsidR="006C1313">
        <w:t xml:space="preserve">In the approved draft variation, the </w:t>
      </w:r>
      <w:r w:rsidR="00B86919">
        <w:t xml:space="preserve">definition and </w:t>
      </w:r>
      <w:r w:rsidR="007D0111">
        <w:t>p</w:t>
      </w:r>
      <w:r>
        <w:t xml:space="preserve">ermission for the Preparation </w:t>
      </w:r>
      <w:r w:rsidR="007D0111">
        <w:t>is</w:t>
      </w:r>
      <w:r>
        <w:t xml:space="preserve"> provided </w:t>
      </w:r>
      <w:r w:rsidR="006C1313">
        <w:t xml:space="preserve">in </w:t>
      </w:r>
      <w:r>
        <w:t xml:space="preserve">Schedule 26 of the Code, with its specification outlined in Schedule 3. </w:t>
      </w:r>
    </w:p>
    <w:p w14:paraId="1F53DA73" w14:textId="77777777" w:rsidR="00B86919" w:rsidRDefault="00B86919" w:rsidP="006E51EF">
      <w:pPr>
        <w:widowControl/>
      </w:pPr>
    </w:p>
    <w:p w14:paraId="155D65E8" w14:textId="6CAAE895" w:rsidR="00EE0FFD" w:rsidRDefault="007D0111" w:rsidP="006E51EF">
      <w:pPr>
        <w:widowControl/>
      </w:pPr>
      <w:r>
        <w:t xml:space="preserve">Due to its use as a source of iron, FSANZ assessed soy leghemoglobin as a </w:t>
      </w:r>
      <w:r w:rsidR="004B4FE0">
        <w:t xml:space="preserve">permitted form of iron, a </w:t>
      </w:r>
      <w:r>
        <w:t>nutritive substance.</w:t>
      </w:r>
      <w:r w:rsidR="00B86919">
        <w:t xml:space="preserve"> </w:t>
      </w:r>
      <w:r w:rsidR="00B86919">
        <w:rPr>
          <w:szCs w:val="22"/>
        </w:rPr>
        <w:t>This enabled an assessment of the bioavailability of iron in soy l</w:t>
      </w:r>
      <w:r w:rsidR="00B86919">
        <w:t>eghemoglobin</w:t>
      </w:r>
      <w:r w:rsidR="00B86919">
        <w:rPr>
          <w:szCs w:val="22"/>
        </w:rPr>
        <w:t>.</w:t>
      </w:r>
      <w:r>
        <w:t xml:space="preserve"> </w:t>
      </w:r>
      <w:r w:rsidR="006C1313">
        <w:t>In the approved draft variation, t</w:t>
      </w:r>
      <w:r>
        <w:t>h</w:t>
      </w:r>
      <w:r w:rsidR="006C1313">
        <w:t>e</w:t>
      </w:r>
      <w:r>
        <w:t xml:space="preserve"> </w:t>
      </w:r>
      <w:r w:rsidR="00EE0FFD">
        <w:t xml:space="preserve">permission is provided </w:t>
      </w:r>
      <w:r w:rsidR="006C1313">
        <w:t xml:space="preserve">in </w:t>
      </w:r>
      <w:r w:rsidR="00EE0FFD">
        <w:t>Schedule 17</w:t>
      </w:r>
      <w:r w:rsidR="007A2CBD">
        <w:t>.</w:t>
      </w:r>
    </w:p>
    <w:p w14:paraId="4E696131" w14:textId="5C6237FE" w:rsidR="00EE0FFD" w:rsidRDefault="00EE0FFD" w:rsidP="006E51EF">
      <w:pPr>
        <w:widowControl/>
      </w:pPr>
    </w:p>
    <w:p w14:paraId="7B2470DE" w14:textId="07045096" w:rsidR="00CE395A" w:rsidRDefault="006F6359" w:rsidP="00CE395A">
      <w:pPr>
        <w:widowControl/>
        <w:spacing w:after="240"/>
      </w:pPr>
      <w:r>
        <w:t xml:space="preserve">FSANZ </w:t>
      </w:r>
      <w:r w:rsidR="00CE395A">
        <w:t>concluded it was not necessary to complete a novel food assessment because:</w:t>
      </w:r>
    </w:p>
    <w:p w14:paraId="400AF5E6" w14:textId="77777777" w:rsidR="00CE395A" w:rsidRDefault="00CE395A" w:rsidP="00CE395A">
      <w:pPr>
        <w:pStyle w:val="ListParagraph"/>
        <w:widowControl/>
        <w:numPr>
          <w:ilvl w:val="0"/>
          <w:numId w:val="51"/>
        </w:numPr>
      </w:pPr>
      <w:r>
        <w:t xml:space="preserve">a GM production method is used for the manufacture of the soy leghemoglobin in the Preparation, so </w:t>
      </w:r>
      <w:r w:rsidDel="008E5008">
        <w:t xml:space="preserve">FSANZ </w:t>
      </w:r>
      <w:r>
        <w:t xml:space="preserve">assessed all components of the Preparation under Standard 1.5.2 – </w:t>
      </w:r>
      <w:r w:rsidRPr="00AE1E35">
        <w:rPr>
          <w:i/>
        </w:rPr>
        <w:t>Food produced using gene technology</w:t>
      </w:r>
      <w:r>
        <w:t>;</w:t>
      </w:r>
    </w:p>
    <w:p w14:paraId="7F885F21" w14:textId="77777777" w:rsidR="00CE395A" w:rsidRDefault="00CE395A" w:rsidP="00CE395A">
      <w:pPr>
        <w:pStyle w:val="ListParagraph"/>
        <w:widowControl/>
        <w:numPr>
          <w:ilvl w:val="0"/>
          <w:numId w:val="50"/>
        </w:numPr>
      </w:pPr>
      <w:r>
        <w:t>There is no requirement in the Code for a substance to be assessed or permitted as both a GM and novel food.</w:t>
      </w:r>
    </w:p>
    <w:p w14:paraId="65E310F7" w14:textId="586236C6" w:rsidR="00B657DB" w:rsidRDefault="00CE395A" w:rsidP="00CE395A">
      <w:pPr>
        <w:pStyle w:val="ListParagraph"/>
        <w:widowControl/>
        <w:numPr>
          <w:ilvl w:val="0"/>
          <w:numId w:val="50"/>
        </w:numPr>
      </w:pPr>
      <w:r>
        <w:t xml:space="preserve">This approach is consistent with other applications FSANZ has undertaken (i.e. A1155 – </w:t>
      </w:r>
      <w:r w:rsidRPr="004A24F7">
        <w:rPr>
          <w:i/>
        </w:rPr>
        <w:t xml:space="preserve">2’-FL and </w:t>
      </w:r>
      <w:proofErr w:type="spellStart"/>
      <w:r w:rsidRPr="004A24F7">
        <w:rPr>
          <w:i/>
        </w:rPr>
        <w:t>LNnT</w:t>
      </w:r>
      <w:proofErr w:type="spellEnd"/>
      <w:r w:rsidRPr="004A24F7">
        <w:rPr>
          <w:i/>
        </w:rPr>
        <w:t xml:space="preserve"> in infant formula and other products</w:t>
      </w:r>
      <w:r>
        <w:t>).</w:t>
      </w:r>
    </w:p>
    <w:p w14:paraId="73A5E6BA" w14:textId="736C9C6B" w:rsidR="006F6359" w:rsidRPr="00755FDC" w:rsidRDefault="006F6359" w:rsidP="006E51EF">
      <w:pPr>
        <w:widowControl/>
      </w:pPr>
    </w:p>
    <w:p w14:paraId="0A480856" w14:textId="6856FB34" w:rsidR="00CE395A" w:rsidRDefault="00CE395A" w:rsidP="00CE395A">
      <w:pPr>
        <w:widowControl/>
      </w:pPr>
      <w:bookmarkStart w:id="145" w:name="_Toc26284648"/>
      <w:bookmarkStart w:id="146" w:name="_Toc26980501"/>
      <w:bookmarkStart w:id="147" w:name="_Toc41576655"/>
      <w:bookmarkStart w:id="148" w:name="_Toc42875218"/>
      <w:bookmarkStart w:id="149" w:name="_Toc43128123"/>
      <w:r>
        <w:t>Some stakeholders consider soy leghemoglobin should be regulated as a food additive (flavouring) because it is regulated as such in some countries overseas. FSANZ</w:t>
      </w:r>
      <w:r w:rsidDel="000E0F8A">
        <w:t xml:space="preserve"> </w:t>
      </w:r>
      <w:r>
        <w:t xml:space="preserve">acknowledges that </w:t>
      </w:r>
      <w:r w:rsidRPr="00E66811">
        <w:t>the addition of soy leghemoglobin can provide a flavouring and colouring effect, similar to that of myoglobin.</w:t>
      </w:r>
      <w:r>
        <w:t xml:space="preserve"> FSANZ has given significant consideration to this issue:</w:t>
      </w:r>
    </w:p>
    <w:p w14:paraId="1A9E86B0" w14:textId="372995E5" w:rsidR="00CE395A" w:rsidRDefault="00CE395A" w:rsidP="00CE395A">
      <w:pPr>
        <w:widowControl/>
      </w:pPr>
    </w:p>
    <w:p w14:paraId="71C232C8" w14:textId="4579FE10" w:rsidR="00CE395A" w:rsidRDefault="00CE395A" w:rsidP="00CE395A">
      <w:pPr>
        <w:pStyle w:val="ListParagraph"/>
        <w:widowControl/>
        <w:numPr>
          <w:ilvl w:val="0"/>
          <w:numId w:val="52"/>
        </w:numPr>
      </w:pPr>
      <w:r>
        <w:t>Assessment of the GM and nutritive aspects of soy leghemoglobin ensured the safety, bioavailability and regulatory clarity of soy leghemoglobin in the Preparation, which resulted in permissions for a food produced using gene technology, and a permitted form of the mineral iron – a nutritive substance.</w:t>
      </w:r>
    </w:p>
    <w:p w14:paraId="42231B37" w14:textId="77777777" w:rsidR="00CE395A" w:rsidRPr="00CA29EF" w:rsidRDefault="00CE395A" w:rsidP="00CE395A">
      <w:pPr>
        <w:pStyle w:val="ListParagraph"/>
        <w:widowControl/>
        <w:numPr>
          <w:ilvl w:val="0"/>
          <w:numId w:val="52"/>
        </w:numPr>
        <w:rPr>
          <w:i/>
        </w:rPr>
      </w:pPr>
      <w:r>
        <w:t>The application referred to both the nutritional and flavouring functions of soy leghemoglobin; there was no reference to a colouring function.</w:t>
      </w:r>
    </w:p>
    <w:p w14:paraId="57D7F0DC" w14:textId="77777777" w:rsidR="00CE395A" w:rsidRDefault="00CE395A" w:rsidP="00CE395A">
      <w:pPr>
        <w:pStyle w:val="ListParagraph"/>
        <w:widowControl/>
        <w:numPr>
          <w:ilvl w:val="0"/>
          <w:numId w:val="52"/>
        </w:numPr>
      </w:pPr>
      <w:r>
        <w:t>FSANZ therefore considered also assessing as a food additive (flavouring), noting it would result in three separate permissions for the one ingredient in the Code.</w:t>
      </w:r>
    </w:p>
    <w:p w14:paraId="124006A2" w14:textId="77777777" w:rsidR="00CE395A" w:rsidRDefault="00CE395A" w:rsidP="00CE395A">
      <w:pPr>
        <w:pStyle w:val="ListParagraph"/>
        <w:widowControl/>
        <w:numPr>
          <w:ilvl w:val="0"/>
          <w:numId w:val="52"/>
        </w:numPr>
      </w:pPr>
      <w:r>
        <w:t xml:space="preserve">The applicant’s flavour permission was sought as part of the novel food permission </w:t>
      </w:r>
      <w:r w:rsidRPr="0016594E">
        <w:rPr>
          <w:szCs w:val="22"/>
        </w:rPr>
        <w:t>(</w:t>
      </w:r>
      <w:r>
        <w:rPr>
          <w:szCs w:val="22"/>
        </w:rPr>
        <w:t xml:space="preserve">Section B.1, </w:t>
      </w:r>
      <w:r>
        <w:t>page 12 of the application)</w:t>
      </w:r>
      <w:r w:rsidRPr="0016594E">
        <w:rPr>
          <w:i/>
          <w:szCs w:val="22"/>
        </w:rPr>
        <w:t xml:space="preserve">. </w:t>
      </w:r>
      <w:r w:rsidRPr="0016594E">
        <w:rPr>
          <w:szCs w:val="22"/>
        </w:rPr>
        <w:t>A</w:t>
      </w:r>
      <w:r>
        <w:t>s discussed above, FSANZ did not undertake a novel food assessment so this section of the application was reviewed for relevant data and information, but not considered as part of the regulatory approach.</w:t>
      </w:r>
    </w:p>
    <w:p w14:paraId="3D4B3F1B" w14:textId="51EC81C5" w:rsidR="00CE395A" w:rsidRDefault="00CE395A" w:rsidP="00CE395A">
      <w:pPr>
        <w:pStyle w:val="ListParagraph"/>
        <w:widowControl/>
        <w:numPr>
          <w:ilvl w:val="0"/>
          <w:numId w:val="52"/>
        </w:numPr>
      </w:pPr>
      <w:r>
        <w:t>Upon review of the Code,</w:t>
      </w:r>
      <w:r w:rsidRPr="00A42C97">
        <w:t xml:space="preserve"> </w:t>
      </w:r>
      <w:r>
        <w:t>it was identified that regulation of soy leghemoglobin as a permitted flavouring substance would have had the unintended consequence of permitting soy leghemoglobin in all foods.</w:t>
      </w:r>
    </w:p>
    <w:p w14:paraId="0AC0C8E0" w14:textId="77777777" w:rsidR="00CE395A" w:rsidRDefault="00CE395A" w:rsidP="00CE395A">
      <w:pPr>
        <w:pStyle w:val="ListParagraph"/>
        <w:widowControl/>
        <w:numPr>
          <w:ilvl w:val="0"/>
          <w:numId w:val="52"/>
        </w:numPr>
      </w:pPr>
      <w:r>
        <w:t>FSANZ does not independently assess and regulate flavourings. Standard 1.1.2—2 defines ‘</w:t>
      </w:r>
      <w:r w:rsidRPr="0016594E">
        <w:t>permitted flavouring substance</w:t>
      </w:r>
      <w:r>
        <w:t>s’, and FSANZ determined that soy leghemoglobin does not align with paragraph a) – a list a of external publications for permitted flavourings, nor does it align with paragraph b) or c).</w:t>
      </w:r>
    </w:p>
    <w:p w14:paraId="20E6F997" w14:textId="761A1D46" w:rsidR="00CE395A" w:rsidRDefault="00CE395A" w:rsidP="00CE395A">
      <w:pPr>
        <w:pStyle w:val="ListParagraph"/>
        <w:widowControl/>
        <w:numPr>
          <w:ilvl w:val="0"/>
          <w:numId w:val="52"/>
        </w:numPr>
      </w:pPr>
      <w:r>
        <w:t xml:space="preserve">Soy leghemoglobin can contribute flavour and colour to Impossible meat analogue products, without having to be regulated as such. Many substances added to food may have multiple functions such as nutritive, flavouring and/or colouring. FSANZ consider the regulatory approach to not regulate every function of soy leghemoglobin is appropriate and consistent with that used for several multi-function substances in </w:t>
      </w:r>
      <w:r>
        <w:lastRenderedPageBreak/>
        <w:t>the Code. Most food ingredients, including nutritive substances could provide colour and flavour to food but that does not make them colours or flavouring food additives. Equally, several food additives such as calcium salts also contribute to the calcium content of food</w:t>
      </w:r>
      <w:r w:rsidR="004A24F7">
        <w:t>, but that does not make them nutritive substances</w:t>
      </w:r>
      <w:r>
        <w:t>.</w:t>
      </w:r>
    </w:p>
    <w:p w14:paraId="5801E2E1" w14:textId="77777777" w:rsidR="00CE395A" w:rsidRDefault="00CE395A" w:rsidP="00CE395A">
      <w:pPr>
        <w:pStyle w:val="ListParagraph"/>
        <w:widowControl/>
        <w:numPr>
          <w:ilvl w:val="0"/>
          <w:numId w:val="52"/>
        </w:numPr>
      </w:pPr>
      <w:r>
        <w:t>Additional permissions in</w:t>
      </w:r>
      <w:r w:rsidRPr="000E0F8A">
        <w:t xml:space="preserve"> the Code would </w:t>
      </w:r>
      <w:r>
        <w:t>not have provided any greater protection of public health and safety.</w:t>
      </w:r>
    </w:p>
    <w:p w14:paraId="5C9C734E" w14:textId="50A22E59" w:rsidR="00702A60" w:rsidRDefault="00702A60" w:rsidP="00702A60"/>
    <w:p w14:paraId="35B31A72" w14:textId="2EDC9B92" w:rsidR="00CE395A" w:rsidRPr="004E60CF" w:rsidRDefault="00CE395A" w:rsidP="00CE395A">
      <w:pPr>
        <w:rPr>
          <w:lang w:eastAsia="en-AU" w:bidi="ar-SA"/>
        </w:rPr>
      </w:pPr>
      <w:bookmarkStart w:id="150" w:name="_Toc53406110"/>
      <w:bookmarkStart w:id="151" w:name="_Toc53484620"/>
      <w:r w:rsidRPr="004E60CF">
        <w:t>The proposed regulatory approach (GM and nutritive substance permissions) aligns with the structure of the Code and appropriately reflects the nature of soy leghemoglobin (produced through microbial fermentation of a GM yeast, and as a source of iron). The approved variation tightly regulates soy leghemoglobin in the Preparation for safety,</w:t>
      </w:r>
      <w:r w:rsidRPr="004E60CF" w:rsidDel="0044484C">
        <w:t xml:space="preserve"> </w:t>
      </w:r>
      <w:r>
        <w:t xml:space="preserve">and </w:t>
      </w:r>
      <w:r w:rsidRPr="004E60CF">
        <w:t>allows flexible use for its functions in the applicant’s meat analogue products.</w:t>
      </w:r>
    </w:p>
    <w:p w14:paraId="6ADCC5E1" w14:textId="2DE7B8F1" w:rsidR="006F6359" w:rsidRDefault="006F6359" w:rsidP="00CE395A">
      <w:pPr>
        <w:pStyle w:val="Heading3"/>
        <w:widowControl/>
        <w:rPr>
          <w:rFonts w:eastAsia="Calibri"/>
        </w:rPr>
      </w:pPr>
      <w:bookmarkStart w:id="152" w:name="_Toc58840803"/>
      <w:r>
        <w:rPr>
          <w:rFonts w:eastAsia="Calibri"/>
        </w:rPr>
        <w:t>3.1.1</w:t>
      </w:r>
      <w:r>
        <w:rPr>
          <w:rFonts w:eastAsia="Calibri"/>
        </w:rPr>
        <w:tab/>
        <w:t xml:space="preserve">Permitted use levels of </w:t>
      </w:r>
      <w:r w:rsidR="00B86919">
        <w:rPr>
          <w:rFonts w:eastAsia="Calibri"/>
        </w:rPr>
        <w:t xml:space="preserve">the </w:t>
      </w:r>
      <w:r>
        <w:rPr>
          <w:rFonts w:eastAsia="Calibri"/>
        </w:rPr>
        <w:t>soy leghemoglobin</w:t>
      </w:r>
      <w:bookmarkEnd w:id="145"/>
      <w:bookmarkEnd w:id="146"/>
      <w:bookmarkEnd w:id="147"/>
      <w:bookmarkEnd w:id="148"/>
      <w:bookmarkEnd w:id="149"/>
      <w:bookmarkEnd w:id="150"/>
      <w:bookmarkEnd w:id="151"/>
      <w:bookmarkEnd w:id="152"/>
    </w:p>
    <w:p w14:paraId="32A045DF" w14:textId="5B242C90" w:rsidR="006F6359" w:rsidRDefault="006F6359" w:rsidP="006E51EF">
      <w:pPr>
        <w:widowControl/>
        <w:spacing w:after="240"/>
        <w:rPr>
          <w:rFonts w:eastAsia="Calibri"/>
          <w:szCs w:val="22"/>
          <w:lang w:bidi="ar-SA"/>
        </w:rPr>
      </w:pPr>
      <w:r w:rsidRPr="00224BC4">
        <w:rPr>
          <w:rFonts w:eastAsia="Calibri"/>
          <w:szCs w:val="22"/>
          <w:lang w:bidi="ar-SA"/>
        </w:rPr>
        <w:t xml:space="preserve">FSANZ has proposed a maximum permitted use level of 0.8% </w:t>
      </w:r>
      <w:r w:rsidR="00AC0C10" w:rsidRPr="00224BC4">
        <w:rPr>
          <w:rFonts w:eastAsia="Calibri"/>
          <w:szCs w:val="22"/>
          <w:lang w:bidi="ar-SA"/>
        </w:rPr>
        <w:t>soy leghemoglobin in raw product</w:t>
      </w:r>
      <w:r w:rsidR="00AC0C10" w:rsidRPr="00224BC4" w:rsidDel="00AC0C10">
        <w:rPr>
          <w:rFonts w:eastAsia="Calibri"/>
          <w:szCs w:val="22"/>
          <w:lang w:bidi="ar-SA"/>
        </w:rPr>
        <w:t xml:space="preserve"> </w:t>
      </w:r>
      <w:r>
        <w:rPr>
          <w:rFonts w:eastAsia="Calibri"/>
          <w:szCs w:val="22"/>
          <w:lang w:bidi="ar-SA"/>
        </w:rPr>
        <w:t>for the following reasons</w:t>
      </w:r>
      <w:r w:rsidRPr="00224BC4">
        <w:rPr>
          <w:rFonts w:eastAsia="Calibri"/>
          <w:szCs w:val="22"/>
          <w:lang w:bidi="ar-SA"/>
        </w:rPr>
        <w:t>:</w:t>
      </w:r>
    </w:p>
    <w:p w14:paraId="49A53CAD" w14:textId="2B3966DE" w:rsidR="006F6359" w:rsidRDefault="006F6359" w:rsidP="004B4FE0">
      <w:pPr>
        <w:pStyle w:val="ListParagraph"/>
        <w:widowControl/>
        <w:numPr>
          <w:ilvl w:val="0"/>
          <w:numId w:val="43"/>
        </w:numPr>
        <w:ind w:left="426" w:hanging="426"/>
        <w:rPr>
          <w:rFonts w:eastAsia="Calibri"/>
          <w:szCs w:val="22"/>
          <w:lang w:bidi="ar-SA"/>
        </w:rPr>
      </w:pPr>
      <w:r>
        <w:rPr>
          <w:rFonts w:eastAsia="Calibri"/>
          <w:szCs w:val="22"/>
          <w:lang w:bidi="ar-SA"/>
        </w:rPr>
        <w:t>T</w:t>
      </w:r>
      <w:r w:rsidRPr="00224BC4">
        <w:rPr>
          <w:rFonts w:eastAsia="Calibri"/>
          <w:szCs w:val="22"/>
          <w:lang w:bidi="ar-SA"/>
        </w:rPr>
        <w:t>here is an absence of safety data and information for</w:t>
      </w:r>
      <w:r w:rsidR="00B86919">
        <w:rPr>
          <w:rFonts w:eastAsia="Calibri"/>
          <w:szCs w:val="22"/>
          <w:lang w:bidi="ar-SA"/>
        </w:rPr>
        <w:t xml:space="preserve"> use</w:t>
      </w:r>
      <w:r w:rsidRPr="00224BC4">
        <w:rPr>
          <w:rFonts w:eastAsia="Calibri"/>
          <w:szCs w:val="22"/>
          <w:lang w:bidi="ar-SA"/>
        </w:rPr>
        <w:t xml:space="preserve"> levels above 0.8%</w:t>
      </w:r>
      <w:r>
        <w:rPr>
          <w:rFonts w:eastAsia="Calibri"/>
          <w:szCs w:val="22"/>
          <w:lang w:bidi="ar-SA"/>
        </w:rPr>
        <w:t>.</w:t>
      </w:r>
    </w:p>
    <w:p w14:paraId="63158952" w14:textId="77777777" w:rsidR="006F6359" w:rsidRPr="00224BC4" w:rsidRDefault="006F6359" w:rsidP="004B4FE0">
      <w:pPr>
        <w:pStyle w:val="ListParagraph"/>
        <w:widowControl/>
        <w:numPr>
          <w:ilvl w:val="0"/>
          <w:numId w:val="43"/>
        </w:numPr>
        <w:ind w:left="426" w:hanging="426"/>
        <w:rPr>
          <w:rFonts w:eastAsia="Calibri"/>
          <w:szCs w:val="22"/>
          <w:lang w:bidi="ar-SA"/>
        </w:rPr>
      </w:pPr>
      <w:r w:rsidRPr="00293CDD">
        <w:rPr>
          <w:rFonts w:eastAsia="Calibri"/>
          <w:szCs w:val="22"/>
          <w:lang w:bidi="ar-SA"/>
        </w:rPr>
        <w:t>Maximum use levels are usually set higher than intended use levels to allow for variability from batch to batch.</w:t>
      </w:r>
    </w:p>
    <w:p w14:paraId="4C41EBC6" w14:textId="2B06E340" w:rsidR="006F6359" w:rsidRPr="00293CDD" w:rsidRDefault="006F6359" w:rsidP="004B4FE0">
      <w:pPr>
        <w:pStyle w:val="ListParagraph"/>
        <w:widowControl/>
        <w:numPr>
          <w:ilvl w:val="0"/>
          <w:numId w:val="43"/>
        </w:numPr>
        <w:ind w:left="426" w:hanging="426"/>
        <w:rPr>
          <w:rFonts w:eastAsia="Calibri"/>
          <w:lang w:bidi="ar-SA"/>
        </w:rPr>
      </w:pPr>
      <w:r w:rsidRPr="00293CDD">
        <w:rPr>
          <w:rFonts w:eastAsia="Calibri"/>
          <w:szCs w:val="22"/>
          <w:lang w:bidi="ar-SA"/>
        </w:rPr>
        <w:t>The application indicates palatability starts to be adversely affected at levels beyond 0.8%</w:t>
      </w:r>
      <w:r w:rsidRPr="00293CDD">
        <w:rPr>
          <w:lang w:val="en-AU"/>
        </w:rPr>
        <w:t xml:space="preserve">. Specifically, this relates to the haem iron in the soy leghemoglobin </w:t>
      </w:r>
      <w:r w:rsidR="00A764F7">
        <w:rPr>
          <w:lang w:val="en-AU"/>
        </w:rPr>
        <w:t>resulting in</w:t>
      </w:r>
      <w:r w:rsidRPr="00293CDD">
        <w:rPr>
          <w:lang w:val="en-AU"/>
        </w:rPr>
        <w:t xml:space="preserve"> ‘livery’ or ‘metallic’ flavours that are off-putting</w:t>
      </w:r>
      <w:r w:rsidR="00B86919">
        <w:rPr>
          <w:lang w:val="en-AU"/>
        </w:rPr>
        <w:t xml:space="preserve"> to consumers</w:t>
      </w:r>
      <w:r w:rsidRPr="00293CDD">
        <w:rPr>
          <w:lang w:val="en-AU"/>
        </w:rPr>
        <w:t xml:space="preserve"> at higher levels.</w:t>
      </w:r>
    </w:p>
    <w:p w14:paraId="17FEF4BB" w14:textId="77777777" w:rsidR="006F6359" w:rsidRPr="00C0306D" w:rsidRDefault="006F6359" w:rsidP="004B4FE0">
      <w:pPr>
        <w:pStyle w:val="ListParagraph"/>
        <w:widowControl/>
        <w:numPr>
          <w:ilvl w:val="0"/>
          <w:numId w:val="43"/>
        </w:numPr>
        <w:ind w:left="426" w:hanging="426"/>
        <w:rPr>
          <w:rFonts w:eastAsia="Calibri"/>
          <w:szCs w:val="22"/>
          <w:lang w:bidi="ar-SA"/>
        </w:rPr>
      </w:pPr>
      <w:r>
        <w:rPr>
          <w:lang w:val="en-AU"/>
        </w:rPr>
        <w:t>T</w:t>
      </w:r>
      <w:r w:rsidRPr="008A254B">
        <w:rPr>
          <w:lang w:val="en-AU"/>
        </w:rPr>
        <w:t xml:space="preserve">his level </w:t>
      </w:r>
      <w:r w:rsidRPr="008A254B">
        <w:rPr>
          <w:rFonts w:eastAsia="Calibri"/>
          <w:szCs w:val="22"/>
          <w:lang w:bidi="ar-SA"/>
        </w:rPr>
        <w:t>aligns with the lower end of the range of myoglobin content in red meat (0.8 – 1.8%) (</w:t>
      </w:r>
      <w:r w:rsidRPr="004C3737">
        <w:rPr>
          <w:lang w:val="en-AU"/>
        </w:rPr>
        <w:t>Texas A&amp;M Institute, 2019</w:t>
      </w:r>
      <w:r w:rsidRPr="00194EBB">
        <w:rPr>
          <w:lang w:val="en-AU"/>
        </w:rPr>
        <w:t>)</w:t>
      </w:r>
      <w:r>
        <w:rPr>
          <w:lang w:val="en-AU"/>
        </w:rPr>
        <w:t xml:space="preserve">. </w:t>
      </w:r>
    </w:p>
    <w:p w14:paraId="2AFF6FB2" w14:textId="77777777" w:rsidR="006F6359" w:rsidRDefault="006F6359" w:rsidP="006E51EF">
      <w:pPr>
        <w:widowControl/>
        <w:rPr>
          <w:rFonts w:eastAsia="Calibri"/>
          <w:szCs w:val="22"/>
          <w:lang w:bidi="ar-SA"/>
        </w:rPr>
      </w:pPr>
    </w:p>
    <w:p w14:paraId="757F3E39" w14:textId="0724950C" w:rsidR="00B86919" w:rsidRPr="00224BC4" w:rsidRDefault="006F6359" w:rsidP="006E51EF">
      <w:pPr>
        <w:widowControl/>
        <w:spacing w:after="240"/>
        <w:rPr>
          <w:rFonts w:eastAsia="Calibri"/>
          <w:szCs w:val="22"/>
          <w:lang w:bidi="ar-SA"/>
        </w:rPr>
      </w:pPr>
      <w:r>
        <w:rPr>
          <w:rFonts w:eastAsia="Calibri"/>
          <w:szCs w:val="22"/>
          <w:lang w:bidi="ar-SA"/>
        </w:rPr>
        <w:t xml:space="preserve">FSANZ has not proposed to establish a minimum permitted use level because </w:t>
      </w:r>
      <w:r w:rsidRPr="00224BC4">
        <w:rPr>
          <w:rFonts w:eastAsia="Calibri"/>
          <w:szCs w:val="22"/>
          <w:lang w:bidi="ar-SA"/>
        </w:rPr>
        <w:t>soy leghemoglobin is proposed as a permitted form of iron while relying on the Code’s existing criteria for addition.</w:t>
      </w:r>
    </w:p>
    <w:p w14:paraId="79BF56A2" w14:textId="77777777" w:rsidR="006F6359" w:rsidRPr="00CC14BC" w:rsidRDefault="006F6359" w:rsidP="006E51EF">
      <w:pPr>
        <w:pStyle w:val="Heading3"/>
        <w:widowControl/>
        <w:rPr>
          <w:rFonts w:eastAsia="Calibri"/>
        </w:rPr>
      </w:pPr>
      <w:bookmarkStart w:id="153" w:name="_Toc41576656"/>
      <w:bookmarkStart w:id="154" w:name="_Toc42875219"/>
      <w:bookmarkStart w:id="155" w:name="_Toc43128124"/>
      <w:bookmarkStart w:id="156" w:name="_Toc53406111"/>
      <w:bookmarkStart w:id="157" w:name="_Toc53484621"/>
      <w:bookmarkStart w:id="158" w:name="_Toc58840804"/>
      <w:bookmarkStart w:id="159" w:name="_Toc26284649"/>
      <w:bookmarkStart w:id="160" w:name="_Toc26980502"/>
      <w:r>
        <w:rPr>
          <w:rFonts w:eastAsia="Calibri"/>
        </w:rPr>
        <w:t>3.1.2</w:t>
      </w:r>
      <w:r>
        <w:rPr>
          <w:rFonts w:eastAsia="Calibri"/>
        </w:rPr>
        <w:tab/>
        <w:t>Identifying levels of soy leghemoglobin in the food supply</w:t>
      </w:r>
      <w:bookmarkEnd w:id="153"/>
      <w:bookmarkEnd w:id="154"/>
      <w:bookmarkEnd w:id="155"/>
      <w:bookmarkEnd w:id="156"/>
      <w:bookmarkEnd w:id="157"/>
      <w:bookmarkEnd w:id="158"/>
    </w:p>
    <w:p w14:paraId="3C6B8820" w14:textId="4ABECBE8" w:rsidR="006F6359" w:rsidRDefault="006F6359" w:rsidP="006E51EF">
      <w:pPr>
        <w:widowControl/>
      </w:pPr>
      <w:r>
        <w:t>The applicant has demonstrated that soy l</w:t>
      </w:r>
      <w:r w:rsidRPr="004911E2">
        <w:t xml:space="preserve">eghemoglobin </w:t>
      </w:r>
      <w:r>
        <w:t xml:space="preserve">levels </w:t>
      </w:r>
      <w:r w:rsidRPr="004911E2">
        <w:t xml:space="preserve">can be quantitatively identified in the </w:t>
      </w:r>
      <w:r>
        <w:t xml:space="preserve">Impossible </w:t>
      </w:r>
      <w:r w:rsidRPr="004911E2">
        <w:t>burger</w:t>
      </w:r>
      <w:r>
        <w:t xml:space="preserve"> </w:t>
      </w:r>
      <w:r w:rsidR="00A764F7">
        <w:t xml:space="preserve">patties </w:t>
      </w:r>
      <w:r w:rsidRPr="004911E2">
        <w:t>based</w:t>
      </w:r>
      <w:r>
        <w:t xml:space="preserve"> </w:t>
      </w:r>
      <w:r w:rsidRPr="004911E2">
        <w:t xml:space="preserve">on </w:t>
      </w:r>
      <w:r w:rsidR="00B86919">
        <w:t>ultra-high</w:t>
      </w:r>
      <w:r>
        <w:t xml:space="preserve"> performance liquid chromatography </w:t>
      </w:r>
      <w:r w:rsidRPr="004911E2">
        <w:t>method</w:t>
      </w:r>
      <w:r>
        <w:t>ology</w:t>
      </w:r>
      <w:r w:rsidRPr="004911E2">
        <w:t xml:space="preserve">. </w:t>
      </w:r>
      <w:r>
        <w:t>A</w:t>
      </w:r>
      <w:r w:rsidR="004B4FE0">
        <w:t xml:space="preserve"> confidential </w:t>
      </w:r>
      <w:r>
        <w:t xml:space="preserve">document </w:t>
      </w:r>
      <w:r w:rsidR="004B4FE0">
        <w:t xml:space="preserve">appended to </w:t>
      </w:r>
      <w:r>
        <w:t>the application described the applicant</w:t>
      </w:r>
      <w:r w:rsidR="004B4FE0">
        <w:t>’</w:t>
      </w:r>
      <w:r>
        <w:t>s procedure for measurement of soy leghemoglobin concentration in Impossible meat analogue burger patties. FSANZ notes that test results on these products stored under various conditions exhibited high levels of consistency</w:t>
      </w:r>
      <w:r w:rsidR="004B4FE0">
        <w:t>.</w:t>
      </w:r>
    </w:p>
    <w:p w14:paraId="04521676" w14:textId="77777777" w:rsidR="006F6359" w:rsidRDefault="006F6359" w:rsidP="006E51EF">
      <w:pPr>
        <w:widowControl/>
      </w:pPr>
    </w:p>
    <w:p w14:paraId="0BFFCF67" w14:textId="135A2DE5" w:rsidR="00B86919" w:rsidRDefault="006F6359" w:rsidP="006E51EF">
      <w:pPr>
        <w:widowControl/>
      </w:pPr>
      <w:r>
        <w:t>FSANZ understands that enforcement agencies have broad statutory powers under Australian and New Zealand food laws to inspect and compel the production of information and records from food businesses. These powers appear broad enough to enable the audit of a</w:t>
      </w:r>
      <w:r w:rsidRPr="00F76C03">
        <w:t>ny production records of any manufacturing facility to validate the amount of soy leghemoglobin</w:t>
      </w:r>
      <w:r w:rsidR="0031027E">
        <w:t xml:space="preserve"> </w:t>
      </w:r>
      <w:r w:rsidRPr="00F76C03">
        <w:t>added to meat analogue product</w:t>
      </w:r>
      <w:r>
        <w:t xml:space="preserve">s. FSANZ also notes the applicant’s advice that it is </w:t>
      </w:r>
      <w:r w:rsidRPr="00F76C03">
        <w:t xml:space="preserve">willing </w:t>
      </w:r>
      <w:r>
        <w:t>to share its methods of analysis</w:t>
      </w:r>
      <w:r w:rsidRPr="00F76C03">
        <w:t xml:space="preserve"> </w:t>
      </w:r>
      <w:r>
        <w:t>for detecting</w:t>
      </w:r>
      <w:r w:rsidRPr="00F76C03">
        <w:t xml:space="preserve"> soy leghemoglobin</w:t>
      </w:r>
      <w:r w:rsidR="00222824">
        <w:t xml:space="preserve"> in Impossible meat analogue products</w:t>
      </w:r>
      <w:r w:rsidR="0031027E">
        <w:t xml:space="preserve"> </w:t>
      </w:r>
      <w:r>
        <w:t>with enforcement agencies on a confidential basis.</w:t>
      </w:r>
    </w:p>
    <w:p w14:paraId="1D0E6E39" w14:textId="77777777" w:rsidR="00B86919" w:rsidRDefault="00B86919" w:rsidP="006E51EF">
      <w:pPr>
        <w:widowControl/>
      </w:pPr>
    </w:p>
    <w:p w14:paraId="6B448AF6" w14:textId="76D17E57" w:rsidR="00F4228C" w:rsidRDefault="004E62C4" w:rsidP="006E51EF">
      <w:pPr>
        <w:widowControl/>
      </w:pPr>
      <w:r>
        <w:t xml:space="preserve">The risk of </w:t>
      </w:r>
      <w:r w:rsidR="009B4BFD">
        <w:t xml:space="preserve">products </w:t>
      </w:r>
      <w:r>
        <w:t>containing a mix of</w:t>
      </w:r>
      <w:r w:rsidR="009B4BFD">
        <w:t xml:space="preserve"> Impossible meat analogue</w:t>
      </w:r>
      <w:r w:rsidR="005C286E">
        <w:t xml:space="preserve"> </w:t>
      </w:r>
      <w:r w:rsidR="00A764F7">
        <w:t xml:space="preserve">product </w:t>
      </w:r>
      <w:r w:rsidR="005C286E">
        <w:t>(containing soy leghemoglobin)</w:t>
      </w:r>
      <w:r w:rsidR="009B4BFD">
        <w:t xml:space="preserve"> and meat </w:t>
      </w:r>
      <w:r w:rsidR="00B223ED">
        <w:t xml:space="preserve">has been raised in submissions by some stakeholders. FSANZ understands this is </w:t>
      </w:r>
      <w:r w:rsidR="00222824">
        <w:t>not the intent of</w:t>
      </w:r>
      <w:r w:rsidR="00B223ED">
        <w:t xml:space="preserve"> the applicant, </w:t>
      </w:r>
      <w:r w:rsidR="00A43765">
        <w:t>who</w:t>
      </w:r>
      <w:r w:rsidR="00B223ED">
        <w:t xml:space="preserve"> ha</w:t>
      </w:r>
      <w:r>
        <w:t>s</w:t>
      </w:r>
      <w:r w:rsidR="00B223ED">
        <w:t xml:space="preserve"> intellectual property rights to prevent the misuse of their products. </w:t>
      </w:r>
      <w:r w:rsidR="00F4228C">
        <w:t xml:space="preserve">The applicant </w:t>
      </w:r>
      <w:r w:rsidR="00A43765">
        <w:t xml:space="preserve">has confirmed it </w:t>
      </w:r>
      <w:r w:rsidR="00A43765" w:rsidRPr="00A43765">
        <w:t xml:space="preserve">will not be supplying </w:t>
      </w:r>
      <w:r w:rsidR="00A43765">
        <w:t>the Preparation</w:t>
      </w:r>
      <w:r w:rsidR="007A2CBD">
        <w:t xml:space="preserve"> containing soy leghemoglobin</w:t>
      </w:r>
      <w:r w:rsidR="00A43765" w:rsidRPr="00A43765">
        <w:t xml:space="preserve"> itself as an ingredient to any distributor or third party </w:t>
      </w:r>
      <w:r w:rsidR="00A43765">
        <w:t>without a cont</w:t>
      </w:r>
      <w:r w:rsidR="00691ABA">
        <w:t>ractual arrangement</w:t>
      </w:r>
      <w:r w:rsidR="00A764F7">
        <w:t>,</w:t>
      </w:r>
      <w:r w:rsidR="00691ABA">
        <w:t xml:space="preserve"> </w:t>
      </w:r>
      <w:r w:rsidR="009E52EA">
        <w:t>requiring</w:t>
      </w:r>
      <w:r w:rsidR="004359F4">
        <w:t xml:space="preserve"> </w:t>
      </w:r>
      <w:r w:rsidR="00691ABA">
        <w:t>it will</w:t>
      </w:r>
      <w:r w:rsidR="00A43765">
        <w:t xml:space="preserve"> be </w:t>
      </w:r>
      <w:r w:rsidR="00A43765" w:rsidRPr="00A43765">
        <w:t xml:space="preserve">for use in </w:t>
      </w:r>
      <w:r w:rsidR="00FE7427">
        <w:t xml:space="preserve">meat analogue </w:t>
      </w:r>
      <w:r w:rsidR="00A43765" w:rsidRPr="00A43765">
        <w:lastRenderedPageBreak/>
        <w:t>products</w:t>
      </w:r>
      <w:r w:rsidR="00A43765">
        <w:t xml:space="preserve"> carrying the Impossible branding only. They have advised they </w:t>
      </w:r>
      <w:r w:rsidR="00F4228C">
        <w:t>will use lot numbers on purchase orders to create auditable records</w:t>
      </w:r>
      <w:r w:rsidR="00A43765">
        <w:t xml:space="preserve"> of the Preparation</w:t>
      </w:r>
      <w:r w:rsidR="00F4228C">
        <w:t>.</w:t>
      </w:r>
    </w:p>
    <w:p w14:paraId="74B63692" w14:textId="6C80E9F4" w:rsidR="00F4228C" w:rsidRDefault="00F4228C" w:rsidP="006E51EF">
      <w:pPr>
        <w:widowControl/>
      </w:pPr>
    </w:p>
    <w:p w14:paraId="295E04BA" w14:textId="1FC3EEC5" w:rsidR="0071617D" w:rsidRDefault="00F4228C" w:rsidP="006E51EF">
      <w:pPr>
        <w:widowControl/>
      </w:pPr>
      <w:r>
        <w:t xml:space="preserve">The issue of enforcing the permitted maximum use level in cooked product was raised in submissions. FSANZ has used the </w:t>
      </w:r>
      <w:r w:rsidR="00533322">
        <w:t>m</w:t>
      </w:r>
      <w:r w:rsidR="007C6905">
        <w:t xml:space="preserve">aximum </w:t>
      </w:r>
      <w:r>
        <w:t xml:space="preserve">use level </w:t>
      </w:r>
      <w:r w:rsidR="00E24A7B">
        <w:t xml:space="preserve">of </w:t>
      </w:r>
      <w:r w:rsidR="000C059E">
        <w:t xml:space="preserve">0.8% </w:t>
      </w:r>
      <w:r w:rsidR="00E24A7B">
        <w:t xml:space="preserve">soy leghemoglobin </w:t>
      </w:r>
      <w:r>
        <w:t>in</w:t>
      </w:r>
      <w:r w:rsidR="00826802">
        <w:t xml:space="preserve"> the</w:t>
      </w:r>
      <w:r>
        <w:t xml:space="preserve"> raw product</w:t>
      </w:r>
      <w:r w:rsidR="00F867B0">
        <w:t xml:space="preserve"> and assumed 25% moisture loss</w:t>
      </w:r>
      <w:r w:rsidR="000C059E">
        <w:t xml:space="preserve"> during cooking</w:t>
      </w:r>
      <w:r>
        <w:t xml:space="preserve"> to </w:t>
      </w:r>
      <w:r w:rsidR="000C059E">
        <w:t>estimate the</w:t>
      </w:r>
      <w:r w:rsidRPr="005C286E">
        <w:t xml:space="preserve"> </w:t>
      </w:r>
      <w:r>
        <w:t xml:space="preserve">levels in </w:t>
      </w:r>
      <w:r w:rsidR="00826802">
        <w:t xml:space="preserve">the </w:t>
      </w:r>
      <w:r>
        <w:t>equivalent cooked product</w:t>
      </w:r>
      <w:r w:rsidR="000C059E">
        <w:t>. In reality</w:t>
      </w:r>
      <w:r w:rsidR="009C2A86">
        <w:t xml:space="preserve"> </w:t>
      </w:r>
      <w:r w:rsidR="000C059E">
        <w:t>the levels</w:t>
      </w:r>
      <w:r>
        <w:t xml:space="preserve"> </w:t>
      </w:r>
      <w:r w:rsidR="000C059E">
        <w:t xml:space="preserve">in the cooked product </w:t>
      </w:r>
      <w:r>
        <w:t>are likely to vary based on</w:t>
      </w:r>
      <w:r w:rsidR="00F57184">
        <w:t xml:space="preserve"> the specific product,</w:t>
      </w:r>
      <w:r>
        <w:t xml:space="preserve"> cooking </w:t>
      </w:r>
      <w:r w:rsidR="006A16EC">
        <w:t xml:space="preserve">method </w:t>
      </w:r>
      <w:r w:rsidR="000C059E">
        <w:t xml:space="preserve">used </w:t>
      </w:r>
      <w:r>
        <w:t xml:space="preserve">and </w:t>
      </w:r>
      <w:r w:rsidR="006A16EC">
        <w:t>cooking times</w:t>
      </w:r>
      <w:r w:rsidR="00D279A4">
        <w:t>.</w:t>
      </w:r>
      <w:r>
        <w:t xml:space="preserve"> </w:t>
      </w:r>
    </w:p>
    <w:p w14:paraId="4295C331" w14:textId="77777777" w:rsidR="00954D7D" w:rsidRDefault="00954D7D" w:rsidP="006E51EF">
      <w:pPr>
        <w:widowControl/>
      </w:pPr>
    </w:p>
    <w:p w14:paraId="7F66EC62" w14:textId="35D370D5" w:rsidR="00E24A7B" w:rsidRDefault="00E24A7B" w:rsidP="00E24A7B">
      <w:pPr>
        <w:pStyle w:val="ListParagraph"/>
        <w:widowControl/>
        <w:numPr>
          <w:ilvl w:val="0"/>
          <w:numId w:val="47"/>
        </w:numPr>
      </w:pPr>
      <w:r>
        <w:t xml:space="preserve">100 g raw Impossible </w:t>
      </w:r>
      <w:r w:rsidR="00D63F2A">
        <w:t xml:space="preserve">meat analogue </w:t>
      </w:r>
      <w:r>
        <w:t>product contains maximum 0.8 g soy leghemoglobin.</w:t>
      </w:r>
    </w:p>
    <w:p w14:paraId="284DEEDD" w14:textId="098E9AC5" w:rsidR="00E24A7B" w:rsidRDefault="00E24A7B" w:rsidP="00E24A7B">
      <w:pPr>
        <w:pStyle w:val="ListParagraph"/>
        <w:widowControl/>
        <w:numPr>
          <w:ilvl w:val="0"/>
          <w:numId w:val="47"/>
        </w:numPr>
      </w:pPr>
      <w:r>
        <w:t>Assume 25% moisture loss</w:t>
      </w:r>
      <w:r>
        <w:rPr>
          <w:rStyle w:val="FootnoteReference"/>
        </w:rPr>
        <w:footnoteReference w:id="13"/>
      </w:r>
      <w:r>
        <w:t xml:space="preserve"> on cooking the product, and no loss of soy leghemoglobin. </w:t>
      </w:r>
    </w:p>
    <w:p w14:paraId="50D15912" w14:textId="456E18AC" w:rsidR="00E24A7B" w:rsidRDefault="00E24A7B" w:rsidP="00E24A7B">
      <w:pPr>
        <w:pStyle w:val="ListParagraph"/>
        <w:widowControl/>
        <w:numPr>
          <w:ilvl w:val="0"/>
          <w:numId w:val="47"/>
        </w:numPr>
      </w:pPr>
      <w:r>
        <w:t>100 – 25 = 75 g cooked product therefore contains maximum 0.8 g soy leghemoglobin, so that</w:t>
      </w:r>
    </w:p>
    <w:p w14:paraId="0A52D7A4" w14:textId="3A80F50B" w:rsidR="00E24A7B" w:rsidRPr="00E317E4" w:rsidRDefault="00E24A7B" w:rsidP="00E24A7B">
      <w:pPr>
        <w:pStyle w:val="ListParagraph"/>
        <w:widowControl/>
        <w:numPr>
          <w:ilvl w:val="0"/>
          <w:numId w:val="47"/>
        </w:numPr>
      </w:pPr>
      <w:r w:rsidRPr="00E317E4">
        <w:t>100g cooked product contains maximum 1.07 g soy leghemoglobin.</w:t>
      </w:r>
    </w:p>
    <w:p w14:paraId="2D6D519A" w14:textId="6591CC39" w:rsidR="00295DDA" w:rsidRDefault="00295DDA" w:rsidP="00295DDA">
      <w:pPr>
        <w:widowControl/>
      </w:pPr>
    </w:p>
    <w:p w14:paraId="726E8945" w14:textId="0B107336" w:rsidR="00D37DCF" w:rsidRDefault="00802ED1" w:rsidP="00FD7A06">
      <w:pPr>
        <w:widowControl/>
        <w:ind w:left="720"/>
      </w:pPr>
      <w:r>
        <w:t>Expres</w:t>
      </w:r>
      <w:r w:rsidR="00D37DCF">
        <w:t>s</w:t>
      </w:r>
      <w:r>
        <w:t>ed as an equation:</w:t>
      </w:r>
    </w:p>
    <w:p w14:paraId="77298465" w14:textId="77777777" w:rsidR="00D37DCF" w:rsidRDefault="00D37DCF" w:rsidP="00FD7A06">
      <w:pPr>
        <w:widowControl/>
        <w:ind w:left="720"/>
      </w:pPr>
    </w:p>
    <w:p w14:paraId="412C146E" w14:textId="6365B87C" w:rsidR="00802ED1" w:rsidRDefault="00802ED1" w:rsidP="00FD7A06">
      <w:pPr>
        <w:widowControl/>
        <w:ind w:left="720"/>
      </w:pPr>
      <w:r>
        <w:t xml:space="preserve">Max soy </w:t>
      </w:r>
      <w:r w:rsidR="00295DDA">
        <w:t xml:space="preserve">leghemoglobin </w:t>
      </w:r>
      <w:r w:rsidR="00950AB7">
        <w:t>(g) /100</w:t>
      </w:r>
      <w:r w:rsidR="00D37DCF">
        <w:t xml:space="preserve"> </w:t>
      </w:r>
      <w:r w:rsidR="00950AB7">
        <w:t xml:space="preserve">g cooked product </w:t>
      </w:r>
    </w:p>
    <w:p w14:paraId="02E2C8C8" w14:textId="086181B6" w:rsidR="00E24A7B" w:rsidRDefault="00E24A7B" w:rsidP="00FD7A06">
      <w:pPr>
        <w:ind w:left="720"/>
        <w:rPr>
          <w:rFonts w:cs="Arial"/>
          <w:szCs w:val="22"/>
          <w:lang w:bidi="ar-SA"/>
        </w:rPr>
      </w:pPr>
      <w:r>
        <w:rPr>
          <w:rFonts w:cs="Arial"/>
        </w:rPr>
        <w:t>= (0.8 g*100)/(100 g – 25 g) = 1.07 g</w:t>
      </w:r>
    </w:p>
    <w:p w14:paraId="651D0A3A" w14:textId="77777777" w:rsidR="00A005DC" w:rsidRDefault="00A005DC" w:rsidP="00FD7A06">
      <w:pPr>
        <w:widowControl/>
        <w:ind w:left="720"/>
      </w:pPr>
    </w:p>
    <w:p w14:paraId="6586B5D7" w14:textId="459EE34F" w:rsidR="00477AE7" w:rsidRDefault="00D11829" w:rsidP="006E51EF">
      <w:pPr>
        <w:widowControl/>
      </w:pPr>
      <w:r>
        <w:t xml:space="preserve">Any use of </w:t>
      </w:r>
      <w:r w:rsidR="00E24A7B">
        <w:t>soy leghemoglobin</w:t>
      </w:r>
      <w:r>
        <w:t xml:space="preserve"> will therefore be controlled and monitored by the applicant and auditable by Australian and New Zealand enforcement agencies. Additionally, the applicant has agreed to share with enforcement agencies its methods of analysis</w:t>
      </w:r>
      <w:r w:rsidRPr="00F76C03">
        <w:t xml:space="preserve"> </w:t>
      </w:r>
      <w:r>
        <w:t>for detecting</w:t>
      </w:r>
      <w:r w:rsidRPr="00F76C03">
        <w:t xml:space="preserve"> soy leghemoglobin in </w:t>
      </w:r>
      <w:r>
        <w:t>meat analogue product</w:t>
      </w:r>
      <w:r w:rsidR="008F52D7">
        <w:t>s</w:t>
      </w:r>
      <w:r>
        <w:t xml:space="preserve"> on a confidential basis.</w:t>
      </w:r>
      <w:r w:rsidR="00357E4A">
        <w:t xml:space="preserve"> </w:t>
      </w:r>
    </w:p>
    <w:p w14:paraId="5DFC9D2F" w14:textId="7F4EC26D" w:rsidR="006F6359" w:rsidRPr="00D737E7" w:rsidRDefault="006F6359" w:rsidP="006E51EF">
      <w:pPr>
        <w:pStyle w:val="Heading2"/>
        <w:widowControl/>
      </w:pPr>
      <w:bookmarkStart w:id="161" w:name="_Toc41576657"/>
      <w:bookmarkStart w:id="162" w:name="_Toc42875220"/>
      <w:bookmarkStart w:id="163" w:name="_Toc43128125"/>
      <w:bookmarkStart w:id="164" w:name="_Toc53406112"/>
      <w:bookmarkStart w:id="165" w:name="_Toc53484622"/>
      <w:bookmarkStart w:id="166" w:name="_Toc58840805"/>
      <w:r>
        <w:t>3.2</w:t>
      </w:r>
      <w:r>
        <w:tab/>
      </w:r>
      <w:r w:rsidRPr="00D737E7">
        <w:t>Labelling requirements</w:t>
      </w:r>
      <w:bookmarkEnd w:id="159"/>
      <w:bookmarkEnd w:id="160"/>
      <w:bookmarkEnd w:id="161"/>
      <w:bookmarkEnd w:id="162"/>
      <w:bookmarkEnd w:id="163"/>
      <w:bookmarkEnd w:id="164"/>
      <w:bookmarkEnd w:id="165"/>
      <w:bookmarkEnd w:id="166"/>
    </w:p>
    <w:p w14:paraId="3F270F42" w14:textId="3F6AAE4B" w:rsidR="006F6359" w:rsidRDefault="006F6359" w:rsidP="006E51EF">
      <w:pPr>
        <w:widowControl/>
      </w:pPr>
      <w:r>
        <w:t xml:space="preserve">FSANZ has assessed how existing labelling requirements will apply to </w:t>
      </w:r>
      <w:r w:rsidR="00D73ABE">
        <w:t xml:space="preserve">the </w:t>
      </w:r>
      <w:r>
        <w:t xml:space="preserve">soy leghemoglobin as an ingredient. In response to </w:t>
      </w:r>
      <w:r w:rsidR="00D11829">
        <w:t>submi</w:t>
      </w:r>
      <w:r w:rsidR="00D73ABE">
        <w:t>tter</w:t>
      </w:r>
      <w:r w:rsidR="00D11829">
        <w:t xml:space="preserve"> </w:t>
      </w:r>
      <w:r>
        <w:t xml:space="preserve">comments we have also considered how the existing labelling requirements will apply to meat analogue products containing </w:t>
      </w:r>
      <w:r w:rsidR="00D73ABE">
        <w:t xml:space="preserve">the </w:t>
      </w:r>
      <w:r>
        <w:t xml:space="preserve">soy leghemoglobin </w:t>
      </w:r>
      <w:r w:rsidR="00D73ABE">
        <w:t xml:space="preserve">preparation </w:t>
      </w:r>
      <w:r>
        <w:t xml:space="preserve">as an ingredient. </w:t>
      </w:r>
    </w:p>
    <w:p w14:paraId="58812221" w14:textId="77777777" w:rsidR="006F6359" w:rsidRDefault="006F6359" w:rsidP="006E51EF">
      <w:pPr>
        <w:pStyle w:val="Heading3"/>
        <w:widowControl/>
      </w:pPr>
      <w:bookmarkStart w:id="167" w:name="_Toc26980503"/>
      <w:bookmarkStart w:id="168" w:name="_Toc41576658"/>
      <w:bookmarkStart w:id="169" w:name="_Toc42875221"/>
      <w:bookmarkStart w:id="170" w:name="_Toc43128126"/>
      <w:bookmarkStart w:id="171" w:name="_Toc53406113"/>
      <w:bookmarkStart w:id="172" w:name="_Toc53484623"/>
      <w:bookmarkStart w:id="173" w:name="_Toc58840806"/>
      <w:r>
        <w:t>3.2.1</w:t>
      </w:r>
      <w:r>
        <w:tab/>
        <w:t>Name of ingredient</w:t>
      </w:r>
      <w:bookmarkEnd w:id="167"/>
      <w:bookmarkEnd w:id="168"/>
      <w:bookmarkEnd w:id="169"/>
      <w:bookmarkEnd w:id="170"/>
      <w:bookmarkEnd w:id="171"/>
      <w:bookmarkEnd w:id="172"/>
      <w:bookmarkEnd w:id="173"/>
    </w:p>
    <w:p w14:paraId="6D072CF1" w14:textId="77777777" w:rsidR="006F6359" w:rsidRDefault="006F6359" w:rsidP="006E51EF">
      <w:pPr>
        <w:widowControl/>
        <w:rPr>
          <w:lang w:bidi="ar-SA"/>
        </w:rPr>
      </w:pPr>
      <w:r>
        <w:rPr>
          <w:lang w:bidi="ar-SA"/>
        </w:rPr>
        <w:t xml:space="preserve">Generic labelling provisions in section 1.2.4—4 of Standard 1.2.4 – </w:t>
      </w:r>
      <w:r w:rsidRPr="00FC4256">
        <w:rPr>
          <w:i/>
          <w:lang w:bidi="ar-SA"/>
        </w:rPr>
        <w:t xml:space="preserve">Information requirements – statement of ingredients </w:t>
      </w:r>
      <w:r>
        <w:rPr>
          <w:lang w:bidi="ar-SA"/>
        </w:rPr>
        <w:t xml:space="preserve">require ingredients to be identified in a statement of ingredients on food labels using a name by which they are commonly known, or a name that describes its true nature, or a generic ingredient name if one is specified in the table to section S10—2. There is no requirement for a statement of ingredients for a food for sale that is not required to bear a label (see section 1.2.1—9 of Standard 1.2.1). </w:t>
      </w:r>
    </w:p>
    <w:p w14:paraId="47541B67" w14:textId="77777777" w:rsidR="006F6359" w:rsidRDefault="006F6359" w:rsidP="006E51EF">
      <w:pPr>
        <w:widowControl/>
        <w:rPr>
          <w:lang w:eastAsia="en-AU" w:bidi="ar-SA"/>
        </w:rPr>
      </w:pPr>
    </w:p>
    <w:p w14:paraId="00AC1005" w14:textId="77777777" w:rsidR="006F6359" w:rsidRDefault="006F6359" w:rsidP="006E51EF">
      <w:pPr>
        <w:widowControl/>
        <w:rPr>
          <w:lang w:eastAsia="en-AU" w:bidi="ar-SA"/>
        </w:rPr>
      </w:pPr>
      <w:r>
        <w:rPr>
          <w:rFonts w:eastAsia="Calibri"/>
          <w:szCs w:val="22"/>
          <w:lang w:bidi="ar-SA"/>
        </w:rPr>
        <w:t xml:space="preserve">The applicant states </w:t>
      </w:r>
      <w:r w:rsidRPr="00667503">
        <w:rPr>
          <w:rFonts w:eastAsia="Calibri"/>
          <w:szCs w:val="22"/>
          <w:lang w:bidi="ar-SA"/>
        </w:rPr>
        <w:t>the common name of this ingredient is 'soy leghemoglobin'</w:t>
      </w:r>
      <w:r>
        <w:rPr>
          <w:rFonts w:eastAsia="Calibri"/>
          <w:szCs w:val="22"/>
          <w:lang w:bidi="ar-SA"/>
        </w:rPr>
        <w:t xml:space="preserve">. FSANZ considers the </w:t>
      </w:r>
      <w:r>
        <w:rPr>
          <w:lang w:eastAsia="en-AU" w:bidi="ar-SA"/>
        </w:rPr>
        <w:t xml:space="preserve">generic requirements for labelling of soy leghemoglobin as an ingredient will enable consumers to make informed choice. </w:t>
      </w:r>
    </w:p>
    <w:p w14:paraId="63EF3BDF" w14:textId="77777777" w:rsidR="006F6359" w:rsidRPr="00357E4A" w:rsidRDefault="006F6359" w:rsidP="006E51EF">
      <w:pPr>
        <w:pStyle w:val="Heading3"/>
        <w:widowControl/>
      </w:pPr>
      <w:bookmarkStart w:id="174" w:name="_Toc41576659"/>
      <w:bookmarkStart w:id="175" w:name="_Toc42875222"/>
      <w:bookmarkStart w:id="176" w:name="_Toc43128127"/>
      <w:bookmarkStart w:id="177" w:name="_Toc53406114"/>
      <w:bookmarkStart w:id="178" w:name="_Toc53484624"/>
      <w:bookmarkStart w:id="179" w:name="_Toc58840807"/>
      <w:bookmarkStart w:id="180" w:name="_Toc26980504"/>
      <w:r w:rsidRPr="00D73ABE">
        <w:lastRenderedPageBreak/>
        <w:t>3.2</w:t>
      </w:r>
      <w:r w:rsidRPr="00357E4A">
        <w:t>.2</w:t>
      </w:r>
      <w:r w:rsidRPr="00357E4A">
        <w:tab/>
        <w:t>Mandatory declaration of certain foods or substances in food</w:t>
      </w:r>
      <w:bookmarkEnd w:id="174"/>
      <w:bookmarkEnd w:id="175"/>
      <w:bookmarkEnd w:id="176"/>
      <w:bookmarkEnd w:id="177"/>
      <w:bookmarkEnd w:id="178"/>
      <w:bookmarkEnd w:id="179"/>
    </w:p>
    <w:p w14:paraId="6BD8D2B8" w14:textId="4C8C035E" w:rsidR="006F6359" w:rsidRPr="00032ED3" w:rsidRDefault="006F6359" w:rsidP="006E51EF">
      <w:pPr>
        <w:widowControl/>
        <w:rPr>
          <w:lang w:bidi="ar-SA"/>
        </w:rPr>
      </w:pPr>
      <w:r>
        <w:rPr>
          <w:lang w:bidi="ar-SA"/>
        </w:rPr>
        <w:t>Section</w:t>
      </w:r>
      <w:r w:rsidRPr="00032ED3">
        <w:rPr>
          <w:lang w:bidi="ar-SA"/>
        </w:rPr>
        <w:t xml:space="preserve"> 1.2.3—4 of Standard 1.2.3 – </w:t>
      </w:r>
      <w:r w:rsidRPr="00032ED3">
        <w:rPr>
          <w:i/>
          <w:lang w:bidi="ar-SA"/>
        </w:rPr>
        <w:t>Information requirements – warning statements, advisory statements and declarations</w:t>
      </w:r>
      <w:r>
        <w:rPr>
          <w:lang w:bidi="ar-SA"/>
        </w:rPr>
        <w:t xml:space="preserve"> requires the declaration of soybean when soybean or soybean products are present in a food for sale </w:t>
      </w:r>
      <w:r w:rsidRPr="00032ED3">
        <w:rPr>
          <w:lang w:bidi="ar-SA"/>
        </w:rPr>
        <w:t xml:space="preserve">as an ingredient or </w:t>
      </w:r>
      <w:r>
        <w:rPr>
          <w:lang w:bidi="ar-SA"/>
        </w:rPr>
        <w:t>an</w:t>
      </w:r>
      <w:r w:rsidRPr="00032ED3">
        <w:rPr>
          <w:lang w:bidi="ar-SA"/>
        </w:rPr>
        <w:t xml:space="preserve"> ingredient of a compound ingredient</w:t>
      </w:r>
      <w:r>
        <w:rPr>
          <w:lang w:bidi="ar-SA"/>
        </w:rPr>
        <w:t xml:space="preserve">, and when present as a food additive or processing aid (or ingredients or components thereof). The addition of </w:t>
      </w:r>
      <w:r w:rsidR="00D73ABE">
        <w:rPr>
          <w:lang w:bidi="ar-SA"/>
        </w:rPr>
        <w:t xml:space="preserve">the </w:t>
      </w:r>
      <w:r>
        <w:rPr>
          <w:lang w:bidi="ar-SA"/>
        </w:rPr>
        <w:t>soy leghemoglobin as an ingredient in a meat analogue product w</w:t>
      </w:r>
      <w:r w:rsidR="00D73ABE">
        <w:rPr>
          <w:lang w:bidi="ar-SA"/>
        </w:rPr>
        <w:t>ill</w:t>
      </w:r>
      <w:r>
        <w:rPr>
          <w:lang w:bidi="ar-SA"/>
        </w:rPr>
        <w:t xml:space="preserve"> trigger a declaration for the presence of soybean on the label (see paragraph 1.2.1—8(1)(d) of Standard 1.2.1). I</w:t>
      </w:r>
      <w:r w:rsidRPr="00032ED3">
        <w:rPr>
          <w:lang w:bidi="ar-SA"/>
        </w:rPr>
        <w:t>f the food is not required to bear a label, allergen information must be displayed in connection with the display of the food or provided to the purchaser on request (</w:t>
      </w:r>
      <w:r>
        <w:rPr>
          <w:lang w:bidi="ar-SA"/>
        </w:rPr>
        <w:t>see paragraph</w:t>
      </w:r>
      <w:r w:rsidRPr="00032ED3">
        <w:rPr>
          <w:lang w:bidi="ar-SA"/>
        </w:rPr>
        <w:t xml:space="preserve"> 1.2.1—9</w:t>
      </w:r>
      <w:r>
        <w:rPr>
          <w:lang w:bidi="ar-SA"/>
        </w:rPr>
        <w:t>(7)(b)</w:t>
      </w:r>
      <w:r w:rsidRPr="00032ED3">
        <w:rPr>
          <w:lang w:bidi="ar-SA"/>
        </w:rPr>
        <w:t xml:space="preserve"> </w:t>
      </w:r>
      <w:r>
        <w:rPr>
          <w:lang w:bidi="ar-SA"/>
        </w:rPr>
        <w:t xml:space="preserve">of </w:t>
      </w:r>
      <w:r w:rsidRPr="00032ED3">
        <w:rPr>
          <w:lang w:bidi="ar-SA"/>
        </w:rPr>
        <w:t xml:space="preserve">Standard 1.2.1). </w:t>
      </w:r>
    </w:p>
    <w:p w14:paraId="7818DA0C" w14:textId="77777777" w:rsidR="006F6359" w:rsidRPr="00032ED3" w:rsidRDefault="006F6359" w:rsidP="006E51EF">
      <w:pPr>
        <w:widowControl/>
        <w:rPr>
          <w:lang w:bidi="ar-SA"/>
        </w:rPr>
      </w:pPr>
    </w:p>
    <w:p w14:paraId="6C71EC47" w14:textId="77777777" w:rsidR="006F6359" w:rsidRDefault="006F6359" w:rsidP="006E51EF">
      <w:pPr>
        <w:widowControl/>
        <w:rPr>
          <w:lang w:bidi="ar-SA"/>
        </w:rPr>
      </w:pPr>
      <w:r w:rsidRPr="00032ED3">
        <w:rPr>
          <w:lang w:bidi="ar-SA"/>
        </w:rPr>
        <w:t>Food sold to a caterer in a package must include the soy</w:t>
      </w:r>
      <w:r>
        <w:rPr>
          <w:lang w:bidi="ar-SA"/>
        </w:rPr>
        <w:t>bean</w:t>
      </w:r>
      <w:r w:rsidRPr="00032ED3">
        <w:rPr>
          <w:lang w:bidi="ar-SA"/>
        </w:rPr>
        <w:t xml:space="preserve"> declaration on the label, as required by </w:t>
      </w:r>
      <w:r w:rsidRPr="00010531">
        <w:rPr>
          <w:lang w:bidi="ar-SA"/>
        </w:rPr>
        <w:t>paragraph 1.2.1—15(c)</w:t>
      </w:r>
      <w:r w:rsidRPr="00032ED3">
        <w:rPr>
          <w:lang w:bidi="ar-SA"/>
        </w:rPr>
        <w:t xml:space="preserve"> of Standard 1.2.1 – </w:t>
      </w:r>
      <w:r w:rsidRPr="00032ED3">
        <w:rPr>
          <w:i/>
          <w:lang w:bidi="ar-SA"/>
        </w:rPr>
        <w:t>Requirements to have labels or otherwise provide information</w:t>
      </w:r>
      <w:r w:rsidRPr="00032ED3">
        <w:rPr>
          <w:lang w:bidi="ar-SA"/>
        </w:rPr>
        <w:t xml:space="preserve">. </w:t>
      </w:r>
    </w:p>
    <w:p w14:paraId="69824B9D" w14:textId="77777777" w:rsidR="006F6359" w:rsidRDefault="006F6359" w:rsidP="006E51EF">
      <w:pPr>
        <w:widowControl/>
        <w:rPr>
          <w:lang w:bidi="ar-SA"/>
        </w:rPr>
      </w:pPr>
    </w:p>
    <w:p w14:paraId="469BAE8F" w14:textId="77777777" w:rsidR="006F6359" w:rsidRDefault="006F6359" w:rsidP="006E51EF">
      <w:pPr>
        <w:widowControl/>
        <w:rPr>
          <w:lang w:bidi="ar-SA"/>
        </w:rPr>
      </w:pPr>
      <w:r>
        <w:rPr>
          <w:lang w:bidi="ar-SA"/>
        </w:rPr>
        <w:t>Provision of this information will enable food-allergic consumers and their caregivers to make informed, safe food choices.</w:t>
      </w:r>
    </w:p>
    <w:p w14:paraId="5D848CB3" w14:textId="77777777" w:rsidR="006F6359" w:rsidRPr="00036A63" w:rsidRDefault="006F6359" w:rsidP="006E51EF">
      <w:pPr>
        <w:pStyle w:val="Heading3"/>
        <w:widowControl/>
      </w:pPr>
      <w:bookmarkStart w:id="181" w:name="_Toc42875223"/>
      <w:bookmarkStart w:id="182" w:name="_Toc43128128"/>
      <w:bookmarkStart w:id="183" w:name="_Toc53406115"/>
      <w:bookmarkStart w:id="184" w:name="_Toc53484625"/>
      <w:bookmarkStart w:id="185" w:name="_Toc58840808"/>
      <w:r w:rsidRPr="00D73ABE">
        <w:t>3.2.</w:t>
      </w:r>
      <w:r w:rsidRPr="00036A63">
        <w:t>3</w:t>
      </w:r>
      <w:r w:rsidRPr="00036A63">
        <w:tab/>
        <w:t>Labelling as ‘genetically modified’</w:t>
      </w:r>
      <w:bookmarkEnd w:id="181"/>
      <w:bookmarkEnd w:id="182"/>
      <w:bookmarkEnd w:id="183"/>
      <w:bookmarkEnd w:id="184"/>
      <w:bookmarkEnd w:id="185"/>
      <w:r w:rsidRPr="00036A63">
        <w:t xml:space="preserve"> </w:t>
      </w:r>
    </w:p>
    <w:p w14:paraId="41168652" w14:textId="12ED758A" w:rsidR="006F6359" w:rsidRDefault="006F6359" w:rsidP="006E51EF">
      <w:pPr>
        <w:widowControl/>
      </w:pPr>
      <w:r w:rsidRPr="00032ED3">
        <w:rPr>
          <w:lang w:eastAsia="en-AU" w:bidi="ar-SA"/>
        </w:rPr>
        <w:t>As discussed in the risk and technical assessment</w:t>
      </w:r>
      <w:r>
        <w:rPr>
          <w:lang w:eastAsia="en-AU" w:bidi="ar-SA"/>
        </w:rPr>
        <w:t xml:space="preserve"> report</w:t>
      </w:r>
      <w:r w:rsidRPr="00032ED3">
        <w:rPr>
          <w:lang w:eastAsia="en-AU" w:bidi="ar-SA"/>
        </w:rPr>
        <w:t xml:space="preserve"> (SD1), novel DNA and novel protein from genetically modified </w:t>
      </w:r>
      <w:r w:rsidRPr="00032ED3">
        <w:rPr>
          <w:i/>
          <w:lang w:eastAsia="en-AU" w:bidi="ar-SA"/>
        </w:rPr>
        <w:t>P. pastoris</w:t>
      </w:r>
      <w:r w:rsidRPr="00032ED3">
        <w:rPr>
          <w:lang w:eastAsia="en-AU" w:bidi="ar-SA"/>
        </w:rPr>
        <w:t xml:space="preserve"> strain </w:t>
      </w:r>
      <w:r w:rsidR="00277E11">
        <w:rPr>
          <w:lang w:eastAsia="en-AU" w:bidi="ar-SA"/>
        </w:rPr>
        <w:t xml:space="preserve">that </w:t>
      </w:r>
      <w:r w:rsidR="00277E11" w:rsidRPr="00277E11">
        <w:rPr>
          <w:lang w:eastAsia="en-AU" w:bidi="ar-SA"/>
        </w:rPr>
        <w:t>pr</w:t>
      </w:r>
      <w:r w:rsidR="00277E11">
        <w:rPr>
          <w:lang w:eastAsia="en-AU" w:bidi="ar-SA"/>
        </w:rPr>
        <w:t>oduces</w:t>
      </w:r>
      <w:r w:rsidR="00277E11" w:rsidRPr="00277E11">
        <w:rPr>
          <w:lang w:eastAsia="en-AU" w:bidi="ar-SA"/>
        </w:rPr>
        <w:t xml:space="preserve"> soy leghemoglobin</w:t>
      </w:r>
      <w:r w:rsidR="00277E11" w:rsidRPr="00032ED3">
        <w:rPr>
          <w:lang w:eastAsia="en-AU" w:bidi="ar-SA"/>
        </w:rPr>
        <w:t xml:space="preserve"> </w:t>
      </w:r>
      <w:r w:rsidRPr="00032ED3">
        <w:rPr>
          <w:lang w:eastAsia="en-AU" w:bidi="ar-SA"/>
        </w:rPr>
        <w:t xml:space="preserve">will be present in the </w:t>
      </w:r>
      <w:r w:rsidRPr="00F07A7C">
        <w:rPr>
          <w:lang w:eastAsia="en-AU" w:bidi="ar-SA"/>
        </w:rPr>
        <w:t>meat analogue product.</w:t>
      </w:r>
      <w:r>
        <w:rPr>
          <w:lang w:eastAsia="en-AU" w:bidi="ar-SA"/>
        </w:rPr>
        <w:t xml:space="preserve"> </w:t>
      </w:r>
      <w:r>
        <w:t xml:space="preserve">As noted in </w:t>
      </w:r>
      <w:r w:rsidR="00D12384">
        <w:t>s</w:t>
      </w:r>
      <w:r>
        <w:t>ection 1.2 of this report, the applicant plans to sell their meat analogue products directly to consumers as packaged products (as well as to suppliers).</w:t>
      </w:r>
    </w:p>
    <w:p w14:paraId="182BC2B8" w14:textId="77777777" w:rsidR="006F6359" w:rsidRDefault="006F6359" w:rsidP="006E51EF">
      <w:pPr>
        <w:widowControl/>
      </w:pPr>
    </w:p>
    <w:p w14:paraId="61D9D8E5" w14:textId="77777777" w:rsidR="006F6359" w:rsidRPr="00F031D3" w:rsidRDefault="006F6359" w:rsidP="006E51EF">
      <w:pPr>
        <w:widowControl/>
        <w:rPr>
          <w:lang w:eastAsia="en-AU" w:bidi="ar-SA"/>
        </w:rPr>
      </w:pPr>
      <w:r w:rsidRPr="00F031D3">
        <w:rPr>
          <w:lang w:eastAsia="en-AU" w:bidi="ar-SA"/>
        </w:rPr>
        <w:t xml:space="preserve">Section 1.5.2—4 of Standard 1.5.2 – </w:t>
      </w:r>
      <w:r w:rsidRPr="00F031D3">
        <w:rPr>
          <w:i/>
          <w:lang w:eastAsia="en-AU" w:bidi="ar-SA"/>
        </w:rPr>
        <w:t xml:space="preserve">Food produced using gene technology </w:t>
      </w:r>
      <w:r w:rsidRPr="00F031D3">
        <w:rPr>
          <w:lang w:eastAsia="en-AU" w:bidi="ar-SA"/>
        </w:rPr>
        <w:t xml:space="preserve">sets out the requirement to label </w:t>
      </w:r>
      <w:r>
        <w:rPr>
          <w:lang w:eastAsia="en-AU" w:bidi="ar-SA"/>
        </w:rPr>
        <w:t xml:space="preserve">certain </w:t>
      </w:r>
      <w:r w:rsidRPr="00F031D3">
        <w:rPr>
          <w:lang w:eastAsia="en-AU" w:bidi="ar-SA"/>
        </w:rPr>
        <w:t>food as ‘genetically modified’. Subsection 1.5.2—4(3) states that if the genetically modified food is an ingredient in a packaged food for sale</w:t>
      </w:r>
      <w:r>
        <w:rPr>
          <w:lang w:eastAsia="en-AU" w:bidi="ar-SA"/>
        </w:rPr>
        <w:t xml:space="preserve"> (among other things e.g. a substance used as a food additive)</w:t>
      </w:r>
      <w:r w:rsidRPr="00F031D3">
        <w:rPr>
          <w:lang w:eastAsia="en-AU" w:bidi="ar-SA"/>
        </w:rPr>
        <w:t>, the information may be included in the statement of ingredients.</w:t>
      </w:r>
    </w:p>
    <w:p w14:paraId="7D62B10A" w14:textId="77777777" w:rsidR="006F6359" w:rsidRPr="00F031D3" w:rsidRDefault="006F6359" w:rsidP="006E51EF">
      <w:pPr>
        <w:widowControl/>
      </w:pPr>
    </w:p>
    <w:p w14:paraId="4E2EC365" w14:textId="06548920" w:rsidR="006F6359" w:rsidRPr="00F031D3" w:rsidRDefault="006F6359" w:rsidP="006E51EF">
      <w:pPr>
        <w:widowControl/>
        <w:rPr>
          <w:rFonts w:cs="Arial"/>
          <w:lang w:bidi="ar-SA"/>
        </w:rPr>
      </w:pPr>
      <w:r>
        <w:rPr>
          <w:rFonts w:cs="Arial"/>
          <w:lang w:bidi="ar-SA"/>
        </w:rPr>
        <w:t>If the f</w:t>
      </w:r>
      <w:r w:rsidRPr="00F031D3" w:rsidDel="00732467">
        <w:rPr>
          <w:rFonts w:cs="Arial"/>
          <w:lang w:bidi="ar-SA"/>
        </w:rPr>
        <w:t xml:space="preserve">ood </w:t>
      </w:r>
      <w:r>
        <w:rPr>
          <w:rFonts w:cs="Arial"/>
          <w:lang w:bidi="ar-SA"/>
        </w:rPr>
        <w:t>for sale is</w:t>
      </w:r>
      <w:r w:rsidRPr="00F031D3" w:rsidDel="00732467">
        <w:rPr>
          <w:rFonts w:cs="Arial"/>
          <w:lang w:bidi="ar-SA"/>
        </w:rPr>
        <w:t xml:space="preserve"> intended for immediate consumption </w:t>
      </w:r>
      <w:r>
        <w:rPr>
          <w:rFonts w:cs="Arial"/>
          <w:lang w:bidi="ar-SA"/>
        </w:rPr>
        <w:t>and</w:t>
      </w:r>
      <w:r w:rsidRPr="00F031D3" w:rsidDel="00732467">
        <w:rPr>
          <w:rFonts w:cs="Arial"/>
          <w:lang w:bidi="ar-SA"/>
        </w:rPr>
        <w:t xml:space="preserve"> is prepared and sold </w:t>
      </w:r>
      <w:r w:rsidRPr="00277E11" w:rsidDel="00732467">
        <w:rPr>
          <w:rFonts w:cs="Arial"/>
          <w:lang w:bidi="ar-SA"/>
        </w:rPr>
        <w:t xml:space="preserve">from </w:t>
      </w:r>
      <w:r w:rsidRPr="00277E11">
        <w:rPr>
          <w:rFonts w:cs="Arial"/>
          <w:lang w:bidi="ar-SA"/>
        </w:rPr>
        <w:t>food premises</w:t>
      </w:r>
      <w:r w:rsidRPr="00F031D3">
        <w:rPr>
          <w:rFonts w:cs="Arial"/>
          <w:lang w:bidi="ar-SA"/>
        </w:rPr>
        <w:t xml:space="preserve"> and vending vehicles (including restaurants, takeaway outlets, caterers and self-catering institutions)</w:t>
      </w:r>
      <w:r>
        <w:rPr>
          <w:rFonts w:cs="Arial"/>
          <w:lang w:bidi="ar-SA"/>
        </w:rPr>
        <w:t>, it</w:t>
      </w:r>
      <w:r w:rsidRPr="00F031D3">
        <w:rPr>
          <w:rFonts w:cs="Arial"/>
          <w:lang w:bidi="ar-SA"/>
        </w:rPr>
        <w:t xml:space="preserve"> is exempt from the requirement to label food as ‘genetically modified’ (paragraph 1.5.2—4(1)(e)). </w:t>
      </w:r>
    </w:p>
    <w:p w14:paraId="730ACFC8" w14:textId="77777777" w:rsidR="006F6359" w:rsidRPr="00F031D3" w:rsidRDefault="006F6359" w:rsidP="006E51EF">
      <w:pPr>
        <w:widowControl/>
        <w:rPr>
          <w:lang w:eastAsia="en-AU" w:bidi="ar-SA"/>
        </w:rPr>
      </w:pPr>
    </w:p>
    <w:p w14:paraId="00D2208C" w14:textId="40F11850" w:rsidR="006F6359" w:rsidRDefault="006F6359" w:rsidP="006E51EF">
      <w:pPr>
        <w:widowControl/>
        <w:rPr>
          <w:lang w:eastAsia="en-AU" w:bidi="ar-SA"/>
        </w:rPr>
      </w:pPr>
      <w:r w:rsidRPr="00032ED3">
        <w:t xml:space="preserve">However, </w:t>
      </w:r>
      <w:r>
        <w:t>the Code</w:t>
      </w:r>
      <w:r w:rsidRPr="00032ED3">
        <w:t xml:space="preserve"> requires information relating to foods produced using gene technology to be on labelling for food sold to a caterer</w:t>
      </w:r>
      <w:r>
        <w:t xml:space="preserve"> (</w:t>
      </w:r>
      <w:r w:rsidRPr="00032ED3">
        <w:t>paragraph 1.2.1—15(f) of Standard 1.2.1</w:t>
      </w:r>
      <w:r>
        <w:t>)</w:t>
      </w:r>
      <w:r w:rsidRPr="00032ED3">
        <w:t>. Consequently, in relation</w:t>
      </w:r>
      <w:r w:rsidRPr="00BA31E3">
        <w:t xml:space="preserve"> to such food, a consumer may seek information about the food from the food business.</w:t>
      </w:r>
    </w:p>
    <w:p w14:paraId="18375C20" w14:textId="77777777" w:rsidR="006F6359" w:rsidRDefault="006F6359" w:rsidP="006E51EF">
      <w:pPr>
        <w:pStyle w:val="Heading3"/>
        <w:widowControl/>
      </w:pPr>
      <w:bookmarkStart w:id="186" w:name="_Toc41576661"/>
      <w:bookmarkStart w:id="187" w:name="_Toc42875224"/>
      <w:bookmarkStart w:id="188" w:name="_Toc43128129"/>
      <w:bookmarkStart w:id="189" w:name="_Toc53406116"/>
      <w:bookmarkStart w:id="190" w:name="_Toc53484626"/>
      <w:bookmarkStart w:id="191" w:name="_Toc58840809"/>
      <w:r>
        <w:t>3.2.4</w:t>
      </w:r>
      <w:r>
        <w:tab/>
        <w:t>Nutrition information</w:t>
      </w:r>
      <w:bookmarkEnd w:id="180"/>
      <w:bookmarkEnd w:id="186"/>
      <w:bookmarkEnd w:id="187"/>
      <w:bookmarkEnd w:id="188"/>
      <w:bookmarkEnd w:id="189"/>
      <w:bookmarkEnd w:id="190"/>
      <w:bookmarkEnd w:id="191"/>
    </w:p>
    <w:p w14:paraId="1ED5F31F" w14:textId="712A00BE" w:rsidR="006F6359" w:rsidRDefault="006F6359" w:rsidP="006E51EF">
      <w:pPr>
        <w:widowControl/>
        <w:rPr>
          <w:lang w:eastAsia="en-AU" w:bidi="ar-SA"/>
        </w:rPr>
      </w:pPr>
      <w:r>
        <w:rPr>
          <w:lang w:eastAsia="en-AU" w:bidi="ar-SA"/>
        </w:rPr>
        <w:t xml:space="preserve">Standard 1.2.8 – </w:t>
      </w:r>
      <w:r w:rsidRPr="00FC4256">
        <w:rPr>
          <w:i/>
          <w:lang w:eastAsia="en-AU" w:bidi="ar-SA"/>
        </w:rPr>
        <w:t>Nutrition information requirements</w:t>
      </w:r>
      <w:r>
        <w:rPr>
          <w:lang w:eastAsia="en-AU" w:bidi="ar-SA"/>
        </w:rPr>
        <w:t xml:space="preserve"> sets out requirements for a nutrition information panel (NIP) to be provided on a package of food in certain circumstances. Information that must be contained in an NIP include (among other things) the average energy content and average quantity of protein, carbohydrate, sugars, fat and sodium in a serving of the food and a unit quantity of the food. The addition </w:t>
      </w:r>
      <w:r w:rsidRPr="00FC4256">
        <w:rPr>
          <w:lang w:eastAsia="en-AU" w:bidi="ar-SA"/>
        </w:rPr>
        <w:t xml:space="preserve">of soy leghemoglobin </w:t>
      </w:r>
      <w:r>
        <w:rPr>
          <w:lang w:eastAsia="en-AU" w:bidi="ar-SA"/>
        </w:rPr>
        <w:t>w</w:t>
      </w:r>
      <w:r w:rsidR="005363BB">
        <w:rPr>
          <w:lang w:eastAsia="en-AU" w:bidi="ar-SA"/>
        </w:rPr>
        <w:t>ill</w:t>
      </w:r>
      <w:r>
        <w:rPr>
          <w:lang w:eastAsia="en-AU" w:bidi="ar-SA"/>
        </w:rPr>
        <w:t xml:space="preserve"> contribute to the iron content of meat analogue products. There is no requirement for iron to be declared in the NIP of a packaged meat analogue product unless a nutrition content or health claim is made (see subparagraph 1.2.8—6(1)(d)(iv)).</w:t>
      </w:r>
    </w:p>
    <w:p w14:paraId="10DCB3C9" w14:textId="77777777" w:rsidR="006F6359" w:rsidRDefault="006F6359" w:rsidP="006E51EF">
      <w:pPr>
        <w:pStyle w:val="Heading3"/>
        <w:widowControl/>
      </w:pPr>
      <w:bookmarkStart w:id="192" w:name="_Toc26980505"/>
      <w:bookmarkStart w:id="193" w:name="_Toc41576662"/>
      <w:bookmarkStart w:id="194" w:name="_Toc42875225"/>
      <w:bookmarkStart w:id="195" w:name="_Toc43128130"/>
      <w:bookmarkStart w:id="196" w:name="_Toc53406117"/>
      <w:bookmarkStart w:id="197" w:name="_Toc53484627"/>
      <w:bookmarkStart w:id="198" w:name="_Toc58840810"/>
      <w:r>
        <w:lastRenderedPageBreak/>
        <w:t>3.2.5</w:t>
      </w:r>
      <w:r>
        <w:tab/>
        <w:t>Nutrition content and health claims</w:t>
      </w:r>
      <w:bookmarkEnd w:id="192"/>
      <w:bookmarkEnd w:id="193"/>
      <w:bookmarkEnd w:id="194"/>
      <w:bookmarkEnd w:id="195"/>
      <w:bookmarkEnd w:id="196"/>
      <w:bookmarkEnd w:id="197"/>
      <w:bookmarkEnd w:id="198"/>
      <w:r>
        <w:t xml:space="preserve"> </w:t>
      </w:r>
    </w:p>
    <w:p w14:paraId="7DE9D4BC" w14:textId="17750724" w:rsidR="006F6359" w:rsidRPr="00C75F69" w:rsidRDefault="006F6359" w:rsidP="006E51EF">
      <w:pPr>
        <w:widowControl/>
        <w:rPr>
          <w:rFonts w:cs="Arial"/>
        </w:rPr>
      </w:pPr>
      <w:r w:rsidRPr="00C75F69">
        <w:rPr>
          <w:rFonts w:cs="Arial"/>
        </w:rPr>
        <w:t xml:space="preserve">Existing requirements and conditions for making voluntary nutrition content and health claims are set out in Standard 1.2.7 – </w:t>
      </w:r>
      <w:r w:rsidRPr="00C75F69">
        <w:rPr>
          <w:rFonts w:cs="Arial"/>
          <w:i/>
        </w:rPr>
        <w:t>Nutrition, health and related claims</w:t>
      </w:r>
      <w:r w:rsidRPr="00C75F69">
        <w:rPr>
          <w:rFonts w:cs="Arial"/>
        </w:rPr>
        <w:t xml:space="preserve"> and </w:t>
      </w:r>
      <w:r>
        <w:rPr>
          <w:rFonts w:cs="Arial"/>
        </w:rPr>
        <w:t>Schedule 4 of the Code</w:t>
      </w:r>
      <w:r w:rsidRPr="00C75F69">
        <w:rPr>
          <w:rFonts w:cs="Arial"/>
        </w:rPr>
        <w:t>. These requirements and conditions w</w:t>
      </w:r>
      <w:r w:rsidR="005363BB">
        <w:rPr>
          <w:rFonts w:cs="Arial"/>
        </w:rPr>
        <w:t>ill</w:t>
      </w:r>
      <w:r w:rsidRPr="00C75F69">
        <w:rPr>
          <w:rFonts w:cs="Arial"/>
        </w:rPr>
        <w:t xml:space="preserve"> apply to meat analogue products containing soy leghemoglobin as an ingredient. </w:t>
      </w:r>
    </w:p>
    <w:p w14:paraId="0E932706" w14:textId="77777777" w:rsidR="006F6359" w:rsidRPr="00C75F69" w:rsidRDefault="006F6359" w:rsidP="006E51EF">
      <w:pPr>
        <w:widowControl/>
        <w:rPr>
          <w:rFonts w:cs="Arial"/>
        </w:rPr>
      </w:pPr>
    </w:p>
    <w:p w14:paraId="3E4CD0A5" w14:textId="5E91613B" w:rsidR="006F6359" w:rsidRPr="00C75F69" w:rsidRDefault="006F6359" w:rsidP="006E51EF">
      <w:pPr>
        <w:widowControl/>
        <w:rPr>
          <w:rFonts w:cs="Arial"/>
        </w:rPr>
      </w:pPr>
      <w:r>
        <w:rPr>
          <w:rFonts w:cs="Arial"/>
        </w:rPr>
        <w:t>As noted in Section 3.2.4 above, t</w:t>
      </w:r>
      <w:r w:rsidRPr="00C75F69">
        <w:rPr>
          <w:rFonts w:cs="Arial"/>
        </w:rPr>
        <w:t xml:space="preserve">he addition of soy leghemoglobin </w:t>
      </w:r>
      <w:r w:rsidRPr="00C75F69">
        <w:rPr>
          <w:lang w:eastAsia="en-AU" w:bidi="ar-SA"/>
        </w:rPr>
        <w:t>w</w:t>
      </w:r>
      <w:r w:rsidR="005363BB">
        <w:rPr>
          <w:lang w:eastAsia="en-AU" w:bidi="ar-SA"/>
        </w:rPr>
        <w:t>ill</w:t>
      </w:r>
      <w:r w:rsidRPr="00C75F69">
        <w:rPr>
          <w:lang w:eastAsia="en-AU" w:bidi="ar-SA"/>
        </w:rPr>
        <w:t xml:space="preserve"> </w:t>
      </w:r>
      <w:r w:rsidRPr="00C75F69">
        <w:rPr>
          <w:rFonts w:cs="Arial"/>
        </w:rPr>
        <w:t xml:space="preserve">contribute to the total iron content of meat analogue products. Based on the amount of iron indicated by the applicant </w:t>
      </w:r>
      <w:r>
        <w:rPr>
          <w:rFonts w:cs="Arial"/>
        </w:rPr>
        <w:t xml:space="preserve">as </w:t>
      </w:r>
      <w:r w:rsidRPr="00C75F69">
        <w:rPr>
          <w:rFonts w:cs="Arial"/>
        </w:rPr>
        <w:t xml:space="preserve">contributed </w:t>
      </w:r>
      <w:r>
        <w:rPr>
          <w:rFonts w:cs="Arial"/>
        </w:rPr>
        <w:t>from</w:t>
      </w:r>
      <w:r w:rsidRPr="00C75F69">
        <w:rPr>
          <w:rFonts w:cs="Arial"/>
        </w:rPr>
        <w:t xml:space="preserve"> soy leghemoglobin, meat analogue products may meet the requirements for making a ‘ source of’ or ‘good source of iron’ nutrition content claim. </w:t>
      </w:r>
    </w:p>
    <w:p w14:paraId="23ED1E03" w14:textId="77777777" w:rsidR="006F6359" w:rsidRPr="00C75F69" w:rsidRDefault="006F6359" w:rsidP="006E51EF">
      <w:pPr>
        <w:widowControl/>
        <w:rPr>
          <w:rFonts w:cs="Arial"/>
        </w:rPr>
      </w:pPr>
    </w:p>
    <w:p w14:paraId="5AA52B49" w14:textId="77777777" w:rsidR="006F6359" w:rsidRPr="00C75F69" w:rsidRDefault="006F6359" w:rsidP="006E51EF">
      <w:pPr>
        <w:widowControl/>
        <w:rPr>
          <w:rFonts w:cs="Arial"/>
        </w:rPr>
      </w:pPr>
      <w:r w:rsidRPr="00FD0231">
        <w:rPr>
          <w:lang w:eastAsia="en-AU" w:bidi="ar-SA"/>
        </w:rPr>
        <w:t xml:space="preserve">Food that meets the general claim conditions for making nutrition content claims about certain properties of food, may also be eligible to make </w:t>
      </w:r>
      <w:r w:rsidRPr="00C75F69">
        <w:rPr>
          <w:lang w:eastAsia="en-AU" w:bidi="ar-SA"/>
        </w:rPr>
        <w:t xml:space="preserve">a general level health claim. Section S4—5 lists the conditions for permitted general level health claims for properties of food, including iron. General level health claims are also subject to other conditions in Standard 1.2.7 and include the requirement for a systematic review to substantiate a food-health relationship that is not already mentioned in </w:t>
      </w:r>
      <w:r>
        <w:rPr>
          <w:lang w:eastAsia="en-AU" w:bidi="ar-SA"/>
        </w:rPr>
        <w:t>s</w:t>
      </w:r>
      <w:r w:rsidRPr="00C75F69">
        <w:rPr>
          <w:lang w:eastAsia="en-AU" w:bidi="ar-SA"/>
        </w:rPr>
        <w:t xml:space="preserve">ection S4—5. </w:t>
      </w:r>
    </w:p>
    <w:p w14:paraId="0D7A7354" w14:textId="77777777" w:rsidR="006F6359" w:rsidRPr="00C75F69" w:rsidRDefault="006F6359" w:rsidP="006E51EF">
      <w:pPr>
        <w:widowControl/>
        <w:rPr>
          <w:rFonts w:cs="Arial"/>
        </w:rPr>
      </w:pPr>
    </w:p>
    <w:p w14:paraId="2DA70EE5" w14:textId="77777777" w:rsidR="006F6359" w:rsidRPr="00C75F69" w:rsidRDefault="006F6359" w:rsidP="006E51EF">
      <w:pPr>
        <w:widowControl/>
        <w:rPr>
          <w:rFonts w:cs="Arial"/>
        </w:rPr>
      </w:pPr>
      <w:r w:rsidRPr="00C75F69">
        <w:rPr>
          <w:rFonts w:cs="Arial"/>
        </w:rPr>
        <w:t>High level health claims must be based on a food-health relationship pre-approved by FSANZ. Section S4—4 lists the permitted high level health claims and relevant conditions that must be met by suppliers.</w:t>
      </w:r>
    </w:p>
    <w:p w14:paraId="7CF33590" w14:textId="77777777" w:rsidR="006F6359" w:rsidRPr="00C75F69" w:rsidRDefault="006F6359" w:rsidP="006E51EF">
      <w:pPr>
        <w:widowControl/>
        <w:rPr>
          <w:rFonts w:cs="Arial"/>
        </w:rPr>
      </w:pPr>
    </w:p>
    <w:p w14:paraId="195AD55E" w14:textId="77777777" w:rsidR="006F6359" w:rsidRDefault="006F6359" w:rsidP="006E51EF">
      <w:pPr>
        <w:widowControl/>
        <w:rPr>
          <w:rFonts w:cs="Arial"/>
        </w:rPr>
      </w:pPr>
      <w:r w:rsidRPr="00FD0231">
        <w:rPr>
          <w:rFonts w:cs="Arial"/>
        </w:rPr>
        <w:t>The onus is on the supplier to determine whether their food product meets the conditions and requirements before making a nutrition content claim or a health claim.</w:t>
      </w:r>
    </w:p>
    <w:p w14:paraId="4CB83AF5" w14:textId="77777777" w:rsidR="006F6359" w:rsidRPr="002C2F8F" w:rsidRDefault="006F6359" w:rsidP="006E51EF">
      <w:pPr>
        <w:pStyle w:val="Heading4"/>
        <w:widowControl/>
      </w:pPr>
      <w:bookmarkStart w:id="199" w:name="_Toc41576663"/>
      <w:bookmarkStart w:id="200" w:name="_Toc42875226"/>
      <w:r w:rsidRPr="002C2F8F">
        <w:t>3.2.5.1</w:t>
      </w:r>
      <w:r w:rsidRPr="002C2F8F">
        <w:tab/>
        <w:t>Restrictions on nutrition content claims in relation to vitamins and minerals added to foods</w:t>
      </w:r>
      <w:bookmarkEnd w:id="199"/>
      <w:bookmarkEnd w:id="200"/>
    </w:p>
    <w:p w14:paraId="52BAB19A" w14:textId="77777777" w:rsidR="006F6359" w:rsidRDefault="006F6359" w:rsidP="006E51EF">
      <w:pPr>
        <w:widowControl/>
        <w:rPr>
          <w:rFonts w:cs="Arial"/>
        </w:rPr>
      </w:pPr>
      <w:r>
        <w:rPr>
          <w:rFonts w:cs="Arial"/>
        </w:rPr>
        <w:t xml:space="preserve">Section 1.3.2—4 of Standard 1.3.2 – </w:t>
      </w:r>
      <w:r w:rsidRPr="004E1280">
        <w:rPr>
          <w:rFonts w:cs="Arial"/>
          <w:i/>
        </w:rPr>
        <w:t>Vitamins and minerals</w:t>
      </w:r>
      <w:r>
        <w:rPr>
          <w:rFonts w:cs="Arial"/>
        </w:rPr>
        <w:t xml:space="preserve"> applies if a vitamin or mineral has been used as a nutritive substance in a food listed in section S17—4. </w:t>
      </w:r>
    </w:p>
    <w:p w14:paraId="5F3C50A9" w14:textId="77777777" w:rsidR="006F6359" w:rsidRDefault="006F6359" w:rsidP="006E51EF">
      <w:pPr>
        <w:widowControl/>
        <w:rPr>
          <w:rFonts w:cs="Arial"/>
        </w:rPr>
      </w:pPr>
    </w:p>
    <w:p w14:paraId="27EF5CEE" w14:textId="77777777" w:rsidR="006F6359" w:rsidRDefault="006F6359" w:rsidP="006E51EF">
      <w:pPr>
        <w:widowControl/>
        <w:rPr>
          <w:rFonts w:cs="Arial"/>
        </w:rPr>
      </w:pPr>
      <w:r>
        <w:rPr>
          <w:rFonts w:cs="Arial"/>
        </w:rPr>
        <w:t>This section states a claim must not be made that the percentage (%) RDI of the vitamin or mineral (including the amount added and the amount naturally present) in a reference quantity of food is greater than the percentage that is specified as the maximum % RDI claim for that vitamin or mineral in the table to section S17—4. Section S17—4 sets out the permitted uses of particular vitamins and minerals for various types of food, including ‘analogues of meat’.</w:t>
      </w:r>
    </w:p>
    <w:p w14:paraId="24CCE1C4" w14:textId="77777777" w:rsidR="006F6359" w:rsidRDefault="006F6359" w:rsidP="006E51EF">
      <w:pPr>
        <w:widowControl/>
        <w:rPr>
          <w:rFonts w:cs="Arial"/>
        </w:rPr>
      </w:pPr>
    </w:p>
    <w:p w14:paraId="62FDE4BB" w14:textId="77777777" w:rsidR="006F6359" w:rsidRDefault="006F6359" w:rsidP="006E51EF">
      <w:pPr>
        <w:widowControl/>
        <w:rPr>
          <w:rFonts w:cs="Arial"/>
        </w:rPr>
      </w:pPr>
      <w:r w:rsidRPr="007A6B5E">
        <w:rPr>
          <w:rFonts w:cs="Arial"/>
        </w:rPr>
        <w:t xml:space="preserve">Depending on </w:t>
      </w:r>
      <w:r>
        <w:rPr>
          <w:rFonts w:cs="Arial"/>
        </w:rPr>
        <w:t>the</w:t>
      </w:r>
      <w:r w:rsidRPr="007A6B5E">
        <w:rPr>
          <w:rFonts w:cs="Arial"/>
        </w:rPr>
        <w:t xml:space="preserve"> serving size</w:t>
      </w:r>
      <w:r>
        <w:rPr>
          <w:rFonts w:cs="Arial"/>
        </w:rPr>
        <w:t xml:space="preserve"> of the meat analogue product</w:t>
      </w:r>
      <w:r w:rsidRPr="007A6B5E">
        <w:rPr>
          <w:rFonts w:cs="Arial"/>
        </w:rPr>
        <w:t>, the amount of iron present and whether claim conditions have been met, a %</w:t>
      </w:r>
      <w:r>
        <w:rPr>
          <w:rFonts w:cs="Arial"/>
        </w:rPr>
        <w:t xml:space="preserve"> </w:t>
      </w:r>
      <w:r w:rsidRPr="007A6B5E">
        <w:rPr>
          <w:rFonts w:cs="Arial"/>
        </w:rPr>
        <w:t xml:space="preserve">RDI declaration </w:t>
      </w:r>
      <w:r>
        <w:rPr>
          <w:rFonts w:cs="Arial"/>
        </w:rPr>
        <w:t xml:space="preserve">must </w:t>
      </w:r>
      <w:r w:rsidRPr="007A6B5E">
        <w:rPr>
          <w:rFonts w:cs="Arial"/>
        </w:rPr>
        <w:t>be made in the NIP when a ‘</w:t>
      </w:r>
      <w:r>
        <w:rPr>
          <w:rFonts w:cs="Arial"/>
        </w:rPr>
        <w:t xml:space="preserve">source of’ or </w:t>
      </w:r>
      <w:r w:rsidRPr="007A6B5E">
        <w:rPr>
          <w:rFonts w:cs="Arial"/>
        </w:rPr>
        <w:t>‘good source of iron’ nutrition content claim is made elsewhere on the label.</w:t>
      </w:r>
    </w:p>
    <w:p w14:paraId="413CD38B" w14:textId="77777777" w:rsidR="006F6359" w:rsidRDefault="006F6359" w:rsidP="006E51EF">
      <w:pPr>
        <w:pStyle w:val="Heading3"/>
        <w:widowControl/>
      </w:pPr>
      <w:bookmarkStart w:id="201" w:name="_Toc41576664"/>
      <w:bookmarkStart w:id="202" w:name="_Toc42875227"/>
      <w:bookmarkStart w:id="203" w:name="_Toc43128131"/>
      <w:bookmarkStart w:id="204" w:name="_Toc53406118"/>
      <w:bookmarkStart w:id="205" w:name="_Toc53484628"/>
      <w:bookmarkStart w:id="206" w:name="_Toc58840811"/>
      <w:r>
        <w:t>3.2.6</w:t>
      </w:r>
      <w:r>
        <w:tab/>
        <w:t>Representations</w:t>
      </w:r>
      <w:bookmarkEnd w:id="201"/>
      <w:bookmarkEnd w:id="202"/>
      <w:bookmarkEnd w:id="203"/>
      <w:bookmarkEnd w:id="204"/>
      <w:bookmarkEnd w:id="205"/>
      <w:bookmarkEnd w:id="206"/>
    </w:p>
    <w:p w14:paraId="558C4DC4" w14:textId="77777777" w:rsidR="006F6359" w:rsidRDefault="006F6359" w:rsidP="006E51EF">
      <w:pPr>
        <w:pStyle w:val="Heading4"/>
        <w:widowControl/>
      </w:pPr>
      <w:r>
        <w:rPr>
          <w:lang w:eastAsia="en-AU"/>
        </w:rPr>
        <w:t>3.2.6.1</w:t>
      </w:r>
      <w:r>
        <w:rPr>
          <w:lang w:eastAsia="en-AU"/>
        </w:rPr>
        <w:tab/>
        <w:t>Marketing of meat analogue products</w:t>
      </w:r>
    </w:p>
    <w:p w14:paraId="029042FB" w14:textId="77777777" w:rsidR="006F6359" w:rsidRDefault="006F6359" w:rsidP="006E51EF">
      <w:pPr>
        <w:widowControl/>
        <w:spacing w:after="120"/>
        <w:rPr>
          <w:rFonts w:eastAsiaTheme="minorHAnsi" w:cs="Arial"/>
          <w:i/>
          <w:lang w:val="en-NZ" w:bidi="ar-SA"/>
        </w:rPr>
      </w:pPr>
      <w:r w:rsidRPr="00230439">
        <w:rPr>
          <w:rFonts w:eastAsiaTheme="minorHAnsi" w:cs="Arial"/>
          <w:lang w:val="en-NZ" w:bidi="ar-SA"/>
        </w:rPr>
        <w:t>The Code requires that, unless prescribed, the name of the food must be sufficient to indicate the true nature of the food</w:t>
      </w:r>
      <w:r>
        <w:rPr>
          <w:rFonts w:eastAsiaTheme="minorHAnsi" w:cs="Arial"/>
          <w:lang w:val="en-NZ" w:bidi="ar-SA"/>
        </w:rPr>
        <w:t xml:space="preserve"> (paragraph 1.2.2—2(1)(b)</w:t>
      </w:r>
      <w:r w:rsidRPr="00DE4B75">
        <w:rPr>
          <w:rFonts w:eastAsiaTheme="minorHAnsi" w:cs="Arial"/>
          <w:lang w:val="en-NZ" w:bidi="ar-SA"/>
        </w:rPr>
        <w:t>)</w:t>
      </w:r>
      <w:r w:rsidRPr="00230439">
        <w:rPr>
          <w:rFonts w:eastAsiaTheme="minorHAnsi" w:cs="Arial"/>
          <w:i/>
          <w:lang w:val="en-NZ" w:bidi="ar-SA"/>
        </w:rPr>
        <w:t xml:space="preserve">. </w:t>
      </w:r>
    </w:p>
    <w:p w14:paraId="73664470" w14:textId="3D76F046" w:rsidR="006F6359" w:rsidRDefault="006F6359" w:rsidP="00747727">
      <w:pPr>
        <w:widowControl/>
        <w:rPr>
          <w:rFonts w:eastAsiaTheme="minorHAnsi" w:cs="Arial"/>
          <w:lang w:val="en-NZ" w:bidi="ar-SA"/>
        </w:rPr>
      </w:pPr>
      <w:r>
        <w:rPr>
          <w:rFonts w:eastAsiaTheme="minorHAnsi" w:cs="Arial"/>
          <w:lang w:val="en-NZ" w:bidi="ar-SA"/>
        </w:rPr>
        <w:t xml:space="preserve">Subsection 1.1.1—13(1) includes </w:t>
      </w:r>
      <w:r w:rsidRPr="00230439">
        <w:rPr>
          <w:rFonts w:eastAsiaTheme="minorHAnsi" w:cs="Arial"/>
          <w:lang w:val="en-NZ" w:bidi="ar-SA"/>
        </w:rPr>
        <w:t xml:space="preserve">requirements for food sold with a specified name or representation. </w:t>
      </w:r>
      <w:r>
        <w:rPr>
          <w:rFonts w:eastAsiaTheme="minorHAnsi" w:cs="Arial"/>
          <w:lang w:val="en-NZ" w:bidi="ar-SA"/>
        </w:rPr>
        <w:t xml:space="preserve">For example, subsection 1.1.1—13(4) states that if a food name is used in connection with the sale of a food, the sale is taken to be the sale of the food as the named food, unless the context makes it clear that the intention is otherwise (e.g. if the name ‘sausage’ is used in connection with the sale of a food, it is taken that the food is a ‘sausage’ </w:t>
      </w:r>
      <w:r>
        <w:rPr>
          <w:rFonts w:eastAsiaTheme="minorHAnsi" w:cs="Arial"/>
          <w:lang w:val="en-NZ" w:bidi="ar-SA"/>
        </w:rPr>
        <w:lastRenderedPageBreak/>
        <w:t xml:space="preserve">as defined in subsection 1.1.2—3(2) of Standard 1.1.2; however, </w:t>
      </w:r>
      <w:r w:rsidRPr="00233DD5">
        <w:rPr>
          <w:rFonts w:eastAsiaTheme="minorHAnsi" w:cs="Arial"/>
          <w:lang w:val="en-NZ" w:bidi="ar-SA"/>
        </w:rPr>
        <w:t xml:space="preserve">the context within which </w:t>
      </w:r>
      <w:r>
        <w:rPr>
          <w:rFonts w:eastAsiaTheme="minorHAnsi" w:cs="Arial"/>
          <w:lang w:val="en-NZ" w:bidi="ar-SA"/>
        </w:rPr>
        <w:t xml:space="preserve">a </w:t>
      </w:r>
      <w:r w:rsidRPr="00233DD5">
        <w:rPr>
          <w:rFonts w:eastAsiaTheme="minorHAnsi" w:cs="Arial"/>
          <w:lang w:val="en-NZ" w:bidi="ar-SA"/>
        </w:rPr>
        <w:t>soy sausage is sold is indicated by the</w:t>
      </w:r>
      <w:r>
        <w:rPr>
          <w:rFonts w:eastAsiaTheme="minorHAnsi" w:cs="Arial"/>
          <w:lang w:val="en-NZ" w:bidi="ar-SA"/>
        </w:rPr>
        <w:t xml:space="preserve"> word</w:t>
      </w:r>
      <w:r w:rsidRPr="00233DD5">
        <w:rPr>
          <w:rFonts w:eastAsiaTheme="minorHAnsi" w:cs="Arial"/>
          <w:lang w:val="en-NZ" w:bidi="ar-SA"/>
        </w:rPr>
        <w:t xml:space="preserve"> </w:t>
      </w:r>
      <w:r>
        <w:rPr>
          <w:rFonts w:eastAsiaTheme="minorHAnsi" w:cs="Arial"/>
          <w:lang w:val="en-NZ" w:bidi="ar-SA"/>
        </w:rPr>
        <w:t>‘</w:t>
      </w:r>
      <w:r w:rsidRPr="00233DD5">
        <w:rPr>
          <w:rFonts w:eastAsiaTheme="minorHAnsi" w:cs="Arial"/>
          <w:lang w:val="en-NZ" w:bidi="ar-SA"/>
        </w:rPr>
        <w:t>soy</w:t>
      </w:r>
      <w:r>
        <w:rPr>
          <w:rFonts w:eastAsiaTheme="minorHAnsi" w:cs="Arial"/>
          <w:lang w:val="en-NZ" w:bidi="ar-SA"/>
        </w:rPr>
        <w:t>’ in the name of the product</w:t>
      </w:r>
      <w:r w:rsidRPr="00233DD5">
        <w:rPr>
          <w:rFonts w:eastAsiaTheme="minorHAnsi" w:cs="Arial"/>
          <w:lang w:val="en-NZ" w:bidi="ar-SA"/>
        </w:rPr>
        <w:t xml:space="preserve">, </w:t>
      </w:r>
      <w:r>
        <w:rPr>
          <w:rFonts w:eastAsiaTheme="minorHAnsi" w:cs="Arial"/>
          <w:lang w:val="en-NZ" w:bidi="ar-SA"/>
        </w:rPr>
        <w:t>indicating</w:t>
      </w:r>
      <w:r w:rsidRPr="00233DD5">
        <w:rPr>
          <w:rFonts w:eastAsiaTheme="minorHAnsi" w:cs="Arial"/>
          <w:lang w:val="en-NZ" w:bidi="ar-SA"/>
        </w:rPr>
        <w:t xml:space="preserve"> that the product is not a meat product to which Standard 2.2.1</w:t>
      </w:r>
      <w:r>
        <w:rPr>
          <w:rFonts w:eastAsiaTheme="minorHAnsi" w:cs="Arial"/>
          <w:lang w:val="en-NZ" w:bidi="ar-SA"/>
        </w:rPr>
        <w:t xml:space="preserve"> – </w:t>
      </w:r>
      <w:r>
        <w:rPr>
          <w:rFonts w:eastAsiaTheme="minorHAnsi" w:cs="Arial"/>
          <w:i/>
          <w:lang w:val="en-NZ" w:bidi="ar-SA"/>
        </w:rPr>
        <w:t>Meat and meat products</w:t>
      </w:r>
      <w:r>
        <w:rPr>
          <w:rFonts w:eastAsiaTheme="minorHAnsi" w:cs="Arial"/>
          <w:lang w:val="en-NZ" w:bidi="ar-SA"/>
        </w:rPr>
        <w:t xml:space="preserve"> applies). </w:t>
      </w:r>
    </w:p>
    <w:p w14:paraId="16EC79C9" w14:textId="77777777" w:rsidR="007228F0" w:rsidRDefault="007228F0" w:rsidP="00747727">
      <w:pPr>
        <w:widowControl/>
        <w:rPr>
          <w:rFonts w:eastAsiaTheme="minorHAnsi" w:cs="Arial"/>
          <w:lang w:val="en-NZ" w:bidi="ar-SA"/>
        </w:rPr>
      </w:pPr>
    </w:p>
    <w:p w14:paraId="67A3F44E" w14:textId="07040C23" w:rsidR="00747727" w:rsidRDefault="006F6359" w:rsidP="00747727">
      <w:pPr>
        <w:widowControl/>
      </w:pPr>
      <w:r>
        <w:rPr>
          <w:rFonts w:cs="Arial"/>
          <w:lang w:val="en-NZ" w:bidi="ar-SA"/>
        </w:rPr>
        <w:t>R</w:t>
      </w:r>
      <w:r w:rsidRPr="00230439">
        <w:rPr>
          <w:rFonts w:cs="Arial"/>
          <w:lang w:val="en-NZ" w:bidi="ar-SA"/>
        </w:rPr>
        <w:t xml:space="preserve">equirements </w:t>
      </w:r>
      <w:r>
        <w:rPr>
          <w:rFonts w:cs="Arial"/>
          <w:lang w:val="en-NZ" w:bidi="ar-SA"/>
        </w:rPr>
        <w:t xml:space="preserve">in the Code </w:t>
      </w:r>
      <w:r w:rsidRPr="00230439">
        <w:rPr>
          <w:rFonts w:cs="Arial"/>
          <w:lang w:val="en-NZ" w:bidi="ar-SA"/>
        </w:rPr>
        <w:t xml:space="preserve">work in conjunction with requirements </w:t>
      </w:r>
      <w:r>
        <w:rPr>
          <w:rFonts w:cs="Arial"/>
          <w:lang w:val="en-NZ" w:bidi="ar-SA"/>
        </w:rPr>
        <w:t>in</w:t>
      </w:r>
      <w:r w:rsidRPr="00230439">
        <w:rPr>
          <w:rFonts w:cs="Arial"/>
          <w:lang w:val="en-NZ" w:bidi="ar-SA"/>
        </w:rPr>
        <w:t xml:space="preserve"> consumer protection legislation </w:t>
      </w:r>
      <w:r>
        <w:rPr>
          <w:rFonts w:cs="Arial"/>
          <w:lang w:val="en-NZ" w:bidi="ar-SA"/>
        </w:rPr>
        <w:t xml:space="preserve">in Australia and New Zealand </w:t>
      </w:r>
      <w:r w:rsidRPr="00230439">
        <w:rPr>
          <w:rFonts w:cs="Arial"/>
          <w:lang w:val="en-NZ" w:bidi="ar-SA"/>
        </w:rPr>
        <w:t xml:space="preserve">which </w:t>
      </w:r>
      <w:r>
        <w:rPr>
          <w:rFonts w:cs="Arial"/>
          <w:lang w:val="en-NZ" w:bidi="ar-SA"/>
        </w:rPr>
        <w:t xml:space="preserve">prohibit </w:t>
      </w:r>
      <w:r w:rsidRPr="00A24617">
        <w:rPr>
          <w:rFonts w:cs="Arial"/>
          <w:lang w:val="en-NZ" w:bidi="ar-SA"/>
        </w:rPr>
        <w:t>misleading or deceptive conduct</w:t>
      </w:r>
      <w:r>
        <w:rPr>
          <w:rFonts w:cs="Arial"/>
          <w:lang w:val="en-NZ" w:bidi="ar-SA"/>
        </w:rPr>
        <w:t>,</w:t>
      </w:r>
      <w:r w:rsidRPr="00A24617">
        <w:rPr>
          <w:rFonts w:cs="Arial"/>
          <w:lang w:val="en-NZ" w:bidi="ar-SA"/>
        </w:rPr>
        <w:t xml:space="preserve"> and false or misleading representations about goods and services</w:t>
      </w:r>
      <w:r>
        <w:rPr>
          <w:rFonts w:cs="Arial"/>
          <w:lang w:val="en-NZ" w:bidi="ar-SA"/>
        </w:rPr>
        <w:t xml:space="preserve">. In Australia, the </w:t>
      </w:r>
      <w:r w:rsidRPr="00357E4A">
        <w:rPr>
          <w:rFonts w:cs="Arial"/>
          <w:color w:val="222222"/>
          <w:szCs w:val="22"/>
          <w:lang w:val="en-AU"/>
        </w:rPr>
        <w:t xml:space="preserve">Australian Competition and Consumer Commission </w:t>
      </w:r>
      <w:r>
        <w:rPr>
          <w:rFonts w:cs="Arial"/>
          <w:color w:val="222222"/>
          <w:sz w:val="21"/>
          <w:szCs w:val="21"/>
          <w:lang w:val="en-AU"/>
        </w:rPr>
        <w:t>(A</w:t>
      </w:r>
      <w:r>
        <w:rPr>
          <w:rFonts w:cs="Arial"/>
          <w:lang w:val="en-NZ" w:bidi="ar-SA"/>
        </w:rPr>
        <w:t xml:space="preserve">CCC) enforces the </w:t>
      </w:r>
      <w:r>
        <w:rPr>
          <w:rFonts w:cs="Arial"/>
          <w:i/>
          <w:lang w:val="en-NZ" w:bidi="ar-SA"/>
        </w:rPr>
        <w:t>Competition and Consumer</w:t>
      </w:r>
      <w:r w:rsidRPr="008F76F3">
        <w:rPr>
          <w:rFonts w:cs="Arial"/>
          <w:i/>
          <w:lang w:val="en-NZ" w:bidi="ar-SA"/>
        </w:rPr>
        <w:t xml:space="preserve"> Act 2010</w:t>
      </w:r>
      <w:r>
        <w:rPr>
          <w:rFonts w:cs="Arial"/>
          <w:i/>
          <w:lang w:val="en-NZ" w:bidi="ar-SA"/>
        </w:rPr>
        <w:t xml:space="preserve"> </w:t>
      </w:r>
      <w:r>
        <w:rPr>
          <w:rFonts w:cs="Arial"/>
          <w:lang w:val="en-NZ" w:bidi="ar-SA"/>
        </w:rPr>
        <w:t>(</w:t>
      </w:r>
      <w:proofErr w:type="spellStart"/>
      <w:r>
        <w:rPr>
          <w:rFonts w:cs="Arial"/>
          <w:lang w:val="en-NZ" w:bidi="ar-SA"/>
        </w:rPr>
        <w:t>Cth</w:t>
      </w:r>
      <w:proofErr w:type="spellEnd"/>
      <w:r>
        <w:rPr>
          <w:rFonts w:cs="Arial"/>
          <w:lang w:val="en-NZ" w:bidi="ar-SA"/>
        </w:rPr>
        <w:t xml:space="preserve">); and States and Territories enforce their own consumer protection legislation. In New Zealand, </w:t>
      </w:r>
      <w:r>
        <w:t>the New Zealand Commerce Commission (</w:t>
      </w:r>
      <w:r w:rsidRPr="009A4556">
        <w:t>NZCC</w:t>
      </w:r>
      <w:r>
        <w:t xml:space="preserve">) enforces the </w:t>
      </w:r>
      <w:r w:rsidRPr="008F76F3">
        <w:rPr>
          <w:rFonts w:cs="Arial"/>
          <w:i/>
          <w:lang w:val="en-NZ" w:bidi="ar-SA"/>
        </w:rPr>
        <w:t>F</w:t>
      </w:r>
      <w:r w:rsidRPr="008F76F3">
        <w:rPr>
          <w:i/>
        </w:rPr>
        <w:t>air Trading Act 1986</w:t>
      </w:r>
      <w:r>
        <w:rPr>
          <w:i/>
        </w:rPr>
        <w:t xml:space="preserve"> </w:t>
      </w:r>
      <w:r>
        <w:t xml:space="preserve">(NZ) which </w:t>
      </w:r>
      <w:r w:rsidRPr="00953716">
        <w:t xml:space="preserve">prohibits false and misleading </w:t>
      </w:r>
      <w:r>
        <w:t>conduct</w:t>
      </w:r>
      <w:r w:rsidRPr="00953716">
        <w:t xml:space="preserve"> by businesses</w:t>
      </w:r>
      <w:r w:rsidRPr="009A4556">
        <w:t>.</w:t>
      </w:r>
    </w:p>
    <w:p w14:paraId="415253CF" w14:textId="77777777" w:rsidR="00747727" w:rsidRDefault="00747727" w:rsidP="00747727">
      <w:pPr>
        <w:widowControl/>
        <w:rPr>
          <w:rFonts w:cs="Arial"/>
          <w:lang w:val="en-NZ" w:bidi="ar-SA"/>
        </w:rPr>
      </w:pPr>
    </w:p>
    <w:p w14:paraId="6880305E" w14:textId="7DBC7568" w:rsidR="006F6359" w:rsidRDefault="006F6359" w:rsidP="00747727">
      <w:pPr>
        <w:widowControl/>
      </w:pPr>
      <w:r w:rsidRPr="00DA5468">
        <w:t>FSANZ discussed the marketing of meat analogues with the ACCC and the</w:t>
      </w:r>
      <w:r>
        <w:t xml:space="preserve"> NZCC in March and April 2020, respectively. </w:t>
      </w:r>
      <w:r w:rsidRPr="00DA5468">
        <w:t xml:space="preserve">Both agencies </w:t>
      </w:r>
      <w:r>
        <w:t xml:space="preserve">said they have </w:t>
      </w:r>
      <w:r w:rsidRPr="00DA5468">
        <w:t xml:space="preserve">received some complaints about </w:t>
      </w:r>
      <w:r>
        <w:t xml:space="preserve">how </w:t>
      </w:r>
      <w:r w:rsidRPr="00DA5468">
        <w:t>meat analogue products</w:t>
      </w:r>
      <w:r>
        <w:t xml:space="preserve"> are being represented as meat products</w:t>
      </w:r>
      <w:r w:rsidRPr="00DA5468">
        <w:t xml:space="preserve">. </w:t>
      </w:r>
      <w:r>
        <w:t>However, t</w:t>
      </w:r>
      <w:r w:rsidRPr="00DA5468">
        <w:t xml:space="preserve">he ACCC reports the majority of these complaints were from companies producing traditional meat products or rival companies which asserted that consumers were or could be misled by particular products. Very few of these complaints were </w:t>
      </w:r>
      <w:r>
        <w:t xml:space="preserve">said to be </w:t>
      </w:r>
      <w:r w:rsidRPr="00DA5468">
        <w:t>from consumers who believed they had been misled.</w:t>
      </w:r>
      <w:r>
        <w:t xml:space="preserve"> NZCC did not provide specific comment on complaints received.</w:t>
      </w:r>
    </w:p>
    <w:p w14:paraId="41F100F4" w14:textId="77777777" w:rsidR="00747727" w:rsidRPr="00747727" w:rsidRDefault="00747727" w:rsidP="00747727">
      <w:pPr>
        <w:widowControl/>
        <w:rPr>
          <w:rFonts w:cs="Arial"/>
          <w:lang w:val="en-NZ" w:bidi="ar-SA"/>
        </w:rPr>
      </w:pPr>
    </w:p>
    <w:p w14:paraId="18CC6A7B" w14:textId="77777777" w:rsidR="006F6359" w:rsidRPr="00DA5468" w:rsidRDefault="006F6359" w:rsidP="006E51EF">
      <w:pPr>
        <w:widowControl/>
        <w:rPr>
          <w:rFonts w:cs="Arial"/>
        </w:rPr>
      </w:pPr>
      <w:r w:rsidRPr="00DA5468">
        <w:rPr>
          <w:rFonts w:cs="Arial"/>
        </w:rPr>
        <w:t xml:space="preserve">When assessing a complaint, both the ACCC and NZCC </w:t>
      </w:r>
      <w:r>
        <w:rPr>
          <w:rFonts w:cs="Arial"/>
        </w:rPr>
        <w:t xml:space="preserve">state that they </w:t>
      </w:r>
      <w:r w:rsidRPr="00DA5468">
        <w:rPr>
          <w:rFonts w:cs="Arial"/>
        </w:rPr>
        <w:t xml:space="preserve">consider whether the overall representation of the product is misleading. For example, a product that is clearly and prominently labelled ‘vegan’, ‘vegetarian’ or ‘meat free’ is unlikely to mislead a consumer about whether the product is meat or plant based. </w:t>
      </w:r>
      <w:r>
        <w:rPr>
          <w:rFonts w:cs="Arial"/>
        </w:rPr>
        <w:t xml:space="preserve">The ACCC advise they follow a </w:t>
      </w:r>
      <w:hyperlink r:id="rId19" w:history="1">
        <w:r w:rsidRPr="00C22390">
          <w:rPr>
            <w:rStyle w:val="Hyperlink"/>
            <w:rFonts w:cs="Arial"/>
          </w:rPr>
          <w:t>Compliance and Enforcement Policy</w:t>
        </w:r>
      </w:hyperlink>
      <w:r>
        <w:rPr>
          <w:rFonts w:cs="Arial"/>
        </w:rPr>
        <w:t>, whilst t</w:t>
      </w:r>
      <w:r w:rsidRPr="00DA5468">
        <w:rPr>
          <w:rFonts w:cs="Arial"/>
        </w:rPr>
        <w:t xml:space="preserve">he NZCC </w:t>
      </w:r>
      <w:r w:rsidRPr="00DA5468">
        <w:t>advise they use</w:t>
      </w:r>
      <w:r>
        <w:t xml:space="preserve"> their</w:t>
      </w:r>
      <w:r w:rsidRPr="00DA5468">
        <w:t xml:space="preserve"> </w:t>
      </w:r>
      <w:hyperlink r:id="rId20" w:history="1">
        <w:r w:rsidRPr="00DA5468">
          <w:rPr>
            <w:color w:val="0000FF"/>
            <w:u w:val="single"/>
          </w:rPr>
          <w:t>enforcement criteria</w:t>
        </w:r>
      </w:hyperlink>
      <w:r w:rsidRPr="00DA5468">
        <w:t xml:space="preserve"> to </w:t>
      </w:r>
      <w:r w:rsidRPr="00DA5468">
        <w:rPr>
          <w:lang w:val="en-NZ"/>
        </w:rPr>
        <w:t>assess complaints.</w:t>
      </w:r>
    </w:p>
    <w:p w14:paraId="751DAC79" w14:textId="77777777" w:rsidR="006F6359" w:rsidRPr="00DA5468" w:rsidRDefault="006F6359" w:rsidP="006E51EF">
      <w:pPr>
        <w:widowControl/>
        <w:rPr>
          <w:rFonts w:cs="Arial"/>
        </w:rPr>
      </w:pPr>
    </w:p>
    <w:p w14:paraId="0E6E9C37" w14:textId="77777777" w:rsidR="006F6359" w:rsidRDefault="006F6359" w:rsidP="006E51EF">
      <w:pPr>
        <w:widowControl/>
        <w:rPr>
          <w:lang w:eastAsia="en-AU"/>
        </w:rPr>
      </w:pPr>
      <w:r>
        <w:rPr>
          <w:lang w:eastAsia="en-AU"/>
        </w:rPr>
        <w:t>FSANZ notes t</w:t>
      </w:r>
      <w:r w:rsidRPr="001F6A3D">
        <w:rPr>
          <w:lang w:eastAsia="en-AU"/>
        </w:rPr>
        <w:t xml:space="preserve">he applicant has indicated they intend </w:t>
      </w:r>
      <w:r>
        <w:rPr>
          <w:lang w:eastAsia="en-AU"/>
        </w:rPr>
        <w:t xml:space="preserve">to </w:t>
      </w:r>
      <w:r w:rsidRPr="001F6A3D">
        <w:rPr>
          <w:lang w:eastAsia="en-AU"/>
        </w:rPr>
        <w:t>market their products as ‘made from plants’.</w:t>
      </w:r>
    </w:p>
    <w:p w14:paraId="446BA001" w14:textId="77777777" w:rsidR="006F6359" w:rsidRDefault="006F6359" w:rsidP="006E51EF">
      <w:pPr>
        <w:widowControl/>
        <w:rPr>
          <w:lang w:eastAsia="en-AU"/>
        </w:rPr>
      </w:pPr>
    </w:p>
    <w:p w14:paraId="6FE61EC7" w14:textId="77777777" w:rsidR="006F6359" w:rsidRPr="00DA5468" w:rsidRDefault="006F6359" w:rsidP="006E51EF">
      <w:pPr>
        <w:widowControl/>
        <w:rPr>
          <w:lang w:eastAsia="en-AU"/>
        </w:rPr>
      </w:pPr>
      <w:r>
        <w:rPr>
          <w:lang w:eastAsia="en-AU"/>
        </w:rPr>
        <w:t xml:space="preserve">FSANZ understands that where there is evidence that consumers are being misled by representations made about food products, enforcement agencies have powers under consumer protection legislation to take appropriate enforcement or compliance action. </w:t>
      </w:r>
    </w:p>
    <w:p w14:paraId="6A379F04" w14:textId="72053A76" w:rsidR="006F6359" w:rsidRDefault="006F6359" w:rsidP="006E51EF">
      <w:pPr>
        <w:pStyle w:val="Heading4"/>
        <w:widowControl/>
      </w:pPr>
      <w:r w:rsidRPr="00241786">
        <w:t>3.2.6.2</w:t>
      </w:r>
      <w:r w:rsidRPr="00241786">
        <w:tab/>
      </w:r>
      <w:r w:rsidRPr="00101524">
        <w:t>Consumers and meat analogue products</w:t>
      </w:r>
    </w:p>
    <w:p w14:paraId="72DC5DDA" w14:textId="77777777" w:rsidR="006F6359" w:rsidRPr="000F4BDC" w:rsidRDefault="006F6359" w:rsidP="006E51EF">
      <w:pPr>
        <w:widowControl/>
      </w:pPr>
      <w:r>
        <w:t xml:space="preserve">In response to submitter comments, </w:t>
      </w:r>
      <w:r w:rsidRPr="000F4BDC">
        <w:t xml:space="preserve">FSANZ has considered evidence about consumer trends in meat consumption and </w:t>
      </w:r>
      <w:r>
        <w:t>consumer</w:t>
      </w:r>
      <w:r w:rsidRPr="000F4BDC">
        <w:t xml:space="preserve"> understanding of meat analogue products (refer to </w:t>
      </w:r>
      <w:r w:rsidRPr="00CD687E">
        <w:t>SD2</w:t>
      </w:r>
      <w:r>
        <w:t xml:space="preserve"> – Consumers and meat analogue products in Australia and New Zealand).</w:t>
      </w:r>
    </w:p>
    <w:p w14:paraId="0B0968A3" w14:textId="77777777" w:rsidR="006F6359" w:rsidRPr="0074279F" w:rsidRDefault="006F6359" w:rsidP="006E51EF">
      <w:pPr>
        <w:widowControl/>
      </w:pPr>
    </w:p>
    <w:p w14:paraId="02FFF32F" w14:textId="77777777" w:rsidR="006F6359" w:rsidRDefault="006F6359" w:rsidP="006E51EF">
      <w:pPr>
        <w:widowControl/>
      </w:pPr>
      <w:r w:rsidRPr="00C51527">
        <w:t>The evidence suggests that some consumers in Australia and New Zealand are trying to reduce their meat intake</w:t>
      </w:r>
      <w:r>
        <w:t xml:space="preserve"> by substituting s</w:t>
      </w:r>
      <w:r w:rsidRPr="00C51527">
        <w:t xml:space="preserve">ome of the meat products in their diet with </w:t>
      </w:r>
      <w:r>
        <w:t>meat analogue products. Evidence also suggests that s</w:t>
      </w:r>
      <w:r w:rsidRPr="00C51527">
        <w:t xml:space="preserve">ome consumers believe that meat analogue products have inferior taste and texture characteristics compared to traditional meat products. Ingredients or technologies that improve these characteristics in meat analogue products may increase their palatability to consumers. </w:t>
      </w:r>
    </w:p>
    <w:p w14:paraId="30210DDE" w14:textId="77777777" w:rsidR="006F6359" w:rsidRDefault="006F6359" w:rsidP="006E51EF">
      <w:pPr>
        <w:widowControl/>
      </w:pPr>
    </w:p>
    <w:p w14:paraId="7F1DD58A" w14:textId="77777777" w:rsidR="006F6359" w:rsidRPr="00C51527" w:rsidRDefault="006F6359" w:rsidP="006E51EF">
      <w:pPr>
        <w:widowControl/>
      </w:pPr>
      <w:r>
        <w:t xml:space="preserve">There was little evidence to characterise consumer understanding of meat analogue products based on product label representations. In two studies of Australian and New Zealand consumers, the proportion of consumers reporting they mistakenly </w:t>
      </w:r>
      <w:r w:rsidRPr="00577669">
        <w:t xml:space="preserve">purchased a ‘plant-based meat alternative product’ believing it was meat-based or </w:t>
      </w:r>
      <w:r>
        <w:t xml:space="preserve">vice versa was low (nine percent for Australian consumers and six percent for New Zealand consumers). An experimental study of US consumers found that nearly a third of participants incorrectly </w:t>
      </w:r>
      <w:r>
        <w:lastRenderedPageBreak/>
        <w:t xml:space="preserve">identified a meat analogue burger patty labelled as </w:t>
      </w:r>
      <w:r w:rsidDel="00B86C56">
        <w:t>‘</w:t>
      </w:r>
      <w:r>
        <w:t xml:space="preserve">Beyond </w:t>
      </w:r>
      <w:r w:rsidRPr="00AA0008">
        <w:rPr>
          <w:u w:val="single"/>
        </w:rPr>
        <w:t>Meat</w:t>
      </w:r>
      <w:r>
        <w:t xml:space="preserve"> ® Beyond </w:t>
      </w:r>
      <w:r w:rsidRPr="0097056F">
        <w:rPr>
          <w:u w:val="single"/>
        </w:rPr>
        <w:t>Burger</w:t>
      </w:r>
      <w:r>
        <w:t>’ as containing beef mince, when it was displayed side by side with two traditional meat burger patties. However, ingredient lists were not provided for any burger patty and the removal of the underlined terms made little difference to consumers’ ability to correctly identify the meat analogue product.</w:t>
      </w:r>
    </w:p>
    <w:p w14:paraId="36960273" w14:textId="77777777" w:rsidR="006F6359" w:rsidRPr="00DA5468" w:rsidRDefault="006F6359" w:rsidP="006E51EF">
      <w:pPr>
        <w:pStyle w:val="Heading4"/>
        <w:widowControl/>
      </w:pPr>
      <w:r>
        <w:t>3.2.6.3 Nutritional equivalence of meat analogue products to meat</w:t>
      </w:r>
    </w:p>
    <w:p w14:paraId="33E8BE3C" w14:textId="1907C551" w:rsidR="006F6359" w:rsidRDefault="006F6359" w:rsidP="006E51EF">
      <w:pPr>
        <w:widowControl/>
      </w:pPr>
      <w:r>
        <w:rPr>
          <w:rFonts w:cs="Arial"/>
        </w:rPr>
        <w:t>Nutrition content claims made about a meat analogue product w</w:t>
      </w:r>
      <w:r w:rsidR="005363BB">
        <w:rPr>
          <w:rFonts w:cs="Arial"/>
        </w:rPr>
        <w:t>ill</w:t>
      </w:r>
      <w:r>
        <w:rPr>
          <w:rFonts w:cs="Arial"/>
        </w:rPr>
        <w:t xml:space="preserve"> need to </w:t>
      </w:r>
      <w:r>
        <w:t xml:space="preserve">comply with requirements in Standard 1.2.7 (see </w:t>
      </w:r>
      <w:r w:rsidR="00D12384">
        <w:t>s</w:t>
      </w:r>
      <w:r w:rsidRPr="00CD687E">
        <w:t>ection 3.2.5</w:t>
      </w:r>
      <w:r>
        <w:t xml:space="preserve"> of this report above)</w:t>
      </w:r>
      <w:r>
        <w:rPr>
          <w:i/>
        </w:rPr>
        <w:t xml:space="preserve">. </w:t>
      </w:r>
      <w:r>
        <w:t>For example, section 1.2.7—9 states that a c</w:t>
      </w:r>
      <w:r w:rsidRPr="0045560B">
        <w:t>laim directly or indirectly compar</w:t>
      </w:r>
      <w:r>
        <w:t>ing</w:t>
      </w:r>
      <w:r w:rsidRPr="0045560B">
        <w:t xml:space="preserve"> the vitamin or mineral content of a food with that of another food must not be made unless </w:t>
      </w:r>
      <w:r>
        <w:t xml:space="preserve">the claim is </w:t>
      </w:r>
      <w:r w:rsidRPr="0045560B">
        <w:t>already permitted by the Code</w:t>
      </w:r>
      <w:r>
        <w:t xml:space="preserve">. </w:t>
      </w:r>
    </w:p>
    <w:p w14:paraId="02D6D014" w14:textId="77777777" w:rsidR="006F6359" w:rsidRDefault="006F6359" w:rsidP="006E51EF">
      <w:pPr>
        <w:widowControl/>
      </w:pPr>
    </w:p>
    <w:p w14:paraId="05F93F4C" w14:textId="592F6CDB" w:rsidR="006F6359" w:rsidRDefault="006F6359" w:rsidP="006E51EF">
      <w:pPr>
        <w:widowControl/>
      </w:pPr>
      <w:r>
        <w:t>A packaged meat analogue product w</w:t>
      </w:r>
      <w:r w:rsidR="005363BB">
        <w:t>ill</w:t>
      </w:r>
      <w:r>
        <w:t xml:space="preserve"> also need to comply with nutrition information requirements, including the requirement for a NIP, in Standard 1.2.8 (see </w:t>
      </w:r>
      <w:r w:rsidR="00D12384">
        <w:t>s</w:t>
      </w:r>
      <w:r w:rsidRPr="00CD687E">
        <w:t>ection 3.2.4</w:t>
      </w:r>
      <w:r>
        <w:t xml:space="preserve"> above).</w:t>
      </w:r>
    </w:p>
    <w:p w14:paraId="45FE0AA6" w14:textId="77777777" w:rsidR="006F6359" w:rsidRDefault="006F6359" w:rsidP="006E51EF">
      <w:pPr>
        <w:widowControl/>
      </w:pPr>
    </w:p>
    <w:p w14:paraId="3DEB4A14" w14:textId="77777777" w:rsidR="006F6359" w:rsidRDefault="006F6359" w:rsidP="006E51EF">
      <w:pPr>
        <w:widowControl/>
        <w:rPr>
          <w:rFonts w:cs="Arial"/>
        </w:rPr>
      </w:pPr>
      <w:r w:rsidRPr="00F633AE">
        <w:rPr>
          <w:rFonts w:cs="Arial"/>
        </w:rPr>
        <w:t xml:space="preserve">FSANZ notes meat analogue products are intended as meat substitutes, and the Code permits voluntary fortification of these substitute foods in the table to </w:t>
      </w:r>
      <w:r>
        <w:rPr>
          <w:rFonts w:cs="Arial"/>
        </w:rPr>
        <w:t>s</w:t>
      </w:r>
      <w:r w:rsidRPr="00F633AE">
        <w:rPr>
          <w:rFonts w:cs="Arial"/>
        </w:rPr>
        <w:t>ection S17—4</w:t>
      </w:r>
      <w:r>
        <w:rPr>
          <w:rFonts w:cs="Arial"/>
        </w:rPr>
        <w:t xml:space="preserve"> (see sections 1.3.2—3 and 1.3.2—4 of Standard 1.3.2)</w:t>
      </w:r>
      <w:r w:rsidRPr="00F633AE">
        <w:rPr>
          <w:rFonts w:cs="Arial"/>
        </w:rPr>
        <w:t xml:space="preserve">. </w:t>
      </w:r>
    </w:p>
    <w:p w14:paraId="0685AC46" w14:textId="77777777" w:rsidR="006F6359" w:rsidRDefault="006F6359" w:rsidP="006E51EF">
      <w:pPr>
        <w:widowControl/>
        <w:rPr>
          <w:rFonts w:cs="Arial"/>
        </w:rPr>
      </w:pPr>
    </w:p>
    <w:p w14:paraId="512EA616" w14:textId="2931D9B2" w:rsidR="006F6359" w:rsidRDefault="006F6359" w:rsidP="006E51EF">
      <w:pPr>
        <w:widowControl/>
        <w:rPr>
          <w:rFonts w:cs="Arial"/>
        </w:rPr>
      </w:pPr>
      <w:r>
        <w:rPr>
          <w:rFonts w:cs="Arial"/>
        </w:rPr>
        <w:t>This is consistent with the</w:t>
      </w:r>
      <w:r>
        <w:t xml:space="preserve"> </w:t>
      </w:r>
      <w:r>
        <w:rPr>
          <w:i/>
          <w:lang w:val="en-AU"/>
        </w:rPr>
        <w:t xml:space="preserve">Ministerial Policy Guideline for the fortification of foods with vitamins and minerals </w:t>
      </w:r>
      <w:r>
        <w:rPr>
          <w:lang w:val="en-AU"/>
        </w:rPr>
        <w:t>(</w:t>
      </w:r>
      <w:r>
        <w:rPr>
          <w:rFonts w:cs="Arial"/>
        </w:rPr>
        <w:t>the</w:t>
      </w:r>
      <w:r>
        <w:t xml:space="preserve"> </w:t>
      </w:r>
      <w:r w:rsidRPr="00DA4C43">
        <w:rPr>
          <w:lang w:val="en-AU"/>
        </w:rPr>
        <w:t>Ministerial Policy Guideline</w:t>
      </w:r>
      <w:r>
        <w:rPr>
          <w:lang w:val="en-AU"/>
        </w:rPr>
        <w:t>)</w:t>
      </w:r>
      <w:r>
        <w:rPr>
          <w:i/>
          <w:vertAlign w:val="superscript"/>
          <w:lang w:val="en-AU"/>
        </w:rPr>
        <w:footnoteReference w:id="14"/>
      </w:r>
      <w:r>
        <w:rPr>
          <w:lang w:val="en-AU"/>
        </w:rPr>
        <w:t xml:space="preserve">, </w:t>
      </w:r>
      <w:r>
        <w:rPr>
          <w:rFonts w:cs="Arial"/>
        </w:rPr>
        <w:t>as discussed in section 5.3 below.</w:t>
      </w:r>
    </w:p>
    <w:p w14:paraId="05A67DBA" w14:textId="77777777" w:rsidR="006F6359" w:rsidRDefault="006F6359" w:rsidP="006E51EF">
      <w:pPr>
        <w:widowControl/>
      </w:pPr>
    </w:p>
    <w:p w14:paraId="1007137A" w14:textId="2BD20E86" w:rsidR="006F6359" w:rsidRDefault="006F6359" w:rsidP="006E51EF">
      <w:pPr>
        <w:widowControl/>
      </w:pPr>
      <w:r>
        <w:t>The Code does not regulate all nutritional aspects of meat analogue products and manufacturers can currently market meat analogue products in Australia and New Zealand with or without added vitamins and minerals. Even so, it is unlikely a meat analogue could achieve exact nutritional equivalence to meat when all factors in the food matrix are considered.</w:t>
      </w:r>
    </w:p>
    <w:p w14:paraId="577EEDD6" w14:textId="539CA202" w:rsidR="006F6359" w:rsidRDefault="006F6359" w:rsidP="006E51EF">
      <w:pPr>
        <w:pStyle w:val="Heading2"/>
        <w:widowControl/>
        <w:ind w:left="0" w:firstLine="0"/>
      </w:pPr>
      <w:bookmarkStart w:id="207" w:name="_Toc41576667"/>
      <w:bookmarkStart w:id="208" w:name="_Toc42875228"/>
      <w:bookmarkStart w:id="209" w:name="_Toc43128132"/>
      <w:bookmarkStart w:id="210" w:name="_Toc53406119"/>
      <w:bookmarkStart w:id="211" w:name="_Toc53484629"/>
      <w:bookmarkStart w:id="212" w:name="_Toc58840812"/>
      <w:r>
        <w:rPr>
          <w:lang w:val="en-AU" w:eastAsia="en-GB"/>
        </w:rPr>
        <w:t>3.3</w:t>
      </w:r>
      <w:r>
        <w:rPr>
          <w:lang w:val="en-AU" w:eastAsia="en-GB"/>
        </w:rPr>
        <w:tab/>
        <w:t xml:space="preserve">Summary of </w:t>
      </w:r>
      <w:r w:rsidR="002F39E9">
        <w:rPr>
          <w:lang w:val="en-AU" w:eastAsia="en-GB"/>
        </w:rPr>
        <w:t xml:space="preserve">the </w:t>
      </w:r>
      <w:r>
        <w:rPr>
          <w:lang w:val="en-AU" w:eastAsia="en-GB"/>
        </w:rPr>
        <w:t>regulatory measures</w:t>
      </w:r>
      <w:bookmarkEnd w:id="207"/>
      <w:bookmarkEnd w:id="208"/>
      <w:bookmarkEnd w:id="209"/>
      <w:bookmarkEnd w:id="210"/>
      <w:bookmarkEnd w:id="211"/>
      <w:bookmarkEnd w:id="212"/>
    </w:p>
    <w:p w14:paraId="3B76FFF0" w14:textId="05BE64D9" w:rsidR="006F6359" w:rsidRDefault="00843F4B" w:rsidP="006E51EF">
      <w:pPr>
        <w:widowControl/>
        <w:rPr>
          <w:rFonts w:cs="Arial"/>
          <w:szCs w:val="22"/>
        </w:rPr>
      </w:pPr>
      <w:r>
        <w:rPr>
          <w:rFonts w:cs="Arial"/>
          <w:szCs w:val="22"/>
        </w:rPr>
        <w:t xml:space="preserve">Based on its assessment, FSANZ’s risk management </w:t>
      </w:r>
      <w:r w:rsidRPr="00093AF6">
        <w:rPr>
          <w:rFonts w:cs="Arial"/>
          <w:szCs w:val="22"/>
        </w:rPr>
        <w:t>conclusion is to permit</w:t>
      </w:r>
      <w:r>
        <w:rPr>
          <w:rFonts w:cs="Arial"/>
          <w:szCs w:val="22"/>
        </w:rPr>
        <w:t xml:space="preserve"> and regulate the use of </w:t>
      </w:r>
      <w:r w:rsidR="00CA09C5">
        <w:rPr>
          <w:rFonts w:cs="Arial"/>
          <w:szCs w:val="22"/>
        </w:rPr>
        <w:t>‘</w:t>
      </w:r>
      <w:r>
        <w:rPr>
          <w:rFonts w:cs="Arial"/>
          <w:szCs w:val="22"/>
        </w:rPr>
        <w:t>soy leghemoglobin</w:t>
      </w:r>
      <w:r w:rsidR="00CA09C5">
        <w:rPr>
          <w:rFonts w:cs="Arial"/>
          <w:szCs w:val="22"/>
        </w:rPr>
        <w:t>’</w:t>
      </w:r>
      <w:r w:rsidRPr="00623FA6">
        <w:rPr>
          <w:rFonts w:cs="Arial"/>
          <w:szCs w:val="22"/>
        </w:rPr>
        <w:t xml:space="preserve"> </w:t>
      </w:r>
      <w:r>
        <w:rPr>
          <w:rFonts w:cs="Arial"/>
          <w:szCs w:val="22"/>
        </w:rPr>
        <w:t xml:space="preserve">as a nutritive substance; </w:t>
      </w:r>
      <w:r>
        <w:rPr>
          <w:bCs/>
          <w:lang w:bidi="ar-SA"/>
        </w:rPr>
        <w:t xml:space="preserve">and </w:t>
      </w:r>
      <w:r w:rsidR="001D677B">
        <w:rPr>
          <w:bCs/>
          <w:lang w:bidi="ar-SA"/>
        </w:rPr>
        <w:t xml:space="preserve">the </w:t>
      </w:r>
      <w:r w:rsidR="00CA09C5">
        <w:rPr>
          <w:bCs/>
          <w:lang w:bidi="ar-SA"/>
        </w:rPr>
        <w:t>‘</w:t>
      </w:r>
      <w:r w:rsidR="001D677B">
        <w:rPr>
          <w:bCs/>
          <w:lang w:bidi="ar-SA"/>
        </w:rPr>
        <w:t xml:space="preserve">soy leghemoglobin </w:t>
      </w:r>
      <w:r w:rsidR="00CA09C5">
        <w:rPr>
          <w:bCs/>
          <w:lang w:bidi="ar-SA"/>
        </w:rPr>
        <w:t xml:space="preserve">preparation’ </w:t>
      </w:r>
      <w:r w:rsidR="00471EB6">
        <w:rPr>
          <w:bCs/>
          <w:lang w:bidi="ar-SA"/>
        </w:rPr>
        <w:t>a</w:t>
      </w:r>
      <w:r>
        <w:rPr>
          <w:bCs/>
          <w:lang w:bidi="ar-SA"/>
        </w:rPr>
        <w:t xml:space="preserve">s a </w:t>
      </w:r>
      <w:r w:rsidRPr="000E3ED4">
        <w:rPr>
          <w:bCs/>
          <w:lang w:bidi="ar-SA"/>
        </w:rPr>
        <w:t>food produced using gene technology</w:t>
      </w:r>
      <w:r w:rsidR="00852E6A">
        <w:rPr>
          <w:bCs/>
          <w:lang w:bidi="ar-SA"/>
        </w:rPr>
        <w:t>, in meat analogue products</w:t>
      </w:r>
      <w:r>
        <w:rPr>
          <w:bCs/>
          <w:lang w:bidi="ar-SA"/>
        </w:rPr>
        <w:t xml:space="preserve"> as follows</w:t>
      </w:r>
      <w:r w:rsidR="006F6359">
        <w:rPr>
          <w:rFonts w:cs="Arial"/>
          <w:szCs w:val="22"/>
        </w:rPr>
        <w:t>:</w:t>
      </w:r>
    </w:p>
    <w:p w14:paraId="03C681A5" w14:textId="5579CB28" w:rsidR="006F6359" w:rsidRPr="00BA4583" w:rsidRDefault="006F6359" w:rsidP="006E51EF">
      <w:pPr>
        <w:pStyle w:val="FSBullet1"/>
        <w:numPr>
          <w:ilvl w:val="0"/>
          <w:numId w:val="0"/>
        </w:numPr>
        <w:rPr>
          <w:rFonts w:ascii="Calibri" w:hAnsi="Calibri" w:cs="Calibri"/>
          <w:lang w:eastAsia="en-GB"/>
        </w:rPr>
      </w:pPr>
    </w:p>
    <w:p w14:paraId="71684DF0" w14:textId="7A08F41D" w:rsidR="006F6359" w:rsidRPr="00DF75C6" w:rsidRDefault="006F6359" w:rsidP="00FF61AD">
      <w:pPr>
        <w:pStyle w:val="FSBullet1"/>
        <w:numPr>
          <w:ilvl w:val="0"/>
          <w:numId w:val="12"/>
        </w:numPr>
        <w:rPr>
          <w:rFonts w:ascii="Calibri" w:hAnsi="Calibri" w:cs="Calibri"/>
          <w:lang w:eastAsia="en-GB"/>
        </w:rPr>
      </w:pPr>
      <w:r>
        <w:rPr>
          <w:lang w:eastAsia="en-GB"/>
        </w:rPr>
        <w:t xml:space="preserve">Define ‘soy leghemoglobin preparation’ in section </w:t>
      </w:r>
      <w:r w:rsidR="00747727">
        <w:rPr>
          <w:lang w:eastAsia="en-GB"/>
        </w:rPr>
        <w:t>S26—2, as “</w:t>
      </w:r>
      <w:r>
        <w:rPr>
          <w:lang w:eastAsia="en-GB"/>
        </w:rPr>
        <w:t xml:space="preserve">a cell lysate preparation that includes the GM soy leghemoglobin and residual GM proteins from the </w:t>
      </w:r>
      <w:r>
        <w:rPr>
          <w:i/>
          <w:lang w:eastAsia="en-GB"/>
        </w:rPr>
        <w:t xml:space="preserve">Pichia </w:t>
      </w:r>
      <w:r w:rsidR="00747727">
        <w:rPr>
          <w:lang w:eastAsia="en-GB"/>
        </w:rPr>
        <w:t>yeast”</w:t>
      </w:r>
      <w:r>
        <w:rPr>
          <w:lang w:eastAsia="en-GB"/>
        </w:rPr>
        <w:t>.</w:t>
      </w:r>
    </w:p>
    <w:p w14:paraId="4982D677" w14:textId="4489FDF0" w:rsidR="006F6359" w:rsidRPr="00385DCA" w:rsidRDefault="002F39E9" w:rsidP="00FF61AD">
      <w:pPr>
        <w:pStyle w:val="FSBullet1"/>
        <w:numPr>
          <w:ilvl w:val="0"/>
          <w:numId w:val="12"/>
        </w:numPr>
        <w:rPr>
          <w:rFonts w:ascii="Calibri" w:hAnsi="Calibri" w:cs="Calibri"/>
          <w:lang w:eastAsia="en-GB"/>
        </w:rPr>
      </w:pPr>
      <w:r>
        <w:rPr>
          <w:lang w:eastAsia="en-GB"/>
        </w:rPr>
        <w:t>Permit</w:t>
      </w:r>
      <w:r w:rsidR="006F6359">
        <w:rPr>
          <w:lang w:eastAsia="en-GB"/>
        </w:rPr>
        <w:t xml:space="preserve"> the use of </w:t>
      </w:r>
      <w:r w:rsidR="00747727">
        <w:rPr>
          <w:lang w:eastAsia="en-GB"/>
        </w:rPr>
        <w:t>‘</w:t>
      </w:r>
      <w:r w:rsidR="006F6359" w:rsidRPr="008C5D5D">
        <w:rPr>
          <w:lang w:eastAsia="en-GB"/>
        </w:rPr>
        <w:t>soy leghemoglobin preparation</w:t>
      </w:r>
      <w:r w:rsidR="00747727">
        <w:rPr>
          <w:lang w:eastAsia="en-GB"/>
        </w:rPr>
        <w:t>’</w:t>
      </w:r>
      <w:r w:rsidR="006F6359" w:rsidRPr="008C5D5D">
        <w:rPr>
          <w:lang w:eastAsia="en-GB"/>
        </w:rPr>
        <w:t xml:space="preserve"> as</w:t>
      </w:r>
      <w:r w:rsidR="006F6359">
        <w:rPr>
          <w:lang w:eastAsia="en-GB"/>
        </w:rPr>
        <w:t xml:space="preserve"> a </w:t>
      </w:r>
      <w:r w:rsidR="006F6359" w:rsidRPr="00DF75C6">
        <w:rPr>
          <w:lang w:eastAsia="en-GB"/>
        </w:rPr>
        <w:t>food produced using gene technology</w:t>
      </w:r>
      <w:r w:rsidR="006F6359">
        <w:rPr>
          <w:lang w:eastAsia="en-GB"/>
        </w:rPr>
        <w:t xml:space="preserve"> by listing the </w:t>
      </w:r>
      <w:r w:rsidR="00747727">
        <w:rPr>
          <w:lang w:eastAsia="en-GB"/>
        </w:rPr>
        <w:t>P</w:t>
      </w:r>
      <w:r w:rsidR="006F6359">
        <w:rPr>
          <w:lang w:eastAsia="en-GB"/>
        </w:rPr>
        <w:t xml:space="preserve">reparation with the same </w:t>
      </w:r>
      <w:r w:rsidR="006F6359" w:rsidRPr="0091535D">
        <w:t xml:space="preserve">gene-gene donor </w:t>
      </w:r>
      <w:r w:rsidR="006F6359">
        <w:t>source, and specific conditions of use</w:t>
      </w:r>
      <w:r w:rsidR="006F6359">
        <w:rPr>
          <w:lang w:eastAsia="en-GB"/>
        </w:rPr>
        <w:t xml:space="preserve"> into</w:t>
      </w:r>
      <w:r w:rsidR="006F6359">
        <w:rPr>
          <w:iCs/>
          <w:lang w:eastAsia="en-GB"/>
        </w:rPr>
        <w:t xml:space="preserve"> the table to subsection S26—3(7) (‘</w:t>
      </w:r>
      <w:r w:rsidR="006F6359" w:rsidRPr="00385BC2">
        <w:rPr>
          <w:iCs/>
          <w:lang w:eastAsia="en-GB"/>
        </w:rPr>
        <w:t>Food produced using gene technology of microbial origin</w:t>
      </w:r>
      <w:r w:rsidR="006F6359">
        <w:rPr>
          <w:iCs/>
          <w:lang w:eastAsia="en-GB"/>
        </w:rPr>
        <w:t>’).</w:t>
      </w:r>
    </w:p>
    <w:p w14:paraId="3B6A6AD2" w14:textId="7CDFAE56" w:rsidR="006F6359" w:rsidRPr="003E1450" w:rsidRDefault="006F6359" w:rsidP="00FF61AD">
      <w:pPr>
        <w:pStyle w:val="FSBullet1"/>
        <w:numPr>
          <w:ilvl w:val="0"/>
          <w:numId w:val="12"/>
        </w:numPr>
        <w:rPr>
          <w:rFonts w:ascii="Calibri" w:hAnsi="Calibri" w:cs="Calibri"/>
          <w:lang w:eastAsia="en-GB"/>
        </w:rPr>
      </w:pPr>
      <w:r>
        <w:t xml:space="preserve">Amend Standard 1.3.2 to permit iron in the form of soy leghemoglobin to be </w:t>
      </w:r>
      <w:r>
        <w:rPr>
          <w:i/>
        </w:rPr>
        <w:t>used as a</w:t>
      </w:r>
      <w:r>
        <w:t xml:space="preserve"> </w:t>
      </w:r>
      <w:r w:rsidRPr="00385BC2">
        <w:rPr>
          <w:i/>
        </w:rPr>
        <w:t xml:space="preserve">nutritive </w:t>
      </w:r>
      <w:r>
        <w:rPr>
          <w:i/>
        </w:rPr>
        <w:t xml:space="preserve">substance </w:t>
      </w:r>
      <w:r>
        <w:t xml:space="preserve">only in meat analogue products to which section S17—4 applies, </w:t>
      </w:r>
      <w:r w:rsidRPr="003E1450">
        <w:rPr>
          <w:szCs w:val="22"/>
          <w:lang w:val="en-AU" w:eastAsia="en-GB"/>
        </w:rPr>
        <w:t>with a maximum permitted use level of 0.8% in raw product</w:t>
      </w:r>
      <w:r w:rsidRPr="003E1450">
        <w:t>.</w:t>
      </w:r>
    </w:p>
    <w:p w14:paraId="7C90E116" w14:textId="2C300464" w:rsidR="006F6359" w:rsidRPr="004474CF" w:rsidRDefault="006F6359" w:rsidP="00FF61AD">
      <w:pPr>
        <w:pStyle w:val="FSBullet1"/>
        <w:numPr>
          <w:ilvl w:val="0"/>
          <w:numId w:val="12"/>
        </w:numPr>
        <w:rPr>
          <w:rFonts w:ascii="Calibri" w:hAnsi="Calibri" w:cs="Calibri"/>
          <w:lang w:eastAsia="en-GB"/>
        </w:rPr>
      </w:pPr>
      <w:r>
        <w:t>List soy leghemoglobin (in a soy leghemoglobin preparation) as a permitted form of iron in the table to section S17—3.</w:t>
      </w:r>
    </w:p>
    <w:p w14:paraId="5D181149" w14:textId="49254093" w:rsidR="006F6359" w:rsidRDefault="006F6359" w:rsidP="00FF61AD">
      <w:pPr>
        <w:pStyle w:val="FSBullet1"/>
        <w:numPr>
          <w:ilvl w:val="0"/>
          <w:numId w:val="11"/>
        </w:numPr>
        <w:rPr>
          <w:szCs w:val="22"/>
          <w:lang w:eastAsia="en-GB"/>
        </w:rPr>
      </w:pPr>
      <w:r>
        <w:rPr>
          <w:szCs w:val="22"/>
          <w:lang w:eastAsia="en-GB"/>
        </w:rPr>
        <w:t>Amend Schedule 3 to include s</w:t>
      </w:r>
      <w:r w:rsidRPr="006E56C1">
        <w:rPr>
          <w:szCs w:val="22"/>
          <w:lang w:eastAsia="en-GB"/>
        </w:rPr>
        <w:t xml:space="preserve">pecifications </w:t>
      </w:r>
      <w:r>
        <w:rPr>
          <w:szCs w:val="22"/>
          <w:lang w:eastAsia="en-GB"/>
        </w:rPr>
        <w:t xml:space="preserve">for the identity and purity of a </w:t>
      </w:r>
      <w:r w:rsidR="002F39E9">
        <w:rPr>
          <w:szCs w:val="22"/>
          <w:lang w:eastAsia="en-GB"/>
        </w:rPr>
        <w:t>‘</w:t>
      </w:r>
      <w:r>
        <w:rPr>
          <w:szCs w:val="22"/>
          <w:lang w:eastAsia="en-GB"/>
        </w:rPr>
        <w:t>soy leghemoglobin preparation</w:t>
      </w:r>
      <w:r w:rsidR="002F39E9">
        <w:rPr>
          <w:szCs w:val="22"/>
          <w:lang w:eastAsia="en-GB"/>
        </w:rPr>
        <w:t>’</w:t>
      </w:r>
      <w:r w:rsidRPr="006E56C1">
        <w:rPr>
          <w:szCs w:val="22"/>
          <w:lang w:eastAsia="en-GB"/>
        </w:rPr>
        <w:t xml:space="preserve">. </w:t>
      </w:r>
    </w:p>
    <w:p w14:paraId="55385871" w14:textId="77777777" w:rsidR="002F39E9" w:rsidRDefault="002F39E9" w:rsidP="006E51EF">
      <w:pPr>
        <w:widowControl/>
      </w:pPr>
    </w:p>
    <w:p w14:paraId="7F5C06F1" w14:textId="78FCFAE4" w:rsidR="006F6359" w:rsidRPr="00385BC2" w:rsidRDefault="006F6359" w:rsidP="006E51EF">
      <w:pPr>
        <w:widowControl/>
        <w:rPr>
          <w:szCs w:val="22"/>
          <w:lang w:eastAsia="en-GB"/>
        </w:rPr>
      </w:pPr>
      <w:r>
        <w:t xml:space="preserve">Existing labelling requirements will apply to </w:t>
      </w:r>
      <w:r w:rsidR="005363BB">
        <w:t xml:space="preserve">the </w:t>
      </w:r>
      <w:r>
        <w:t>soy leghemoglobin</w:t>
      </w:r>
      <w:r w:rsidR="005363BB">
        <w:t xml:space="preserve"> </w:t>
      </w:r>
      <w:r w:rsidR="00747727">
        <w:t xml:space="preserve">in the form of the Preparation, </w:t>
      </w:r>
      <w:r>
        <w:t>enabling consumers to make informed choices.</w:t>
      </w:r>
    </w:p>
    <w:p w14:paraId="08833B33" w14:textId="77777777" w:rsidR="006F6359" w:rsidRDefault="006F6359" w:rsidP="006E51EF">
      <w:pPr>
        <w:widowControl/>
      </w:pPr>
    </w:p>
    <w:p w14:paraId="0B13DA51" w14:textId="29468664" w:rsidR="006F6359" w:rsidRDefault="002F39E9" w:rsidP="006E51EF">
      <w:pPr>
        <w:widowControl/>
      </w:pPr>
      <w:r>
        <w:t>FSANZ has approved a draft variation to the Code at Attachment A, to give effect to the above.</w:t>
      </w:r>
      <w:r w:rsidR="007D756C">
        <w:t xml:space="preserve"> </w:t>
      </w:r>
      <w:r w:rsidR="006F6359" w:rsidRPr="00507441">
        <w:t>Co</w:t>
      </w:r>
      <w:r w:rsidR="006F6359">
        <w:t xml:space="preserve">nsequential amendments </w:t>
      </w:r>
      <w:r>
        <w:t>have been added</w:t>
      </w:r>
      <w:r w:rsidR="006F6359">
        <w:t xml:space="preserve"> to Note 1 of Schedule 3 and the table to subsection S17—4 (these are explained in the Explanatory Statement—Attachment B to this report).</w:t>
      </w:r>
    </w:p>
    <w:p w14:paraId="40A138AD" w14:textId="56E0BBC4" w:rsidR="00A97684" w:rsidRPr="00A97684" w:rsidRDefault="00A97684" w:rsidP="00901051">
      <w:pPr>
        <w:widowControl/>
        <w:rPr>
          <w:b/>
          <w:i/>
        </w:rPr>
      </w:pPr>
    </w:p>
    <w:p w14:paraId="06903DC6" w14:textId="6D4D45CD" w:rsidR="00A97684" w:rsidRPr="00A97684" w:rsidRDefault="00A97684" w:rsidP="00901051">
      <w:pPr>
        <w:widowControl/>
        <w:rPr>
          <w:b/>
          <w:i/>
        </w:rPr>
      </w:pPr>
      <w:r w:rsidRPr="00A97684">
        <w:rPr>
          <w:b/>
          <w:i/>
        </w:rPr>
        <w:t>A1186 drafting and the review of A1155</w:t>
      </w:r>
    </w:p>
    <w:p w14:paraId="08799D69" w14:textId="29132814" w:rsidR="00901051" w:rsidRDefault="00901051" w:rsidP="006E51EF">
      <w:pPr>
        <w:widowControl/>
      </w:pPr>
    </w:p>
    <w:p w14:paraId="5EF54767" w14:textId="0663CEB3" w:rsidR="00A97684" w:rsidRPr="002F39E9" w:rsidRDefault="00A97684" w:rsidP="006E51EF">
      <w:pPr>
        <w:widowControl/>
      </w:pPr>
      <w:r>
        <w:t xml:space="preserve">FSANZ notes that </w:t>
      </w:r>
      <w:r w:rsidR="003F0E0D">
        <w:t xml:space="preserve">the </w:t>
      </w:r>
      <w:r>
        <w:t xml:space="preserve">A1155 </w:t>
      </w:r>
      <w:r w:rsidR="003F0E0D">
        <w:t xml:space="preserve">review was recently considered </w:t>
      </w:r>
      <w:r w:rsidR="002D39C5">
        <w:t xml:space="preserve">and accepted with amendments </w:t>
      </w:r>
      <w:r w:rsidR="003F0E0D">
        <w:t>by the Forum. Attachment</w:t>
      </w:r>
      <w:r w:rsidR="00EE1B55">
        <w:t>s</w:t>
      </w:r>
      <w:r w:rsidR="003F0E0D">
        <w:t xml:space="preserve"> A and B of this report</w:t>
      </w:r>
      <w:r w:rsidR="002D39C5">
        <w:t xml:space="preserve"> </w:t>
      </w:r>
      <w:r w:rsidR="00EE1B55">
        <w:t>containing</w:t>
      </w:r>
      <w:r w:rsidR="002D39C5">
        <w:t xml:space="preserve"> the draft variation and explanatory statement</w:t>
      </w:r>
      <w:r w:rsidR="003F0E0D">
        <w:t xml:space="preserve"> </w:t>
      </w:r>
      <w:r w:rsidR="00EE1B55">
        <w:t xml:space="preserve">therefore </w:t>
      </w:r>
      <w:r w:rsidR="003F0E0D">
        <w:t xml:space="preserve">remain </w:t>
      </w:r>
      <w:r w:rsidR="002D39C5">
        <w:t>as proposed. H</w:t>
      </w:r>
      <w:r w:rsidR="003F0E0D">
        <w:t xml:space="preserve">owever </w:t>
      </w:r>
      <w:r w:rsidR="004B644E">
        <w:t>t</w:t>
      </w:r>
      <w:r w:rsidR="002B5541">
        <w:t>h</w:t>
      </w:r>
      <w:r w:rsidR="00EE1B55">
        <w:t>is</w:t>
      </w:r>
      <w:r w:rsidR="002B5541">
        <w:t xml:space="preserve"> drafting relies on </w:t>
      </w:r>
      <w:r w:rsidR="001C5283">
        <w:t>amendments made to the Code</w:t>
      </w:r>
      <w:r w:rsidR="002B5541">
        <w:t xml:space="preserve"> </w:t>
      </w:r>
      <w:r w:rsidR="00EE1B55">
        <w:t xml:space="preserve">by </w:t>
      </w:r>
      <w:r w:rsidR="002B5541">
        <w:t xml:space="preserve">A1155 </w:t>
      </w:r>
      <w:r w:rsidR="00EE1B55">
        <w:t>in</w:t>
      </w:r>
      <w:r w:rsidR="009E433F">
        <w:t xml:space="preserve"> Schedules 3 and 26</w:t>
      </w:r>
      <w:r w:rsidR="00EE1B55">
        <w:t>.</w:t>
      </w:r>
      <w:r w:rsidR="002B5541">
        <w:t xml:space="preserve"> </w:t>
      </w:r>
      <w:r w:rsidR="00EE1B55">
        <w:t>A</w:t>
      </w:r>
      <w:r w:rsidR="002B5541">
        <w:t xml:space="preserve"> </w:t>
      </w:r>
      <w:r>
        <w:t>mock-up demonstrat</w:t>
      </w:r>
      <w:r w:rsidR="002B5541">
        <w:t>ing</w:t>
      </w:r>
      <w:r>
        <w:t xml:space="preserve"> how A1186 would be </w:t>
      </w:r>
      <w:r w:rsidR="002B5541">
        <w:t>inserted in</w:t>
      </w:r>
      <w:r>
        <w:t>to Schedule</w:t>
      </w:r>
      <w:r w:rsidR="004B644E">
        <w:t>s</w:t>
      </w:r>
      <w:r>
        <w:t xml:space="preserve"> 3 and 26 </w:t>
      </w:r>
      <w:r w:rsidR="009E3EE4">
        <w:t xml:space="preserve">in the event it is </w:t>
      </w:r>
      <w:r w:rsidR="00C60FD6">
        <w:t xml:space="preserve">considered by the Forum </w:t>
      </w:r>
      <w:r>
        <w:t>before A1155</w:t>
      </w:r>
      <w:r w:rsidR="00C60FD6">
        <w:t xml:space="preserve"> is </w:t>
      </w:r>
      <w:r w:rsidR="00CA3EDD">
        <w:t>g</w:t>
      </w:r>
      <w:r w:rsidR="00C60FD6">
        <w:t>azetted</w:t>
      </w:r>
      <w:r>
        <w:t xml:space="preserve"> has been prepared </w:t>
      </w:r>
      <w:r w:rsidR="002B5541">
        <w:t>at</w:t>
      </w:r>
      <w:r>
        <w:t xml:space="preserve"> Attachment C.</w:t>
      </w:r>
    </w:p>
    <w:p w14:paraId="26029DA4" w14:textId="3781F423" w:rsidR="002C1A3B" w:rsidRPr="008C301D" w:rsidRDefault="00C52C04" w:rsidP="006E51EF">
      <w:pPr>
        <w:pStyle w:val="Heading1"/>
        <w:widowControl/>
      </w:pPr>
      <w:bookmarkStart w:id="213" w:name="_Toc53406120"/>
      <w:bookmarkStart w:id="214" w:name="_Toc53484630"/>
      <w:bookmarkStart w:id="215" w:name="_Toc58840813"/>
      <w:r>
        <w:t>4</w:t>
      </w:r>
      <w:r w:rsidR="002C1A3B" w:rsidRPr="008C301D">
        <w:tab/>
        <w:t>Risk communication</w:t>
      </w:r>
      <w:bookmarkEnd w:id="133"/>
      <w:bookmarkEnd w:id="134"/>
      <w:bookmarkEnd w:id="213"/>
      <w:bookmarkEnd w:id="214"/>
      <w:bookmarkEnd w:id="215"/>
      <w:r w:rsidR="002C1A3B" w:rsidRPr="008C301D">
        <w:t xml:space="preserve"> </w:t>
      </w:r>
    </w:p>
    <w:p w14:paraId="4D66640F" w14:textId="71F51B1B" w:rsidR="002C1A3B" w:rsidRPr="00A670A7" w:rsidRDefault="002F39E9" w:rsidP="006E51EF">
      <w:pPr>
        <w:pStyle w:val="Heading2"/>
        <w:widowControl/>
      </w:pPr>
      <w:bookmarkStart w:id="216" w:name="_Toc300933437"/>
      <w:bookmarkStart w:id="217" w:name="_Toc370223475"/>
      <w:bookmarkStart w:id="218" w:name="_Toc370225390"/>
      <w:bookmarkStart w:id="219" w:name="_Toc53406121"/>
      <w:bookmarkStart w:id="220" w:name="_Toc53484631"/>
      <w:bookmarkStart w:id="221" w:name="_Toc58840814"/>
      <w:r>
        <w:t>4</w:t>
      </w:r>
      <w:r w:rsidR="002C1A3B" w:rsidRPr="00A670A7">
        <w:t>.1</w:t>
      </w:r>
      <w:r w:rsidR="002C1A3B" w:rsidRPr="00A670A7">
        <w:tab/>
        <w:t>Consultation</w:t>
      </w:r>
      <w:bookmarkEnd w:id="216"/>
      <w:bookmarkEnd w:id="217"/>
      <w:bookmarkEnd w:id="218"/>
      <w:bookmarkEnd w:id="219"/>
      <w:bookmarkEnd w:id="220"/>
      <w:bookmarkEnd w:id="221"/>
    </w:p>
    <w:p w14:paraId="30D9CFEE" w14:textId="1D07BE39" w:rsidR="002F39E9" w:rsidRPr="002A7881" w:rsidRDefault="002F39E9" w:rsidP="006E51EF">
      <w:pPr>
        <w:widowControl/>
        <w:rPr>
          <w:rFonts w:cs="Arial"/>
          <w:color w:val="000000"/>
        </w:rPr>
      </w:pPr>
      <w:r w:rsidRPr="00A670A7">
        <w:rPr>
          <w:szCs w:val="22"/>
        </w:rPr>
        <w:t xml:space="preserve">Consultation is a key part of FSANZ’s standards development process. </w:t>
      </w:r>
      <w:r>
        <w:rPr>
          <w:rFonts w:cs="Arial"/>
          <w:color w:val="000000"/>
        </w:rPr>
        <w:t xml:space="preserve">FSANZ </w:t>
      </w:r>
      <w:r w:rsidRPr="002A7881">
        <w:rPr>
          <w:rFonts w:cs="Arial"/>
          <w:color w:val="000000"/>
        </w:rPr>
        <w:t xml:space="preserve">developed </w:t>
      </w:r>
      <w:r>
        <w:rPr>
          <w:rFonts w:cs="Arial"/>
          <w:color w:val="000000"/>
        </w:rPr>
        <w:t>a communication</w:t>
      </w:r>
      <w:r w:rsidRPr="002A7881">
        <w:rPr>
          <w:rFonts w:cs="Arial"/>
          <w:color w:val="000000"/>
        </w:rPr>
        <w:t xml:space="preserve"> strategy</w:t>
      </w:r>
      <w:r w:rsidR="008162CC">
        <w:rPr>
          <w:rFonts w:cs="Arial"/>
          <w:color w:val="000000"/>
        </w:rPr>
        <w:t xml:space="preserve"> to support the release of both calls for submissions in relation to </w:t>
      </w:r>
      <w:r w:rsidRPr="002A7881">
        <w:rPr>
          <w:rFonts w:cs="Arial"/>
          <w:color w:val="000000"/>
        </w:rPr>
        <w:t xml:space="preserve">this application. Subscribers and interested parties </w:t>
      </w:r>
      <w:r>
        <w:rPr>
          <w:rFonts w:cs="Arial"/>
          <w:color w:val="000000"/>
        </w:rPr>
        <w:t xml:space="preserve">were </w:t>
      </w:r>
      <w:r w:rsidRPr="002A7881">
        <w:rPr>
          <w:rFonts w:cs="Arial"/>
          <w:color w:val="000000"/>
        </w:rPr>
        <w:t xml:space="preserve">notified about </w:t>
      </w:r>
      <w:r>
        <w:rPr>
          <w:rFonts w:cs="Arial"/>
          <w:color w:val="000000"/>
        </w:rPr>
        <w:t xml:space="preserve">public consultation periods </w:t>
      </w:r>
      <w:r w:rsidRPr="002A7881">
        <w:rPr>
          <w:rFonts w:cs="Arial"/>
          <w:color w:val="000000"/>
        </w:rPr>
        <w:t>via the FSANZ Notification Circular</w:t>
      </w:r>
      <w:r w:rsidR="008162CC">
        <w:rPr>
          <w:rFonts w:cs="Arial"/>
          <w:color w:val="000000"/>
        </w:rPr>
        <w:t xml:space="preserve">. A </w:t>
      </w:r>
      <w:r w:rsidRPr="002A7881">
        <w:rPr>
          <w:rFonts w:cs="Arial"/>
          <w:color w:val="000000"/>
        </w:rPr>
        <w:t>media release and FSANZ’s social media tools and Food Standards News</w:t>
      </w:r>
      <w:r w:rsidR="008162CC">
        <w:rPr>
          <w:rFonts w:cs="Arial"/>
          <w:color w:val="000000"/>
        </w:rPr>
        <w:t xml:space="preserve"> were also used to raise awareness in the community regarding the opportunity for comment</w:t>
      </w:r>
      <w:r w:rsidRPr="002A7881">
        <w:rPr>
          <w:rFonts w:cs="Arial"/>
          <w:color w:val="000000"/>
        </w:rPr>
        <w:t>.</w:t>
      </w:r>
    </w:p>
    <w:p w14:paraId="28262EAD" w14:textId="34FF9A49" w:rsidR="002C1A3B" w:rsidRPr="00826802" w:rsidRDefault="002C1A3B" w:rsidP="006E51EF">
      <w:pPr>
        <w:widowControl/>
      </w:pPr>
    </w:p>
    <w:p w14:paraId="50431DBF" w14:textId="042255FF" w:rsidR="00152501" w:rsidRDefault="00152501" w:rsidP="006E51EF">
      <w:pPr>
        <w:widowControl/>
        <w:rPr>
          <w:szCs w:val="22"/>
        </w:rPr>
      </w:pPr>
      <w:r w:rsidRPr="003E7621">
        <w:rPr>
          <w:szCs w:val="22"/>
        </w:rPr>
        <w:t>FSANZ sought submissions to its preliminary position in the 1</w:t>
      </w:r>
      <w:r w:rsidRPr="003E7621">
        <w:rPr>
          <w:szCs w:val="22"/>
          <w:vertAlign w:val="superscript"/>
        </w:rPr>
        <w:t>st</w:t>
      </w:r>
      <w:r w:rsidRPr="003E7621">
        <w:rPr>
          <w:szCs w:val="22"/>
        </w:rPr>
        <w:t xml:space="preserve"> CFS from </w:t>
      </w:r>
      <w:r>
        <w:rPr>
          <w:szCs w:val="22"/>
        </w:rPr>
        <w:t>20 December</w:t>
      </w:r>
      <w:r w:rsidRPr="003E7621">
        <w:rPr>
          <w:szCs w:val="22"/>
        </w:rPr>
        <w:t xml:space="preserve"> 201</w:t>
      </w:r>
      <w:r>
        <w:rPr>
          <w:szCs w:val="22"/>
        </w:rPr>
        <w:t>9</w:t>
      </w:r>
      <w:r w:rsidRPr="003E7621">
        <w:rPr>
          <w:szCs w:val="22"/>
        </w:rPr>
        <w:t xml:space="preserve"> – </w:t>
      </w:r>
      <w:r>
        <w:rPr>
          <w:szCs w:val="22"/>
        </w:rPr>
        <w:t>14</w:t>
      </w:r>
      <w:r w:rsidRPr="00152501">
        <w:rPr>
          <w:szCs w:val="22"/>
          <w:vertAlign w:val="superscript"/>
        </w:rPr>
        <w:t>th</w:t>
      </w:r>
      <w:r>
        <w:rPr>
          <w:szCs w:val="22"/>
        </w:rPr>
        <w:t xml:space="preserve"> February 2020</w:t>
      </w:r>
      <w:r w:rsidRPr="003E7621">
        <w:rPr>
          <w:szCs w:val="22"/>
        </w:rPr>
        <w:t xml:space="preserve">. </w:t>
      </w:r>
      <w:r>
        <w:rPr>
          <w:szCs w:val="22"/>
        </w:rPr>
        <w:t>44</w:t>
      </w:r>
      <w:r w:rsidRPr="003E7621">
        <w:rPr>
          <w:szCs w:val="22"/>
        </w:rPr>
        <w:t xml:space="preserve"> submissions were received. </w:t>
      </w:r>
    </w:p>
    <w:p w14:paraId="39D91329" w14:textId="77777777" w:rsidR="00152501" w:rsidRDefault="00152501" w:rsidP="006E51EF">
      <w:pPr>
        <w:widowControl/>
        <w:rPr>
          <w:szCs w:val="22"/>
        </w:rPr>
      </w:pPr>
    </w:p>
    <w:p w14:paraId="57C0DF83" w14:textId="50A53626" w:rsidR="00152501" w:rsidRDefault="00152501" w:rsidP="006E51EF">
      <w:pPr>
        <w:widowControl/>
        <w:rPr>
          <w:szCs w:val="22"/>
        </w:rPr>
      </w:pPr>
      <w:r>
        <w:rPr>
          <w:szCs w:val="22"/>
        </w:rPr>
        <w:t xml:space="preserve">FSANZ sought submissions </w:t>
      </w:r>
      <w:r w:rsidRPr="008D72EC">
        <w:rPr>
          <w:szCs w:val="22"/>
        </w:rPr>
        <w:t>to the proposed draft variation in the 2</w:t>
      </w:r>
      <w:r w:rsidRPr="008D72EC">
        <w:rPr>
          <w:szCs w:val="22"/>
          <w:vertAlign w:val="superscript"/>
        </w:rPr>
        <w:t>nd</w:t>
      </w:r>
      <w:r w:rsidRPr="008D72EC">
        <w:rPr>
          <w:szCs w:val="22"/>
        </w:rPr>
        <w:t xml:space="preserve"> CFS from </w:t>
      </w:r>
      <w:r>
        <w:rPr>
          <w:szCs w:val="22"/>
        </w:rPr>
        <w:t>6 August</w:t>
      </w:r>
      <w:r w:rsidRPr="008D72EC">
        <w:rPr>
          <w:szCs w:val="22"/>
        </w:rPr>
        <w:t xml:space="preserve"> </w:t>
      </w:r>
      <w:r>
        <w:rPr>
          <w:szCs w:val="22"/>
        </w:rPr>
        <w:t>2020</w:t>
      </w:r>
      <w:r w:rsidRPr="008D72EC">
        <w:rPr>
          <w:szCs w:val="22"/>
        </w:rPr>
        <w:t xml:space="preserve"> – </w:t>
      </w:r>
      <w:r>
        <w:rPr>
          <w:szCs w:val="22"/>
        </w:rPr>
        <w:t>17 September 2020</w:t>
      </w:r>
      <w:r w:rsidRPr="008D72EC">
        <w:rPr>
          <w:szCs w:val="22"/>
        </w:rPr>
        <w:t xml:space="preserve">. </w:t>
      </w:r>
      <w:r>
        <w:rPr>
          <w:szCs w:val="22"/>
        </w:rPr>
        <w:t>1</w:t>
      </w:r>
      <w:r w:rsidR="00CF3C94">
        <w:rPr>
          <w:szCs w:val="22"/>
        </w:rPr>
        <w:t>6</w:t>
      </w:r>
      <w:r>
        <w:rPr>
          <w:szCs w:val="22"/>
        </w:rPr>
        <w:t xml:space="preserve"> submissions </w:t>
      </w:r>
      <w:r w:rsidRPr="008D72EC">
        <w:rPr>
          <w:szCs w:val="22"/>
        </w:rPr>
        <w:t xml:space="preserve">were received. </w:t>
      </w:r>
    </w:p>
    <w:p w14:paraId="3D91EBA6" w14:textId="77777777" w:rsidR="002C1A3B" w:rsidRPr="00A670A7" w:rsidRDefault="002C1A3B" w:rsidP="006E51EF">
      <w:pPr>
        <w:widowControl/>
        <w:rPr>
          <w:szCs w:val="22"/>
        </w:rPr>
      </w:pPr>
    </w:p>
    <w:p w14:paraId="48DDA075" w14:textId="5422B6A5" w:rsidR="00924A3B" w:rsidRDefault="00924A3B" w:rsidP="006E51EF">
      <w:pPr>
        <w:widowControl/>
        <w:rPr>
          <w:szCs w:val="22"/>
        </w:rPr>
      </w:pPr>
      <w:r>
        <w:rPr>
          <w:szCs w:val="22"/>
        </w:rPr>
        <w:t>FSANZ had regard to all submissions received for this Application.</w:t>
      </w:r>
    </w:p>
    <w:p w14:paraId="44484ED0" w14:textId="77777777" w:rsidR="00924A3B" w:rsidRDefault="00924A3B" w:rsidP="006E51EF">
      <w:pPr>
        <w:widowControl/>
        <w:rPr>
          <w:szCs w:val="22"/>
        </w:rPr>
      </w:pPr>
    </w:p>
    <w:p w14:paraId="4FA77889" w14:textId="18E5F466" w:rsidR="002F39E9" w:rsidRDefault="002F39E9" w:rsidP="006E51EF">
      <w:pPr>
        <w:widowControl/>
        <w:rPr>
          <w:szCs w:val="22"/>
        </w:rPr>
      </w:pPr>
      <w:r w:rsidRPr="003E7621">
        <w:rPr>
          <w:szCs w:val="22"/>
        </w:rPr>
        <w:t>FSANZ acknowledges the time taken by individuals and organisations to make submissions on this application. All comments are valued and contribute</w:t>
      </w:r>
      <w:r>
        <w:rPr>
          <w:szCs w:val="22"/>
        </w:rPr>
        <w:t>d</w:t>
      </w:r>
      <w:r w:rsidRPr="003E7621">
        <w:rPr>
          <w:szCs w:val="22"/>
        </w:rPr>
        <w:t xml:space="preserve"> to the rigour of our assessment.</w:t>
      </w:r>
    </w:p>
    <w:p w14:paraId="3B4F40B4" w14:textId="77777777" w:rsidR="00C47394" w:rsidRDefault="00C47394" w:rsidP="006E51EF">
      <w:pPr>
        <w:widowControl/>
      </w:pPr>
      <w:bookmarkStart w:id="222" w:name="_Toc42875231"/>
      <w:bookmarkStart w:id="223" w:name="_Toc43128135"/>
    </w:p>
    <w:p w14:paraId="53C50F42" w14:textId="5FE97C84" w:rsidR="002F39E9" w:rsidRPr="000B4CBE" w:rsidRDefault="002F39E9" w:rsidP="006E51EF">
      <w:pPr>
        <w:widowControl/>
        <w:rPr>
          <w:b/>
          <w:i/>
        </w:rPr>
      </w:pPr>
      <w:r w:rsidRPr="000B4CBE">
        <w:rPr>
          <w:b/>
          <w:i/>
        </w:rPr>
        <w:t>Targeted consultation</w:t>
      </w:r>
      <w:bookmarkEnd w:id="222"/>
      <w:bookmarkEnd w:id="223"/>
    </w:p>
    <w:p w14:paraId="1B5AC76C" w14:textId="77777777" w:rsidR="00C47394" w:rsidRPr="003E7621" w:rsidRDefault="00C47394" w:rsidP="006E51EF">
      <w:pPr>
        <w:widowControl/>
      </w:pPr>
    </w:p>
    <w:p w14:paraId="49E739A8" w14:textId="1E5B2B9E" w:rsidR="002F39E9" w:rsidRDefault="002F39E9" w:rsidP="006E51EF">
      <w:pPr>
        <w:widowControl/>
        <w:rPr>
          <w:rFonts w:cs="Arial"/>
          <w:szCs w:val="22"/>
        </w:rPr>
      </w:pPr>
      <w:r>
        <w:rPr>
          <w:rFonts w:cs="Arial"/>
          <w:szCs w:val="22"/>
        </w:rPr>
        <w:t xml:space="preserve">After </w:t>
      </w:r>
      <w:r w:rsidR="00C47394">
        <w:rPr>
          <w:rFonts w:cs="Arial"/>
          <w:szCs w:val="22"/>
        </w:rPr>
        <w:t>reviewing</w:t>
      </w:r>
      <w:r>
        <w:rPr>
          <w:rFonts w:cs="Arial"/>
          <w:szCs w:val="22"/>
        </w:rPr>
        <w:t xml:space="preserve"> submissions to the 1</w:t>
      </w:r>
      <w:r w:rsidRPr="00331C21">
        <w:rPr>
          <w:rFonts w:cs="Arial"/>
          <w:szCs w:val="22"/>
          <w:vertAlign w:val="superscript"/>
        </w:rPr>
        <w:t>st</w:t>
      </w:r>
      <w:r>
        <w:rPr>
          <w:rFonts w:cs="Arial"/>
          <w:szCs w:val="22"/>
        </w:rPr>
        <w:t xml:space="preserve"> CFS, </w:t>
      </w:r>
      <w:r w:rsidRPr="003E7621">
        <w:rPr>
          <w:rFonts w:cs="Arial"/>
          <w:szCs w:val="22"/>
        </w:rPr>
        <w:t xml:space="preserve">FSANZ undertook targeted consultation with </w:t>
      </w:r>
      <w:r>
        <w:rPr>
          <w:rFonts w:cs="Arial"/>
          <w:szCs w:val="22"/>
        </w:rPr>
        <w:t xml:space="preserve">the applicant and </w:t>
      </w:r>
      <w:r w:rsidRPr="003E7621">
        <w:rPr>
          <w:rFonts w:cs="Arial"/>
          <w:szCs w:val="22"/>
        </w:rPr>
        <w:t xml:space="preserve">jurisdictions </w:t>
      </w:r>
      <w:r>
        <w:rPr>
          <w:rFonts w:cs="Arial"/>
          <w:szCs w:val="22"/>
        </w:rPr>
        <w:t>between February-April</w:t>
      </w:r>
      <w:r w:rsidRPr="003E7621">
        <w:rPr>
          <w:rFonts w:cs="Arial"/>
          <w:szCs w:val="22"/>
        </w:rPr>
        <w:t xml:space="preserve"> 20</w:t>
      </w:r>
      <w:r>
        <w:rPr>
          <w:rFonts w:cs="Arial"/>
          <w:szCs w:val="22"/>
        </w:rPr>
        <w:t xml:space="preserve">20. </w:t>
      </w:r>
      <w:r w:rsidRPr="003E7621">
        <w:rPr>
          <w:rFonts w:cs="Arial"/>
          <w:szCs w:val="22"/>
        </w:rPr>
        <w:t>FSANZ’s preliminary position at 1</w:t>
      </w:r>
      <w:r w:rsidRPr="003E7621">
        <w:rPr>
          <w:rFonts w:cs="Arial"/>
          <w:szCs w:val="22"/>
          <w:vertAlign w:val="superscript"/>
        </w:rPr>
        <w:t>st</w:t>
      </w:r>
      <w:r w:rsidRPr="003E7621">
        <w:rPr>
          <w:rFonts w:cs="Arial"/>
          <w:szCs w:val="22"/>
        </w:rPr>
        <w:t xml:space="preserve"> CFS and issues raised in submissions</w:t>
      </w:r>
      <w:r>
        <w:rPr>
          <w:rFonts w:cs="Arial"/>
          <w:szCs w:val="22"/>
        </w:rPr>
        <w:t xml:space="preserve"> were discussed</w:t>
      </w:r>
      <w:r w:rsidRPr="003E7621">
        <w:rPr>
          <w:rFonts w:cs="Arial"/>
          <w:szCs w:val="22"/>
        </w:rPr>
        <w:t xml:space="preserve">. FSANZ </w:t>
      </w:r>
      <w:r>
        <w:rPr>
          <w:rFonts w:cs="Arial"/>
          <w:szCs w:val="22"/>
        </w:rPr>
        <w:t>responded to</w:t>
      </w:r>
      <w:r w:rsidRPr="003E7621">
        <w:rPr>
          <w:rFonts w:cs="Arial"/>
          <w:szCs w:val="22"/>
        </w:rPr>
        <w:t xml:space="preserve"> </w:t>
      </w:r>
      <w:r>
        <w:rPr>
          <w:rFonts w:cs="Arial"/>
          <w:szCs w:val="22"/>
        </w:rPr>
        <w:t>relevant issues in the 2</w:t>
      </w:r>
      <w:r w:rsidRPr="00331C21">
        <w:rPr>
          <w:rFonts w:cs="Arial"/>
          <w:szCs w:val="22"/>
          <w:vertAlign w:val="superscript"/>
        </w:rPr>
        <w:t>nd</w:t>
      </w:r>
      <w:r>
        <w:rPr>
          <w:rFonts w:cs="Arial"/>
          <w:szCs w:val="22"/>
        </w:rPr>
        <w:t xml:space="preserve"> CFS report</w:t>
      </w:r>
      <w:r w:rsidR="00152501">
        <w:rPr>
          <w:rFonts w:cs="Arial"/>
          <w:szCs w:val="22"/>
        </w:rPr>
        <w:t xml:space="preserve"> (</w:t>
      </w:r>
      <w:r>
        <w:rPr>
          <w:rFonts w:cs="Arial"/>
          <w:szCs w:val="22"/>
        </w:rPr>
        <w:t xml:space="preserve">see Tables 1 and 2, Summary of Submissions). </w:t>
      </w:r>
    </w:p>
    <w:p w14:paraId="236F0C12" w14:textId="27442BBC" w:rsidR="00152501" w:rsidRDefault="00152501" w:rsidP="006E51EF">
      <w:pPr>
        <w:widowControl/>
        <w:rPr>
          <w:rFonts w:cs="Arial"/>
          <w:szCs w:val="22"/>
        </w:rPr>
      </w:pPr>
    </w:p>
    <w:p w14:paraId="0F52E2BB" w14:textId="5E89CE6B" w:rsidR="000B4CBE" w:rsidRPr="007A4A48" w:rsidRDefault="00152501" w:rsidP="006E51EF">
      <w:pPr>
        <w:widowControl/>
        <w:rPr>
          <w:rFonts w:cs="Arial"/>
          <w:szCs w:val="22"/>
        </w:rPr>
      </w:pPr>
      <w:r>
        <w:rPr>
          <w:rFonts w:cs="Arial"/>
          <w:szCs w:val="22"/>
        </w:rPr>
        <w:t xml:space="preserve">After </w:t>
      </w:r>
      <w:r w:rsidR="00C47394">
        <w:rPr>
          <w:rFonts w:cs="Arial"/>
          <w:szCs w:val="22"/>
        </w:rPr>
        <w:t>reviewing submissions to the</w:t>
      </w:r>
      <w:r>
        <w:rPr>
          <w:rFonts w:cs="Arial"/>
          <w:szCs w:val="22"/>
        </w:rPr>
        <w:t xml:space="preserve"> 2</w:t>
      </w:r>
      <w:r w:rsidRPr="00152501">
        <w:rPr>
          <w:rFonts w:cs="Arial"/>
          <w:szCs w:val="22"/>
          <w:vertAlign w:val="superscript"/>
        </w:rPr>
        <w:t>nd</w:t>
      </w:r>
      <w:r>
        <w:rPr>
          <w:rFonts w:cs="Arial"/>
          <w:szCs w:val="22"/>
        </w:rPr>
        <w:t xml:space="preserve"> CFS</w:t>
      </w:r>
      <w:r w:rsidR="00C47394">
        <w:rPr>
          <w:rFonts w:cs="Arial"/>
          <w:szCs w:val="22"/>
        </w:rPr>
        <w:t>,</w:t>
      </w:r>
      <w:r>
        <w:rPr>
          <w:rFonts w:cs="Arial"/>
          <w:szCs w:val="22"/>
        </w:rPr>
        <w:t xml:space="preserve"> FSANZ did not consider further target</w:t>
      </w:r>
      <w:r w:rsidR="00924A3B">
        <w:rPr>
          <w:rFonts w:cs="Arial"/>
          <w:szCs w:val="22"/>
        </w:rPr>
        <w:t>ed</w:t>
      </w:r>
      <w:r>
        <w:rPr>
          <w:rFonts w:cs="Arial"/>
          <w:szCs w:val="22"/>
        </w:rPr>
        <w:t xml:space="preserve"> consultation was warranted, as submitters did not provide any new evidence or substantiated arguments beyond what had been addressed previously. Questions or concerns on the draft variation were answered as pa</w:t>
      </w:r>
      <w:r w:rsidR="00C47394">
        <w:rPr>
          <w:rFonts w:cs="Arial"/>
          <w:szCs w:val="22"/>
        </w:rPr>
        <w:t xml:space="preserve">rt of submission responses, no </w:t>
      </w:r>
      <w:r>
        <w:rPr>
          <w:rFonts w:cs="Arial"/>
          <w:szCs w:val="22"/>
        </w:rPr>
        <w:t>changes were made.</w:t>
      </w:r>
    </w:p>
    <w:p w14:paraId="23E179F0" w14:textId="3329CF80" w:rsidR="000B4CBE" w:rsidRPr="007A4A48" w:rsidRDefault="009650A6" w:rsidP="00123B4B">
      <w:pPr>
        <w:pStyle w:val="Heading2"/>
        <w:widowControl/>
        <w:numPr>
          <w:ilvl w:val="1"/>
          <w:numId w:val="46"/>
        </w:numPr>
      </w:pPr>
      <w:bookmarkStart w:id="224" w:name="_Toc53406122"/>
      <w:bookmarkStart w:id="225" w:name="_Toc53484632"/>
      <w:bookmarkStart w:id="226" w:name="_Toc58840815"/>
      <w:r>
        <w:lastRenderedPageBreak/>
        <w:t xml:space="preserve">FSANZ </w:t>
      </w:r>
      <w:r w:rsidR="0022363D">
        <w:t>m</w:t>
      </w:r>
      <w:r w:rsidR="000B4CBE" w:rsidRPr="007A4A48">
        <w:t xml:space="preserve">eat analogue product </w:t>
      </w:r>
      <w:bookmarkEnd w:id="224"/>
      <w:bookmarkEnd w:id="225"/>
      <w:r w:rsidR="0022363D">
        <w:t>consumer information</w:t>
      </w:r>
      <w:bookmarkEnd w:id="226"/>
    </w:p>
    <w:p w14:paraId="68CDE66A" w14:textId="1ADBC717" w:rsidR="00123B4B" w:rsidRDefault="000B4CBE" w:rsidP="00123B4B">
      <w:pPr>
        <w:widowControl/>
      </w:pPr>
      <w:r>
        <w:t xml:space="preserve">FSANZ understands that meat analogue products are becoming more popular with consumers looking to reduce or eliminate their meat intake. </w:t>
      </w:r>
      <w:r w:rsidR="00256EB9">
        <w:t>N</w:t>
      </w:r>
      <w:r>
        <w:t xml:space="preserve">ew technologies are </w:t>
      </w:r>
      <w:r w:rsidR="00256EB9">
        <w:t xml:space="preserve">increasingly </w:t>
      </w:r>
      <w:r>
        <w:t>developed and/or used to produce them</w:t>
      </w:r>
      <w:r w:rsidR="005B56F5">
        <w:t xml:space="preserve">. </w:t>
      </w:r>
      <w:r w:rsidR="0022363D" w:rsidRPr="008A58B3">
        <w:rPr>
          <w:lang w:eastAsia="en-GB"/>
        </w:rPr>
        <w:t>FSANZ</w:t>
      </w:r>
      <w:r w:rsidR="0022363D">
        <w:rPr>
          <w:lang w:eastAsia="en-GB"/>
        </w:rPr>
        <w:t xml:space="preserve"> </w:t>
      </w:r>
      <w:r w:rsidR="00963A2F">
        <w:rPr>
          <w:lang w:eastAsia="en-GB"/>
        </w:rPr>
        <w:t>will liaise with interested jurisdictions to</w:t>
      </w:r>
      <w:r w:rsidR="0022363D">
        <w:rPr>
          <w:lang w:eastAsia="en-GB"/>
        </w:rPr>
        <w:t xml:space="preserve"> updat</w:t>
      </w:r>
      <w:r w:rsidR="00963A2F">
        <w:rPr>
          <w:lang w:eastAsia="en-GB"/>
        </w:rPr>
        <w:t>e</w:t>
      </w:r>
      <w:r w:rsidR="0022363D">
        <w:rPr>
          <w:lang w:eastAsia="en-GB"/>
        </w:rPr>
        <w:t xml:space="preserve"> existing consumer information on our website to include nutritional, science and technological aspects of meat analogue products </w:t>
      </w:r>
      <w:r w:rsidR="00963A2F">
        <w:rPr>
          <w:lang w:eastAsia="en-GB"/>
        </w:rPr>
        <w:t xml:space="preserve">generally </w:t>
      </w:r>
      <w:r w:rsidR="0022363D">
        <w:rPr>
          <w:lang w:eastAsia="en-GB"/>
        </w:rPr>
        <w:t xml:space="preserve">(including some GM production processes and varying nutrient </w:t>
      </w:r>
      <w:r w:rsidR="0022363D" w:rsidRPr="008A58B3">
        <w:rPr>
          <w:lang w:eastAsia="en-GB"/>
        </w:rPr>
        <w:t>levels</w:t>
      </w:r>
      <w:r w:rsidR="00BB0E91">
        <w:rPr>
          <w:lang w:eastAsia="en-GB"/>
        </w:rPr>
        <w:t>, such as iron, B12 and protein</w:t>
      </w:r>
      <w:r w:rsidR="0022363D" w:rsidRPr="008A58B3">
        <w:rPr>
          <w:lang w:eastAsia="en-GB"/>
        </w:rPr>
        <w:t xml:space="preserve"> in </w:t>
      </w:r>
      <w:r w:rsidR="0022363D">
        <w:rPr>
          <w:lang w:eastAsia="en-GB"/>
        </w:rPr>
        <w:t xml:space="preserve">meat analogue </w:t>
      </w:r>
      <w:r w:rsidR="0022363D" w:rsidRPr="008A58B3">
        <w:rPr>
          <w:lang w:eastAsia="en-GB"/>
        </w:rPr>
        <w:t>products</w:t>
      </w:r>
      <w:r w:rsidR="0022363D">
        <w:rPr>
          <w:lang w:eastAsia="en-GB"/>
        </w:rPr>
        <w:t>)</w:t>
      </w:r>
      <w:r w:rsidR="007A4A48">
        <w:t xml:space="preserve">. </w:t>
      </w:r>
      <w:r w:rsidR="00DE5D83">
        <w:t>This may include a</w:t>
      </w:r>
      <w:r w:rsidR="0069078B">
        <w:t xml:space="preserve"> suggestion that </w:t>
      </w:r>
      <w:r w:rsidR="00DE5D83">
        <w:t>individuals who have</w:t>
      </w:r>
      <w:r w:rsidR="0069078B">
        <w:t xml:space="preserve"> conditions such as</w:t>
      </w:r>
      <w:r w:rsidR="00DE5D83">
        <w:t xml:space="preserve"> </w:t>
      </w:r>
      <w:r w:rsidR="0069078B">
        <w:t xml:space="preserve">soy </w:t>
      </w:r>
      <w:r w:rsidR="00DE5D83">
        <w:t xml:space="preserve">allergies, or </w:t>
      </w:r>
      <w:r w:rsidR="0069078B">
        <w:t>haemochromatosis (excessive iron storage in the body) to check labels for ingredients and nutrient levels; or if not available, ask at point of service or contact the manufacturer for necessary information.</w:t>
      </w:r>
    </w:p>
    <w:p w14:paraId="7D73F111" w14:textId="0DD0D7EB" w:rsidR="009650A6" w:rsidRPr="00FA3942" w:rsidRDefault="00123B4B" w:rsidP="00FA3942">
      <w:pPr>
        <w:pStyle w:val="Heading2"/>
      </w:pPr>
      <w:bookmarkStart w:id="227" w:name="_Toc58840816"/>
      <w:r w:rsidRPr="00FA3942">
        <w:t>4.3</w:t>
      </w:r>
      <w:r w:rsidRPr="00FA3942">
        <w:tab/>
      </w:r>
      <w:r w:rsidR="009650A6" w:rsidRPr="00FA3942">
        <w:t>Impossible education material to retail</w:t>
      </w:r>
      <w:r w:rsidR="00852E6A">
        <w:t xml:space="preserve"> customers</w:t>
      </w:r>
      <w:bookmarkEnd w:id="227"/>
    </w:p>
    <w:p w14:paraId="739BE35A" w14:textId="3BFFFBB3" w:rsidR="00123B4B" w:rsidRDefault="00123B4B" w:rsidP="00123B4B">
      <w:pPr>
        <w:spacing w:after="240"/>
        <w:rPr>
          <w:szCs w:val="22"/>
          <w:lang w:bidi="ar-SA"/>
        </w:rPr>
      </w:pPr>
      <w:r w:rsidRPr="00123B4B">
        <w:rPr>
          <w:szCs w:val="22"/>
          <w:lang w:bidi="ar-SA"/>
        </w:rPr>
        <w:t>When entering new markets</w:t>
      </w:r>
      <w:r w:rsidR="009842AA">
        <w:rPr>
          <w:szCs w:val="22"/>
          <w:lang w:bidi="ar-SA"/>
        </w:rPr>
        <w:t>,</w:t>
      </w:r>
      <w:r w:rsidRPr="00123B4B">
        <w:rPr>
          <w:szCs w:val="22"/>
          <w:lang w:bidi="ar-SA"/>
        </w:rPr>
        <w:t xml:space="preserve"> the applicant </w:t>
      </w:r>
      <w:r w:rsidR="00A21F98">
        <w:rPr>
          <w:szCs w:val="22"/>
          <w:lang w:bidi="ar-SA"/>
        </w:rPr>
        <w:t xml:space="preserve">has informed FSANZ it </w:t>
      </w:r>
      <w:r w:rsidRPr="00123B4B">
        <w:rPr>
          <w:szCs w:val="22"/>
          <w:lang w:bidi="ar-SA"/>
        </w:rPr>
        <w:t>provide</w:t>
      </w:r>
      <w:r>
        <w:rPr>
          <w:szCs w:val="22"/>
          <w:lang w:bidi="ar-SA"/>
        </w:rPr>
        <w:t>s</w:t>
      </w:r>
      <w:r w:rsidRPr="00123B4B">
        <w:rPr>
          <w:szCs w:val="22"/>
          <w:lang w:bidi="ar-SA"/>
        </w:rPr>
        <w:t xml:space="preserve"> </w:t>
      </w:r>
      <w:r w:rsidR="009842AA">
        <w:rPr>
          <w:szCs w:val="22"/>
          <w:lang w:bidi="ar-SA"/>
        </w:rPr>
        <w:t>its</w:t>
      </w:r>
      <w:r w:rsidRPr="00123B4B">
        <w:rPr>
          <w:szCs w:val="22"/>
          <w:lang w:bidi="ar-SA"/>
        </w:rPr>
        <w:t xml:space="preserve"> retail </w:t>
      </w:r>
      <w:r w:rsidRPr="00123B4B">
        <w:rPr>
          <w:rFonts w:cs="Arial"/>
          <w:iCs/>
          <w:color w:val="000000"/>
          <w:szCs w:val="22"/>
        </w:rPr>
        <w:t xml:space="preserve">customers </w:t>
      </w:r>
      <w:r>
        <w:rPr>
          <w:rFonts w:cs="Arial"/>
          <w:iCs/>
          <w:color w:val="000000"/>
          <w:szCs w:val="22"/>
        </w:rPr>
        <w:t xml:space="preserve">with </w:t>
      </w:r>
      <w:r w:rsidRPr="00123B4B">
        <w:rPr>
          <w:rFonts w:cs="Arial"/>
          <w:iCs/>
          <w:color w:val="000000"/>
          <w:szCs w:val="22"/>
        </w:rPr>
        <w:t>product and education material. This covers the company and product overview, nutrition facts, ingredients, information on soy leghemoglobin (including that it is produced using genetic engineering), sustainability data, Kosher/Halal/ gluten free status, and sales data relevant to food service.</w:t>
      </w:r>
      <w:r w:rsidRPr="00123B4B">
        <w:rPr>
          <w:rFonts w:ascii="Times New Roman" w:hAnsi="Times New Roman"/>
          <w:szCs w:val="22"/>
          <w:lang w:eastAsia="en-GB" w:bidi="ar-SA"/>
        </w:rPr>
        <w:t xml:space="preserve"> </w:t>
      </w:r>
      <w:r w:rsidRPr="00123B4B">
        <w:rPr>
          <w:szCs w:val="22"/>
          <w:lang w:bidi="ar-SA"/>
        </w:rPr>
        <w:t>A modified resource for the Australia New Zealand market could be developed.</w:t>
      </w:r>
      <w:bookmarkStart w:id="228" w:name="_Toc370225391"/>
      <w:bookmarkStart w:id="229" w:name="_Toc53406123"/>
      <w:bookmarkStart w:id="230" w:name="_Toc53484633"/>
      <w:bookmarkStart w:id="231" w:name="_Toc175381455"/>
      <w:bookmarkEnd w:id="89"/>
      <w:bookmarkEnd w:id="90"/>
      <w:bookmarkEnd w:id="91"/>
      <w:bookmarkEnd w:id="92"/>
      <w:bookmarkEnd w:id="93"/>
      <w:bookmarkEnd w:id="94"/>
      <w:bookmarkEnd w:id="135"/>
    </w:p>
    <w:p w14:paraId="14BBA91D" w14:textId="25C0E19C" w:rsidR="002C1A3B" w:rsidRPr="00C47394" w:rsidRDefault="002C1A3B" w:rsidP="00123B4B">
      <w:pPr>
        <w:pStyle w:val="Heading2"/>
      </w:pPr>
      <w:bookmarkStart w:id="232" w:name="_Toc58840817"/>
      <w:r w:rsidRPr="00C47394">
        <w:t>4.</w:t>
      </w:r>
      <w:r w:rsidR="009650A6">
        <w:t>4</w:t>
      </w:r>
      <w:r w:rsidRPr="00C47394">
        <w:tab/>
        <w:t>World Trade Organization (WTO)</w:t>
      </w:r>
      <w:bookmarkEnd w:id="228"/>
      <w:bookmarkEnd w:id="229"/>
      <w:bookmarkEnd w:id="230"/>
      <w:bookmarkEnd w:id="232"/>
    </w:p>
    <w:p w14:paraId="7B0F6AC3" w14:textId="77777777" w:rsidR="00C52C04" w:rsidRDefault="00C52C04" w:rsidP="006E51EF">
      <w:pPr>
        <w:widowControl/>
        <w:rPr>
          <w:rFonts w:cs="Arial"/>
          <w:color w:val="000000"/>
        </w:rPr>
      </w:pPr>
      <w:bookmarkStart w:id="233" w:name="_Toc370223477"/>
      <w:bookmarkStart w:id="234" w:name="_Toc370225392"/>
      <w:bookmarkStart w:id="235" w:name="_Toc309291816"/>
      <w:bookmarkStart w:id="236" w:name="_Toc300933448"/>
      <w:bookmarkStart w:id="237" w:name="_Toc300933577"/>
      <w:bookmarkStart w:id="238" w:name="_Toc301535601"/>
      <w:bookmarkStart w:id="239" w:name="_Toc309385464"/>
      <w:bookmarkStart w:id="240" w:name="_Toc175381456"/>
      <w:bookmarkEnd w:id="231"/>
      <w:r>
        <w:rPr>
          <w:rFonts w:cs="Arial"/>
          <w:color w:val="000000"/>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197FAA09" w14:textId="77777777" w:rsidR="00C52C04" w:rsidRDefault="00C52C04" w:rsidP="006E51EF">
      <w:pPr>
        <w:widowControl/>
        <w:rPr>
          <w:rFonts w:cs="Arial"/>
          <w:color w:val="000000"/>
        </w:rPr>
      </w:pPr>
    </w:p>
    <w:p w14:paraId="51AAE406" w14:textId="3D065600" w:rsidR="00C52C04" w:rsidRDefault="00C52C04" w:rsidP="006E51EF">
      <w:pPr>
        <w:widowControl/>
        <w:tabs>
          <w:tab w:val="left" w:pos="1560"/>
        </w:tabs>
        <w:rPr>
          <w:rFonts w:cs="Arial"/>
        </w:rPr>
      </w:pPr>
      <w:r>
        <w:rPr>
          <w:rFonts w:cs="Arial"/>
        </w:rPr>
        <w:t xml:space="preserve">Amending the Code to permit the </w:t>
      </w:r>
      <w:r>
        <w:rPr>
          <w:rFonts w:cs="Arial"/>
          <w:i/>
        </w:rPr>
        <w:t xml:space="preserve">voluntary </w:t>
      </w:r>
      <w:r>
        <w:rPr>
          <w:rFonts w:cs="Arial"/>
        </w:rPr>
        <w:t xml:space="preserve">addition of soy leghemoglobin in meat analogue products as proposed in this report is unlikely to have a significant effect on international trade, particularly as soy leghemoglobin is already permitted in similar products in other countries. </w:t>
      </w:r>
      <w:r w:rsidR="00C47394">
        <w:rPr>
          <w:rFonts w:cs="Arial"/>
        </w:rPr>
        <w:t xml:space="preserve">Current patents held by the applicant are likely to restrict the sale of this ingredient beyond Impossible </w:t>
      </w:r>
      <w:r w:rsidR="009817DE">
        <w:rPr>
          <w:rFonts w:cs="Arial"/>
        </w:rPr>
        <w:t xml:space="preserve">meat analogue </w:t>
      </w:r>
      <w:r w:rsidR="00C47394">
        <w:rPr>
          <w:rFonts w:cs="Arial"/>
        </w:rPr>
        <w:t>products for the foreseeable future</w:t>
      </w:r>
      <w:r w:rsidR="008C5D5D">
        <w:rPr>
          <w:rFonts w:cs="Arial"/>
        </w:rPr>
        <w:t>.</w:t>
      </w:r>
      <w:r w:rsidR="00C47394">
        <w:rPr>
          <w:rFonts w:cs="Arial"/>
        </w:rPr>
        <w:t xml:space="preserve"> </w:t>
      </w:r>
    </w:p>
    <w:p w14:paraId="641E76EA" w14:textId="20C978C3" w:rsidR="00C52C04" w:rsidRDefault="00C52C04" w:rsidP="006E51EF">
      <w:pPr>
        <w:widowControl/>
        <w:tabs>
          <w:tab w:val="left" w:pos="1560"/>
        </w:tabs>
        <w:rPr>
          <w:rFonts w:cs="Arial"/>
        </w:rPr>
      </w:pPr>
    </w:p>
    <w:p w14:paraId="7FC4DE6C" w14:textId="79BB2055" w:rsidR="00C52C04" w:rsidRDefault="00C47394" w:rsidP="006E51EF">
      <w:pPr>
        <w:widowControl/>
        <w:tabs>
          <w:tab w:val="left" w:pos="1560"/>
        </w:tabs>
        <w:spacing w:after="240"/>
        <w:rPr>
          <w:rFonts w:cs="Arial"/>
          <w:iCs/>
        </w:rPr>
      </w:pPr>
      <w:r>
        <w:rPr>
          <w:rFonts w:cs="Arial"/>
          <w:iCs/>
        </w:rPr>
        <w:t>A</w:t>
      </w:r>
      <w:r w:rsidR="00C52C04">
        <w:rPr>
          <w:rFonts w:cs="Arial"/>
          <w:iCs/>
        </w:rPr>
        <w:t xml:space="preserve"> notification to the WTO under </w:t>
      </w:r>
      <w:r w:rsidR="00C52C04">
        <w:rPr>
          <w:rFonts w:cs="Arial"/>
        </w:rPr>
        <w:t>Australia’s and New Zealand’s</w:t>
      </w:r>
      <w:r w:rsidR="00C52C04">
        <w:rPr>
          <w:rFonts w:cs="Arial"/>
          <w:iCs/>
        </w:rPr>
        <w:t xml:space="preserve"> obligations under the WTO Technical Barriers to Trade or Application of Sanitary and </w:t>
      </w:r>
      <w:proofErr w:type="spellStart"/>
      <w:r w:rsidR="00C52C04">
        <w:rPr>
          <w:rFonts w:cs="Arial"/>
          <w:iCs/>
        </w:rPr>
        <w:t>Phytosanitary</w:t>
      </w:r>
      <w:proofErr w:type="spellEnd"/>
      <w:r w:rsidR="00C52C04">
        <w:rPr>
          <w:rFonts w:cs="Arial"/>
          <w:iCs/>
        </w:rPr>
        <w:t xml:space="preserve"> Measures Agreement was </w:t>
      </w:r>
      <w:r>
        <w:rPr>
          <w:rFonts w:cs="Arial"/>
          <w:iCs/>
        </w:rPr>
        <w:t xml:space="preserve">therefore </w:t>
      </w:r>
      <w:r w:rsidR="00C52C04">
        <w:rPr>
          <w:rFonts w:cs="Arial"/>
          <w:iCs/>
        </w:rPr>
        <w:t>not considered necessary.</w:t>
      </w:r>
    </w:p>
    <w:p w14:paraId="7BB973DD" w14:textId="3E3A3A8E" w:rsidR="002C1A3B" w:rsidRPr="002C1A3B" w:rsidRDefault="00C52C04" w:rsidP="006E51EF">
      <w:pPr>
        <w:pStyle w:val="Heading1"/>
        <w:widowControl/>
      </w:pPr>
      <w:bookmarkStart w:id="241" w:name="_Toc53406124"/>
      <w:bookmarkStart w:id="242" w:name="_Toc53484634"/>
      <w:bookmarkStart w:id="243" w:name="_Toc58840818"/>
      <w:r>
        <w:t>5</w:t>
      </w:r>
      <w:r w:rsidR="002C1A3B" w:rsidRPr="002C1A3B">
        <w:tab/>
        <w:t>FSANZ Act assessment requirements</w:t>
      </w:r>
      <w:bookmarkEnd w:id="233"/>
      <w:bookmarkEnd w:id="234"/>
      <w:bookmarkEnd w:id="241"/>
      <w:bookmarkEnd w:id="242"/>
      <w:bookmarkEnd w:id="243"/>
    </w:p>
    <w:p w14:paraId="149ED78E" w14:textId="0498B9A2" w:rsidR="002C1A3B" w:rsidRPr="002C1A3B" w:rsidRDefault="002C1A3B" w:rsidP="006E51EF">
      <w:pPr>
        <w:pStyle w:val="Heading2"/>
        <w:widowControl/>
      </w:pPr>
      <w:bookmarkStart w:id="244" w:name="_Toc370223478"/>
      <w:bookmarkStart w:id="245" w:name="_Toc370225393"/>
      <w:bookmarkStart w:id="246" w:name="_Toc53406125"/>
      <w:bookmarkStart w:id="247" w:name="_Toc53484635"/>
      <w:bookmarkStart w:id="248" w:name="_Toc58840819"/>
      <w:bookmarkEnd w:id="235"/>
      <w:bookmarkEnd w:id="236"/>
      <w:bookmarkEnd w:id="237"/>
      <w:bookmarkEnd w:id="238"/>
      <w:bookmarkEnd w:id="239"/>
      <w:r w:rsidRPr="002C1A3B">
        <w:t>5.1</w:t>
      </w:r>
      <w:r w:rsidRPr="002C1A3B">
        <w:tab/>
      </w:r>
      <w:r w:rsidRPr="00C52C04">
        <w:t>Section 29</w:t>
      </w:r>
      <w:bookmarkEnd w:id="244"/>
      <w:bookmarkEnd w:id="245"/>
      <w:bookmarkEnd w:id="246"/>
      <w:bookmarkEnd w:id="247"/>
      <w:bookmarkEnd w:id="248"/>
    </w:p>
    <w:p w14:paraId="2FA7CE8F" w14:textId="1ECA7186" w:rsidR="001A6106" w:rsidRPr="001A6106" w:rsidRDefault="001A6106" w:rsidP="001A6106">
      <w:pPr>
        <w:widowControl/>
      </w:pPr>
      <w:bookmarkStart w:id="249" w:name="_Toc53406126"/>
      <w:bookmarkStart w:id="250" w:name="_Toc53484636"/>
      <w:r w:rsidRPr="001A6106">
        <w:t xml:space="preserve">When assessing this Application, and the subsequent development of a food regulatory measure, FSANZ had regard to the </w:t>
      </w:r>
      <w:r w:rsidRPr="001A6106" w:rsidDel="00932F14">
        <w:t xml:space="preserve">following </w:t>
      </w:r>
      <w:r w:rsidRPr="001A6106">
        <w:t>matters in section 29 of the FSANZ Act:</w:t>
      </w:r>
    </w:p>
    <w:p w14:paraId="2CC01637" w14:textId="2E6987A1" w:rsidR="002C1A3B" w:rsidRPr="002C1A3B" w:rsidRDefault="002C1A3B" w:rsidP="006E51EF">
      <w:pPr>
        <w:pStyle w:val="Heading3"/>
        <w:widowControl/>
      </w:pPr>
      <w:bookmarkStart w:id="251" w:name="_Toc58840820"/>
      <w:r w:rsidRPr="002C1A3B">
        <w:t>5.1.1</w:t>
      </w:r>
      <w:r w:rsidRPr="002C1A3B">
        <w:tab/>
      </w:r>
      <w:r w:rsidR="00BF45A3">
        <w:t>Consideration of costs and</w:t>
      </w:r>
      <w:r w:rsidRPr="002C1A3B">
        <w:t xml:space="preserve"> benefit</w:t>
      </w:r>
      <w:r w:rsidR="00BF45A3">
        <w:t>s</w:t>
      </w:r>
      <w:bookmarkEnd w:id="249"/>
      <w:bookmarkEnd w:id="250"/>
      <w:bookmarkEnd w:id="251"/>
    </w:p>
    <w:p w14:paraId="4CB90483" w14:textId="25BF0FFD" w:rsidR="00C52C04" w:rsidRDefault="00CD57D1" w:rsidP="006E51EF">
      <w:pPr>
        <w:widowControl/>
        <w:rPr>
          <w:szCs w:val="22"/>
        </w:rPr>
      </w:pPr>
      <w:r>
        <w:rPr>
          <w:lang w:bidi="ar-SA"/>
        </w:rPr>
        <w:t xml:space="preserve">This analysis considers </w:t>
      </w:r>
      <w:r>
        <w:rPr>
          <w:bCs/>
          <w:lang w:bidi="ar-SA"/>
        </w:rPr>
        <w:t xml:space="preserve">permitting the voluntary use of soy leghemoglobin in meat analogue products as a </w:t>
      </w:r>
      <w:r w:rsidRPr="008C5D5D">
        <w:rPr>
          <w:bCs/>
          <w:lang w:bidi="ar-SA"/>
        </w:rPr>
        <w:t>substance</w:t>
      </w:r>
      <w:r w:rsidR="00654B28">
        <w:rPr>
          <w:bCs/>
          <w:lang w:bidi="ar-SA"/>
        </w:rPr>
        <w:t xml:space="preserve"> that is </w:t>
      </w:r>
      <w:r w:rsidRPr="008C5D5D">
        <w:rPr>
          <w:bCs/>
          <w:i/>
          <w:lang w:bidi="ar-SA"/>
        </w:rPr>
        <w:t xml:space="preserve">used as a </w:t>
      </w:r>
      <w:r w:rsidR="008C5D5D" w:rsidRPr="008C5D5D">
        <w:rPr>
          <w:bCs/>
          <w:i/>
          <w:lang w:bidi="ar-SA"/>
        </w:rPr>
        <w:t>nutritive substance –</w:t>
      </w:r>
      <w:r w:rsidRPr="008C5D5D">
        <w:rPr>
          <w:bCs/>
          <w:i/>
          <w:lang w:bidi="ar-SA"/>
        </w:rPr>
        <w:t xml:space="preserve"> iron</w:t>
      </w:r>
      <w:r w:rsidR="008C5D5D">
        <w:rPr>
          <w:bCs/>
          <w:lang w:bidi="ar-SA"/>
        </w:rPr>
        <w:t>,</w:t>
      </w:r>
      <w:r>
        <w:rPr>
          <w:bCs/>
          <w:lang w:bidi="ar-SA"/>
        </w:rPr>
        <w:t xml:space="preserve"> and </w:t>
      </w:r>
      <w:r w:rsidR="00FA3F78">
        <w:rPr>
          <w:bCs/>
          <w:lang w:bidi="ar-SA"/>
        </w:rPr>
        <w:t>the Preparation</w:t>
      </w:r>
      <w:r w:rsidR="00325C08">
        <w:rPr>
          <w:bCs/>
          <w:lang w:bidi="ar-SA"/>
        </w:rPr>
        <w:t xml:space="preserve"> (containing soy leghemoglobin) </w:t>
      </w:r>
      <w:r>
        <w:rPr>
          <w:bCs/>
          <w:lang w:bidi="ar-SA"/>
        </w:rPr>
        <w:t xml:space="preserve">as a </w:t>
      </w:r>
      <w:r>
        <w:rPr>
          <w:bCs/>
          <w:i/>
          <w:lang w:bidi="ar-SA"/>
        </w:rPr>
        <w:t>food produced using gene technology</w:t>
      </w:r>
      <w:r>
        <w:rPr>
          <w:bCs/>
          <w:lang w:bidi="ar-SA"/>
        </w:rPr>
        <w:t>.</w:t>
      </w:r>
    </w:p>
    <w:p w14:paraId="70EEF6FE" w14:textId="77777777" w:rsidR="00C52C04" w:rsidRDefault="00C52C04" w:rsidP="006E51EF">
      <w:pPr>
        <w:widowControl/>
        <w:rPr>
          <w:lang w:bidi="ar-SA"/>
        </w:rPr>
      </w:pPr>
    </w:p>
    <w:p w14:paraId="1A867393" w14:textId="77777777" w:rsidR="00C52C04" w:rsidRDefault="00C52C04" w:rsidP="006E51EF">
      <w:pPr>
        <w:widowControl/>
        <w:rPr>
          <w:rFonts w:cs="Arial"/>
          <w:lang w:val="en-AU"/>
        </w:rPr>
      </w:pPr>
      <w:r>
        <w:rPr>
          <w:lang w:bidi="ar-SA"/>
        </w:rPr>
        <w:t xml:space="preserve">The Office of Best Practice Regulation (OBPR) granted FSANZ a standing exemption from the requirement to develop a Regulatory Impact Statement (RIS) for permitting genetically </w:t>
      </w:r>
      <w:r>
        <w:rPr>
          <w:lang w:bidi="ar-SA"/>
        </w:rPr>
        <w:lastRenderedPageBreak/>
        <w:t xml:space="preserve">modified foods (OBPR correspondence dated 24 November 2010, reference 12065) and for the </w:t>
      </w:r>
      <w:r>
        <w:rPr>
          <w:rFonts w:cs="Arial"/>
          <w:lang w:val="en-AU"/>
        </w:rPr>
        <w:t>voluntary addition of nutritive substances to foods (OBPR correspondence dated 16 April 2013, reference 14943).</w:t>
      </w:r>
    </w:p>
    <w:p w14:paraId="330C8746" w14:textId="77777777" w:rsidR="00C52C04" w:rsidRDefault="00C52C04" w:rsidP="006E51EF">
      <w:pPr>
        <w:widowControl/>
        <w:rPr>
          <w:rFonts w:cs="Arial"/>
          <w:lang w:val="en-AU"/>
        </w:rPr>
      </w:pPr>
    </w:p>
    <w:p w14:paraId="02AE5D1A" w14:textId="77777777" w:rsidR="00C52C04" w:rsidRDefault="00C52C04" w:rsidP="006E51EF">
      <w:pPr>
        <w:widowControl/>
        <w:rPr>
          <w:rFonts w:cs="Arial"/>
          <w:szCs w:val="22"/>
          <w:lang w:val="en-AU" w:bidi="ar-SA"/>
        </w:rPr>
      </w:pPr>
      <w:r>
        <w:rPr>
          <w:lang w:bidi="ar-SA"/>
        </w:rPr>
        <w:t xml:space="preserve">However, for the purposes of meeting FSANZ Act considerations, FSANZ has given consideration to the costs and benefits that may arise from the measure sought by the application. The FSANZ Act requires FSANZ to have regard to whether costs that would arise from a proposed measure outweigh the direct and indirect benefits to the community, government or industry that would arise from that proposed measure (paragraph 29(2)(a)). </w:t>
      </w:r>
    </w:p>
    <w:p w14:paraId="76366BA9" w14:textId="77777777" w:rsidR="00C52C04" w:rsidRDefault="00C52C04" w:rsidP="006E51EF">
      <w:pPr>
        <w:pStyle w:val="FSTitle"/>
        <w:widowControl/>
        <w:rPr>
          <w:rFonts w:cs="Times New Roman"/>
          <w:bCs w:val="0"/>
          <w:sz w:val="22"/>
          <w:lang w:bidi="ar-SA"/>
        </w:rPr>
      </w:pPr>
    </w:p>
    <w:p w14:paraId="177797BD" w14:textId="42175523" w:rsidR="00C52C04" w:rsidRDefault="00C52C04" w:rsidP="006E51EF">
      <w:pPr>
        <w:widowControl/>
        <w:rPr>
          <w:lang w:bidi="ar-SA"/>
        </w:rPr>
      </w:pPr>
      <w:r>
        <w:rPr>
          <w:lang w:bidi="ar-SA"/>
        </w:rPr>
        <w:t xml:space="preserve">The purpose of this consideration is to determine if the community, government and industry as a whole is likely to benefit, on balance, </w:t>
      </w:r>
      <w:r w:rsidR="00953198">
        <w:rPr>
          <w:lang w:bidi="ar-SA"/>
        </w:rPr>
        <w:t>from a move from the status quo</w:t>
      </w:r>
      <w:r>
        <w:rPr>
          <w:lang w:bidi="ar-SA"/>
        </w:rPr>
        <w:t xml:space="preserve"> i.e. rejecting the </w:t>
      </w:r>
      <w:r w:rsidR="00CD57D1">
        <w:rPr>
          <w:lang w:bidi="ar-SA"/>
        </w:rPr>
        <w:t>application.</w:t>
      </w:r>
      <w:r w:rsidR="008C5D5D">
        <w:rPr>
          <w:lang w:bidi="ar-SA"/>
        </w:rPr>
        <w:t xml:space="preserve"> </w:t>
      </w:r>
      <w:r w:rsidR="000C483E" w:rsidRPr="000C483E">
        <w:rPr>
          <w:lang w:bidi="ar-SA"/>
        </w:rPr>
        <w:t xml:space="preserve">Based on </w:t>
      </w:r>
      <w:r w:rsidR="00654B28">
        <w:rPr>
          <w:lang w:bidi="ar-SA"/>
        </w:rPr>
        <w:t xml:space="preserve">FSANZ’s risk assessment, including </w:t>
      </w:r>
      <w:r w:rsidR="000C483E" w:rsidRPr="000C483E">
        <w:rPr>
          <w:lang w:bidi="ar-SA"/>
        </w:rPr>
        <w:t>data and information reviewed at the 1</w:t>
      </w:r>
      <w:r w:rsidR="000C483E" w:rsidRPr="000C483E">
        <w:rPr>
          <w:vertAlign w:val="superscript"/>
          <w:lang w:bidi="ar-SA"/>
        </w:rPr>
        <w:t>st</w:t>
      </w:r>
      <w:r w:rsidR="000C483E" w:rsidRPr="000C483E">
        <w:rPr>
          <w:lang w:bidi="ar-SA"/>
        </w:rPr>
        <w:t xml:space="preserve"> and 2</w:t>
      </w:r>
      <w:r w:rsidR="000C483E" w:rsidRPr="000C483E">
        <w:rPr>
          <w:vertAlign w:val="superscript"/>
          <w:lang w:bidi="ar-SA"/>
        </w:rPr>
        <w:t>nd</w:t>
      </w:r>
      <w:r w:rsidR="000C483E" w:rsidRPr="000C483E">
        <w:rPr>
          <w:lang w:bidi="ar-SA"/>
        </w:rPr>
        <w:t xml:space="preserve"> CFS, </w:t>
      </w:r>
      <w:r w:rsidRPr="000C483E">
        <w:rPr>
          <w:lang w:bidi="ar-SA"/>
        </w:rPr>
        <w:t>FSANZ considers that no other realistic</w:t>
      </w:r>
      <w:r w:rsidR="000C483E" w:rsidRPr="000C483E">
        <w:rPr>
          <w:lang w:bidi="ar-SA"/>
        </w:rPr>
        <w:t xml:space="preserve"> food regulatory measures exist</w:t>
      </w:r>
      <w:r w:rsidRPr="000C483E">
        <w:rPr>
          <w:lang w:bidi="ar-SA"/>
        </w:rPr>
        <w:t>.</w:t>
      </w:r>
    </w:p>
    <w:p w14:paraId="6204F8D0" w14:textId="77777777" w:rsidR="00C52C04" w:rsidRDefault="00C52C04" w:rsidP="006E51EF">
      <w:pPr>
        <w:widowControl/>
        <w:rPr>
          <w:lang w:bidi="ar-SA"/>
        </w:rPr>
      </w:pPr>
    </w:p>
    <w:p w14:paraId="73CA2484" w14:textId="1B71ED4E" w:rsidR="00C52C04" w:rsidRDefault="00C52C04" w:rsidP="006E51EF">
      <w:pPr>
        <w:widowControl/>
        <w:rPr>
          <w:rFonts w:eastAsia="Calibri"/>
          <w:lang w:eastAsia="en-AU"/>
        </w:rPr>
      </w:pPr>
      <w:r>
        <w:rPr>
          <w:lang w:bidi="ar-SA"/>
        </w:rPr>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voluntary addition of soy leghemoglobin </w:t>
      </w:r>
      <w:r w:rsidR="00E331B8">
        <w:rPr>
          <w:lang w:bidi="ar-SA"/>
        </w:rPr>
        <w:t>in the Preparation</w:t>
      </w:r>
      <w:r>
        <w:rPr>
          <w:lang w:bidi="ar-SA"/>
        </w:rPr>
        <w:t xml:space="preserve"> to meat analogue products</w:t>
      </w:r>
      <w:r w:rsidR="00654B28">
        <w:rPr>
          <w:lang w:bidi="ar-SA"/>
        </w:rPr>
        <w:t xml:space="preserve"> </w:t>
      </w:r>
      <w:r w:rsidR="006C699A">
        <w:rPr>
          <w:lang w:bidi="ar-SA"/>
        </w:rPr>
        <w:t>as proposed</w:t>
      </w:r>
      <w:r>
        <w:rPr>
          <w:lang w:bidi="ar-SA"/>
        </w:rPr>
        <w:t>.</w:t>
      </w:r>
    </w:p>
    <w:p w14:paraId="2CE7DDCE" w14:textId="77777777" w:rsidR="00C52C04" w:rsidRDefault="00C52C04" w:rsidP="006E51EF">
      <w:pPr>
        <w:pStyle w:val="Heading4"/>
        <w:widowControl/>
        <w:rPr>
          <w:rFonts w:eastAsia="Calibri"/>
          <w:lang w:eastAsia="en-AU"/>
        </w:rPr>
      </w:pPr>
      <w:r>
        <w:rPr>
          <w:rFonts w:eastAsia="Calibri"/>
          <w:lang w:eastAsia="en-AU"/>
        </w:rPr>
        <w:t>Industry</w:t>
      </w:r>
    </w:p>
    <w:p w14:paraId="5634F96F" w14:textId="29FA7BE5" w:rsidR="00C52C04" w:rsidRDefault="00C52C04" w:rsidP="006E51EF">
      <w:pPr>
        <w:widowControl/>
        <w:rPr>
          <w:highlight w:val="yellow"/>
        </w:rPr>
      </w:pPr>
      <w:r>
        <w:rPr>
          <w:bCs/>
          <w:lang w:bidi="ar-SA"/>
        </w:rPr>
        <w:t>Approving this product will provide the applicant with the capacity to earn revenue from their innovation in Australia and New Zealand. Australia</w:t>
      </w:r>
      <w:r>
        <w:t xml:space="preserve"> and New Zealand businesses </w:t>
      </w:r>
      <w:r w:rsidR="002B22B7">
        <w:t>with the ability</w:t>
      </w:r>
      <w:r>
        <w:t xml:space="preserve"> to purchase and sell </w:t>
      </w:r>
      <w:r>
        <w:rPr>
          <w:bCs/>
          <w:lang w:bidi="ar-SA"/>
        </w:rPr>
        <w:t>Impossible</w:t>
      </w:r>
      <w:r>
        <w:t xml:space="preserve"> branded meat analogue products containing </w:t>
      </w:r>
      <w:r w:rsidR="00E331B8">
        <w:rPr>
          <w:bCs/>
          <w:lang w:bidi="ar-SA"/>
        </w:rPr>
        <w:t xml:space="preserve">soy leghemoglobin </w:t>
      </w:r>
      <w:r>
        <w:t xml:space="preserve">if they believe they are likely to receive sufficient revenue in what is a potentially growing market sector. </w:t>
      </w:r>
    </w:p>
    <w:p w14:paraId="4951E9BF" w14:textId="77777777" w:rsidR="00C52C04" w:rsidRDefault="00C52C04" w:rsidP="006E51EF">
      <w:pPr>
        <w:pStyle w:val="Heading4"/>
        <w:widowControl/>
      </w:pPr>
      <w:r>
        <w:t>Consumers</w:t>
      </w:r>
    </w:p>
    <w:p w14:paraId="668116BB" w14:textId="7F534323" w:rsidR="00C52C04" w:rsidRDefault="00C52C04" w:rsidP="006E51EF">
      <w:pPr>
        <w:widowControl/>
        <w:rPr>
          <w:lang w:bidi="ar-SA"/>
        </w:rPr>
      </w:pPr>
      <w:r>
        <w:rPr>
          <w:lang w:bidi="ar-SA"/>
        </w:rPr>
        <w:t xml:space="preserve">If the use of this product is permitted as proposed, consumers may benefit from greater choice of foods, particularly greater choice of fortified meat </w:t>
      </w:r>
      <w:r w:rsidR="00953198">
        <w:rPr>
          <w:lang w:bidi="ar-SA"/>
        </w:rPr>
        <w:t>analogue products</w:t>
      </w:r>
      <w:r>
        <w:rPr>
          <w:lang w:bidi="ar-SA"/>
        </w:rPr>
        <w:t xml:space="preserve">. The applicant is targeting their products at ‘flexitarians’, who they claim (on page 62 of the application) are looking for “more ethical and environmentally friendly alternative meat products without compromising on attributes such as the taste and texture”. </w:t>
      </w:r>
    </w:p>
    <w:p w14:paraId="0151F5AE" w14:textId="77777777" w:rsidR="00C52C04" w:rsidRDefault="00C52C04" w:rsidP="006E51EF">
      <w:pPr>
        <w:widowControl/>
        <w:rPr>
          <w:lang w:bidi="ar-SA"/>
        </w:rPr>
      </w:pPr>
    </w:p>
    <w:p w14:paraId="404ABD59" w14:textId="0C4E3E9F" w:rsidR="00C52C04" w:rsidRDefault="00C52C04" w:rsidP="00852E6A">
      <w:pPr>
        <w:widowControl/>
        <w:spacing w:after="240"/>
        <w:rPr>
          <w:szCs w:val="22"/>
        </w:rPr>
      </w:pPr>
      <w:r>
        <w:rPr>
          <w:szCs w:val="22"/>
        </w:rPr>
        <w:t xml:space="preserve">As Impossible </w:t>
      </w:r>
      <w:r w:rsidR="009817DE">
        <w:rPr>
          <w:szCs w:val="22"/>
        </w:rPr>
        <w:t xml:space="preserve">meat analogue </w:t>
      </w:r>
      <w:r>
        <w:rPr>
          <w:szCs w:val="22"/>
        </w:rPr>
        <w:t>products are currently not for sale in Australia and New Zealand, we do not have cost data with which to undertake a market analysis. However, the applicant has provided information on US-specific product retail prices:</w:t>
      </w:r>
    </w:p>
    <w:p w14:paraId="0E4ECE76" w14:textId="77777777" w:rsidR="00C52C04" w:rsidRDefault="00C52C04" w:rsidP="00FF61AD">
      <w:pPr>
        <w:pStyle w:val="ListParagraph"/>
        <w:widowControl/>
        <w:numPr>
          <w:ilvl w:val="0"/>
          <w:numId w:val="13"/>
        </w:numPr>
        <w:rPr>
          <w:lang w:bidi="ar-SA"/>
        </w:rPr>
      </w:pPr>
      <w:r>
        <w:rPr>
          <w:szCs w:val="22"/>
        </w:rPr>
        <w:t>Impossible mince: US$12/lb</w:t>
      </w:r>
    </w:p>
    <w:p w14:paraId="00533C9E" w14:textId="77777777" w:rsidR="00C52C04" w:rsidRDefault="00C52C04" w:rsidP="00FF61AD">
      <w:pPr>
        <w:pStyle w:val="ListParagraph"/>
        <w:widowControl/>
        <w:numPr>
          <w:ilvl w:val="0"/>
          <w:numId w:val="13"/>
        </w:numPr>
        <w:rPr>
          <w:lang w:bidi="ar-SA"/>
        </w:rPr>
      </w:pPr>
      <w:r>
        <w:rPr>
          <w:szCs w:val="22"/>
        </w:rPr>
        <w:t>‘Commodity 80/20 ground beef’: US$4-6/lb range</w:t>
      </w:r>
    </w:p>
    <w:p w14:paraId="14493246" w14:textId="77777777" w:rsidR="00C52C04" w:rsidRDefault="00C52C04" w:rsidP="00FF61AD">
      <w:pPr>
        <w:pStyle w:val="ListParagraph"/>
        <w:widowControl/>
        <w:numPr>
          <w:ilvl w:val="0"/>
          <w:numId w:val="13"/>
        </w:numPr>
        <w:rPr>
          <w:lang w:bidi="ar-SA"/>
        </w:rPr>
      </w:pPr>
      <w:r>
        <w:rPr>
          <w:szCs w:val="22"/>
        </w:rPr>
        <w:t xml:space="preserve">‘Premium, organic ground beef’: US$8-9/lb range </w:t>
      </w:r>
    </w:p>
    <w:p w14:paraId="571A55BC" w14:textId="77777777" w:rsidR="00C52C04" w:rsidRDefault="00C52C04" w:rsidP="00FF61AD">
      <w:pPr>
        <w:pStyle w:val="ListParagraph"/>
        <w:widowControl/>
        <w:numPr>
          <w:ilvl w:val="0"/>
          <w:numId w:val="13"/>
        </w:numPr>
        <w:rPr>
          <w:lang w:bidi="ar-SA"/>
        </w:rPr>
      </w:pPr>
      <w:r>
        <w:rPr>
          <w:szCs w:val="22"/>
        </w:rPr>
        <w:t xml:space="preserve">‘Super premium’: similar price point to Impossible mince. </w:t>
      </w:r>
    </w:p>
    <w:p w14:paraId="2857FF3F" w14:textId="77777777" w:rsidR="00C52C04" w:rsidRDefault="00C52C04" w:rsidP="006E51EF">
      <w:pPr>
        <w:widowControl/>
        <w:rPr>
          <w:lang w:bidi="ar-SA"/>
        </w:rPr>
      </w:pPr>
    </w:p>
    <w:p w14:paraId="52E7D9CB" w14:textId="2383456F" w:rsidR="00C52C04" w:rsidRDefault="00C52C04" w:rsidP="006E51EF">
      <w:pPr>
        <w:widowControl/>
        <w:rPr>
          <w:lang w:bidi="ar-SA"/>
        </w:rPr>
      </w:pPr>
      <w:r>
        <w:rPr>
          <w:lang w:bidi="ar-SA"/>
        </w:rPr>
        <w:t xml:space="preserve">This suggests that, in the US, products containing soy leghemoglobin are currently more expensive than their traditional meat counterparts. FSANZ expects this price variation to be similar in Australia and New Zealand if Impossible </w:t>
      </w:r>
      <w:r w:rsidR="009817DE">
        <w:rPr>
          <w:lang w:bidi="ar-SA"/>
        </w:rPr>
        <w:t xml:space="preserve">meat analogue </w:t>
      </w:r>
      <w:r>
        <w:rPr>
          <w:lang w:bidi="ar-SA"/>
        </w:rPr>
        <w:t xml:space="preserve">products are permitted for sale here. For more discussion on consumers and meat analogue products, including consumer motivation to reduce meat intake and the likelihood of meat analogue products misleading consumers, please see </w:t>
      </w:r>
      <w:r w:rsidR="00743586">
        <w:rPr>
          <w:lang w:bidi="ar-SA"/>
        </w:rPr>
        <w:t>s</w:t>
      </w:r>
      <w:r>
        <w:rPr>
          <w:lang w:bidi="ar-SA"/>
        </w:rPr>
        <w:t>ection 2 of the SD2.</w:t>
      </w:r>
    </w:p>
    <w:p w14:paraId="239B2CA5" w14:textId="77777777" w:rsidR="00C52C04" w:rsidRDefault="00C52C04" w:rsidP="006E51EF">
      <w:pPr>
        <w:pStyle w:val="Heading4"/>
        <w:widowControl/>
      </w:pPr>
      <w:r>
        <w:lastRenderedPageBreak/>
        <w:t>Government</w:t>
      </w:r>
    </w:p>
    <w:p w14:paraId="130C7F00" w14:textId="77777777" w:rsidR="00C52C04" w:rsidRDefault="00C52C04" w:rsidP="006E51EF">
      <w:pPr>
        <w:widowControl/>
        <w:rPr>
          <w:bCs/>
          <w:lang w:bidi="ar-SA"/>
        </w:rPr>
      </w:pPr>
      <w:r>
        <w:rPr>
          <w:bCs/>
          <w:lang w:bidi="ar-SA"/>
        </w:rPr>
        <w:t>There may be incremental but likely inconsequential costs to government in terms of monitoring and enforcement to ensure the final products comply with the Code, and various food and consumer protection laws in Australia and New Zealand.</w:t>
      </w:r>
    </w:p>
    <w:p w14:paraId="6170DA4C" w14:textId="77777777" w:rsidR="00C52C04" w:rsidRPr="00A8341C" w:rsidRDefault="00C52C04" w:rsidP="006E51EF">
      <w:pPr>
        <w:pStyle w:val="Heading3"/>
        <w:widowControl/>
        <w:rPr>
          <w:bCs w:val="0"/>
        </w:rPr>
      </w:pPr>
      <w:bookmarkStart w:id="252" w:name="_Toc43128140"/>
      <w:bookmarkStart w:id="253" w:name="_Toc42875236"/>
      <w:bookmarkStart w:id="254" w:name="_Toc41576674"/>
      <w:bookmarkStart w:id="255" w:name="_Toc53406127"/>
      <w:bookmarkStart w:id="256" w:name="_Toc53484637"/>
      <w:bookmarkStart w:id="257" w:name="_Toc58840821"/>
      <w:r w:rsidRPr="000E78FE">
        <w:rPr>
          <w:bCs w:val="0"/>
        </w:rPr>
        <w:t>5.1.2</w:t>
      </w:r>
      <w:r w:rsidRPr="000E78FE">
        <w:rPr>
          <w:bCs w:val="0"/>
        </w:rPr>
        <w:tab/>
        <w:t>Conclusions from cost benefit considerations</w:t>
      </w:r>
      <w:bookmarkEnd w:id="252"/>
      <w:bookmarkEnd w:id="253"/>
      <w:bookmarkEnd w:id="254"/>
      <w:bookmarkEnd w:id="255"/>
      <w:bookmarkEnd w:id="256"/>
      <w:bookmarkEnd w:id="257"/>
    </w:p>
    <w:p w14:paraId="41737166" w14:textId="77777777" w:rsidR="00C52C04" w:rsidRDefault="00C52C04" w:rsidP="006E51EF">
      <w:pPr>
        <w:widowControl/>
        <w:rPr>
          <w:lang w:bidi="ar-SA"/>
        </w:rPr>
      </w:pPr>
      <w:r>
        <w:rPr>
          <w:lang w:bidi="ar-SA"/>
        </w:rPr>
        <w:t xml:space="preserve">FSANZ considers that the direct and indirect benefits that may arise from permitting </w:t>
      </w:r>
      <w:r>
        <w:t>the applicant</w:t>
      </w:r>
      <w:r>
        <w:rPr>
          <w:bCs/>
          <w:lang w:bidi="ar-SA"/>
        </w:rPr>
        <w:t xml:space="preserve">’s soy leghemoglobin in meat analogue products, as proposed, </w:t>
      </w:r>
      <w:r>
        <w:rPr>
          <w:lang w:bidi="ar-SA"/>
        </w:rPr>
        <w:t>likely outweigh the associated costs.</w:t>
      </w:r>
    </w:p>
    <w:p w14:paraId="04D21D17" w14:textId="77777777" w:rsidR="00C52C04" w:rsidRDefault="00C52C04" w:rsidP="006E51EF">
      <w:pPr>
        <w:widowControl/>
      </w:pPr>
    </w:p>
    <w:p w14:paraId="494870A6" w14:textId="0CC2E527" w:rsidR="002C1A3B" w:rsidRPr="002C1A3B" w:rsidRDefault="002C1A3B" w:rsidP="006E51EF">
      <w:pPr>
        <w:pStyle w:val="Heading3"/>
        <w:widowControl/>
      </w:pPr>
      <w:bookmarkStart w:id="258" w:name="_Toc53406128"/>
      <w:bookmarkStart w:id="259" w:name="_Toc53484638"/>
      <w:bookmarkStart w:id="260" w:name="_Toc58840822"/>
      <w:r w:rsidRPr="00123B4B">
        <w:t>5.1.</w:t>
      </w:r>
      <w:r w:rsidR="004B60EA" w:rsidRPr="00123B4B">
        <w:t>3</w:t>
      </w:r>
      <w:r w:rsidRPr="00123B4B">
        <w:tab/>
        <w:t>Other measures</w:t>
      </w:r>
      <w:bookmarkEnd w:id="258"/>
      <w:bookmarkEnd w:id="259"/>
      <w:bookmarkEnd w:id="260"/>
    </w:p>
    <w:p w14:paraId="7B16675E" w14:textId="5FF0F264" w:rsidR="002C1A3B" w:rsidRPr="00826802" w:rsidRDefault="002C1A3B" w:rsidP="006E51EF">
      <w:pPr>
        <w:widowControl/>
      </w:pPr>
      <w:r w:rsidRPr="002C1A3B">
        <w:t xml:space="preserve">There are no other measures (whether available to FSANZ or not) that would be more cost-effective than a food regulatory measure developed or varied as a result of the </w:t>
      </w:r>
      <w:r w:rsidRPr="00123B4B">
        <w:rPr>
          <w:color w:val="000000" w:themeColor="text1"/>
        </w:rPr>
        <w:t>Application</w:t>
      </w:r>
      <w:r w:rsidR="00E6754B">
        <w:rPr>
          <w:color w:val="000000" w:themeColor="text1"/>
        </w:rPr>
        <w:t>.</w:t>
      </w:r>
    </w:p>
    <w:p w14:paraId="258883E6" w14:textId="6F712322" w:rsidR="002C1A3B" w:rsidRPr="002C1A3B" w:rsidRDefault="002C1A3B" w:rsidP="006E51EF">
      <w:pPr>
        <w:pStyle w:val="Heading3"/>
        <w:widowControl/>
      </w:pPr>
      <w:bookmarkStart w:id="261" w:name="_Toc53406129"/>
      <w:bookmarkStart w:id="262" w:name="_Toc53484639"/>
      <w:bookmarkStart w:id="263" w:name="_Toc58840823"/>
      <w:r w:rsidRPr="002C1A3B">
        <w:t>5.1.</w:t>
      </w:r>
      <w:r w:rsidR="004B60EA">
        <w:t>4</w:t>
      </w:r>
      <w:r w:rsidRPr="002C1A3B">
        <w:tab/>
        <w:t>Any relevant New Zealand standards</w:t>
      </w:r>
      <w:bookmarkEnd w:id="261"/>
      <w:bookmarkEnd w:id="262"/>
      <w:bookmarkEnd w:id="263"/>
    </w:p>
    <w:p w14:paraId="0138E70D" w14:textId="1B215C1C" w:rsidR="002C1A3B" w:rsidRPr="002C1A3B" w:rsidRDefault="006C699A" w:rsidP="006E51EF">
      <w:pPr>
        <w:widowControl/>
        <w:rPr>
          <w:lang w:bidi="ar-SA"/>
        </w:rPr>
      </w:pPr>
      <w:r>
        <w:rPr>
          <w:lang w:bidi="ar-SA"/>
        </w:rPr>
        <w:t xml:space="preserve">The relevant Standards apply in both Australia and New Zealand. </w:t>
      </w:r>
      <w:r w:rsidR="002C1A3B" w:rsidRPr="002C1A3B">
        <w:rPr>
          <w:lang w:bidi="ar-SA"/>
        </w:rPr>
        <w:t xml:space="preserve">There are no relevant New Zealand </w:t>
      </w:r>
      <w:r>
        <w:rPr>
          <w:lang w:bidi="ar-SA"/>
        </w:rPr>
        <w:t xml:space="preserve">only </w:t>
      </w:r>
      <w:r w:rsidR="002C1A3B" w:rsidRPr="002C1A3B">
        <w:rPr>
          <w:lang w:bidi="ar-SA"/>
        </w:rPr>
        <w:t>Standards.</w:t>
      </w:r>
    </w:p>
    <w:p w14:paraId="5DBA1589" w14:textId="6B72A43A" w:rsidR="001F7F63" w:rsidRDefault="002C1A3B" w:rsidP="006E51EF">
      <w:pPr>
        <w:pStyle w:val="Heading3"/>
        <w:widowControl/>
      </w:pPr>
      <w:bookmarkStart w:id="264" w:name="_Toc53406130"/>
      <w:bookmarkStart w:id="265" w:name="_Toc53484640"/>
      <w:bookmarkStart w:id="266" w:name="_Toc58840824"/>
      <w:r w:rsidRPr="002C1A3B">
        <w:t>5.1.</w:t>
      </w:r>
      <w:r w:rsidR="004B60EA">
        <w:t>5</w:t>
      </w:r>
      <w:r w:rsidRPr="002C1A3B">
        <w:tab/>
        <w:t>Any other relevant matters</w:t>
      </w:r>
      <w:bookmarkStart w:id="267" w:name="_Toc370223479"/>
      <w:bookmarkStart w:id="268" w:name="_Toc370225394"/>
      <w:bookmarkStart w:id="269" w:name="_Toc300761897"/>
      <w:bookmarkStart w:id="270" w:name="_Toc300933440"/>
      <w:bookmarkEnd w:id="264"/>
      <w:bookmarkEnd w:id="265"/>
      <w:bookmarkEnd w:id="266"/>
    </w:p>
    <w:p w14:paraId="46D91378" w14:textId="77777777" w:rsidR="001F7F63" w:rsidRDefault="001F7F63" w:rsidP="006E51EF">
      <w:pPr>
        <w:widowControl/>
        <w:rPr>
          <w:lang w:bidi="ar-SA"/>
        </w:rPr>
      </w:pPr>
      <w:r>
        <w:t>Other relevant matters are considered below</w:t>
      </w:r>
      <w:r>
        <w:rPr>
          <w:lang w:bidi="ar-SA"/>
        </w:rPr>
        <w:t>.</w:t>
      </w:r>
      <w:r>
        <w:t xml:space="preserve"> </w:t>
      </w:r>
    </w:p>
    <w:p w14:paraId="10CCAF40" w14:textId="5CF4DE39" w:rsidR="002C1A3B" w:rsidRPr="002C1A3B" w:rsidRDefault="002C1A3B" w:rsidP="006E51EF">
      <w:pPr>
        <w:pStyle w:val="Heading2"/>
        <w:widowControl/>
      </w:pPr>
      <w:bookmarkStart w:id="271" w:name="_Toc53406131"/>
      <w:bookmarkStart w:id="272" w:name="_Toc53484641"/>
      <w:bookmarkStart w:id="273" w:name="_Toc58840825"/>
      <w:r w:rsidRPr="002C1A3B">
        <w:t>5.2.</w:t>
      </w:r>
      <w:r w:rsidRPr="002C1A3B">
        <w:tab/>
        <w:t>Subsection 18(1)</w:t>
      </w:r>
      <w:bookmarkEnd w:id="267"/>
      <w:bookmarkEnd w:id="268"/>
      <w:bookmarkEnd w:id="271"/>
      <w:bookmarkEnd w:id="272"/>
      <w:bookmarkEnd w:id="273"/>
      <w:r w:rsidRPr="002C1A3B">
        <w:t xml:space="preserve"> </w:t>
      </w:r>
      <w:bookmarkEnd w:id="269"/>
      <w:bookmarkEnd w:id="270"/>
    </w:p>
    <w:p w14:paraId="176BD6C3" w14:textId="77777777" w:rsidR="002C1A3B" w:rsidRPr="002C1A3B" w:rsidRDefault="002C1A3B" w:rsidP="006E51EF">
      <w:pPr>
        <w:widowControl/>
      </w:pPr>
      <w:r w:rsidRPr="002C1A3B">
        <w:rPr>
          <w:rFonts w:cs="Arial"/>
        </w:rPr>
        <w:t xml:space="preserve">FSANZ has also </w:t>
      </w:r>
      <w:r w:rsidRPr="002C1A3B">
        <w:t>considered the three objectives in subsection 18(1) of the FSANZ Act during the assessment.</w:t>
      </w:r>
    </w:p>
    <w:p w14:paraId="1F1AA646" w14:textId="42715D1E" w:rsidR="002C1A3B" w:rsidRPr="002C1A3B" w:rsidRDefault="002C1A3B" w:rsidP="006E51EF">
      <w:pPr>
        <w:pStyle w:val="Heading3"/>
        <w:widowControl/>
      </w:pPr>
      <w:bookmarkStart w:id="274" w:name="_Toc297029117"/>
      <w:bookmarkStart w:id="275" w:name="_Toc300761898"/>
      <w:bookmarkStart w:id="276" w:name="_Toc300933441"/>
      <w:bookmarkStart w:id="277" w:name="_Toc53406132"/>
      <w:bookmarkStart w:id="278" w:name="_Toc53484642"/>
      <w:bookmarkStart w:id="279" w:name="_Toc58840826"/>
      <w:r w:rsidRPr="002C1A3B">
        <w:t>5.2.1</w:t>
      </w:r>
      <w:r w:rsidRPr="002C1A3B">
        <w:tab/>
        <w:t>Protection of public health and safety</w:t>
      </w:r>
      <w:bookmarkEnd w:id="274"/>
      <w:bookmarkEnd w:id="275"/>
      <w:bookmarkEnd w:id="276"/>
      <w:bookmarkEnd w:id="277"/>
      <w:bookmarkEnd w:id="278"/>
      <w:bookmarkEnd w:id="279"/>
    </w:p>
    <w:p w14:paraId="5C697E14" w14:textId="23571438" w:rsidR="002C1A3B" w:rsidRPr="000B4CBE" w:rsidRDefault="000B4CBE" w:rsidP="006E51EF">
      <w:pPr>
        <w:widowControl/>
      </w:pPr>
      <w:r w:rsidRPr="001A6DFD">
        <w:t>F</w:t>
      </w:r>
      <w:r>
        <w:t xml:space="preserve">SANZ has completed a risk and technical </w:t>
      </w:r>
      <w:r w:rsidRPr="001A6DFD">
        <w:t>assessment (</w:t>
      </w:r>
      <w:r>
        <w:t xml:space="preserve">see </w:t>
      </w:r>
      <w:r w:rsidRPr="001A6DFD">
        <w:t xml:space="preserve">SD1) which is summarised in Section </w:t>
      </w:r>
      <w:r>
        <w:t>2 of this report</w:t>
      </w:r>
      <w:r w:rsidRPr="001A6DFD">
        <w:t xml:space="preserve">. The assessment concluded that there are no public health and safety concerns associated with </w:t>
      </w:r>
      <w:r>
        <w:t>permitting the use of the Preparation containing soy leghemoglobin in meat analogue products as proposed.</w:t>
      </w:r>
    </w:p>
    <w:p w14:paraId="5616BD60" w14:textId="12074F9E" w:rsidR="002C1A3B" w:rsidRPr="002C1A3B" w:rsidRDefault="002C1A3B" w:rsidP="006E51EF">
      <w:pPr>
        <w:pStyle w:val="Heading3"/>
        <w:widowControl/>
      </w:pPr>
      <w:bookmarkStart w:id="280" w:name="_Toc300761899"/>
      <w:bookmarkStart w:id="281" w:name="_Toc300933442"/>
      <w:bookmarkStart w:id="282" w:name="_Toc53406133"/>
      <w:bookmarkStart w:id="283" w:name="_Toc53484643"/>
      <w:bookmarkStart w:id="284" w:name="_Toc58840827"/>
      <w:r w:rsidRPr="002C1A3B">
        <w:t>5.2.2</w:t>
      </w:r>
      <w:r w:rsidRPr="002C1A3B">
        <w:tab/>
        <w:t>The provision of adequate information relating to food to enable consumers to make informed choices</w:t>
      </w:r>
      <w:bookmarkEnd w:id="280"/>
      <w:bookmarkEnd w:id="281"/>
      <w:bookmarkEnd w:id="282"/>
      <w:bookmarkEnd w:id="283"/>
      <w:bookmarkEnd w:id="284"/>
    </w:p>
    <w:p w14:paraId="4F752508" w14:textId="0D25D3FF" w:rsidR="000B4CBE" w:rsidRPr="00E073E5" w:rsidRDefault="000B4CBE" w:rsidP="006E51EF">
      <w:pPr>
        <w:widowControl/>
      </w:pPr>
      <w:bookmarkStart w:id="285" w:name="_Toc300761900"/>
      <w:bookmarkStart w:id="286" w:name="_Toc300933443"/>
      <w:r>
        <w:t xml:space="preserve">Existing </w:t>
      </w:r>
      <w:r w:rsidRPr="00E073E5">
        <w:t xml:space="preserve">labelling requirements </w:t>
      </w:r>
      <w:r w:rsidR="00E32FC9" w:rsidRPr="00E073E5">
        <w:t>w</w:t>
      </w:r>
      <w:r w:rsidR="00E32FC9">
        <w:t>ill</w:t>
      </w:r>
      <w:r w:rsidR="00E32FC9" w:rsidRPr="00E073E5">
        <w:t xml:space="preserve"> </w:t>
      </w:r>
      <w:r w:rsidRPr="00E073E5">
        <w:t xml:space="preserve">apply to </w:t>
      </w:r>
      <w:r w:rsidRPr="004A7167">
        <w:t xml:space="preserve">soy leghemoglobin </w:t>
      </w:r>
      <w:r w:rsidRPr="00E073E5">
        <w:t xml:space="preserve">when added as an ingredient to meat analogue products, as discussed in </w:t>
      </w:r>
      <w:r w:rsidR="00A9765F">
        <w:t>s</w:t>
      </w:r>
      <w:r w:rsidRPr="00C67B3E">
        <w:t>ection 3.2</w:t>
      </w:r>
      <w:r>
        <w:t xml:space="preserve"> of this report</w:t>
      </w:r>
      <w:r w:rsidRPr="00C67B3E">
        <w:t>,</w:t>
      </w:r>
      <w:r>
        <w:t xml:space="preserve"> which </w:t>
      </w:r>
      <w:r w:rsidR="00E32FC9">
        <w:t xml:space="preserve">will </w:t>
      </w:r>
      <w:r>
        <w:t xml:space="preserve">provide </w:t>
      </w:r>
      <w:r w:rsidR="006C699A">
        <w:t xml:space="preserve">adequate </w:t>
      </w:r>
      <w:r w:rsidRPr="00E073E5">
        <w:t>information to enable consumers make informed choice.</w:t>
      </w:r>
    </w:p>
    <w:p w14:paraId="645283E6" w14:textId="799987DB" w:rsidR="002C1A3B" w:rsidRPr="002C1A3B" w:rsidRDefault="002C1A3B" w:rsidP="006E51EF">
      <w:pPr>
        <w:pStyle w:val="Heading3"/>
        <w:widowControl/>
      </w:pPr>
      <w:bookmarkStart w:id="287" w:name="_Toc53406134"/>
      <w:bookmarkStart w:id="288" w:name="_Toc53484644"/>
      <w:bookmarkStart w:id="289" w:name="_Toc58840828"/>
      <w:r w:rsidRPr="002C1A3B">
        <w:t>5.2.3</w:t>
      </w:r>
      <w:r w:rsidRPr="002C1A3B">
        <w:tab/>
        <w:t>The prevention of misleading or deceptive conduct</w:t>
      </w:r>
      <w:bookmarkEnd w:id="285"/>
      <w:bookmarkEnd w:id="286"/>
      <w:bookmarkEnd w:id="287"/>
      <w:bookmarkEnd w:id="288"/>
      <w:bookmarkEnd w:id="289"/>
    </w:p>
    <w:p w14:paraId="02152E47" w14:textId="50318191" w:rsidR="000B4CBE" w:rsidRDefault="000B4CBE" w:rsidP="006E51EF">
      <w:pPr>
        <w:widowControl/>
        <w:rPr>
          <w:rFonts w:cs="Arial"/>
          <w:szCs w:val="22"/>
        </w:rPr>
      </w:pPr>
      <w:bookmarkStart w:id="290" w:name="_Toc300761901"/>
      <w:bookmarkStart w:id="291" w:name="_Toc300933444"/>
      <w:bookmarkStart w:id="292" w:name="_Toc370223480"/>
      <w:bookmarkStart w:id="293" w:name="_Toc370225395"/>
      <w:r>
        <w:rPr>
          <w:rFonts w:cs="Arial"/>
          <w:szCs w:val="22"/>
        </w:rPr>
        <w:t xml:space="preserve">FSANZ considers the </w:t>
      </w:r>
      <w:r w:rsidR="00E32FC9">
        <w:rPr>
          <w:rFonts w:cs="Arial"/>
          <w:szCs w:val="22"/>
        </w:rPr>
        <w:t xml:space="preserve">application of the </w:t>
      </w:r>
      <w:r>
        <w:rPr>
          <w:rFonts w:cs="Arial"/>
          <w:szCs w:val="22"/>
        </w:rPr>
        <w:t xml:space="preserve">existing </w:t>
      </w:r>
      <w:r w:rsidRPr="00DA5399">
        <w:rPr>
          <w:rFonts w:cs="Arial"/>
          <w:szCs w:val="22"/>
        </w:rPr>
        <w:t>labelling requirements</w:t>
      </w:r>
      <w:r>
        <w:rPr>
          <w:rFonts w:cs="Arial"/>
          <w:szCs w:val="22"/>
        </w:rPr>
        <w:t xml:space="preserve"> described in </w:t>
      </w:r>
      <w:r w:rsidR="00A9765F">
        <w:rPr>
          <w:rFonts w:cs="Arial"/>
          <w:szCs w:val="22"/>
        </w:rPr>
        <w:t>s</w:t>
      </w:r>
      <w:r w:rsidRPr="00C67B3E">
        <w:rPr>
          <w:rFonts w:cs="Arial"/>
          <w:szCs w:val="22"/>
        </w:rPr>
        <w:t>ection 3.</w:t>
      </w:r>
      <w:r>
        <w:rPr>
          <w:rFonts w:cs="Arial"/>
          <w:szCs w:val="22"/>
        </w:rPr>
        <w:t xml:space="preserve">2 of this report </w:t>
      </w:r>
      <w:r w:rsidR="00E32FC9" w:rsidRPr="00E073E5">
        <w:t xml:space="preserve">to </w:t>
      </w:r>
      <w:r w:rsidR="00E32FC9" w:rsidRPr="004A7167">
        <w:t xml:space="preserve">soy leghemoglobin </w:t>
      </w:r>
      <w:r>
        <w:rPr>
          <w:rFonts w:cs="Arial"/>
          <w:szCs w:val="22"/>
        </w:rPr>
        <w:t>address</w:t>
      </w:r>
      <w:r w:rsidR="006C699A">
        <w:rPr>
          <w:rFonts w:cs="Arial"/>
          <w:szCs w:val="22"/>
        </w:rPr>
        <w:t>es</w:t>
      </w:r>
      <w:r>
        <w:rPr>
          <w:rFonts w:cs="Arial"/>
          <w:szCs w:val="22"/>
        </w:rPr>
        <w:t xml:space="preserve"> this objective.</w:t>
      </w:r>
      <w:r w:rsidRPr="00DA5399">
        <w:rPr>
          <w:rFonts w:cs="Arial"/>
          <w:szCs w:val="22"/>
        </w:rPr>
        <w:t xml:space="preserve"> </w:t>
      </w:r>
    </w:p>
    <w:p w14:paraId="7183F1D0" w14:textId="4EF520D5" w:rsidR="002C1A3B" w:rsidRPr="002C1A3B" w:rsidRDefault="002C1A3B" w:rsidP="006E51EF">
      <w:pPr>
        <w:pStyle w:val="Heading2"/>
        <w:widowControl/>
        <w:rPr>
          <w:lang w:eastAsia="en-AU"/>
        </w:rPr>
      </w:pPr>
      <w:bookmarkStart w:id="294" w:name="_Toc58840829"/>
      <w:bookmarkStart w:id="295" w:name="_Toc53406135"/>
      <w:bookmarkStart w:id="296" w:name="_Toc53484645"/>
      <w:r w:rsidRPr="002C1A3B">
        <w:rPr>
          <w:lang w:eastAsia="en-AU"/>
        </w:rPr>
        <w:t>5.3</w:t>
      </w:r>
      <w:r w:rsidRPr="002C1A3B">
        <w:rPr>
          <w:lang w:eastAsia="en-AU"/>
        </w:rPr>
        <w:tab/>
        <w:t>Subsection 18(2)</w:t>
      </w:r>
      <w:bookmarkEnd w:id="294"/>
      <w:r w:rsidRPr="002C1A3B">
        <w:rPr>
          <w:lang w:eastAsia="en-AU"/>
        </w:rPr>
        <w:t xml:space="preserve"> </w:t>
      </w:r>
      <w:bookmarkEnd w:id="290"/>
      <w:bookmarkEnd w:id="291"/>
      <w:bookmarkEnd w:id="292"/>
      <w:bookmarkEnd w:id="293"/>
      <w:bookmarkEnd w:id="295"/>
      <w:bookmarkEnd w:id="296"/>
    </w:p>
    <w:p w14:paraId="6DE0AB33" w14:textId="77777777" w:rsidR="002C1A3B" w:rsidRPr="002C1A3B" w:rsidRDefault="002C1A3B" w:rsidP="006E51EF">
      <w:pPr>
        <w:widowControl/>
        <w:rPr>
          <w:rFonts w:cs="Arial"/>
        </w:rPr>
      </w:pPr>
      <w:r w:rsidRPr="002C1A3B">
        <w:rPr>
          <w:rFonts w:cs="Arial"/>
        </w:rPr>
        <w:t>FSANZ has also had regard to:</w:t>
      </w:r>
    </w:p>
    <w:p w14:paraId="5F14C06E" w14:textId="77777777" w:rsidR="002C1A3B" w:rsidRPr="002C1A3B" w:rsidRDefault="002C1A3B" w:rsidP="006E51EF">
      <w:pPr>
        <w:widowControl/>
        <w:rPr>
          <w:rFonts w:cs="Arial"/>
        </w:rPr>
      </w:pPr>
    </w:p>
    <w:p w14:paraId="3A27345F" w14:textId="77777777" w:rsidR="002C1A3B" w:rsidRPr="002C1A3B" w:rsidRDefault="002C1A3B" w:rsidP="006E51EF">
      <w:pPr>
        <w:pStyle w:val="FSBullet1"/>
        <w:rPr>
          <w:b/>
        </w:rPr>
      </w:pPr>
      <w:r w:rsidRPr="002C1A3B">
        <w:rPr>
          <w:b/>
        </w:rPr>
        <w:lastRenderedPageBreak/>
        <w:t>the need for standards to be based on risk analysis using the best available scientific evidence</w:t>
      </w:r>
    </w:p>
    <w:p w14:paraId="0D10F662" w14:textId="77777777" w:rsidR="002C1A3B" w:rsidRPr="002C1A3B" w:rsidRDefault="002C1A3B" w:rsidP="006E51EF">
      <w:pPr>
        <w:widowControl/>
        <w:rPr>
          <w:lang w:bidi="ar-SA"/>
        </w:rPr>
      </w:pPr>
    </w:p>
    <w:p w14:paraId="12FADFCF" w14:textId="77777777" w:rsidR="007A4A48" w:rsidRPr="001A6DFD" w:rsidRDefault="007A4A48" w:rsidP="006E51EF">
      <w:pPr>
        <w:widowControl/>
      </w:pPr>
      <w:r w:rsidRPr="00087609">
        <w:t xml:space="preserve">FSANZ has used the best available scientific evidence to </w:t>
      </w:r>
      <w:r>
        <w:t xml:space="preserve">complete an independent </w:t>
      </w:r>
      <w:r w:rsidRPr="00087609">
        <w:t>assess</w:t>
      </w:r>
      <w:r>
        <w:t>ment of the</w:t>
      </w:r>
      <w:r w:rsidRPr="00087609">
        <w:t xml:space="preserve"> application. The </w:t>
      </w:r>
      <w:r>
        <w:t>applicant</w:t>
      </w:r>
      <w:r w:rsidRPr="00087609">
        <w:t xml:space="preserve"> submitted a dossier of scientific studies as part of its application</w:t>
      </w:r>
      <w:r>
        <w:t>, and provided additional data or information as requested</w:t>
      </w:r>
      <w:r w:rsidRPr="00087609">
        <w:t>. Other re</w:t>
      </w:r>
      <w:r>
        <w:t>levant</w:t>
      </w:r>
      <w:r w:rsidRPr="00087609">
        <w:t xml:space="preserve"> information</w:t>
      </w:r>
      <w:r>
        <w:t xml:space="preserve"> </w:t>
      </w:r>
      <w:r w:rsidRPr="00087609">
        <w:t>including scientific literature</w:t>
      </w:r>
      <w:r>
        <w:t>,</w:t>
      </w:r>
      <w:r w:rsidRPr="00087609">
        <w:t xml:space="preserve"> was also </w:t>
      </w:r>
      <w:r>
        <w:t>identified and reviewed</w:t>
      </w:r>
      <w:r w:rsidRPr="00087609">
        <w:t xml:space="preserve"> </w:t>
      </w:r>
      <w:r>
        <w:t xml:space="preserve">as part of the </w:t>
      </w:r>
      <w:r w:rsidRPr="00087609">
        <w:t>assess</w:t>
      </w:r>
      <w:r>
        <w:t>ment</w:t>
      </w:r>
      <w:r w:rsidRPr="00087609">
        <w:t>.</w:t>
      </w:r>
    </w:p>
    <w:p w14:paraId="578FA355" w14:textId="77777777" w:rsidR="002C1A3B" w:rsidRPr="002C1A3B" w:rsidRDefault="002C1A3B" w:rsidP="006E51EF">
      <w:pPr>
        <w:widowControl/>
        <w:rPr>
          <w:lang w:bidi="ar-SA"/>
        </w:rPr>
      </w:pPr>
    </w:p>
    <w:p w14:paraId="3C79D49D" w14:textId="77777777" w:rsidR="002C1A3B" w:rsidRPr="002C1A3B" w:rsidRDefault="002C1A3B" w:rsidP="006E51EF">
      <w:pPr>
        <w:pStyle w:val="FSBullet1"/>
        <w:rPr>
          <w:b/>
        </w:rPr>
      </w:pPr>
      <w:r w:rsidRPr="002C1A3B">
        <w:rPr>
          <w:b/>
        </w:rPr>
        <w:t>the promotion of consistency between domestic and international food standards</w:t>
      </w:r>
    </w:p>
    <w:p w14:paraId="28DE519F" w14:textId="77777777" w:rsidR="002C1A3B" w:rsidRPr="002C1A3B" w:rsidRDefault="002C1A3B" w:rsidP="006E51EF">
      <w:pPr>
        <w:widowControl/>
        <w:rPr>
          <w:lang w:bidi="ar-SA"/>
        </w:rPr>
      </w:pPr>
    </w:p>
    <w:p w14:paraId="2C8C6C6F" w14:textId="03C4E75F" w:rsidR="007A4A48" w:rsidRDefault="007A4A48" w:rsidP="006E51EF">
      <w:pPr>
        <w:widowControl/>
        <w:ind w:right="-286"/>
      </w:pPr>
      <w:r>
        <w:t xml:space="preserve">Soy leghemoglobin is permitted in Impossible meat analogue products in some </w:t>
      </w:r>
      <w:r w:rsidR="006C699A">
        <w:t xml:space="preserve">other </w:t>
      </w:r>
      <w:r>
        <w:t>countries, including in the US, Canada, Singapore, Hong Kong and Macau. An application is currently being considered by EFSA for permission in the European Union. Permitting the use of soy leghemoglobin as proposed, would</w:t>
      </w:r>
      <w:r w:rsidRPr="00B21422">
        <w:t xml:space="preserve"> promote </w:t>
      </w:r>
      <w:r>
        <w:t>greater consistency</w:t>
      </w:r>
      <w:r w:rsidRPr="00B21422">
        <w:t xml:space="preserve"> between domestic and </w:t>
      </w:r>
      <w:r>
        <w:t>international</w:t>
      </w:r>
      <w:r w:rsidRPr="00B21422">
        <w:t xml:space="preserve"> food standards</w:t>
      </w:r>
      <w:r>
        <w:t xml:space="preserve"> for meat analogue products.</w:t>
      </w:r>
    </w:p>
    <w:p w14:paraId="0B5AD2DA" w14:textId="77777777" w:rsidR="002C1A3B" w:rsidRPr="002C1A3B" w:rsidRDefault="002C1A3B" w:rsidP="006E51EF">
      <w:pPr>
        <w:widowControl/>
        <w:rPr>
          <w:lang w:bidi="ar-SA"/>
        </w:rPr>
      </w:pPr>
    </w:p>
    <w:p w14:paraId="3657AFDD" w14:textId="77777777" w:rsidR="002C1A3B" w:rsidRPr="002C1A3B" w:rsidRDefault="002C1A3B" w:rsidP="006E51EF">
      <w:pPr>
        <w:pStyle w:val="FSBullet1"/>
        <w:rPr>
          <w:b/>
        </w:rPr>
      </w:pPr>
      <w:r w:rsidRPr="002C1A3B">
        <w:rPr>
          <w:b/>
        </w:rPr>
        <w:t>the desirability of an efficient and internationally competitive food industry</w:t>
      </w:r>
    </w:p>
    <w:p w14:paraId="5D0293BD" w14:textId="77777777" w:rsidR="002C1A3B" w:rsidRPr="002C1A3B" w:rsidRDefault="002C1A3B" w:rsidP="006E51EF">
      <w:pPr>
        <w:widowControl/>
        <w:rPr>
          <w:lang w:bidi="ar-SA"/>
        </w:rPr>
      </w:pPr>
    </w:p>
    <w:p w14:paraId="1505A65F" w14:textId="77777777" w:rsidR="007A4A48" w:rsidRPr="00B21422" w:rsidRDefault="007A4A48" w:rsidP="006E51EF">
      <w:pPr>
        <w:widowControl/>
        <w:ind w:right="-286"/>
      </w:pPr>
      <w:r>
        <w:t>Permitting the use of soy leghemoglobin as proposed would promote a competitive food industry, as fast developing new technologies in the production of alternative protein sources take off around the world. Products such as soy leghemoglobin could promote competitive research and development innovation in alternative protein technologies within the Australian and New Zealand food industry.</w:t>
      </w:r>
    </w:p>
    <w:p w14:paraId="340BFA6D" w14:textId="77777777" w:rsidR="002C1A3B" w:rsidRPr="002C1A3B" w:rsidRDefault="002C1A3B" w:rsidP="006E51EF">
      <w:pPr>
        <w:widowControl/>
        <w:rPr>
          <w:lang w:bidi="ar-SA"/>
        </w:rPr>
      </w:pPr>
    </w:p>
    <w:p w14:paraId="4A92FA8B" w14:textId="77777777" w:rsidR="002C1A3B" w:rsidRPr="002C1A3B" w:rsidRDefault="002C1A3B" w:rsidP="006E51EF">
      <w:pPr>
        <w:pStyle w:val="FSBullet1"/>
        <w:rPr>
          <w:b/>
        </w:rPr>
      </w:pPr>
      <w:r w:rsidRPr="002C1A3B">
        <w:rPr>
          <w:b/>
        </w:rPr>
        <w:t>the promotion of fair trading in food</w:t>
      </w:r>
    </w:p>
    <w:p w14:paraId="03A28343" w14:textId="77777777" w:rsidR="002C1A3B" w:rsidRPr="002C1A3B" w:rsidRDefault="002C1A3B" w:rsidP="006E51EF">
      <w:pPr>
        <w:widowControl/>
        <w:rPr>
          <w:lang w:bidi="ar-SA"/>
        </w:rPr>
      </w:pPr>
    </w:p>
    <w:p w14:paraId="02D639AA" w14:textId="77777777" w:rsidR="007A4A48" w:rsidRDefault="007A4A48" w:rsidP="006E51EF">
      <w:pPr>
        <w:widowControl/>
      </w:pPr>
      <w:r w:rsidRPr="00CA6CF4">
        <w:t>No negative impact is anticipated on fair trading</w:t>
      </w:r>
      <w:r>
        <w:t>.</w:t>
      </w:r>
    </w:p>
    <w:p w14:paraId="640EF022" w14:textId="77777777" w:rsidR="002C1A3B" w:rsidRPr="002C1A3B" w:rsidRDefault="002C1A3B" w:rsidP="006E51EF">
      <w:pPr>
        <w:widowControl/>
        <w:rPr>
          <w:lang w:bidi="ar-SA"/>
        </w:rPr>
      </w:pPr>
    </w:p>
    <w:p w14:paraId="2C1F2530" w14:textId="77777777" w:rsidR="002C1A3B" w:rsidRPr="002C1A3B" w:rsidRDefault="002C1A3B" w:rsidP="006E51EF">
      <w:pPr>
        <w:pStyle w:val="FSBullet1"/>
        <w:rPr>
          <w:b/>
        </w:rPr>
      </w:pPr>
      <w:r w:rsidRPr="002C1A3B">
        <w:rPr>
          <w:b/>
        </w:rPr>
        <w:t xml:space="preserve">any written policy guidelines formulated by the </w:t>
      </w:r>
      <w:r w:rsidR="00EA2226">
        <w:rPr>
          <w:b/>
        </w:rPr>
        <w:t>Forum on Food Regulation</w:t>
      </w:r>
    </w:p>
    <w:p w14:paraId="41E27E4D" w14:textId="77777777" w:rsidR="002C1A3B" w:rsidRPr="002C1A3B" w:rsidRDefault="002C1A3B" w:rsidP="006E51EF">
      <w:pPr>
        <w:widowControl/>
        <w:rPr>
          <w:lang w:bidi="ar-SA"/>
        </w:rPr>
      </w:pPr>
    </w:p>
    <w:p w14:paraId="44656646" w14:textId="77777777" w:rsidR="007A4A48" w:rsidRDefault="007A4A48" w:rsidP="006E51EF">
      <w:pPr>
        <w:widowControl/>
        <w:rPr>
          <w:lang w:val="en-AU" w:bidi="ar-SA"/>
        </w:rPr>
      </w:pPr>
      <w:bookmarkStart w:id="297" w:name="_Toc11735643"/>
      <w:bookmarkStart w:id="298" w:name="_Toc29883130"/>
      <w:bookmarkStart w:id="299" w:name="_Toc41906817"/>
      <w:bookmarkStart w:id="300" w:name="_Toc41907564"/>
      <w:bookmarkStart w:id="301" w:name="_Toc43112360"/>
      <w:bookmarkEnd w:id="240"/>
      <w:r>
        <w:rPr>
          <w:rFonts w:eastAsia="Calibri"/>
          <w:szCs w:val="22"/>
          <w:lang w:val="en-AU" w:bidi="ar-SA"/>
        </w:rPr>
        <w:t xml:space="preserve">FSANZ had regard to the </w:t>
      </w:r>
      <w:r w:rsidRPr="00DA4C43">
        <w:rPr>
          <w:lang w:val="en-AU"/>
        </w:rPr>
        <w:t>Ministerial Policy Guideline</w:t>
      </w:r>
      <w:r>
        <w:rPr>
          <w:rFonts w:eastAsia="Calibri"/>
          <w:szCs w:val="22"/>
          <w:lang w:val="en-AU" w:bidi="ar-SA"/>
        </w:rPr>
        <w:t xml:space="preserve"> in relation to soy leghemoglobin as a form of iron. </w:t>
      </w:r>
      <w:r>
        <w:rPr>
          <w:rFonts w:eastAsia="Calibri"/>
          <w:i/>
          <w:szCs w:val="22"/>
          <w:lang w:val="en-AU" w:bidi="ar-SA"/>
        </w:rPr>
        <w:t>Specific order policy principles – Voluntary fortification</w:t>
      </w:r>
      <w:r>
        <w:rPr>
          <w:rFonts w:eastAsia="Calibri"/>
          <w:szCs w:val="22"/>
          <w:lang w:val="en-AU" w:bidi="ar-SA"/>
        </w:rPr>
        <w:t xml:space="preserve"> states the “voluntary addition of vitamins and minerals to food should be permitted to enable the nutritional profile of specific substitute foods to be aligned with the primary food (through nutritional equivalence)”. </w:t>
      </w:r>
      <w:r>
        <w:rPr>
          <w:lang w:val="en-AU" w:bidi="ar-SA"/>
        </w:rPr>
        <w:t>Based on current Code permissions, FSANZ previously considered the fortification of meat analogue products with iron is acceptable as it brings</w:t>
      </w:r>
      <w:r>
        <w:rPr>
          <w:lang w:val="en-AU"/>
        </w:rPr>
        <w:t xml:space="preserve"> the nutritional profile of these foods closer to meat, the traditional counterpart, </w:t>
      </w:r>
      <w:r>
        <w:rPr>
          <w:lang w:val="en-AU" w:bidi="ar-SA"/>
        </w:rPr>
        <w:t xml:space="preserve">and provides a fortified option for consumers looking for alternative choices to meat. </w:t>
      </w:r>
    </w:p>
    <w:p w14:paraId="011167D2" w14:textId="77777777" w:rsidR="007A4A48" w:rsidRDefault="007A4A48" w:rsidP="006E51EF">
      <w:pPr>
        <w:widowControl/>
        <w:rPr>
          <w:lang w:val="en-AU" w:bidi="ar-SA"/>
        </w:rPr>
      </w:pPr>
    </w:p>
    <w:p w14:paraId="13C89558" w14:textId="4C861275" w:rsidR="007A4A48" w:rsidRPr="000E702F" w:rsidRDefault="007A4A48" w:rsidP="006E51EF">
      <w:pPr>
        <w:widowControl/>
        <w:rPr>
          <w:lang w:bidi="ar-SA"/>
        </w:rPr>
      </w:pPr>
      <w:r>
        <w:rPr>
          <w:lang w:val="en-AU"/>
        </w:rPr>
        <w:t xml:space="preserve">The nutritional impact assessment in </w:t>
      </w:r>
      <w:r w:rsidR="00A9765F">
        <w:rPr>
          <w:lang w:val="en-AU"/>
        </w:rPr>
        <w:t>s</w:t>
      </w:r>
      <w:r w:rsidRPr="00B1134B">
        <w:rPr>
          <w:lang w:val="en-AU"/>
        </w:rPr>
        <w:t xml:space="preserve">ection </w:t>
      </w:r>
      <w:r>
        <w:rPr>
          <w:lang w:val="en-AU"/>
        </w:rPr>
        <w:t xml:space="preserve">2.5 of SD1 indicates that, although there are multiple factors that impact the bioavailability of iron in humans, </w:t>
      </w:r>
      <w:r>
        <w:rPr>
          <w:szCs w:val="22"/>
        </w:rPr>
        <w:t xml:space="preserve">in general, haem iron is more bioavailable than non-haem iron. </w:t>
      </w:r>
      <w:r>
        <w:t>The use of a form of iron closer to that found in the traditional counterpart</w:t>
      </w:r>
      <w:r>
        <w:rPr>
          <w:szCs w:val="22"/>
        </w:rPr>
        <w:t xml:space="preserve"> food more closely upholds the principle of nutritional equivalence. </w:t>
      </w:r>
    </w:p>
    <w:p w14:paraId="11161156" w14:textId="77777777" w:rsidR="007A4A48" w:rsidRDefault="007A4A48" w:rsidP="006E51EF">
      <w:pPr>
        <w:widowControl/>
      </w:pPr>
    </w:p>
    <w:p w14:paraId="16A3D059" w14:textId="260A926A" w:rsidR="007A4A48" w:rsidRDefault="007A4A48" w:rsidP="006E51EF">
      <w:pPr>
        <w:widowControl/>
        <w:rPr>
          <w:szCs w:val="22"/>
        </w:rPr>
      </w:pPr>
      <w:r>
        <w:rPr>
          <w:lang w:val="en-AU"/>
        </w:rPr>
        <w:t xml:space="preserve">In the Code, there are currently 17 permitted forms of ferric or ferrous iron in section S17—3 manufacturers can use to fortify their products. There are no sources of haem iron permitted, therefore there are currently no sources of haem iron in meat analogue products. </w:t>
      </w:r>
    </w:p>
    <w:p w14:paraId="257C95BA" w14:textId="77777777" w:rsidR="007A4A48" w:rsidRDefault="007A4A48" w:rsidP="006E51EF">
      <w:pPr>
        <w:widowControl/>
      </w:pPr>
    </w:p>
    <w:p w14:paraId="3788C2EC" w14:textId="42F36469" w:rsidR="007A4A48" w:rsidRDefault="007A4A48" w:rsidP="006E51EF">
      <w:pPr>
        <w:widowControl/>
      </w:pPr>
      <w:r>
        <w:t xml:space="preserve">FSANZ concludes that the use of a form of haem iron in meat analogue products </w:t>
      </w:r>
      <w:r w:rsidR="005B56F5">
        <w:t>is</w:t>
      </w:r>
      <w:r>
        <w:t xml:space="preserve"> arguably closer to that found in the traditional counterpart than </w:t>
      </w:r>
      <w:r w:rsidR="00486B17">
        <w:t xml:space="preserve">the </w:t>
      </w:r>
      <w:r>
        <w:t>currently permitted forms of iron and therefore the Ministerial Policy Guideline principle on nutritional equivalence has been met.</w:t>
      </w:r>
    </w:p>
    <w:p w14:paraId="14AA985D" w14:textId="77777777" w:rsidR="007A4A48" w:rsidRDefault="007A4A48" w:rsidP="006E51EF">
      <w:pPr>
        <w:widowControl/>
      </w:pPr>
    </w:p>
    <w:p w14:paraId="7200CD77" w14:textId="176C4CCB" w:rsidR="005B56F5" w:rsidRDefault="007A4A48" w:rsidP="006E51EF">
      <w:pPr>
        <w:widowControl/>
        <w:rPr>
          <w:szCs w:val="20"/>
        </w:rPr>
      </w:pPr>
      <w:r>
        <w:rPr>
          <w:szCs w:val="20"/>
        </w:rPr>
        <w:lastRenderedPageBreak/>
        <w:t>FSANZ notes that, i</w:t>
      </w:r>
      <w:r w:rsidRPr="000811D7">
        <w:rPr>
          <w:szCs w:val="20"/>
        </w:rPr>
        <w:t xml:space="preserve">n November 2019, the Australia and New Zealand Ministerial Forum on Food Regulation asked </w:t>
      </w:r>
      <w:r>
        <w:rPr>
          <w:szCs w:val="20"/>
        </w:rPr>
        <w:t xml:space="preserve">the Food Regulation Standing Committee </w:t>
      </w:r>
      <w:r w:rsidRPr="000811D7">
        <w:rPr>
          <w:szCs w:val="20"/>
        </w:rPr>
        <w:t xml:space="preserve">to consider regulatory and labelling issues relating to </w:t>
      </w:r>
      <w:r>
        <w:rPr>
          <w:szCs w:val="20"/>
        </w:rPr>
        <w:t>analogue</w:t>
      </w:r>
      <w:r w:rsidRPr="000811D7">
        <w:rPr>
          <w:szCs w:val="20"/>
        </w:rPr>
        <w:t xml:space="preserve"> foods, with a view to developing a policy guideline</w:t>
      </w:r>
      <w:r w:rsidRPr="000811D7">
        <w:rPr>
          <w:rStyle w:val="FootnoteReference"/>
          <w:szCs w:val="20"/>
        </w:rPr>
        <w:footnoteReference w:id="15"/>
      </w:r>
      <w:r w:rsidRPr="000811D7">
        <w:rPr>
          <w:szCs w:val="20"/>
        </w:rPr>
        <w:t xml:space="preserve">. </w:t>
      </w:r>
      <w:r>
        <w:rPr>
          <w:szCs w:val="20"/>
        </w:rPr>
        <w:t>Currently, there is no other relevant policy guidance.</w:t>
      </w:r>
    </w:p>
    <w:p w14:paraId="449B97F0" w14:textId="77777777" w:rsidR="005B56F5" w:rsidRDefault="005B56F5" w:rsidP="006E51EF">
      <w:pPr>
        <w:pStyle w:val="Heading2"/>
        <w:widowControl/>
      </w:pPr>
      <w:bookmarkStart w:id="302" w:name="_Toc42875245"/>
      <w:bookmarkStart w:id="303" w:name="_Toc43126898"/>
      <w:bookmarkStart w:id="304" w:name="_Toc43128149"/>
      <w:bookmarkStart w:id="305" w:name="_Toc53406136"/>
      <w:bookmarkStart w:id="306" w:name="_Toc53484646"/>
      <w:bookmarkStart w:id="307" w:name="_Toc58840830"/>
      <w:r>
        <w:t>5.4</w:t>
      </w:r>
      <w:r>
        <w:tab/>
        <w:t>Conclusion</w:t>
      </w:r>
      <w:bookmarkEnd w:id="302"/>
      <w:bookmarkEnd w:id="303"/>
      <w:bookmarkEnd w:id="304"/>
      <w:bookmarkEnd w:id="305"/>
      <w:bookmarkEnd w:id="306"/>
      <w:bookmarkEnd w:id="307"/>
    </w:p>
    <w:p w14:paraId="2020A882" w14:textId="32EBA2C3" w:rsidR="005B56F5" w:rsidRDefault="005B56F5" w:rsidP="006E51EF">
      <w:pPr>
        <w:widowControl/>
      </w:pPr>
      <w:r>
        <w:rPr>
          <w:rFonts w:cs="Arial"/>
          <w:szCs w:val="22"/>
        </w:rPr>
        <w:t>FSANZ has assessed application A1186, concluding</w:t>
      </w:r>
      <w:r>
        <w:rPr>
          <w:rFonts w:eastAsia="Calibri"/>
          <w:szCs w:val="22"/>
          <w:lang w:bidi="ar-SA"/>
        </w:rPr>
        <w:t xml:space="preserve"> </w:t>
      </w:r>
      <w:r w:rsidR="005D6219">
        <w:rPr>
          <w:rFonts w:eastAsia="Calibri"/>
          <w:szCs w:val="22"/>
          <w:lang w:bidi="ar-SA"/>
        </w:rPr>
        <w:t xml:space="preserve">soy leghemoglobin </w:t>
      </w:r>
      <w:r w:rsidR="009842AA">
        <w:rPr>
          <w:rFonts w:eastAsia="Calibri"/>
          <w:szCs w:val="22"/>
          <w:lang w:bidi="ar-SA"/>
        </w:rPr>
        <w:t>(</w:t>
      </w:r>
      <w:r w:rsidR="005D6219">
        <w:rPr>
          <w:rFonts w:eastAsia="Calibri"/>
          <w:szCs w:val="22"/>
          <w:lang w:bidi="ar-SA"/>
        </w:rPr>
        <w:t xml:space="preserve">in the </w:t>
      </w:r>
      <w:r w:rsidR="009842AA">
        <w:rPr>
          <w:rFonts w:eastAsia="Calibri"/>
          <w:szCs w:val="22"/>
          <w:lang w:bidi="ar-SA"/>
        </w:rPr>
        <w:t xml:space="preserve">form of the </w:t>
      </w:r>
      <w:r w:rsidR="005D6219">
        <w:rPr>
          <w:rFonts w:eastAsia="Calibri"/>
          <w:szCs w:val="22"/>
          <w:lang w:bidi="ar-SA"/>
        </w:rPr>
        <w:t>Preparation</w:t>
      </w:r>
      <w:r w:rsidR="009842AA">
        <w:rPr>
          <w:rFonts w:eastAsia="Calibri"/>
          <w:szCs w:val="22"/>
          <w:lang w:bidi="ar-SA"/>
        </w:rPr>
        <w:t>)</w:t>
      </w:r>
      <w:r w:rsidR="005D6219">
        <w:rPr>
          <w:rFonts w:eastAsia="Calibri"/>
          <w:szCs w:val="22"/>
          <w:lang w:bidi="ar-SA"/>
        </w:rPr>
        <w:t xml:space="preserve"> raise</w:t>
      </w:r>
      <w:r w:rsidR="009842AA">
        <w:rPr>
          <w:rFonts w:eastAsia="Calibri"/>
          <w:szCs w:val="22"/>
          <w:lang w:bidi="ar-SA"/>
        </w:rPr>
        <w:t>s</w:t>
      </w:r>
      <w:r w:rsidRPr="00874E96">
        <w:rPr>
          <w:rFonts w:eastAsia="Calibri"/>
          <w:szCs w:val="22"/>
          <w:lang w:bidi="ar-SA"/>
        </w:rPr>
        <w:t xml:space="preserve"> no </w:t>
      </w:r>
      <w:r>
        <w:rPr>
          <w:rFonts w:eastAsia="Calibri" w:cs="Arial"/>
          <w:szCs w:val="22"/>
        </w:rPr>
        <w:t>public health and safety concerns</w:t>
      </w:r>
      <w:r w:rsidRPr="00874E96">
        <w:rPr>
          <w:rFonts w:eastAsia="Calibri"/>
          <w:szCs w:val="22"/>
          <w:lang w:bidi="ar-SA"/>
        </w:rPr>
        <w:t xml:space="preserve"> associated with </w:t>
      </w:r>
      <w:r>
        <w:rPr>
          <w:rFonts w:eastAsia="Calibri" w:cs="Arial"/>
          <w:szCs w:val="22"/>
        </w:rPr>
        <w:t xml:space="preserve">use </w:t>
      </w:r>
      <w:r w:rsidRPr="00623FA6">
        <w:rPr>
          <w:rFonts w:eastAsia="Calibri" w:cs="Arial"/>
          <w:szCs w:val="22"/>
        </w:rPr>
        <w:t xml:space="preserve">in </w:t>
      </w:r>
      <w:r>
        <w:rPr>
          <w:rFonts w:eastAsia="Calibri" w:cs="Arial"/>
          <w:szCs w:val="22"/>
        </w:rPr>
        <w:t>meat analogue products</w:t>
      </w:r>
      <w:r>
        <w:rPr>
          <w:rFonts w:eastAsia="Calibri"/>
          <w:szCs w:val="22"/>
          <w:lang w:bidi="ar-SA"/>
        </w:rPr>
        <w:t>,</w:t>
      </w:r>
      <w:r w:rsidRPr="00874E96">
        <w:rPr>
          <w:rFonts w:eastAsia="Calibri"/>
          <w:szCs w:val="22"/>
          <w:lang w:bidi="ar-SA"/>
        </w:rPr>
        <w:t xml:space="preserve"> at the proposed </w:t>
      </w:r>
      <w:r>
        <w:rPr>
          <w:rFonts w:eastAsia="Calibri"/>
          <w:szCs w:val="22"/>
          <w:lang w:bidi="ar-SA"/>
        </w:rPr>
        <w:t xml:space="preserve">maximum use </w:t>
      </w:r>
      <w:r w:rsidRPr="00874E96">
        <w:rPr>
          <w:rFonts w:eastAsia="Calibri"/>
          <w:szCs w:val="22"/>
          <w:lang w:bidi="ar-SA"/>
        </w:rPr>
        <w:t>level</w:t>
      </w:r>
      <w:r>
        <w:rPr>
          <w:rFonts w:eastAsia="Calibri"/>
          <w:szCs w:val="22"/>
          <w:lang w:bidi="ar-SA"/>
        </w:rPr>
        <w:t xml:space="preserve"> of 0.8%</w:t>
      </w:r>
      <w:r>
        <w:rPr>
          <w:rFonts w:eastAsia="Calibri" w:cs="Arial"/>
          <w:szCs w:val="22"/>
        </w:rPr>
        <w:t xml:space="preserve"> in raw product</w:t>
      </w:r>
      <w:r>
        <w:rPr>
          <w:rFonts w:cs="Arial"/>
          <w:szCs w:val="22"/>
        </w:rPr>
        <w:t xml:space="preserve">. FSANZ also </w:t>
      </w:r>
      <w:r>
        <w:t xml:space="preserve">considered the application against other statutory requirements in </w:t>
      </w:r>
      <w:r w:rsidR="000C7486">
        <w:t xml:space="preserve">section </w:t>
      </w:r>
      <w:r>
        <w:t xml:space="preserve">18 of the FSANZ Act. The approach has given regard to the best available science, international consistency and industry trade and competition (high level principles in the ministerial policy guideline) as well as to the relevant policy guidelines in accordance with subsection 18(2) of the Act. </w:t>
      </w:r>
    </w:p>
    <w:p w14:paraId="1FED404C" w14:textId="77777777" w:rsidR="005B56F5" w:rsidRDefault="005B56F5" w:rsidP="006E51EF">
      <w:pPr>
        <w:widowControl/>
      </w:pPr>
    </w:p>
    <w:p w14:paraId="6BC85882" w14:textId="1DDD9AD2" w:rsidR="005B56F5" w:rsidRDefault="005B56F5" w:rsidP="006E51EF">
      <w:pPr>
        <w:widowControl/>
      </w:pPr>
      <w:r>
        <w:rPr>
          <w:lang w:bidi="ar-SA"/>
        </w:rPr>
        <w:t xml:space="preserve">FSANZ has gone beyond assessment of soy leghemoglobin by considering the applicant’s meat analogue products and the potential for Australian and New Zealand consumers to be misled by meat analogue products (see above in </w:t>
      </w:r>
      <w:r w:rsidR="00A9765F">
        <w:rPr>
          <w:lang w:bidi="ar-SA"/>
        </w:rPr>
        <w:t>s</w:t>
      </w:r>
      <w:r>
        <w:rPr>
          <w:lang w:bidi="ar-SA"/>
        </w:rPr>
        <w:t xml:space="preserve">ection 3.2 and SD2). Additionally, FSANZ </w:t>
      </w:r>
      <w:r w:rsidR="00B97BF5">
        <w:rPr>
          <w:lang w:bidi="ar-SA"/>
        </w:rPr>
        <w:t xml:space="preserve">will liaise with interested Jurisdictions in </w:t>
      </w:r>
      <w:r w:rsidR="0022363D">
        <w:rPr>
          <w:lang w:bidi="ar-SA"/>
        </w:rPr>
        <w:t>updating consumer information on our website to include</w:t>
      </w:r>
      <w:r>
        <w:rPr>
          <w:lang w:bidi="ar-SA"/>
        </w:rPr>
        <w:t xml:space="preserve"> </w:t>
      </w:r>
      <w:r w:rsidR="0022363D">
        <w:rPr>
          <w:lang w:bidi="ar-SA"/>
        </w:rPr>
        <w:t xml:space="preserve">relevant information </w:t>
      </w:r>
      <w:r>
        <w:rPr>
          <w:lang w:bidi="ar-SA"/>
        </w:rPr>
        <w:t>on meat analogue products</w:t>
      </w:r>
      <w:r w:rsidR="00B97BF5">
        <w:rPr>
          <w:lang w:bidi="ar-SA"/>
        </w:rPr>
        <w:t xml:space="preserve"> </w:t>
      </w:r>
      <w:r w:rsidR="00486B17">
        <w:rPr>
          <w:lang w:bidi="ar-SA"/>
        </w:rPr>
        <w:t xml:space="preserve">in relation to </w:t>
      </w:r>
      <w:r>
        <w:t xml:space="preserve">key </w:t>
      </w:r>
      <w:r w:rsidR="005D1264">
        <w:t xml:space="preserve">nutritional, </w:t>
      </w:r>
      <w:r>
        <w:t>science</w:t>
      </w:r>
      <w:r w:rsidR="005D1264">
        <w:t xml:space="preserve"> and </w:t>
      </w:r>
      <w:r>
        <w:t>technological considerations.</w:t>
      </w:r>
    </w:p>
    <w:p w14:paraId="7FF85634" w14:textId="77777777" w:rsidR="005B56F5" w:rsidRDefault="005B56F5" w:rsidP="006E51EF">
      <w:pPr>
        <w:widowControl/>
      </w:pPr>
    </w:p>
    <w:p w14:paraId="75100724" w14:textId="3B60B439" w:rsidR="005B56F5" w:rsidRDefault="005B56F5" w:rsidP="006E51EF">
      <w:pPr>
        <w:widowControl/>
      </w:pPr>
      <w:r>
        <w:t>FSANZ concluded that the proposed permission promotes greater consistency between domestic and international food standards and supports an efficient and internationally competitive food industry, as soy leghemoglobin is currently permitted in meat analogue products in other countries. The permission for use of soy leghemoglobin to be (</w:t>
      </w:r>
      <w:proofErr w:type="spellStart"/>
      <w:r>
        <w:t>i</w:t>
      </w:r>
      <w:proofErr w:type="spellEnd"/>
      <w:r>
        <w:t xml:space="preserve">) </w:t>
      </w:r>
      <w:r>
        <w:rPr>
          <w:i/>
        </w:rPr>
        <w:t xml:space="preserve">used as a </w:t>
      </w:r>
      <w:r w:rsidR="00486B17">
        <w:rPr>
          <w:i/>
        </w:rPr>
        <w:t xml:space="preserve">permitted form of a </w:t>
      </w:r>
      <w:r>
        <w:rPr>
          <w:i/>
        </w:rPr>
        <w:t>nutritive substance</w:t>
      </w:r>
      <w:r>
        <w:t xml:space="preserve">, and the Preparation </w:t>
      </w:r>
      <w:r w:rsidR="005D6219">
        <w:t xml:space="preserve">containing soy leghemoglobin </w:t>
      </w:r>
      <w:r>
        <w:t xml:space="preserve">(ii) as </w:t>
      </w:r>
      <w:r>
        <w:rPr>
          <w:i/>
        </w:rPr>
        <w:t>food produced using gene technology</w:t>
      </w:r>
      <w:r>
        <w:t xml:space="preserve"> provides an alternative option for the iron fortification of meat analogue products across Australia and New Zealand. Additionally, the proposed permission paves the way for future product innovation in the alternative protein industry. </w:t>
      </w:r>
    </w:p>
    <w:p w14:paraId="02EEF2D5" w14:textId="77777777" w:rsidR="005B56F5" w:rsidRDefault="005B56F5" w:rsidP="006E51EF">
      <w:pPr>
        <w:widowControl/>
        <w:rPr>
          <w:rFonts w:cs="Arial"/>
          <w:szCs w:val="20"/>
        </w:rPr>
      </w:pPr>
    </w:p>
    <w:p w14:paraId="19428DEC" w14:textId="7451F03A" w:rsidR="007F2BF1" w:rsidRDefault="005B56F5" w:rsidP="006E51EF">
      <w:pPr>
        <w:pStyle w:val="Default"/>
        <w:rPr>
          <w:rFonts w:ascii="Arial" w:hAnsi="Arial" w:cs="Arial"/>
          <w:sz w:val="22"/>
          <w:szCs w:val="22"/>
        </w:rPr>
      </w:pPr>
      <w:r w:rsidRPr="008911D8">
        <w:rPr>
          <w:rFonts w:ascii="Arial" w:hAnsi="Arial" w:cs="Arial"/>
          <w:sz w:val="22"/>
          <w:szCs w:val="22"/>
        </w:rPr>
        <w:t xml:space="preserve">Having considered the </w:t>
      </w:r>
      <w:r>
        <w:rPr>
          <w:rFonts w:ascii="Arial" w:hAnsi="Arial" w:cs="Arial"/>
          <w:sz w:val="22"/>
          <w:szCs w:val="22"/>
        </w:rPr>
        <w:t>submissions</w:t>
      </w:r>
      <w:r w:rsidRPr="008911D8">
        <w:rPr>
          <w:rFonts w:ascii="Arial" w:hAnsi="Arial" w:cs="Arial"/>
          <w:sz w:val="22"/>
          <w:szCs w:val="22"/>
        </w:rPr>
        <w:t xml:space="preserve"> and weighed all aspects of the assessment against </w:t>
      </w:r>
      <w:r>
        <w:rPr>
          <w:rFonts w:ascii="Arial" w:hAnsi="Arial" w:cs="Arial"/>
          <w:sz w:val="22"/>
          <w:szCs w:val="22"/>
        </w:rPr>
        <w:t xml:space="preserve">the </w:t>
      </w:r>
      <w:r w:rsidRPr="008911D8">
        <w:rPr>
          <w:rFonts w:ascii="Arial" w:hAnsi="Arial" w:cs="Arial"/>
          <w:sz w:val="22"/>
          <w:szCs w:val="22"/>
        </w:rPr>
        <w:t xml:space="preserve">statutory requirements FSANZ </w:t>
      </w:r>
      <w:r w:rsidR="00B11FB7">
        <w:rPr>
          <w:rFonts w:ascii="Arial" w:hAnsi="Arial" w:cs="Arial"/>
          <w:sz w:val="22"/>
          <w:szCs w:val="22"/>
        </w:rPr>
        <w:t xml:space="preserve">has decided to </w:t>
      </w:r>
      <w:r>
        <w:rPr>
          <w:rFonts w:ascii="Arial" w:hAnsi="Arial" w:cs="Arial"/>
          <w:sz w:val="22"/>
          <w:szCs w:val="22"/>
        </w:rPr>
        <w:t>approve</w:t>
      </w:r>
      <w:r w:rsidRPr="008911D8">
        <w:rPr>
          <w:rFonts w:ascii="Arial" w:hAnsi="Arial" w:cs="Arial"/>
          <w:sz w:val="22"/>
          <w:szCs w:val="22"/>
        </w:rPr>
        <w:t xml:space="preserve"> </w:t>
      </w:r>
      <w:r w:rsidR="00B11FB7">
        <w:rPr>
          <w:rFonts w:ascii="Arial" w:hAnsi="Arial" w:cs="Arial"/>
          <w:sz w:val="22"/>
          <w:szCs w:val="22"/>
        </w:rPr>
        <w:t>the</w:t>
      </w:r>
      <w:r w:rsidR="00B11FB7" w:rsidRPr="008911D8">
        <w:rPr>
          <w:rFonts w:ascii="Arial" w:hAnsi="Arial" w:cs="Arial"/>
          <w:sz w:val="22"/>
          <w:szCs w:val="22"/>
        </w:rPr>
        <w:t xml:space="preserve"> </w:t>
      </w:r>
      <w:r>
        <w:rPr>
          <w:rFonts w:ascii="Arial" w:hAnsi="Arial" w:cs="Arial"/>
          <w:sz w:val="22"/>
          <w:szCs w:val="22"/>
        </w:rPr>
        <w:t xml:space="preserve">draft </w:t>
      </w:r>
      <w:r w:rsidRPr="008911D8">
        <w:rPr>
          <w:rFonts w:ascii="Arial" w:hAnsi="Arial" w:cs="Arial"/>
          <w:sz w:val="22"/>
          <w:szCs w:val="22"/>
        </w:rPr>
        <w:t>variation to the Code.</w:t>
      </w:r>
    </w:p>
    <w:p w14:paraId="0679DEE1" w14:textId="77777777" w:rsidR="007F2BF1" w:rsidRDefault="007F2BF1">
      <w:pPr>
        <w:widowControl/>
        <w:rPr>
          <w:rFonts w:cs="Arial"/>
          <w:color w:val="000000"/>
          <w:szCs w:val="22"/>
          <w:lang w:val="en-AU" w:eastAsia="en-GB" w:bidi="ar-SA"/>
        </w:rPr>
      </w:pPr>
      <w:r>
        <w:rPr>
          <w:rFonts w:cs="Arial"/>
          <w:szCs w:val="22"/>
        </w:rPr>
        <w:br w:type="page"/>
      </w:r>
    </w:p>
    <w:p w14:paraId="55D2119E" w14:textId="77777777" w:rsidR="001122EC" w:rsidRPr="00E137F7" w:rsidRDefault="002C1A3B" w:rsidP="006E51EF">
      <w:pPr>
        <w:pStyle w:val="Heading1"/>
        <w:widowControl/>
      </w:pPr>
      <w:bookmarkStart w:id="308" w:name="_Toc53406137"/>
      <w:bookmarkStart w:id="309" w:name="_Toc53484647"/>
      <w:bookmarkStart w:id="310" w:name="_Toc58840831"/>
      <w:r w:rsidRPr="00E137F7">
        <w:lastRenderedPageBreak/>
        <w:t>6</w:t>
      </w:r>
      <w:r w:rsidR="001122EC" w:rsidRPr="00E137F7">
        <w:tab/>
        <w:t>R</w:t>
      </w:r>
      <w:r w:rsidR="000B427A" w:rsidRPr="00E137F7">
        <w:t>eferences</w:t>
      </w:r>
      <w:bookmarkEnd w:id="308"/>
      <w:bookmarkEnd w:id="309"/>
      <w:bookmarkEnd w:id="310"/>
    </w:p>
    <w:p w14:paraId="7638EBB7" w14:textId="77777777" w:rsidR="005B56F5" w:rsidRPr="00293295" w:rsidRDefault="005B56F5" w:rsidP="006E51EF">
      <w:pPr>
        <w:widowControl/>
        <w:spacing w:before="240"/>
        <w:rPr>
          <w:rFonts w:cs="Arial"/>
          <w:sz w:val="20"/>
          <w:szCs w:val="22"/>
        </w:rPr>
      </w:pPr>
      <w:r w:rsidRPr="00293295">
        <w:rPr>
          <w:rFonts w:cs="Arial"/>
          <w:sz w:val="20"/>
          <w:szCs w:val="22"/>
        </w:rPr>
        <w:t xml:space="preserve">Codex (2009) Foods derived from modern biotechnology 2nd edition. Codex </w:t>
      </w:r>
      <w:proofErr w:type="spellStart"/>
      <w:r w:rsidRPr="00293295">
        <w:rPr>
          <w:rFonts w:cs="Arial"/>
          <w:sz w:val="20"/>
          <w:szCs w:val="22"/>
        </w:rPr>
        <w:t>Alimentarius</w:t>
      </w:r>
      <w:proofErr w:type="spellEnd"/>
      <w:r w:rsidRPr="00293295">
        <w:rPr>
          <w:rFonts w:cs="Arial"/>
          <w:sz w:val="20"/>
          <w:szCs w:val="22"/>
        </w:rPr>
        <w:t xml:space="preserve"> Commission, Rome. </w:t>
      </w:r>
      <w:hyperlink r:id="rId21" w:history="1">
        <w:r w:rsidRPr="00293295">
          <w:rPr>
            <w:rStyle w:val="Hyperlink"/>
            <w:rFonts w:cs="Arial"/>
            <w:sz w:val="20"/>
            <w:szCs w:val="22"/>
          </w:rPr>
          <w:t>http://www.fao.org/docrep/pdf/011/a1554e/a1554e00.pdf</w:t>
        </w:r>
      </w:hyperlink>
      <w:r w:rsidRPr="00293295">
        <w:rPr>
          <w:rFonts w:cs="Arial"/>
          <w:sz w:val="20"/>
          <w:szCs w:val="22"/>
        </w:rPr>
        <w:t>. Accessed 16 October 2019</w:t>
      </w:r>
    </w:p>
    <w:p w14:paraId="1FF0D822" w14:textId="0097B54A" w:rsidR="00FF442A" w:rsidRDefault="00FF442A" w:rsidP="00FF442A">
      <w:pPr>
        <w:widowControl/>
        <w:spacing w:before="240"/>
        <w:rPr>
          <w:rFonts w:cs="Arial"/>
          <w:sz w:val="20"/>
          <w:szCs w:val="22"/>
        </w:rPr>
      </w:pPr>
      <w:r>
        <w:rPr>
          <w:rFonts w:cs="Arial"/>
          <w:sz w:val="20"/>
          <w:szCs w:val="22"/>
        </w:rPr>
        <w:t xml:space="preserve">Elizabeth L, Machado P, </w:t>
      </w:r>
      <w:proofErr w:type="spellStart"/>
      <w:r>
        <w:rPr>
          <w:rFonts w:cs="Arial"/>
          <w:sz w:val="20"/>
          <w:szCs w:val="22"/>
        </w:rPr>
        <w:t>Zinöcker</w:t>
      </w:r>
      <w:proofErr w:type="spellEnd"/>
      <w:r>
        <w:rPr>
          <w:rFonts w:cs="Arial"/>
          <w:sz w:val="20"/>
          <w:szCs w:val="22"/>
        </w:rPr>
        <w:t xml:space="preserve"> M, Baker P,</w:t>
      </w:r>
      <w:r w:rsidRPr="00FF442A">
        <w:rPr>
          <w:rFonts w:cs="Arial"/>
          <w:sz w:val="20"/>
          <w:szCs w:val="22"/>
        </w:rPr>
        <w:t xml:space="preserve"> Lawrence, M. Ultra-Proce</w:t>
      </w:r>
      <w:r>
        <w:rPr>
          <w:rFonts w:cs="Arial"/>
          <w:sz w:val="20"/>
          <w:szCs w:val="22"/>
        </w:rPr>
        <w:t xml:space="preserve">ssed Foods and Health Outcomes: </w:t>
      </w:r>
      <w:r w:rsidRPr="00FF442A">
        <w:rPr>
          <w:rFonts w:cs="Arial"/>
          <w:sz w:val="20"/>
          <w:szCs w:val="22"/>
        </w:rPr>
        <w:t>A Narrative Review. Nutrients 2020, 12, 1955.</w:t>
      </w:r>
    </w:p>
    <w:p w14:paraId="1ABBB608" w14:textId="428C6AFA" w:rsidR="005B56F5" w:rsidRDefault="005B56F5" w:rsidP="006E51EF">
      <w:pPr>
        <w:widowControl/>
        <w:spacing w:before="240"/>
        <w:rPr>
          <w:rFonts w:cs="Arial"/>
          <w:sz w:val="20"/>
          <w:szCs w:val="22"/>
        </w:rPr>
      </w:pPr>
      <w:r w:rsidRPr="002D0DC5">
        <w:rPr>
          <w:rFonts w:cs="Arial"/>
          <w:sz w:val="20"/>
          <w:szCs w:val="22"/>
        </w:rPr>
        <w:t xml:space="preserve">FAO/WHO (2009) </w:t>
      </w:r>
      <w:r w:rsidRPr="002D0DC5">
        <w:rPr>
          <w:rFonts w:cs="Arial"/>
          <w:bCs/>
          <w:sz w:val="20"/>
          <w:szCs w:val="22"/>
        </w:rPr>
        <w:t>P</w:t>
      </w:r>
      <w:r w:rsidRPr="002D0DC5">
        <w:rPr>
          <w:rFonts w:cs="Arial"/>
          <w:sz w:val="20"/>
          <w:szCs w:val="22"/>
        </w:rPr>
        <w:t>rinciples and methods</w:t>
      </w:r>
      <w:r w:rsidRPr="002D0DC5">
        <w:rPr>
          <w:rFonts w:cs="Arial"/>
          <w:b/>
          <w:bCs/>
          <w:sz w:val="20"/>
          <w:szCs w:val="22"/>
        </w:rPr>
        <w:t xml:space="preserve"> </w:t>
      </w:r>
      <w:r w:rsidRPr="002D0DC5">
        <w:rPr>
          <w:rFonts w:cs="Arial"/>
          <w:sz w:val="20"/>
          <w:szCs w:val="22"/>
        </w:rPr>
        <w:t>for the risk assessment of</w:t>
      </w:r>
      <w:r w:rsidRPr="002D0DC5">
        <w:rPr>
          <w:rFonts w:cs="Arial"/>
          <w:b/>
          <w:bCs/>
          <w:sz w:val="20"/>
          <w:szCs w:val="22"/>
        </w:rPr>
        <w:t xml:space="preserve"> </w:t>
      </w:r>
      <w:r w:rsidRPr="002D0DC5">
        <w:rPr>
          <w:rFonts w:cs="Arial"/>
          <w:sz w:val="20"/>
          <w:szCs w:val="22"/>
        </w:rPr>
        <w:t>chemicals in food</w:t>
      </w:r>
      <w:r>
        <w:rPr>
          <w:rFonts w:cs="Arial"/>
          <w:sz w:val="20"/>
          <w:szCs w:val="22"/>
        </w:rPr>
        <w:t xml:space="preserve">: </w:t>
      </w:r>
      <w:r w:rsidRPr="002D0DC5">
        <w:rPr>
          <w:rFonts w:cs="Arial"/>
          <w:bCs/>
          <w:sz w:val="20"/>
          <w:szCs w:val="22"/>
        </w:rPr>
        <w:t>Environmental Health Criteria 240</w:t>
      </w:r>
      <w:r w:rsidRPr="002D0DC5">
        <w:rPr>
          <w:rFonts w:cs="Arial"/>
          <w:sz w:val="20"/>
          <w:szCs w:val="22"/>
        </w:rPr>
        <w:t>. Food and Agriculture Organization of the United Nations and the World Health Organization</w:t>
      </w:r>
      <w:r>
        <w:rPr>
          <w:rFonts w:cs="Arial"/>
          <w:sz w:val="20"/>
          <w:szCs w:val="22"/>
        </w:rPr>
        <w:t xml:space="preserve">. Geneva, Switzerland. Available at: </w:t>
      </w:r>
      <w:hyperlink r:id="rId22" w:history="1">
        <w:r w:rsidRPr="00F52B39">
          <w:rPr>
            <w:rStyle w:val="Hyperlink"/>
            <w:rFonts w:cs="Arial"/>
            <w:sz w:val="20"/>
            <w:szCs w:val="22"/>
          </w:rPr>
          <w:t>https://www.who.int/publications/i/item/principles-and-methods-for-the-risk-assessment-of-chemicals-in-food</w:t>
        </w:r>
      </w:hyperlink>
      <w:r>
        <w:rPr>
          <w:rFonts w:cs="Arial"/>
          <w:sz w:val="20"/>
          <w:szCs w:val="22"/>
        </w:rPr>
        <w:t xml:space="preserve">. Accessed 15 June 2020. </w:t>
      </w:r>
    </w:p>
    <w:p w14:paraId="4FE05728" w14:textId="77777777" w:rsidR="00901051" w:rsidRPr="00FF442A" w:rsidRDefault="00901051" w:rsidP="00901051">
      <w:pPr>
        <w:spacing w:before="240"/>
        <w:rPr>
          <w:rFonts w:cs="Arial"/>
          <w:sz w:val="20"/>
          <w:szCs w:val="22"/>
        </w:rPr>
      </w:pPr>
      <w:r w:rsidRPr="00901051">
        <w:rPr>
          <w:rFonts w:cs="Arial"/>
          <w:sz w:val="20"/>
          <w:szCs w:val="22"/>
        </w:rPr>
        <w:t>Hayes AW, Kruger CL (</w:t>
      </w:r>
      <w:proofErr w:type="spellStart"/>
      <w:r w:rsidRPr="00901051">
        <w:rPr>
          <w:rFonts w:cs="Arial"/>
          <w:sz w:val="20"/>
          <w:szCs w:val="22"/>
        </w:rPr>
        <w:t>eds</w:t>
      </w:r>
      <w:proofErr w:type="spellEnd"/>
      <w:r w:rsidRPr="00901051">
        <w:rPr>
          <w:rFonts w:cs="Arial"/>
          <w:sz w:val="20"/>
          <w:szCs w:val="22"/>
        </w:rPr>
        <w:t>) (2014) Hayes’ principles and methods of toxicology. 6th edition, CRC Press, Florida.</w:t>
      </w:r>
    </w:p>
    <w:p w14:paraId="25ACB99D" w14:textId="125C37EC" w:rsidR="00FF442A" w:rsidRDefault="00FF442A" w:rsidP="00901051">
      <w:pPr>
        <w:spacing w:before="240"/>
        <w:rPr>
          <w:rFonts w:cs="Arial"/>
          <w:sz w:val="20"/>
          <w:szCs w:val="22"/>
        </w:rPr>
      </w:pPr>
      <w:r w:rsidRPr="00293295">
        <w:rPr>
          <w:rFonts w:cs="Arial"/>
          <w:sz w:val="20"/>
          <w:szCs w:val="22"/>
        </w:rPr>
        <w:t>IARC (2018) Red meat and processed meat. IARC Monographs on the evaluation of carcinogenic risks to humans, volume 114. International Agency for Research on Cancer. Lyon, France.</w:t>
      </w:r>
    </w:p>
    <w:p w14:paraId="33724645" w14:textId="54CF0983" w:rsidR="00577080" w:rsidRDefault="00577080" w:rsidP="006E51EF">
      <w:pPr>
        <w:widowControl/>
        <w:spacing w:before="240"/>
        <w:rPr>
          <w:rFonts w:cs="Arial"/>
          <w:sz w:val="20"/>
          <w:szCs w:val="20"/>
        </w:rPr>
      </w:pPr>
      <w:proofErr w:type="spellStart"/>
      <w:r>
        <w:rPr>
          <w:sz w:val="20"/>
          <w:szCs w:val="20"/>
        </w:rPr>
        <w:t>Luchansky</w:t>
      </w:r>
      <w:proofErr w:type="spellEnd"/>
      <w:r>
        <w:rPr>
          <w:sz w:val="20"/>
          <w:szCs w:val="20"/>
        </w:rPr>
        <w:t xml:space="preserve"> JB, </w:t>
      </w:r>
      <w:proofErr w:type="spellStart"/>
      <w:r>
        <w:rPr>
          <w:sz w:val="20"/>
          <w:szCs w:val="20"/>
        </w:rPr>
        <w:t>Shoyer</w:t>
      </w:r>
      <w:proofErr w:type="spellEnd"/>
      <w:r>
        <w:rPr>
          <w:sz w:val="20"/>
          <w:szCs w:val="20"/>
        </w:rPr>
        <w:t xml:space="preserve"> BA, Jung Y, et al. (2020) Viability of Shiga toxin-producing </w:t>
      </w:r>
      <w:r>
        <w:rPr>
          <w:i/>
          <w:iCs/>
          <w:sz w:val="20"/>
          <w:szCs w:val="20"/>
        </w:rPr>
        <w:t>Escherichia coli</w:t>
      </w:r>
      <w:r>
        <w:rPr>
          <w:sz w:val="20"/>
          <w:szCs w:val="20"/>
        </w:rPr>
        <w:t xml:space="preserve">, </w:t>
      </w:r>
      <w:r>
        <w:rPr>
          <w:i/>
          <w:iCs/>
          <w:sz w:val="20"/>
          <w:szCs w:val="20"/>
        </w:rPr>
        <w:t>Salmonella</w:t>
      </w:r>
      <w:r>
        <w:rPr>
          <w:sz w:val="20"/>
          <w:szCs w:val="20"/>
        </w:rPr>
        <w:t xml:space="preserve">, and </w:t>
      </w:r>
      <w:r>
        <w:rPr>
          <w:i/>
          <w:iCs/>
          <w:sz w:val="20"/>
          <w:szCs w:val="20"/>
        </w:rPr>
        <w:t xml:space="preserve">Listeria </w:t>
      </w:r>
      <w:proofErr w:type="spellStart"/>
      <w:r>
        <w:rPr>
          <w:i/>
          <w:iCs/>
          <w:sz w:val="20"/>
          <w:szCs w:val="20"/>
        </w:rPr>
        <w:t>monocytogenes</w:t>
      </w:r>
      <w:proofErr w:type="spellEnd"/>
      <w:r>
        <w:rPr>
          <w:i/>
          <w:iCs/>
          <w:sz w:val="20"/>
          <w:szCs w:val="20"/>
        </w:rPr>
        <w:t xml:space="preserve"> </w:t>
      </w:r>
      <w:r>
        <w:rPr>
          <w:sz w:val="20"/>
          <w:szCs w:val="20"/>
        </w:rPr>
        <w:t xml:space="preserve">within plant versus beef burgers during cold storage and following pan frying. J Food </w:t>
      </w:r>
      <w:proofErr w:type="spellStart"/>
      <w:r>
        <w:rPr>
          <w:sz w:val="20"/>
          <w:szCs w:val="20"/>
        </w:rPr>
        <w:t>Prot</w:t>
      </w:r>
      <w:proofErr w:type="spellEnd"/>
      <w:r>
        <w:rPr>
          <w:sz w:val="20"/>
          <w:szCs w:val="20"/>
        </w:rPr>
        <w:t xml:space="preserve"> 83(3):434-442. </w:t>
      </w:r>
    </w:p>
    <w:p w14:paraId="207DEC2D" w14:textId="4DB853C3" w:rsidR="005B56F5" w:rsidRPr="00293295" w:rsidRDefault="005B56F5" w:rsidP="006E51EF">
      <w:pPr>
        <w:widowControl/>
        <w:spacing w:before="240"/>
        <w:rPr>
          <w:rFonts w:cs="Arial"/>
          <w:szCs w:val="22"/>
        </w:rPr>
      </w:pPr>
      <w:r w:rsidRPr="00293295">
        <w:rPr>
          <w:rFonts w:cs="Arial"/>
          <w:sz w:val="20"/>
          <w:szCs w:val="20"/>
        </w:rPr>
        <w:t xml:space="preserve">Ordway GA, Garry DJ (2004) Myoglobin: an essential </w:t>
      </w:r>
      <w:proofErr w:type="spellStart"/>
      <w:r w:rsidRPr="00293295">
        <w:rPr>
          <w:rFonts w:cs="Arial"/>
          <w:sz w:val="20"/>
          <w:szCs w:val="20"/>
        </w:rPr>
        <w:t>hemoprotein</w:t>
      </w:r>
      <w:proofErr w:type="spellEnd"/>
      <w:r w:rsidRPr="00293295">
        <w:rPr>
          <w:rFonts w:cs="Arial"/>
          <w:sz w:val="20"/>
          <w:szCs w:val="20"/>
        </w:rPr>
        <w:t xml:space="preserve"> in striated muscle. Journal of Experimental Biology, 207: 3441-3446. </w:t>
      </w:r>
      <w:proofErr w:type="spellStart"/>
      <w:r w:rsidRPr="00293295">
        <w:rPr>
          <w:rFonts w:cs="Arial"/>
          <w:sz w:val="20"/>
          <w:szCs w:val="20"/>
          <w:lang w:val="en"/>
        </w:rPr>
        <w:t>doi</w:t>
      </w:r>
      <w:proofErr w:type="spellEnd"/>
      <w:r w:rsidRPr="00293295">
        <w:rPr>
          <w:rFonts w:cs="Arial"/>
          <w:sz w:val="20"/>
          <w:szCs w:val="20"/>
          <w:lang w:val="en"/>
        </w:rPr>
        <w:t>: 10.1242/jeb.01172</w:t>
      </w:r>
    </w:p>
    <w:p w14:paraId="1311E250" w14:textId="77777777" w:rsidR="005B56F5" w:rsidRDefault="005B56F5" w:rsidP="006E51EF">
      <w:pPr>
        <w:widowControl/>
        <w:spacing w:before="240"/>
        <w:rPr>
          <w:rFonts w:cs="Arial"/>
          <w:sz w:val="20"/>
          <w:szCs w:val="22"/>
        </w:rPr>
      </w:pPr>
      <w:r w:rsidRPr="000A2586">
        <w:rPr>
          <w:rFonts w:cs="Arial"/>
          <w:sz w:val="20"/>
          <w:szCs w:val="20"/>
          <w:lang w:val="en-AU"/>
        </w:rPr>
        <w:t xml:space="preserve">Texas A&amp;M Institute (2019) Meat Science: Meat </w:t>
      </w:r>
      <w:proofErr w:type="spellStart"/>
      <w:r w:rsidRPr="000A2586">
        <w:rPr>
          <w:rFonts w:cs="Arial"/>
          <w:sz w:val="20"/>
          <w:szCs w:val="20"/>
          <w:lang w:val="en-AU"/>
        </w:rPr>
        <w:t>Color</w:t>
      </w:r>
      <w:proofErr w:type="spellEnd"/>
      <w:r w:rsidRPr="000A2586">
        <w:rPr>
          <w:rFonts w:cs="Arial"/>
          <w:sz w:val="20"/>
          <w:szCs w:val="20"/>
          <w:lang w:val="en-AU"/>
        </w:rPr>
        <w:t xml:space="preserve">. College Station (TX): Texas A&amp;M Institute. Available at: </w:t>
      </w:r>
      <w:hyperlink r:id="rId23" w:history="1">
        <w:r w:rsidRPr="004C2A99">
          <w:rPr>
            <w:rStyle w:val="Hyperlink"/>
            <w:rFonts w:cs="Arial"/>
            <w:sz w:val="20"/>
            <w:szCs w:val="20"/>
            <w:lang w:val="en-AU"/>
          </w:rPr>
          <w:t>https://meat.tamu.edu/ansc-307-honors/meat-color/</w:t>
        </w:r>
      </w:hyperlink>
      <w:r>
        <w:rPr>
          <w:rFonts w:cs="Arial"/>
          <w:sz w:val="20"/>
          <w:szCs w:val="20"/>
          <w:lang w:val="en-AU"/>
        </w:rPr>
        <w:t xml:space="preserve"> Accessed: 20 October, 2019</w:t>
      </w:r>
    </w:p>
    <w:p w14:paraId="0C120C20" w14:textId="518D684C" w:rsidR="0012388D" w:rsidRDefault="00D15A08" w:rsidP="006E51EF">
      <w:pPr>
        <w:widowControl/>
        <w:spacing w:before="240"/>
        <w:rPr>
          <w:b/>
          <w:sz w:val="28"/>
          <w:szCs w:val="28"/>
        </w:rPr>
      </w:pPr>
      <w:r w:rsidRPr="006C22A7">
        <w:rPr>
          <w:b/>
          <w:sz w:val="28"/>
          <w:szCs w:val="28"/>
        </w:rPr>
        <w:t>A</w:t>
      </w:r>
      <w:bookmarkEnd w:id="297"/>
      <w:bookmarkEnd w:id="298"/>
      <w:bookmarkEnd w:id="299"/>
      <w:bookmarkEnd w:id="300"/>
      <w:bookmarkEnd w:id="301"/>
      <w:r w:rsidR="00B21055">
        <w:rPr>
          <w:b/>
          <w:sz w:val="28"/>
          <w:szCs w:val="28"/>
        </w:rPr>
        <w:t>ttachments</w:t>
      </w:r>
    </w:p>
    <w:p w14:paraId="2B67F22E" w14:textId="77777777" w:rsidR="006C22A7" w:rsidRDefault="006C22A7" w:rsidP="006E51EF">
      <w:pPr>
        <w:widowControl/>
      </w:pPr>
    </w:p>
    <w:p w14:paraId="4DC29E49" w14:textId="4D0A1DDB" w:rsidR="00795D86" w:rsidRDefault="00755F02" w:rsidP="006E51EF">
      <w:pPr>
        <w:widowControl/>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E3F2C9D" w14:textId="77777777" w:rsidR="00456BD5" w:rsidRPr="001F63CA" w:rsidRDefault="00456BD5" w:rsidP="006E51EF">
      <w:pPr>
        <w:widowControl/>
        <w:ind w:left="567" w:hanging="567"/>
      </w:pPr>
      <w:r w:rsidRPr="001F63CA">
        <w:t>B</w:t>
      </w:r>
      <w:r w:rsidR="00755F02" w:rsidRPr="001F63CA">
        <w:t>.</w:t>
      </w:r>
      <w:r w:rsidR="00755F02" w:rsidRPr="001F63CA">
        <w:tab/>
      </w:r>
      <w:r w:rsidRPr="001F63CA">
        <w:t xml:space="preserve">Explanatory Statement </w:t>
      </w:r>
    </w:p>
    <w:p w14:paraId="4CD02E4A" w14:textId="02EC494E" w:rsidR="00403E3D" w:rsidRPr="001F63CA" w:rsidRDefault="00456BD5" w:rsidP="006E51EF">
      <w:pPr>
        <w:widowControl/>
        <w:ind w:left="567" w:hanging="567"/>
      </w:pPr>
      <w:r w:rsidRPr="001F63CA">
        <w:t>C.</w:t>
      </w:r>
      <w:r w:rsidRPr="001F63CA">
        <w:tab/>
      </w:r>
      <w:r w:rsidR="00403E3D" w:rsidRPr="001F63CA">
        <w:t>Mock-up of proposed drafting for Schedule 3 and Schedule 26</w:t>
      </w:r>
    </w:p>
    <w:p w14:paraId="189F5190" w14:textId="02C018E9" w:rsidR="006C22A7" w:rsidRPr="00256EB9" w:rsidRDefault="00EA57D3" w:rsidP="006E51EF">
      <w:pPr>
        <w:widowControl/>
        <w:ind w:left="567" w:hanging="567"/>
      </w:pPr>
      <w:r>
        <w:t>D</w:t>
      </w:r>
      <w:r w:rsidR="00403E3D" w:rsidRPr="001F63CA">
        <w:t>.</w:t>
      </w:r>
      <w:r w:rsidR="00403E3D" w:rsidRPr="001F63CA">
        <w:tab/>
        <w:t xml:space="preserve">List of submitters </w:t>
      </w:r>
      <w:r w:rsidR="00403E3D" w:rsidRPr="00256EB9">
        <w:t>at 2</w:t>
      </w:r>
      <w:r w:rsidR="00403E3D" w:rsidRPr="00256EB9">
        <w:rPr>
          <w:vertAlign w:val="superscript"/>
        </w:rPr>
        <w:t>nd</w:t>
      </w:r>
      <w:r w:rsidR="00403E3D" w:rsidRPr="00256EB9">
        <w:t xml:space="preserve"> CFS</w:t>
      </w:r>
    </w:p>
    <w:p w14:paraId="1B6C3C33" w14:textId="19FA222C" w:rsidR="00456BD5" w:rsidRPr="00256EB9" w:rsidRDefault="003C4969" w:rsidP="006E51EF">
      <w:pPr>
        <w:widowControl/>
      </w:pPr>
      <w:r w:rsidRPr="00256EB9">
        <w:br w:type="page"/>
      </w:r>
      <w:bookmarkStart w:id="311" w:name="_Toc120358598"/>
      <w:bookmarkStart w:id="312" w:name="_Toc175381460"/>
    </w:p>
    <w:p w14:paraId="1885DEC1" w14:textId="798437CE" w:rsidR="00D80534" w:rsidRPr="00456BD5" w:rsidRDefault="00D80534" w:rsidP="00714C81">
      <w:pPr>
        <w:pStyle w:val="Heading2"/>
      </w:pPr>
      <w:bookmarkStart w:id="313" w:name="_Toc58840832"/>
      <w:bookmarkStart w:id="314" w:name="_Toc41576686"/>
      <w:bookmarkStart w:id="315" w:name="_Toc42875249"/>
      <w:bookmarkStart w:id="316" w:name="_Toc43126902"/>
      <w:bookmarkStart w:id="317" w:name="_Toc43128153"/>
      <w:bookmarkStart w:id="318" w:name="_Toc53406139"/>
      <w:bookmarkStart w:id="319" w:name="_Toc53484649"/>
      <w:bookmarkEnd w:id="311"/>
      <w:bookmarkEnd w:id="312"/>
      <w:r w:rsidRPr="007617C7">
        <w:lastRenderedPageBreak/>
        <w:t xml:space="preserve">Attachment </w:t>
      </w:r>
      <w:r w:rsidR="004B60EA">
        <w:t>A</w:t>
      </w:r>
      <w:r w:rsidRPr="007617C7">
        <w:t xml:space="preserve"> – </w:t>
      </w:r>
      <w:r>
        <w:t>Approved d</w:t>
      </w:r>
      <w:r w:rsidRPr="007617C7">
        <w:t xml:space="preserve">raft variation to the </w:t>
      </w:r>
      <w:r w:rsidRPr="007617C7">
        <w:rPr>
          <w:i/>
        </w:rPr>
        <w:t xml:space="preserve">Australia New Zealand Food </w:t>
      </w:r>
      <w:r w:rsidRPr="00795D86">
        <w:rPr>
          <w:i/>
        </w:rPr>
        <w:t>Standards Code</w:t>
      </w:r>
      <w:bookmarkEnd w:id="313"/>
    </w:p>
    <w:p w14:paraId="62BF40A4" w14:textId="77777777" w:rsidR="00D80534" w:rsidRPr="00C0014E" w:rsidRDefault="00D80534" w:rsidP="00D80534">
      <w:pPr>
        <w:widowControl/>
        <w:rPr>
          <w:noProof/>
          <w:sz w:val="20"/>
          <w:lang w:val="en-AU" w:eastAsia="en-AU"/>
        </w:rPr>
      </w:pPr>
      <w:r w:rsidRPr="00C0014E">
        <w:rPr>
          <w:noProof/>
          <w:sz w:val="20"/>
          <w:lang w:eastAsia="en-GB" w:bidi="ar-SA"/>
        </w:rPr>
        <w:drawing>
          <wp:inline distT="0" distB="0" distL="0" distR="0" wp14:anchorId="5FD2070C" wp14:editId="176546B5">
            <wp:extent cx="2657475" cy="438150"/>
            <wp:effectExtent l="0" t="0" r="9525" b="0"/>
            <wp:docPr id="7"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E1FCC10" w14:textId="77777777" w:rsidR="00D80534" w:rsidRPr="006153A1" w:rsidRDefault="00D80534" w:rsidP="00D80534">
      <w:pPr>
        <w:widowControl/>
        <w:pBdr>
          <w:bottom w:val="single" w:sz="4" w:space="1" w:color="auto"/>
        </w:pBdr>
        <w:rPr>
          <w:b/>
          <w:bCs/>
        </w:rPr>
      </w:pPr>
    </w:p>
    <w:p w14:paraId="04E45EA7" w14:textId="77777777" w:rsidR="00D80534" w:rsidRDefault="00D80534" w:rsidP="00D80534">
      <w:pPr>
        <w:widowControl/>
        <w:pBdr>
          <w:bottom w:val="single" w:sz="4" w:space="1" w:color="auto"/>
        </w:pBdr>
        <w:rPr>
          <w:b/>
          <w:sz w:val="20"/>
        </w:rPr>
      </w:pPr>
      <w:r w:rsidRPr="006153A1">
        <w:rPr>
          <w:b/>
          <w:sz w:val="20"/>
        </w:rPr>
        <w:t>Food Standards (</w:t>
      </w:r>
      <w:r w:rsidRPr="00F618DF">
        <w:rPr>
          <w:b/>
          <w:sz w:val="20"/>
        </w:rPr>
        <w:t>Application A</w:t>
      </w:r>
      <w:r>
        <w:rPr>
          <w:b/>
          <w:sz w:val="20"/>
        </w:rPr>
        <w:t>1186</w:t>
      </w:r>
      <w:r w:rsidRPr="00F618DF">
        <w:rPr>
          <w:b/>
          <w:sz w:val="20"/>
        </w:rPr>
        <w:t xml:space="preserve"> </w:t>
      </w:r>
      <w:r w:rsidRPr="00A32232">
        <w:rPr>
          <w:b/>
          <w:sz w:val="20"/>
        </w:rPr>
        <w:t>–</w:t>
      </w:r>
      <w:r>
        <w:rPr>
          <w:b/>
          <w:sz w:val="20"/>
        </w:rPr>
        <w:t xml:space="preserve"> Soy Leghemoglobin in meat analogue products)</w:t>
      </w:r>
      <w:r w:rsidRPr="00C0014E">
        <w:rPr>
          <w:b/>
          <w:sz w:val="20"/>
        </w:rPr>
        <w:t xml:space="preserve"> Variation</w:t>
      </w:r>
    </w:p>
    <w:p w14:paraId="480FE22B" w14:textId="77777777" w:rsidR="00D80534" w:rsidRPr="00C0014E" w:rsidRDefault="00D80534" w:rsidP="00D80534">
      <w:pPr>
        <w:widowControl/>
        <w:pBdr>
          <w:bottom w:val="single" w:sz="4" w:space="1" w:color="auto"/>
        </w:pBdr>
        <w:rPr>
          <w:b/>
          <w:sz w:val="20"/>
        </w:rPr>
      </w:pPr>
    </w:p>
    <w:p w14:paraId="246459A0" w14:textId="77777777" w:rsidR="00D80534" w:rsidRPr="008F2616" w:rsidRDefault="00D80534" w:rsidP="00D80534">
      <w:pPr>
        <w:widowControl/>
        <w:rPr>
          <w:sz w:val="20"/>
        </w:rPr>
      </w:pPr>
    </w:p>
    <w:p w14:paraId="38CF05F9" w14:textId="77777777" w:rsidR="00D80534" w:rsidRPr="008F2616" w:rsidRDefault="00D80534" w:rsidP="00D80534">
      <w:pPr>
        <w:widowControl/>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7924F9CB" w14:textId="77777777" w:rsidR="00D80534" w:rsidRPr="008F2616" w:rsidRDefault="00D80534" w:rsidP="00D80534">
      <w:pPr>
        <w:widowControl/>
        <w:rPr>
          <w:sz w:val="20"/>
        </w:rPr>
      </w:pPr>
    </w:p>
    <w:p w14:paraId="1A8FE6DF" w14:textId="77777777" w:rsidR="00D80534" w:rsidRPr="008F2616" w:rsidRDefault="00D80534" w:rsidP="00D80534">
      <w:pPr>
        <w:widowControl/>
        <w:rPr>
          <w:sz w:val="20"/>
        </w:rPr>
      </w:pPr>
      <w:r w:rsidRPr="008F2616">
        <w:rPr>
          <w:sz w:val="20"/>
        </w:rPr>
        <w:t xml:space="preserve">Dated </w:t>
      </w:r>
      <w:r>
        <w:rPr>
          <w:sz w:val="20"/>
        </w:rPr>
        <w:t>[To be completed by Delegate]</w:t>
      </w:r>
    </w:p>
    <w:p w14:paraId="1D98B1E2" w14:textId="77777777" w:rsidR="00D80534" w:rsidRPr="008F2616" w:rsidRDefault="00D80534" w:rsidP="00D80534">
      <w:pPr>
        <w:widowControl/>
        <w:rPr>
          <w:sz w:val="20"/>
        </w:rPr>
      </w:pPr>
    </w:p>
    <w:p w14:paraId="05ECFFC6" w14:textId="77777777" w:rsidR="00D80534" w:rsidRDefault="00D80534" w:rsidP="00D80534">
      <w:pPr>
        <w:widowControl/>
        <w:rPr>
          <w:sz w:val="20"/>
        </w:rPr>
      </w:pPr>
    </w:p>
    <w:p w14:paraId="701D0C25" w14:textId="77777777" w:rsidR="00D80534" w:rsidRDefault="00D80534" w:rsidP="00D80534">
      <w:pPr>
        <w:widowControl/>
        <w:rPr>
          <w:sz w:val="20"/>
        </w:rPr>
      </w:pPr>
    </w:p>
    <w:p w14:paraId="2567D0A5" w14:textId="77777777" w:rsidR="00D80534" w:rsidRPr="008F2616" w:rsidRDefault="00D80534" w:rsidP="00D80534">
      <w:pPr>
        <w:widowControl/>
        <w:rPr>
          <w:sz w:val="20"/>
        </w:rPr>
      </w:pPr>
    </w:p>
    <w:p w14:paraId="1ABBFE52" w14:textId="77777777" w:rsidR="00D80534" w:rsidRPr="008F2616" w:rsidRDefault="00D80534" w:rsidP="00D80534">
      <w:pPr>
        <w:widowControl/>
        <w:rPr>
          <w:sz w:val="20"/>
        </w:rPr>
      </w:pPr>
    </w:p>
    <w:p w14:paraId="391841FE" w14:textId="77777777" w:rsidR="00D80534" w:rsidRPr="008F2616" w:rsidRDefault="00D80534" w:rsidP="00D80534">
      <w:pPr>
        <w:widowControl/>
        <w:rPr>
          <w:sz w:val="20"/>
        </w:rPr>
      </w:pPr>
      <w:r>
        <w:rPr>
          <w:sz w:val="20"/>
        </w:rPr>
        <w:t>[Name of Delegate]</w:t>
      </w:r>
    </w:p>
    <w:p w14:paraId="72A87B92" w14:textId="77777777" w:rsidR="00D80534" w:rsidRPr="008F2616" w:rsidRDefault="00D80534" w:rsidP="00D80534">
      <w:pPr>
        <w:widowControl/>
        <w:rPr>
          <w:sz w:val="20"/>
        </w:rPr>
      </w:pPr>
      <w:r w:rsidRPr="008F2616">
        <w:rPr>
          <w:sz w:val="20"/>
        </w:rPr>
        <w:t>Delegate of the Board of Food Standards Australia New Zealand</w:t>
      </w:r>
    </w:p>
    <w:p w14:paraId="44998920" w14:textId="77777777" w:rsidR="00D80534" w:rsidRDefault="00D80534" w:rsidP="00D80534">
      <w:pPr>
        <w:widowControl/>
        <w:rPr>
          <w:sz w:val="20"/>
        </w:rPr>
      </w:pPr>
    </w:p>
    <w:p w14:paraId="512E587B" w14:textId="77777777" w:rsidR="00D80534" w:rsidRDefault="00D80534" w:rsidP="00D80534">
      <w:pPr>
        <w:widowControl/>
        <w:rPr>
          <w:sz w:val="20"/>
        </w:rPr>
      </w:pPr>
    </w:p>
    <w:p w14:paraId="7A0547F0" w14:textId="77777777" w:rsidR="00D80534" w:rsidRDefault="00D80534" w:rsidP="00D80534">
      <w:pPr>
        <w:widowControl/>
        <w:rPr>
          <w:sz w:val="20"/>
        </w:rPr>
      </w:pPr>
    </w:p>
    <w:p w14:paraId="37A5B98D" w14:textId="77777777" w:rsidR="00D80534" w:rsidRDefault="00D80534" w:rsidP="00D80534">
      <w:pPr>
        <w:widowControl/>
        <w:rPr>
          <w:sz w:val="20"/>
        </w:rPr>
      </w:pPr>
    </w:p>
    <w:p w14:paraId="6BCC1755" w14:textId="77777777" w:rsidR="00D80534" w:rsidRDefault="00D80534" w:rsidP="00D80534">
      <w:pPr>
        <w:widowControl/>
        <w:rPr>
          <w:sz w:val="20"/>
        </w:rPr>
      </w:pPr>
    </w:p>
    <w:p w14:paraId="0FA8122A" w14:textId="77777777" w:rsidR="00D80534" w:rsidRPr="00360C8F" w:rsidRDefault="00D80534" w:rsidP="00D80534">
      <w:pPr>
        <w:widowControl/>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Note:</w:t>
      </w:r>
    </w:p>
    <w:p w14:paraId="3DCD9985" w14:textId="77777777" w:rsidR="00D80534" w:rsidRPr="00360C8F" w:rsidRDefault="00D80534" w:rsidP="00D80534">
      <w:pPr>
        <w:widowControl/>
        <w:pBdr>
          <w:top w:val="single" w:sz="4" w:space="1" w:color="auto"/>
          <w:left w:val="single" w:sz="4" w:space="4" w:color="auto"/>
          <w:bottom w:val="single" w:sz="4" w:space="1" w:color="auto"/>
          <w:right w:val="single" w:sz="4" w:space="4" w:color="auto"/>
        </w:pBdr>
        <w:rPr>
          <w:sz w:val="20"/>
          <w:lang w:val="en-AU"/>
        </w:rPr>
      </w:pPr>
    </w:p>
    <w:p w14:paraId="13874901" w14:textId="77777777" w:rsidR="00D80534" w:rsidRPr="00360C8F" w:rsidRDefault="00D80534" w:rsidP="00D80534">
      <w:pPr>
        <w:widowControl/>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48085BFE" w14:textId="77777777" w:rsidR="00D80534" w:rsidRDefault="00D80534" w:rsidP="00D80534">
      <w:pPr>
        <w:widowControl/>
        <w:rPr>
          <w:sz w:val="20"/>
        </w:rPr>
      </w:pPr>
    </w:p>
    <w:p w14:paraId="03BDF4B2" w14:textId="77777777" w:rsidR="00D80534" w:rsidRDefault="00D80534" w:rsidP="00D80534">
      <w:pPr>
        <w:widowControl/>
        <w:rPr>
          <w:sz w:val="20"/>
        </w:rPr>
      </w:pPr>
      <w:r>
        <w:rPr>
          <w:sz w:val="20"/>
        </w:rPr>
        <w:br w:type="page"/>
      </w:r>
    </w:p>
    <w:p w14:paraId="296106D7" w14:textId="77777777" w:rsidR="00D80534" w:rsidRPr="005F585D" w:rsidRDefault="00D80534" w:rsidP="00D80534">
      <w:pPr>
        <w:pStyle w:val="FSCDraftingitemheading"/>
        <w:widowControl/>
      </w:pPr>
      <w:r w:rsidRPr="00D433B1">
        <w:lastRenderedPageBreak/>
        <w:t>1</w:t>
      </w:r>
      <w:r w:rsidRPr="00D433B1">
        <w:tab/>
        <w:t>Name</w:t>
      </w:r>
    </w:p>
    <w:p w14:paraId="0A502619" w14:textId="77777777" w:rsidR="00D80534" w:rsidRPr="0097412A" w:rsidRDefault="00D80534" w:rsidP="00D80534">
      <w:pPr>
        <w:pStyle w:val="FSCDraftingitem"/>
      </w:pPr>
      <w:r w:rsidRPr="00DB170D">
        <w:t xml:space="preserve">This instrument is the </w:t>
      </w:r>
      <w:r w:rsidRPr="00792F7C">
        <w:rPr>
          <w:i/>
        </w:rPr>
        <w:t>Food Standards (</w:t>
      </w:r>
      <w:r w:rsidRPr="0097412A">
        <w:rPr>
          <w:i/>
        </w:rPr>
        <w:t>Application A1186 – Soy Leghemog</w:t>
      </w:r>
      <w:r>
        <w:rPr>
          <w:i/>
        </w:rPr>
        <w:t>l</w:t>
      </w:r>
      <w:r w:rsidRPr="0097412A">
        <w:rPr>
          <w:i/>
        </w:rPr>
        <w:t>obin in meat analogue products</w:t>
      </w:r>
      <w:r w:rsidRPr="00792F7C">
        <w:rPr>
          <w:i/>
        </w:rPr>
        <w:t xml:space="preserve">) </w:t>
      </w:r>
      <w:r w:rsidRPr="0097412A">
        <w:rPr>
          <w:i/>
        </w:rPr>
        <w:t>Variation</w:t>
      </w:r>
      <w:r w:rsidRPr="0097412A">
        <w:t>.</w:t>
      </w:r>
    </w:p>
    <w:p w14:paraId="3FD24534" w14:textId="77777777" w:rsidR="00D80534" w:rsidRPr="0097412A" w:rsidRDefault="00D80534" w:rsidP="00D80534">
      <w:pPr>
        <w:pStyle w:val="FSCDraftingitemheading"/>
        <w:widowControl/>
      </w:pPr>
      <w:r w:rsidRPr="0097412A">
        <w:t>2</w:t>
      </w:r>
      <w:r w:rsidRPr="0097412A">
        <w:tab/>
        <w:t xml:space="preserve">Variation to standards in the </w:t>
      </w:r>
      <w:r w:rsidRPr="0097412A">
        <w:rPr>
          <w:i/>
        </w:rPr>
        <w:t>Australia New Zealand Food Standards Code</w:t>
      </w:r>
    </w:p>
    <w:p w14:paraId="00B5B79B" w14:textId="77777777" w:rsidR="00D80534" w:rsidRPr="0097412A" w:rsidRDefault="00D80534" w:rsidP="00D80534">
      <w:pPr>
        <w:pStyle w:val="FSCDraftingitem"/>
      </w:pPr>
      <w:r w:rsidRPr="0097412A">
        <w:t xml:space="preserve">The Schedule varies Standards in the </w:t>
      </w:r>
      <w:r w:rsidRPr="0097412A">
        <w:rPr>
          <w:i/>
        </w:rPr>
        <w:t>Australia New Zealand Food Standards Code</w:t>
      </w:r>
      <w:r w:rsidRPr="0097412A">
        <w:t>.</w:t>
      </w:r>
    </w:p>
    <w:p w14:paraId="5651755F" w14:textId="77777777" w:rsidR="00D80534" w:rsidRPr="0097412A" w:rsidRDefault="00D80534" w:rsidP="00D80534">
      <w:pPr>
        <w:pStyle w:val="FSCDraftingitemheading"/>
        <w:widowControl/>
      </w:pPr>
      <w:r w:rsidRPr="0097412A">
        <w:t>3</w:t>
      </w:r>
      <w:r w:rsidRPr="0097412A">
        <w:tab/>
        <w:t>Commencement</w:t>
      </w:r>
    </w:p>
    <w:p w14:paraId="0E10A2F8" w14:textId="77777777" w:rsidR="00D80534" w:rsidRPr="0097412A" w:rsidRDefault="00D80534" w:rsidP="00D80534">
      <w:pPr>
        <w:pStyle w:val="FSCDraftingitem"/>
      </w:pPr>
      <w:r w:rsidRPr="0097412A">
        <w:t>The variation commences on the date of gazettal.</w:t>
      </w:r>
    </w:p>
    <w:p w14:paraId="2F48C0C9" w14:textId="77777777" w:rsidR="00D80534" w:rsidRPr="0097412A" w:rsidRDefault="00D80534" w:rsidP="00D80534">
      <w:pPr>
        <w:widowControl/>
        <w:jc w:val="center"/>
        <w:rPr>
          <w:b/>
          <w:sz w:val="20"/>
        </w:rPr>
      </w:pPr>
      <w:r w:rsidRPr="0097412A">
        <w:rPr>
          <w:b/>
          <w:sz w:val="20"/>
        </w:rPr>
        <w:t>Schedule</w:t>
      </w:r>
    </w:p>
    <w:p w14:paraId="1518BDCF" w14:textId="77777777" w:rsidR="00D80534" w:rsidRDefault="00D80534" w:rsidP="00D80534">
      <w:pPr>
        <w:pStyle w:val="FSCDraftingitemheading"/>
        <w:widowControl/>
        <w:rPr>
          <w:b w:val="0"/>
          <w:lang w:bidi="en-US"/>
        </w:rPr>
      </w:pPr>
      <w:r w:rsidRPr="0097412A">
        <w:rPr>
          <w:lang w:bidi="en-US"/>
        </w:rPr>
        <w:t>[1]</w:t>
      </w:r>
      <w:r w:rsidRPr="0097412A">
        <w:rPr>
          <w:lang w:bidi="en-US"/>
        </w:rPr>
        <w:tab/>
      </w:r>
      <w:r>
        <w:rPr>
          <w:lang w:bidi="en-US"/>
        </w:rPr>
        <w:t xml:space="preserve">Standard 1.3.2 </w:t>
      </w:r>
      <w:r>
        <w:rPr>
          <w:b w:val="0"/>
          <w:lang w:bidi="en-US"/>
        </w:rPr>
        <w:t>is varied by inserting after section 1.3.2—7</w:t>
      </w:r>
    </w:p>
    <w:p w14:paraId="7136590E" w14:textId="77777777" w:rsidR="00D80534" w:rsidRDefault="00D80534" w:rsidP="00D80534">
      <w:pPr>
        <w:pStyle w:val="FSCh5Section"/>
        <w:widowControl/>
        <w:rPr>
          <w:lang w:bidi="en-US"/>
        </w:rPr>
      </w:pPr>
      <w:r>
        <w:rPr>
          <w:lang w:bidi="en-US"/>
        </w:rPr>
        <w:t>1.3.2—8</w:t>
      </w:r>
      <w:r>
        <w:rPr>
          <w:lang w:bidi="en-US"/>
        </w:rPr>
        <w:tab/>
      </w:r>
      <w:r w:rsidRPr="007860AC">
        <w:rPr>
          <w:lang w:bidi="en-US"/>
        </w:rPr>
        <w:t xml:space="preserve">Use of </w:t>
      </w:r>
      <w:r>
        <w:rPr>
          <w:lang w:bidi="en-US"/>
        </w:rPr>
        <w:t>s</w:t>
      </w:r>
      <w:r w:rsidRPr="007860AC">
        <w:rPr>
          <w:lang w:bidi="en-US"/>
        </w:rPr>
        <w:t>oy leghemoglobin as a nutritive substance</w:t>
      </w:r>
    </w:p>
    <w:p w14:paraId="4D036A64" w14:textId="77777777" w:rsidR="00D80534" w:rsidRDefault="00D80534" w:rsidP="00D80534">
      <w:pPr>
        <w:pStyle w:val="FSCtMain"/>
        <w:widowControl/>
        <w:rPr>
          <w:lang w:bidi="en-US"/>
        </w:rPr>
      </w:pPr>
      <w:r>
        <w:rPr>
          <w:lang w:bidi="en-US"/>
        </w:rPr>
        <w:tab/>
        <w:t>(1)</w:t>
      </w:r>
      <w:r>
        <w:rPr>
          <w:lang w:bidi="en-US"/>
        </w:rPr>
        <w:tab/>
      </w:r>
      <w:r w:rsidRPr="00551889">
        <w:rPr>
          <w:lang w:bidi="en-US"/>
        </w:rPr>
        <w:t xml:space="preserve">Iron in the form of </w:t>
      </w:r>
      <w:r>
        <w:rPr>
          <w:lang w:bidi="en-US"/>
        </w:rPr>
        <w:t>s</w:t>
      </w:r>
      <w:r w:rsidRPr="00551889">
        <w:rPr>
          <w:lang w:bidi="en-US"/>
        </w:rPr>
        <w:t>oy leghemoglobin must not be used as a nutritive substance in a food other than a meat analogue product to which section S17—4 applies</w:t>
      </w:r>
      <w:r w:rsidRPr="004C4D2E">
        <w:rPr>
          <w:lang w:bidi="en-US"/>
        </w:rPr>
        <w:t>.</w:t>
      </w:r>
    </w:p>
    <w:p w14:paraId="1715655B" w14:textId="77777777" w:rsidR="00D80534" w:rsidRDefault="00D80534" w:rsidP="00D80534">
      <w:pPr>
        <w:pStyle w:val="FSCtMain"/>
        <w:widowControl/>
        <w:rPr>
          <w:lang w:bidi="en-US"/>
        </w:rPr>
      </w:pPr>
      <w:r>
        <w:rPr>
          <w:lang w:bidi="en-US"/>
        </w:rPr>
        <w:tab/>
        <w:t>(2)</w:t>
      </w:r>
      <w:r>
        <w:rPr>
          <w:lang w:bidi="en-US"/>
        </w:rPr>
        <w:tab/>
        <w:t>For the purposes of subsection (1), s</w:t>
      </w:r>
      <w:r w:rsidRPr="007860AC">
        <w:rPr>
          <w:lang w:bidi="en-US"/>
        </w:rPr>
        <w:t xml:space="preserve">oy leghemoglobin </w:t>
      </w:r>
      <w:r>
        <w:rPr>
          <w:lang w:bidi="en-US"/>
        </w:rPr>
        <w:t>m</w:t>
      </w:r>
      <w:r w:rsidRPr="00615E7E">
        <w:rPr>
          <w:lang w:bidi="en-US"/>
        </w:rPr>
        <w:t xml:space="preserve">ust not be present in a meat analogue product </w:t>
      </w:r>
      <w:r>
        <w:rPr>
          <w:lang w:bidi="en-US"/>
        </w:rPr>
        <w:t xml:space="preserve">in its raw state </w:t>
      </w:r>
      <w:r w:rsidRPr="00615E7E">
        <w:rPr>
          <w:lang w:bidi="en-US"/>
        </w:rPr>
        <w:t>at a concentration greater than 0.8%.</w:t>
      </w:r>
      <w:r>
        <w:rPr>
          <w:lang w:bidi="en-US"/>
        </w:rPr>
        <w:tab/>
      </w:r>
    </w:p>
    <w:p w14:paraId="2ADE2488" w14:textId="77777777" w:rsidR="00D80534" w:rsidRPr="0097412A" w:rsidRDefault="00D80534" w:rsidP="00D80534">
      <w:pPr>
        <w:pStyle w:val="FSCDraftingitemheading"/>
        <w:widowControl/>
      </w:pPr>
      <w:r>
        <w:rPr>
          <w:lang w:bidi="en-US"/>
        </w:rPr>
        <w:t>[2]</w:t>
      </w:r>
      <w:r>
        <w:rPr>
          <w:lang w:bidi="en-US"/>
        </w:rPr>
        <w:tab/>
      </w:r>
      <w:r w:rsidRPr="0097412A">
        <w:rPr>
          <w:lang w:bidi="en-US"/>
        </w:rPr>
        <w:t xml:space="preserve">Schedule </w:t>
      </w:r>
      <w:r>
        <w:rPr>
          <w:lang w:bidi="en-US"/>
        </w:rPr>
        <w:t>3</w:t>
      </w:r>
      <w:r w:rsidRPr="0097412A">
        <w:rPr>
          <w:lang w:bidi="en-US"/>
        </w:rPr>
        <w:t xml:space="preserve"> </w:t>
      </w:r>
      <w:r w:rsidRPr="00C4571C">
        <w:rPr>
          <w:b w:val="0"/>
          <w:lang w:bidi="en-US"/>
        </w:rPr>
        <w:t>is varied by</w:t>
      </w:r>
      <w:r w:rsidRPr="0097412A">
        <w:t xml:space="preserve"> </w:t>
      </w:r>
    </w:p>
    <w:p w14:paraId="272C5265" w14:textId="77777777" w:rsidR="00D80534" w:rsidRPr="00A36D53" w:rsidRDefault="00D80534" w:rsidP="00D80534">
      <w:pPr>
        <w:pStyle w:val="FSCDraftingitem"/>
      </w:pPr>
      <w:r w:rsidRPr="0097412A">
        <w:t>[</w:t>
      </w:r>
      <w:r>
        <w:t>2</w:t>
      </w:r>
      <w:r w:rsidRPr="0097412A">
        <w:t>.1]</w:t>
      </w:r>
      <w:r w:rsidRPr="0097412A">
        <w:tab/>
      </w:r>
      <w:r w:rsidRPr="00A605C6">
        <w:t>omitting from Note 1</w:t>
      </w:r>
      <w:r>
        <w:t xml:space="preserve"> </w:t>
      </w:r>
      <w:r w:rsidRPr="00A605C6">
        <w:t>the words ‘Section 1.1.1—15 requires’, substituting ‘</w:t>
      </w:r>
      <w:r w:rsidRPr="00A14EBB">
        <w:t>Sections 1.1.1—15 and S26—3</w:t>
      </w:r>
      <w:r w:rsidRPr="00A605C6">
        <w:t xml:space="preserve"> require’</w:t>
      </w:r>
    </w:p>
    <w:p w14:paraId="6A61B020" w14:textId="77777777" w:rsidR="00D80534" w:rsidRDefault="00D80534" w:rsidP="00D80534">
      <w:pPr>
        <w:pStyle w:val="FSCDraftingitem"/>
        <w:rPr>
          <w:lang w:bidi="en-US"/>
        </w:rPr>
      </w:pPr>
      <w:r>
        <w:t>[2.2]</w:t>
      </w:r>
      <w:r>
        <w:tab/>
      </w:r>
      <w:r>
        <w:rPr>
          <w:lang w:bidi="en-US"/>
        </w:rPr>
        <w:t xml:space="preserve">inserting in the table to subsection </w:t>
      </w:r>
      <w:r>
        <w:t>S3—2</w:t>
      </w:r>
      <w:r>
        <w:rPr>
          <w:lang w:bidi="en-US"/>
        </w:rPr>
        <w:t>(2) in alphabetical order</w:t>
      </w:r>
    </w:p>
    <w:tbl>
      <w:tblPr>
        <w:tblStyle w:val="TableGrid5"/>
        <w:tblW w:w="660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ired by inserting '2′-O-fucosyllactose' in the table in subsection S3-2(2) in alphabetical order."/>
      </w:tblPr>
      <w:tblGrid>
        <w:gridCol w:w="4128"/>
        <w:gridCol w:w="2474"/>
      </w:tblGrid>
      <w:tr w:rsidR="00D80534" w:rsidRPr="000A329E" w14:paraId="7526AFA0" w14:textId="77777777" w:rsidTr="00A53250">
        <w:trPr>
          <w:cantSplit/>
          <w:trHeight w:val="264"/>
          <w:jc w:val="center"/>
        </w:trPr>
        <w:tc>
          <w:tcPr>
            <w:tcW w:w="4128" w:type="dxa"/>
            <w:hideMark/>
          </w:tcPr>
          <w:p w14:paraId="40AEA7BF" w14:textId="77777777" w:rsidR="00D80534" w:rsidRPr="000A329E" w:rsidRDefault="00D80534" w:rsidP="00A53250">
            <w:pPr>
              <w:pStyle w:val="FSCtblMain"/>
            </w:pPr>
            <w:r>
              <w:t>s</w:t>
            </w:r>
            <w:r w:rsidRPr="000A329E">
              <w:t>oy leghemoglobin preparation</w:t>
            </w:r>
          </w:p>
        </w:tc>
        <w:tc>
          <w:tcPr>
            <w:tcW w:w="2474" w:type="dxa"/>
            <w:hideMark/>
          </w:tcPr>
          <w:p w14:paraId="0766285A" w14:textId="77777777" w:rsidR="00D80534" w:rsidRPr="000A329E" w:rsidRDefault="00D80534" w:rsidP="00A53250">
            <w:pPr>
              <w:pStyle w:val="FSCtblMain"/>
            </w:pPr>
            <w:r w:rsidRPr="000A329E">
              <w:t>section S3—42</w:t>
            </w:r>
          </w:p>
        </w:tc>
      </w:tr>
    </w:tbl>
    <w:p w14:paraId="682C9066" w14:textId="77777777" w:rsidR="00D80534" w:rsidRDefault="00D80534" w:rsidP="00D80534">
      <w:pPr>
        <w:pStyle w:val="FSCDraftingitem"/>
      </w:pPr>
      <w:r>
        <w:t>[2.3]</w:t>
      </w:r>
      <w:r>
        <w:tab/>
      </w:r>
      <w:r w:rsidRPr="00D4700C">
        <w:t>inserting after section S3—</w:t>
      </w:r>
      <w:r>
        <w:t>41</w:t>
      </w:r>
    </w:p>
    <w:p w14:paraId="10AC7BE3" w14:textId="77777777" w:rsidR="00D80534" w:rsidRDefault="00D80534" w:rsidP="00D80534">
      <w:pPr>
        <w:pStyle w:val="FSCh5Section"/>
        <w:widowControl/>
        <w:rPr>
          <w:szCs w:val="22"/>
        </w:rPr>
      </w:pPr>
      <w:r w:rsidRPr="000A329E">
        <w:rPr>
          <w:szCs w:val="22"/>
        </w:rPr>
        <w:t>S3—42</w:t>
      </w:r>
      <w:r w:rsidRPr="000A329E">
        <w:rPr>
          <w:szCs w:val="22"/>
        </w:rPr>
        <w:tab/>
        <w:t>Specification for a soy leghemoglobin preparation</w:t>
      </w:r>
    </w:p>
    <w:p w14:paraId="44197D58" w14:textId="77777777" w:rsidR="00D80534" w:rsidRDefault="00D80534" w:rsidP="00D80534">
      <w:pPr>
        <w:pStyle w:val="FSCnMain"/>
        <w:widowControl/>
        <w:rPr>
          <w:rFonts w:eastAsia="Calibri"/>
          <w:iCs/>
          <w:sz w:val="20"/>
        </w:rPr>
      </w:pPr>
      <w:r w:rsidRPr="001D1563">
        <w:tab/>
      </w:r>
      <w:r w:rsidRPr="001D1563">
        <w:rPr>
          <w:b/>
          <w:i/>
        </w:rPr>
        <w:t>Note</w:t>
      </w:r>
      <w:r w:rsidRPr="001D1563">
        <w:t xml:space="preserve"> </w:t>
      </w:r>
      <w:r w:rsidRPr="001D1563">
        <w:tab/>
      </w:r>
      <w:r w:rsidRPr="00141676">
        <w:rPr>
          <w:szCs w:val="16"/>
        </w:rPr>
        <w:t>Subsection</w:t>
      </w:r>
      <w:r>
        <w:rPr>
          <w:szCs w:val="16"/>
        </w:rPr>
        <w:t>s</w:t>
      </w:r>
      <w:r w:rsidRPr="00141676">
        <w:rPr>
          <w:szCs w:val="16"/>
        </w:rPr>
        <w:t xml:space="preserve"> </w:t>
      </w:r>
      <w:r w:rsidRPr="00141676">
        <w:rPr>
          <w:szCs w:val="16"/>
          <w:lang w:bidi="en-US"/>
        </w:rPr>
        <w:t>S</w:t>
      </w:r>
      <w:r w:rsidRPr="00141676">
        <w:rPr>
          <w:szCs w:val="16"/>
        </w:rPr>
        <w:t>26—3</w:t>
      </w:r>
      <w:r>
        <w:rPr>
          <w:szCs w:val="16"/>
        </w:rPr>
        <w:t xml:space="preserve">(5) and </w:t>
      </w:r>
      <w:r w:rsidRPr="00141676">
        <w:rPr>
          <w:szCs w:val="16"/>
        </w:rPr>
        <w:t>(7)</w:t>
      </w:r>
      <w:r>
        <w:rPr>
          <w:szCs w:val="16"/>
        </w:rPr>
        <w:t xml:space="preserve"> require</w:t>
      </w:r>
      <w:r w:rsidRPr="00141676">
        <w:rPr>
          <w:szCs w:val="16"/>
        </w:rPr>
        <w:t xml:space="preserve"> a soy leghemoglobin preparation to comply with </w:t>
      </w:r>
      <w:r w:rsidRPr="00141676">
        <w:rPr>
          <w:rFonts w:eastAsia="Calibri"/>
          <w:szCs w:val="16"/>
        </w:rPr>
        <w:t xml:space="preserve">the specifications set out in </w:t>
      </w:r>
      <w:r>
        <w:rPr>
          <w:rFonts w:eastAsia="Calibri"/>
          <w:szCs w:val="16"/>
        </w:rPr>
        <w:t>this section</w:t>
      </w:r>
      <w:r>
        <w:rPr>
          <w:szCs w:val="16"/>
        </w:rPr>
        <w:t>.</w:t>
      </w:r>
      <w:r w:rsidRPr="003422CC">
        <w:rPr>
          <w:rFonts w:eastAsia="Calibri"/>
          <w:iCs/>
          <w:sz w:val="20"/>
        </w:rPr>
        <w:t xml:space="preserve"> </w:t>
      </w:r>
    </w:p>
    <w:p w14:paraId="20EA768E" w14:textId="77777777" w:rsidR="00D80534" w:rsidRPr="003422CC" w:rsidRDefault="00D80534" w:rsidP="00D80534">
      <w:pPr>
        <w:pStyle w:val="FSCnMain"/>
        <w:widowControl/>
        <w:rPr>
          <w:sz w:val="20"/>
          <w:lang w:val="en-US" w:eastAsia="en-GB"/>
        </w:rPr>
      </w:pPr>
      <w:r>
        <w:rPr>
          <w:b/>
          <w:i/>
        </w:rPr>
        <w:tab/>
      </w:r>
      <w:r w:rsidRPr="003422CC">
        <w:rPr>
          <w:rFonts w:eastAsia="Calibri"/>
          <w:iCs/>
          <w:sz w:val="20"/>
        </w:rPr>
        <w:t xml:space="preserve">For a </w:t>
      </w:r>
      <w:r w:rsidRPr="003422CC">
        <w:rPr>
          <w:rFonts w:eastAsia="Calibri"/>
          <w:sz w:val="20"/>
        </w:rPr>
        <w:t>soy leghemoglobin preparation, the</w:t>
      </w:r>
      <w:r w:rsidRPr="003422CC">
        <w:rPr>
          <w:rFonts w:eastAsia="Calibri"/>
          <w:iCs/>
          <w:sz w:val="20"/>
        </w:rPr>
        <w:t xml:space="preserve"> </w:t>
      </w:r>
      <w:r w:rsidRPr="003422CC">
        <w:rPr>
          <w:sz w:val="20"/>
        </w:rPr>
        <w:t>specifications are the following:</w:t>
      </w:r>
      <w:r w:rsidRPr="003422CC">
        <w:rPr>
          <w:rFonts w:ascii="Times New Roman" w:hAnsi="Times New Roman"/>
          <w:sz w:val="20"/>
          <w:lang w:val="en-AU" w:eastAsia="en-GB"/>
        </w:rPr>
        <w:t xml:space="preserve"> </w:t>
      </w:r>
    </w:p>
    <w:p w14:paraId="5DD2FA67" w14:textId="77777777" w:rsidR="00D80534" w:rsidRPr="003422CC" w:rsidRDefault="00D80534" w:rsidP="00D80534">
      <w:pPr>
        <w:pStyle w:val="FSCtPara"/>
        <w:widowControl/>
        <w:numPr>
          <w:ilvl w:val="0"/>
          <w:numId w:val="16"/>
        </w:numPr>
        <w:rPr>
          <w:rFonts w:eastAsia="Calibri"/>
          <w:szCs w:val="20"/>
        </w:rPr>
      </w:pPr>
      <w:r w:rsidRPr="003422CC">
        <w:rPr>
          <w:rFonts w:eastAsia="Calibri"/>
          <w:szCs w:val="20"/>
        </w:rPr>
        <w:t>soy leghemoglobin protein—maximum 9.0%;</w:t>
      </w:r>
    </w:p>
    <w:p w14:paraId="01DD32F0" w14:textId="77777777" w:rsidR="00D80534" w:rsidRPr="003422CC" w:rsidRDefault="00D80534" w:rsidP="00D80534">
      <w:pPr>
        <w:pStyle w:val="FSCtPara"/>
        <w:widowControl/>
        <w:numPr>
          <w:ilvl w:val="0"/>
          <w:numId w:val="16"/>
        </w:numPr>
        <w:rPr>
          <w:rFonts w:eastAsia="Calibri"/>
          <w:szCs w:val="20"/>
        </w:rPr>
      </w:pPr>
      <w:r w:rsidRPr="003422CC">
        <w:rPr>
          <w:rFonts w:eastAsia="Calibri"/>
          <w:szCs w:val="20"/>
        </w:rPr>
        <w:t>soy leghemoglobin protein purity—minimum 65%;</w:t>
      </w:r>
    </w:p>
    <w:p w14:paraId="1DF7DBC9" w14:textId="77777777" w:rsidR="00D80534" w:rsidRPr="000A329E" w:rsidRDefault="00D80534" w:rsidP="00D80534">
      <w:pPr>
        <w:pStyle w:val="FSCtPara"/>
        <w:widowControl/>
        <w:numPr>
          <w:ilvl w:val="0"/>
          <w:numId w:val="16"/>
        </w:numPr>
        <w:rPr>
          <w:rFonts w:eastAsia="Calibri"/>
          <w:szCs w:val="20"/>
        </w:rPr>
      </w:pPr>
      <w:r w:rsidRPr="003422CC">
        <w:rPr>
          <w:rFonts w:eastAsia="Calibri"/>
          <w:szCs w:val="20"/>
        </w:rPr>
        <w:t>appearance—dark red concentrated</w:t>
      </w:r>
      <w:r w:rsidRPr="000A329E">
        <w:rPr>
          <w:rFonts w:eastAsia="Calibri"/>
          <w:szCs w:val="20"/>
        </w:rPr>
        <w:t xml:space="preserve"> liquid;</w:t>
      </w:r>
    </w:p>
    <w:p w14:paraId="48B76325" w14:textId="77777777" w:rsidR="00D80534" w:rsidRPr="000A329E" w:rsidRDefault="00D80534" w:rsidP="00D80534">
      <w:pPr>
        <w:pStyle w:val="FSCtPara"/>
        <w:widowControl/>
        <w:numPr>
          <w:ilvl w:val="0"/>
          <w:numId w:val="16"/>
        </w:numPr>
        <w:rPr>
          <w:rFonts w:eastAsia="Calibri"/>
          <w:szCs w:val="20"/>
        </w:rPr>
      </w:pPr>
      <w:r w:rsidRPr="000A329E">
        <w:rPr>
          <w:rFonts w:eastAsia="Calibri"/>
          <w:szCs w:val="20"/>
        </w:rPr>
        <w:t>solids— maximum 26%;</w:t>
      </w:r>
    </w:p>
    <w:p w14:paraId="3E636AF7" w14:textId="77777777" w:rsidR="00D80534" w:rsidRPr="000A329E" w:rsidRDefault="00D80534" w:rsidP="00D80534">
      <w:pPr>
        <w:pStyle w:val="FSCtPara"/>
        <w:widowControl/>
        <w:numPr>
          <w:ilvl w:val="0"/>
          <w:numId w:val="16"/>
        </w:numPr>
        <w:rPr>
          <w:rFonts w:eastAsia="Calibri"/>
          <w:szCs w:val="20"/>
        </w:rPr>
      </w:pPr>
      <w:r w:rsidRPr="000A329E">
        <w:rPr>
          <w:rFonts w:eastAsia="Calibri"/>
          <w:szCs w:val="20"/>
        </w:rPr>
        <w:t>fat—maximum 2.0%;</w:t>
      </w:r>
    </w:p>
    <w:p w14:paraId="070B6E7C" w14:textId="77777777" w:rsidR="00D80534" w:rsidRPr="000A329E" w:rsidRDefault="00D80534" w:rsidP="00D80534">
      <w:pPr>
        <w:pStyle w:val="FSCtPara"/>
        <w:widowControl/>
        <w:numPr>
          <w:ilvl w:val="0"/>
          <w:numId w:val="16"/>
        </w:numPr>
        <w:rPr>
          <w:rFonts w:eastAsia="Calibri"/>
          <w:szCs w:val="20"/>
        </w:rPr>
      </w:pPr>
      <w:r w:rsidRPr="000A329E">
        <w:rPr>
          <w:rFonts w:eastAsia="Calibri"/>
          <w:szCs w:val="20"/>
        </w:rPr>
        <w:t>carbohydrate—maximum 6.0%;</w:t>
      </w:r>
    </w:p>
    <w:p w14:paraId="5C9A3BF9" w14:textId="77777777" w:rsidR="00D80534" w:rsidRPr="000A329E" w:rsidRDefault="00D80534" w:rsidP="00D80534">
      <w:pPr>
        <w:pStyle w:val="FSCtPara"/>
        <w:widowControl/>
        <w:numPr>
          <w:ilvl w:val="0"/>
          <w:numId w:val="16"/>
        </w:numPr>
        <w:rPr>
          <w:rFonts w:eastAsia="Calibri"/>
          <w:szCs w:val="20"/>
        </w:rPr>
      </w:pPr>
      <w:r w:rsidRPr="000A329E">
        <w:rPr>
          <w:rFonts w:eastAsia="Calibri"/>
          <w:szCs w:val="20"/>
        </w:rPr>
        <w:t>pH—5-10;</w:t>
      </w:r>
    </w:p>
    <w:p w14:paraId="23FBB0C0" w14:textId="77777777" w:rsidR="00D80534" w:rsidRPr="000A329E" w:rsidRDefault="00D80534" w:rsidP="00D80534">
      <w:pPr>
        <w:pStyle w:val="FSCtPara"/>
        <w:widowControl/>
        <w:numPr>
          <w:ilvl w:val="0"/>
          <w:numId w:val="16"/>
        </w:numPr>
        <w:rPr>
          <w:rFonts w:eastAsia="Calibri"/>
          <w:szCs w:val="20"/>
        </w:rPr>
      </w:pPr>
      <w:r w:rsidRPr="000A329E">
        <w:rPr>
          <w:rFonts w:eastAsia="Calibri"/>
          <w:szCs w:val="20"/>
        </w:rPr>
        <w:t>moisture—maximum 90%;</w:t>
      </w:r>
    </w:p>
    <w:p w14:paraId="09B881CE" w14:textId="77777777" w:rsidR="00D80534" w:rsidRPr="000A329E" w:rsidRDefault="00D80534" w:rsidP="00D80534">
      <w:pPr>
        <w:pStyle w:val="FSCtPara"/>
        <w:widowControl/>
        <w:numPr>
          <w:ilvl w:val="0"/>
          <w:numId w:val="16"/>
        </w:numPr>
        <w:rPr>
          <w:rFonts w:eastAsia="Calibri"/>
          <w:szCs w:val="20"/>
        </w:rPr>
      </w:pPr>
      <w:r w:rsidRPr="000A329E">
        <w:rPr>
          <w:rFonts w:eastAsia="Calibri"/>
          <w:szCs w:val="20"/>
        </w:rPr>
        <w:t>ash—maximum 4.0%;</w:t>
      </w:r>
    </w:p>
    <w:p w14:paraId="06587D54" w14:textId="77777777" w:rsidR="00D80534" w:rsidRPr="000A329E" w:rsidRDefault="00D80534" w:rsidP="00D80534">
      <w:pPr>
        <w:pStyle w:val="FSCtPara"/>
        <w:widowControl/>
        <w:numPr>
          <w:ilvl w:val="0"/>
          <w:numId w:val="16"/>
        </w:numPr>
        <w:rPr>
          <w:rFonts w:eastAsia="Calibri"/>
          <w:szCs w:val="20"/>
        </w:rPr>
      </w:pPr>
      <w:r w:rsidRPr="000A329E">
        <w:rPr>
          <w:rFonts w:eastAsia="Calibri"/>
          <w:szCs w:val="20"/>
        </w:rPr>
        <w:t>lead—maximum 0.4 mg/kg;</w:t>
      </w:r>
    </w:p>
    <w:p w14:paraId="0BCCA98E" w14:textId="77777777" w:rsidR="00D80534" w:rsidRPr="000A329E" w:rsidRDefault="00D80534" w:rsidP="00D80534">
      <w:pPr>
        <w:pStyle w:val="FSCtPara"/>
        <w:widowControl/>
        <w:numPr>
          <w:ilvl w:val="0"/>
          <w:numId w:val="16"/>
        </w:numPr>
        <w:rPr>
          <w:rFonts w:eastAsia="Calibri"/>
          <w:szCs w:val="20"/>
        </w:rPr>
      </w:pPr>
      <w:r w:rsidRPr="000A329E">
        <w:rPr>
          <w:rFonts w:eastAsia="Calibri"/>
          <w:szCs w:val="20"/>
        </w:rPr>
        <w:t>arsenic—maximum 0.05 mg/kg;</w:t>
      </w:r>
    </w:p>
    <w:p w14:paraId="45915C3E" w14:textId="77777777" w:rsidR="00D80534" w:rsidRPr="000A329E" w:rsidRDefault="00D80534" w:rsidP="00D80534">
      <w:pPr>
        <w:pStyle w:val="FSCtPara"/>
        <w:widowControl/>
        <w:numPr>
          <w:ilvl w:val="0"/>
          <w:numId w:val="16"/>
        </w:numPr>
        <w:rPr>
          <w:rFonts w:eastAsia="Calibri"/>
          <w:szCs w:val="20"/>
        </w:rPr>
      </w:pPr>
      <w:r w:rsidRPr="000A329E">
        <w:rPr>
          <w:rFonts w:eastAsia="Calibri"/>
          <w:szCs w:val="20"/>
        </w:rPr>
        <w:t>mercury—maximum 0.05 mg/kg;</w:t>
      </w:r>
    </w:p>
    <w:p w14:paraId="748C7E14" w14:textId="77777777" w:rsidR="00D80534" w:rsidRPr="000A329E" w:rsidRDefault="00D80534" w:rsidP="00D80534">
      <w:pPr>
        <w:pStyle w:val="FSCtPara"/>
        <w:widowControl/>
        <w:numPr>
          <w:ilvl w:val="0"/>
          <w:numId w:val="16"/>
        </w:numPr>
        <w:rPr>
          <w:rFonts w:eastAsia="Calibri"/>
          <w:szCs w:val="20"/>
        </w:rPr>
      </w:pPr>
      <w:r w:rsidRPr="000A329E">
        <w:rPr>
          <w:rFonts w:eastAsia="Calibri"/>
          <w:szCs w:val="20"/>
        </w:rPr>
        <w:t>cadmium—maximum 0.2 mg/kg;</w:t>
      </w:r>
    </w:p>
    <w:p w14:paraId="4CCDB103" w14:textId="77777777" w:rsidR="00D80534" w:rsidRPr="000A329E" w:rsidRDefault="00D80534" w:rsidP="00D80534">
      <w:pPr>
        <w:pStyle w:val="FSCtPara"/>
        <w:widowControl/>
        <w:numPr>
          <w:ilvl w:val="0"/>
          <w:numId w:val="16"/>
        </w:numPr>
        <w:rPr>
          <w:rFonts w:eastAsia="Calibri"/>
          <w:szCs w:val="20"/>
        </w:rPr>
      </w:pPr>
      <w:r w:rsidRPr="000A329E">
        <w:rPr>
          <w:rFonts w:eastAsia="Calibri"/>
          <w:szCs w:val="20"/>
        </w:rPr>
        <w:t>microbiological:</w:t>
      </w:r>
    </w:p>
    <w:p w14:paraId="0A0CA1BA" w14:textId="77777777" w:rsidR="00D80534" w:rsidRPr="000A329E" w:rsidRDefault="00D80534" w:rsidP="00D80534">
      <w:pPr>
        <w:pStyle w:val="FSCtSubpara"/>
        <w:widowControl/>
        <w:rPr>
          <w:szCs w:val="20"/>
        </w:rPr>
      </w:pPr>
      <w:r w:rsidRPr="000A329E">
        <w:rPr>
          <w:rFonts w:eastAsia="Calibri"/>
          <w:szCs w:val="20"/>
        </w:rPr>
        <w:tab/>
        <w:t>(</w:t>
      </w:r>
      <w:proofErr w:type="spellStart"/>
      <w:r w:rsidRPr="000A329E">
        <w:rPr>
          <w:rFonts w:eastAsia="Calibri"/>
          <w:szCs w:val="20"/>
        </w:rPr>
        <w:t>i</w:t>
      </w:r>
      <w:proofErr w:type="spellEnd"/>
      <w:r w:rsidRPr="000A329E">
        <w:rPr>
          <w:rFonts w:eastAsia="Calibri"/>
          <w:szCs w:val="20"/>
        </w:rPr>
        <w:t xml:space="preserve">) </w:t>
      </w:r>
      <w:r w:rsidRPr="000A329E">
        <w:rPr>
          <w:rFonts w:eastAsia="Calibri"/>
          <w:szCs w:val="20"/>
        </w:rPr>
        <w:tab/>
      </w:r>
      <w:r w:rsidRPr="000A329E">
        <w:rPr>
          <w:i/>
          <w:szCs w:val="20"/>
        </w:rPr>
        <w:t>Escherichia coli</w:t>
      </w:r>
      <w:r w:rsidRPr="000A329E">
        <w:rPr>
          <w:szCs w:val="20"/>
        </w:rPr>
        <w:t xml:space="preserve">—negative to test; </w:t>
      </w:r>
    </w:p>
    <w:p w14:paraId="21A503AF" w14:textId="77777777" w:rsidR="00D80534" w:rsidRPr="000A329E" w:rsidRDefault="00D80534" w:rsidP="00D80534">
      <w:pPr>
        <w:pStyle w:val="FSCtSubpara"/>
        <w:widowControl/>
        <w:rPr>
          <w:szCs w:val="20"/>
        </w:rPr>
      </w:pPr>
      <w:r w:rsidRPr="000A329E">
        <w:rPr>
          <w:szCs w:val="20"/>
        </w:rPr>
        <w:tab/>
        <w:t>(ii)</w:t>
      </w:r>
      <w:r w:rsidRPr="000A329E">
        <w:rPr>
          <w:szCs w:val="20"/>
        </w:rPr>
        <w:tab/>
      </w:r>
      <w:r w:rsidRPr="000A329E">
        <w:rPr>
          <w:i/>
          <w:szCs w:val="20"/>
        </w:rPr>
        <w:t>Salmonella spp</w:t>
      </w:r>
      <w:r w:rsidRPr="000A329E">
        <w:rPr>
          <w:szCs w:val="20"/>
        </w:rPr>
        <w:t xml:space="preserve">.—negative to test; </w:t>
      </w:r>
    </w:p>
    <w:p w14:paraId="528B235F" w14:textId="77777777" w:rsidR="00D80534" w:rsidRPr="00141676" w:rsidRDefault="00D80534" w:rsidP="00D80534">
      <w:pPr>
        <w:pStyle w:val="FSCtSubpara"/>
        <w:widowControl/>
        <w:rPr>
          <w:szCs w:val="20"/>
        </w:rPr>
      </w:pPr>
      <w:r w:rsidRPr="000A329E">
        <w:rPr>
          <w:szCs w:val="20"/>
        </w:rPr>
        <w:tab/>
        <w:t>(iii)</w:t>
      </w:r>
      <w:r w:rsidRPr="000A329E">
        <w:rPr>
          <w:szCs w:val="20"/>
        </w:rPr>
        <w:tab/>
        <w:t xml:space="preserve">Listeria </w:t>
      </w:r>
      <w:proofErr w:type="spellStart"/>
      <w:r w:rsidRPr="000A329E">
        <w:rPr>
          <w:szCs w:val="20"/>
        </w:rPr>
        <w:t>monocytogenes</w:t>
      </w:r>
      <w:proofErr w:type="spellEnd"/>
      <w:r w:rsidRPr="000A329E">
        <w:rPr>
          <w:szCs w:val="20"/>
        </w:rPr>
        <w:t>—negative to test.</w:t>
      </w:r>
    </w:p>
    <w:p w14:paraId="3ED8C256" w14:textId="77777777" w:rsidR="00D80534" w:rsidRPr="00D1467B" w:rsidRDefault="00D80534" w:rsidP="00D80534">
      <w:pPr>
        <w:pStyle w:val="FSCDraftingitemheading"/>
        <w:widowControl/>
        <w:rPr>
          <w:rFonts w:eastAsia="Calibri"/>
        </w:rPr>
      </w:pPr>
      <w:r>
        <w:rPr>
          <w:lang w:bidi="en-US"/>
        </w:rPr>
        <w:t>[3]</w:t>
      </w:r>
      <w:r>
        <w:rPr>
          <w:lang w:bidi="en-US"/>
        </w:rPr>
        <w:tab/>
      </w:r>
      <w:r w:rsidRPr="0097412A">
        <w:rPr>
          <w:lang w:bidi="en-US"/>
        </w:rPr>
        <w:t xml:space="preserve">Schedule </w:t>
      </w:r>
      <w:r>
        <w:rPr>
          <w:lang w:bidi="en-US"/>
        </w:rPr>
        <w:t>17</w:t>
      </w:r>
      <w:r w:rsidRPr="0097412A">
        <w:rPr>
          <w:lang w:bidi="en-US"/>
        </w:rPr>
        <w:t xml:space="preserve"> </w:t>
      </w:r>
      <w:r w:rsidRPr="00C4571C">
        <w:rPr>
          <w:b w:val="0"/>
          <w:lang w:bidi="en-US"/>
        </w:rPr>
        <w:t>is varied by</w:t>
      </w:r>
      <w:r w:rsidRPr="0097412A">
        <w:t xml:space="preserve"> </w:t>
      </w:r>
    </w:p>
    <w:p w14:paraId="1CA43A61" w14:textId="77777777" w:rsidR="00D80534" w:rsidRDefault="00D80534" w:rsidP="00D80534">
      <w:pPr>
        <w:pStyle w:val="FSCDraftingitem"/>
      </w:pPr>
      <w:r>
        <w:t>[3.1]</w:t>
      </w:r>
      <w:r>
        <w:tab/>
        <w:t>inserting in Column 2 of the table to section S17—3 for the mineral ‘Iron’, in alphabetical order</w:t>
      </w:r>
    </w:p>
    <w:p w14:paraId="63606C9C" w14:textId="77777777" w:rsidR="00D80534" w:rsidRPr="00D1467B" w:rsidRDefault="00D80534" w:rsidP="00D80534">
      <w:pPr>
        <w:pStyle w:val="FSCtblMain"/>
        <w:ind w:left="3969"/>
      </w:pPr>
      <w:r w:rsidRPr="00D1467B">
        <w:lastRenderedPageBreak/>
        <w:t>Soy leghemoglobin in a soy leghemoglobin preparation that is listed in Schedule 26 and complies with any corresponding conditions listed in that Schedule.</w:t>
      </w:r>
    </w:p>
    <w:p w14:paraId="0533808E" w14:textId="77777777" w:rsidR="00D80534" w:rsidRDefault="00D80534" w:rsidP="00D80534">
      <w:pPr>
        <w:pStyle w:val="FSCtblMainC"/>
        <w:jc w:val="left"/>
      </w:pPr>
    </w:p>
    <w:p w14:paraId="23D77FEF" w14:textId="77777777" w:rsidR="00D80534" w:rsidRDefault="00D80534" w:rsidP="00D80534">
      <w:pPr>
        <w:pStyle w:val="FSCDraftingitem"/>
      </w:pPr>
      <w:r>
        <w:t>[3.2]</w:t>
      </w:r>
      <w:r>
        <w:tab/>
        <w:t>omitting from the table to section S17—4, under the heading ‘Analogues derived from legumes’</w:t>
      </w:r>
    </w:p>
    <w:p w14:paraId="1D53BE15" w14:textId="77777777" w:rsidR="00D80534" w:rsidRPr="00406D0B" w:rsidRDefault="00D80534" w:rsidP="00D80534">
      <w:pPr>
        <w:pStyle w:val="FSCtblMain"/>
        <w:rPr>
          <w:rFonts w:eastAsiaTheme="minorHAnsi"/>
          <w:i/>
          <w:szCs w:val="22"/>
          <w:lang w:val="en-AU" w:eastAsia="en-US"/>
        </w:rPr>
      </w:pPr>
      <w:r w:rsidRPr="00406D0B">
        <w:rPr>
          <w:rFonts w:eastAsiaTheme="minorHAnsi"/>
          <w:i/>
          <w:szCs w:val="22"/>
          <w:lang w:val="en-AU" w:eastAsia="en-US"/>
        </w:rPr>
        <w:t>Analogues of meat, where no less than 12% of the energy value of the food is derived from protein, and the food contains 5 g protein per serve of the food</w:t>
      </w:r>
    </w:p>
    <w:p w14:paraId="30AFDF55" w14:textId="77777777" w:rsidR="00D80534" w:rsidRDefault="00D80534" w:rsidP="00D80534">
      <w:pPr>
        <w:pStyle w:val="FSCDraftingitem"/>
      </w:pPr>
      <w:r>
        <w:t>substituting</w:t>
      </w:r>
    </w:p>
    <w:p w14:paraId="66178017" w14:textId="77777777" w:rsidR="00D80534" w:rsidRPr="00D1467B" w:rsidRDefault="00D80534" w:rsidP="00D80534">
      <w:pPr>
        <w:pStyle w:val="FSCtblMain"/>
        <w:rPr>
          <w:rFonts w:eastAsiaTheme="minorHAnsi"/>
          <w:i/>
          <w:szCs w:val="22"/>
          <w:lang w:val="en-AU" w:eastAsia="en-US"/>
        </w:rPr>
      </w:pPr>
      <w:r w:rsidRPr="00406D0B">
        <w:rPr>
          <w:rFonts w:eastAsiaTheme="minorHAnsi"/>
          <w:i/>
          <w:szCs w:val="22"/>
          <w:lang w:val="en-AU" w:eastAsia="en-US"/>
        </w:rPr>
        <w:t xml:space="preserve">Analogues of meat, where no less than 12% of the energy value of the food is derived from protein, and the food contains </w:t>
      </w:r>
      <w:r>
        <w:rPr>
          <w:rFonts w:eastAsiaTheme="minorHAnsi"/>
          <w:i/>
          <w:szCs w:val="22"/>
          <w:lang w:val="en-AU" w:eastAsia="en-US"/>
        </w:rPr>
        <w:t xml:space="preserve">no less than </w:t>
      </w:r>
      <w:r w:rsidRPr="00406D0B">
        <w:rPr>
          <w:rFonts w:eastAsiaTheme="minorHAnsi"/>
          <w:i/>
          <w:szCs w:val="22"/>
          <w:lang w:val="en-AU" w:eastAsia="en-US"/>
        </w:rPr>
        <w:t>5 g protein per serve of the food</w:t>
      </w:r>
    </w:p>
    <w:p w14:paraId="2E99E5BF" w14:textId="77777777" w:rsidR="00D80534" w:rsidRPr="00D1467B" w:rsidRDefault="00D80534" w:rsidP="00D80534">
      <w:pPr>
        <w:pStyle w:val="FSCDraftingitem"/>
        <w:rPr>
          <w:lang w:bidi="en-US"/>
        </w:rPr>
      </w:pPr>
      <w:r w:rsidRPr="00D1467B">
        <w:rPr>
          <w:b/>
          <w:lang w:bidi="en-US"/>
        </w:rPr>
        <w:t>[</w:t>
      </w:r>
      <w:r>
        <w:rPr>
          <w:b/>
          <w:lang w:bidi="en-US"/>
        </w:rPr>
        <w:t>4</w:t>
      </w:r>
      <w:r w:rsidRPr="00D1467B">
        <w:rPr>
          <w:b/>
          <w:lang w:bidi="en-US"/>
        </w:rPr>
        <w:t>]</w:t>
      </w:r>
      <w:r w:rsidRPr="00D1467B">
        <w:rPr>
          <w:b/>
          <w:lang w:bidi="en-US"/>
        </w:rPr>
        <w:tab/>
        <w:t>Schedule 26</w:t>
      </w:r>
      <w:r w:rsidRPr="00D1467B">
        <w:rPr>
          <w:lang w:bidi="en-US"/>
        </w:rPr>
        <w:t xml:space="preserve"> is </w:t>
      </w:r>
      <w:r w:rsidRPr="00D1467B">
        <w:t>varied</w:t>
      </w:r>
      <w:r w:rsidRPr="00D1467B">
        <w:rPr>
          <w:lang w:bidi="en-US"/>
        </w:rPr>
        <w:t xml:space="preserve"> by </w:t>
      </w:r>
    </w:p>
    <w:p w14:paraId="610F9FBC" w14:textId="77777777" w:rsidR="00D80534" w:rsidRPr="00D1467B" w:rsidRDefault="00D80534" w:rsidP="00D80534">
      <w:pPr>
        <w:pStyle w:val="FSCDraftingitem"/>
        <w:rPr>
          <w:rFonts w:cs="Arial"/>
        </w:rPr>
      </w:pPr>
      <w:r>
        <w:rPr>
          <w:lang w:bidi="en-US"/>
        </w:rPr>
        <w:t>[4.</w:t>
      </w:r>
      <w:r w:rsidRPr="00D1467B">
        <w:rPr>
          <w:lang w:bidi="en-US"/>
        </w:rPr>
        <w:t>1]</w:t>
      </w:r>
      <w:r w:rsidRPr="00D1467B">
        <w:rPr>
          <w:lang w:bidi="en-US"/>
        </w:rPr>
        <w:tab/>
        <w:t xml:space="preserve">inserting </w:t>
      </w:r>
      <w:r w:rsidRPr="00D1467B">
        <w:rPr>
          <w:rFonts w:cs="Arial"/>
          <w:lang w:bidi="en-US"/>
        </w:rPr>
        <w:t xml:space="preserve">in subsection </w:t>
      </w:r>
      <w:r w:rsidRPr="00D1467B">
        <w:rPr>
          <w:rFonts w:cs="Arial"/>
        </w:rPr>
        <w:t>S26—2(2), in alphabetical order</w:t>
      </w:r>
    </w:p>
    <w:p w14:paraId="2F6FD6D9" w14:textId="77777777" w:rsidR="00D80534" w:rsidRDefault="00D80534" w:rsidP="00D80534">
      <w:pPr>
        <w:pStyle w:val="FSCtDefn"/>
        <w:widowControl/>
        <w:rPr>
          <w:rFonts w:eastAsia="Calibri"/>
          <w:szCs w:val="20"/>
        </w:rPr>
      </w:pPr>
      <w:r>
        <w:rPr>
          <w:b/>
          <w:i/>
          <w:szCs w:val="20"/>
        </w:rPr>
        <w:t>s</w:t>
      </w:r>
      <w:r w:rsidRPr="00D1467B">
        <w:rPr>
          <w:b/>
          <w:i/>
          <w:szCs w:val="20"/>
        </w:rPr>
        <w:t xml:space="preserve">oy leghemoglobin preparation </w:t>
      </w:r>
      <w:r w:rsidRPr="00D1467B">
        <w:rPr>
          <w:szCs w:val="20"/>
        </w:rPr>
        <w:t xml:space="preserve">means a </w:t>
      </w:r>
      <w:r w:rsidRPr="00D1467B">
        <w:rPr>
          <w:rFonts w:eastAsia="Calibri"/>
          <w:szCs w:val="20"/>
        </w:rPr>
        <w:t xml:space="preserve">cell lysate preparation </w:t>
      </w:r>
      <w:r>
        <w:rPr>
          <w:rFonts w:eastAsia="Calibri"/>
          <w:szCs w:val="20"/>
        </w:rPr>
        <w:t>that:</w:t>
      </w:r>
    </w:p>
    <w:p w14:paraId="70921DB8" w14:textId="40831BE1" w:rsidR="00D80534" w:rsidRPr="001D1563" w:rsidRDefault="00D80534" w:rsidP="00D80534">
      <w:pPr>
        <w:pStyle w:val="FSCtPara"/>
        <w:widowControl/>
      </w:pPr>
      <w:r w:rsidRPr="001D1563">
        <w:tab/>
        <w:t>(a)</w:t>
      </w:r>
      <w:r w:rsidRPr="001D1563">
        <w:tab/>
      </w:r>
      <w:r>
        <w:t xml:space="preserve">is derived from </w:t>
      </w:r>
      <w:r w:rsidRPr="00D1467B">
        <w:rPr>
          <w:rFonts w:eastAsia="Calibri"/>
          <w:i/>
          <w:lang w:val="en-AU"/>
        </w:rPr>
        <w:t xml:space="preserve">Pichia </w:t>
      </w:r>
      <w:r w:rsidR="000C58F5">
        <w:rPr>
          <w:rFonts w:eastAsia="Calibri"/>
          <w:i/>
          <w:lang w:val="en-AU"/>
        </w:rPr>
        <w:t>p</w:t>
      </w:r>
      <w:r w:rsidRPr="00D1467B">
        <w:rPr>
          <w:rFonts w:eastAsia="Calibri"/>
          <w:i/>
          <w:lang w:val="en-AU"/>
        </w:rPr>
        <w:t>astoris</w:t>
      </w:r>
      <w:r w:rsidRPr="00D1467B">
        <w:rPr>
          <w:rFonts w:eastAsia="Calibri"/>
          <w:lang w:val="en-AU"/>
        </w:rPr>
        <w:t xml:space="preserve"> containing the gene for leghemoglobin c2 from </w:t>
      </w:r>
      <w:r w:rsidRPr="00D1467B">
        <w:rPr>
          <w:rFonts w:eastAsia="Calibri"/>
          <w:i/>
          <w:lang w:val="en-AU"/>
        </w:rPr>
        <w:t>Glycine max</w:t>
      </w:r>
      <w:r>
        <w:rPr>
          <w:rFonts w:eastAsia="Calibri"/>
          <w:lang w:val="en-AU"/>
        </w:rPr>
        <w:t xml:space="preserve">; </w:t>
      </w:r>
      <w:r>
        <w:t>and</w:t>
      </w:r>
    </w:p>
    <w:p w14:paraId="308B0259" w14:textId="77777777" w:rsidR="00D80534" w:rsidRPr="001D1563" w:rsidRDefault="00D80534" w:rsidP="00D80534">
      <w:pPr>
        <w:pStyle w:val="FSCtPara"/>
        <w:widowControl/>
      </w:pPr>
      <w:r w:rsidRPr="001D1563">
        <w:tab/>
        <w:t>(b)</w:t>
      </w:r>
      <w:r w:rsidRPr="001D1563">
        <w:tab/>
      </w:r>
      <w:r w:rsidRPr="00D1467B">
        <w:rPr>
          <w:rFonts w:eastAsia="Calibri"/>
          <w:szCs w:val="20"/>
          <w:lang w:val="en-AU"/>
        </w:rPr>
        <w:t xml:space="preserve">contains </w:t>
      </w:r>
      <w:r w:rsidRPr="00D1467B">
        <w:rPr>
          <w:rFonts w:eastAsia="Calibri"/>
          <w:szCs w:val="20"/>
        </w:rPr>
        <w:t>soy leghemoglobin</w:t>
      </w:r>
      <w:r>
        <w:rPr>
          <w:rFonts w:eastAsia="Calibri"/>
          <w:szCs w:val="20"/>
        </w:rPr>
        <w:t>.</w:t>
      </w:r>
    </w:p>
    <w:p w14:paraId="5FE5D663" w14:textId="77777777" w:rsidR="00D80534" w:rsidRDefault="00D80534" w:rsidP="00D80534">
      <w:pPr>
        <w:pStyle w:val="FSCDraftingitem"/>
      </w:pPr>
      <w:r>
        <w:rPr>
          <w:lang w:bidi="en-US"/>
        </w:rPr>
        <w:t xml:space="preserve"> [4</w:t>
      </w:r>
      <w:r w:rsidRPr="00D1467B">
        <w:rPr>
          <w:lang w:bidi="en-US"/>
        </w:rPr>
        <w:t>.2]</w:t>
      </w:r>
      <w:r w:rsidRPr="002C5F28">
        <w:rPr>
          <w:color w:val="FF0000"/>
          <w:lang w:bidi="en-US"/>
        </w:rPr>
        <w:tab/>
      </w:r>
      <w:r>
        <w:rPr>
          <w:lang w:bidi="en-US"/>
        </w:rPr>
        <w:t xml:space="preserve">inserting in the table to subsection </w:t>
      </w:r>
      <w:r w:rsidRPr="00944B9D">
        <w:rPr>
          <w:lang w:bidi="en-US"/>
        </w:rPr>
        <w:t>S</w:t>
      </w:r>
      <w:r w:rsidRPr="00944B9D">
        <w:t>26—</w:t>
      </w:r>
      <w:r>
        <w:t>3(7), in numerical order</w:t>
      </w:r>
    </w:p>
    <w:tbl>
      <w:tblPr>
        <w:tblW w:w="9214" w:type="dxa"/>
        <w:tblCellMar>
          <w:left w:w="0" w:type="dxa"/>
          <w:right w:w="0" w:type="dxa"/>
        </w:tblCellMar>
        <w:tblLook w:val="04A0" w:firstRow="1" w:lastRow="0" w:firstColumn="1" w:lastColumn="0" w:noHBand="0" w:noVBand="1"/>
      </w:tblPr>
      <w:tblGrid>
        <w:gridCol w:w="321"/>
        <w:gridCol w:w="1626"/>
        <w:gridCol w:w="223"/>
        <w:gridCol w:w="3359"/>
        <w:gridCol w:w="3685"/>
      </w:tblGrid>
      <w:tr w:rsidR="00D80534" w:rsidRPr="00D1467B" w14:paraId="670CD289" w14:textId="77777777" w:rsidTr="00A53250">
        <w:trPr>
          <w:cantSplit/>
          <w:trHeight w:val="243"/>
        </w:trPr>
        <w:tc>
          <w:tcPr>
            <w:tcW w:w="321" w:type="dxa"/>
            <w:tcMar>
              <w:top w:w="0" w:type="dxa"/>
              <w:left w:w="108" w:type="dxa"/>
              <w:bottom w:w="0" w:type="dxa"/>
              <w:right w:w="108" w:type="dxa"/>
            </w:tcMar>
            <w:hideMark/>
          </w:tcPr>
          <w:p w14:paraId="0F5E8DCD" w14:textId="77777777" w:rsidR="00D80534" w:rsidRPr="00D1467B" w:rsidRDefault="00D80534" w:rsidP="00A53250">
            <w:pPr>
              <w:pStyle w:val="FSCtblMain"/>
              <w:rPr>
                <w:b/>
              </w:rPr>
            </w:pPr>
            <w:r w:rsidRPr="00D1467B">
              <w:rPr>
                <w:b/>
              </w:rPr>
              <w:t>3</w:t>
            </w:r>
          </w:p>
        </w:tc>
        <w:tc>
          <w:tcPr>
            <w:tcW w:w="1626" w:type="dxa"/>
            <w:tcMar>
              <w:top w:w="0" w:type="dxa"/>
              <w:left w:w="108" w:type="dxa"/>
              <w:bottom w:w="0" w:type="dxa"/>
              <w:right w:w="108" w:type="dxa"/>
            </w:tcMar>
            <w:hideMark/>
          </w:tcPr>
          <w:p w14:paraId="3972B249" w14:textId="77777777" w:rsidR="00D80534" w:rsidRPr="00B33C32" w:rsidRDefault="00D80534" w:rsidP="00A53250">
            <w:pPr>
              <w:pStyle w:val="FSCtblMain"/>
              <w:rPr>
                <w:b/>
              </w:rPr>
            </w:pPr>
            <w:r w:rsidRPr="00B33C32">
              <w:rPr>
                <w:b/>
              </w:rPr>
              <w:t xml:space="preserve">Soy leghemoglobin preparation </w:t>
            </w:r>
          </w:p>
        </w:tc>
        <w:tc>
          <w:tcPr>
            <w:tcW w:w="223" w:type="dxa"/>
          </w:tcPr>
          <w:p w14:paraId="002E78EF" w14:textId="77777777" w:rsidR="00D80534" w:rsidRPr="00D1467B" w:rsidRDefault="00D80534" w:rsidP="00A53250">
            <w:pPr>
              <w:widowControl/>
              <w:spacing w:before="60" w:after="60"/>
              <w:ind w:left="347" w:hanging="347"/>
              <w:rPr>
                <w:rFonts w:cs="Arial"/>
                <w:sz w:val="18"/>
                <w:szCs w:val="18"/>
                <w:lang w:eastAsia="en-GB"/>
              </w:rPr>
            </w:pPr>
          </w:p>
        </w:tc>
        <w:tc>
          <w:tcPr>
            <w:tcW w:w="3359" w:type="dxa"/>
            <w:tcMar>
              <w:top w:w="0" w:type="dxa"/>
              <w:left w:w="108" w:type="dxa"/>
              <w:bottom w:w="0" w:type="dxa"/>
              <w:right w:w="108" w:type="dxa"/>
            </w:tcMar>
            <w:hideMark/>
          </w:tcPr>
          <w:p w14:paraId="11E21735" w14:textId="77777777" w:rsidR="00D80534" w:rsidRPr="00D1467B" w:rsidRDefault="00D80534" w:rsidP="00A53250">
            <w:pPr>
              <w:pStyle w:val="FSCtblMain"/>
              <w:rPr>
                <w:szCs w:val="18"/>
              </w:rPr>
            </w:pPr>
            <w:r w:rsidRPr="00D1467B">
              <w:rPr>
                <w:rFonts w:eastAsia="Calibri"/>
                <w:i/>
                <w:lang w:val="en-AU"/>
              </w:rPr>
              <w:t>Pichia Pastoris</w:t>
            </w:r>
            <w:r w:rsidRPr="00D1467B">
              <w:rPr>
                <w:rFonts w:eastAsia="Calibri"/>
                <w:lang w:val="en-AU"/>
              </w:rPr>
              <w:t xml:space="preserve"> containing the gene for leghemoglobin c2 from </w:t>
            </w:r>
            <w:r w:rsidRPr="00D1467B">
              <w:rPr>
                <w:rFonts w:eastAsia="Calibri"/>
                <w:i/>
                <w:lang w:val="en-AU"/>
              </w:rPr>
              <w:t>Glycine max</w:t>
            </w:r>
          </w:p>
        </w:tc>
        <w:tc>
          <w:tcPr>
            <w:tcW w:w="3685" w:type="dxa"/>
          </w:tcPr>
          <w:p w14:paraId="29A11071" w14:textId="77777777" w:rsidR="00D80534" w:rsidRPr="00D1467B" w:rsidRDefault="00D80534" w:rsidP="00A53250">
            <w:pPr>
              <w:widowControl/>
              <w:numPr>
                <w:ilvl w:val="0"/>
                <w:numId w:val="15"/>
              </w:numPr>
              <w:tabs>
                <w:tab w:val="left" w:pos="0"/>
              </w:tabs>
              <w:spacing w:before="60" w:after="60"/>
              <w:ind w:left="339" w:right="34" w:hanging="339"/>
              <w:contextualSpacing/>
              <w:rPr>
                <w:rFonts w:eastAsia="Calibri" w:cs="Arial"/>
                <w:sz w:val="18"/>
                <w:szCs w:val="18"/>
                <w:lang w:eastAsia="en-GB"/>
              </w:rPr>
            </w:pPr>
            <w:r w:rsidRPr="00D1467B">
              <w:rPr>
                <w:rFonts w:eastAsia="Calibri" w:cs="Arial"/>
                <w:sz w:val="18"/>
                <w:szCs w:val="18"/>
                <w:lang w:eastAsia="en-AU"/>
              </w:rPr>
              <w:t xml:space="preserve">May only be added to </w:t>
            </w:r>
            <w:r w:rsidRPr="00D1467B">
              <w:rPr>
                <w:sz w:val="18"/>
                <w:szCs w:val="18"/>
              </w:rPr>
              <w:t xml:space="preserve">a meat analogue product to enable the use in that product of soy leghemoglobin </w:t>
            </w:r>
            <w:r w:rsidRPr="00D1467B">
              <w:rPr>
                <w:rFonts w:eastAsia="Calibri" w:cs="Arial"/>
                <w:sz w:val="18"/>
                <w:szCs w:val="18"/>
                <w:lang w:eastAsia="en-AU"/>
              </w:rPr>
              <w:t>as a nutritive substance in accordance with Standard 1.3.2.</w:t>
            </w:r>
          </w:p>
          <w:p w14:paraId="23008C23" w14:textId="77777777" w:rsidR="00D80534" w:rsidRPr="00D1467B" w:rsidRDefault="00D80534" w:rsidP="00A53250">
            <w:pPr>
              <w:widowControl/>
              <w:numPr>
                <w:ilvl w:val="0"/>
                <w:numId w:val="15"/>
              </w:numPr>
              <w:tabs>
                <w:tab w:val="left" w:pos="0"/>
              </w:tabs>
              <w:spacing w:before="60" w:after="60"/>
              <w:ind w:left="339" w:right="36" w:hanging="339"/>
              <w:contextualSpacing/>
              <w:rPr>
                <w:rFonts w:eastAsia="Calibri" w:cs="Arial"/>
                <w:sz w:val="18"/>
                <w:szCs w:val="18"/>
                <w:lang w:eastAsia="en-GB"/>
              </w:rPr>
            </w:pPr>
            <w:r w:rsidRPr="00D7544F">
              <w:rPr>
                <w:rFonts w:eastAsia="Calibri" w:cs="Arial"/>
                <w:sz w:val="18"/>
                <w:szCs w:val="18"/>
                <w:lang w:eastAsia="en-AU"/>
              </w:rPr>
              <w:t xml:space="preserve">Must comply with the specifications set out in section </w:t>
            </w:r>
            <w:r w:rsidRPr="00D7544F">
              <w:rPr>
                <w:sz w:val="18"/>
                <w:szCs w:val="18"/>
              </w:rPr>
              <w:t>S3—42.</w:t>
            </w:r>
          </w:p>
        </w:tc>
      </w:tr>
    </w:tbl>
    <w:p w14:paraId="71F5B7F8" w14:textId="77777777" w:rsidR="00D80534" w:rsidRPr="00D1467B" w:rsidRDefault="00D80534" w:rsidP="00D80534">
      <w:pPr>
        <w:pStyle w:val="FSCDraftingitem"/>
      </w:pPr>
    </w:p>
    <w:p w14:paraId="7A9F9C00" w14:textId="77777777" w:rsidR="00D80534" w:rsidRPr="00795D86" w:rsidRDefault="00D80534" w:rsidP="00D80534">
      <w:pPr>
        <w:widowControl/>
        <w:rPr>
          <w:lang w:bidi="ar-SA"/>
        </w:rPr>
      </w:pPr>
    </w:p>
    <w:p w14:paraId="5830B664" w14:textId="77777777" w:rsidR="00D80534" w:rsidRDefault="00D80534" w:rsidP="00D80534">
      <w:pPr>
        <w:widowControl/>
        <w:rPr>
          <w:lang w:val="en-AU" w:eastAsia="en-GB" w:bidi="ar-SA"/>
        </w:rPr>
      </w:pPr>
      <w:r w:rsidRPr="00932F14">
        <w:br w:type="page"/>
      </w:r>
    </w:p>
    <w:p w14:paraId="5E605EFF" w14:textId="576162D7" w:rsidR="007617C7" w:rsidRPr="00714C81" w:rsidRDefault="007617C7" w:rsidP="00714C81">
      <w:pPr>
        <w:pStyle w:val="Heading2"/>
      </w:pPr>
      <w:bookmarkStart w:id="320" w:name="_Toc58840833"/>
      <w:r w:rsidRPr="00714C81">
        <w:lastRenderedPageBreak/>
        <w:t>Attachment B – Explanatory Statement</w:t>
      </w:r>
      <w:bookmarkEnd w:id="314"/>
      <w:bookmarkEnd w:id="315"/>
      <w:bookmarkEnd w:id="316"/>
      <w:bookmarkEnd w:id="317"/>
      <w:bookmarkEnd w:id="318"/>
      <w:bookmarkEnd w:id="319"/>
      <w:bookmarkEnd w:id="320"/>
    </w:p>
    <w:p w14:paraId="32293D38" w14:textId="77777777" w:rsidR="007617C7" w:rsidRPr="00B51A46" w:rsidRDefault="007617C7" w:rsidP="006E51EF">
      <w:pPr>
        <w:widowControl/>
        <w:spacing w:after="240"/>
        <w:rPr>
          <w:b/>
          <w:lang w:val="en-AU"/>
        </w:rPr>
      </w:pPr>
      <w:r w:rsidRPr="00B51A46">
        <w:rPr>
          <w:b/>
          <w:lang w:val="en-AU"/>
        </w:rPr>
        <w:t>1.</w:t>
      </w:r>
      <w:r w:rsidRPr="00B51A46">
        <w:rPr>
          <w:b/>
          <w:lang w:val="en-AU"/>
        </w:rPr>
        <w:tab/>
        <w:t>Authority</w:t>
      </w:r>
    </w:p>
    <w:p w14:paraId="731E6C5A" w14:textId="77777777" w:rsidR="007617C7" w:rsidRPr="00D13E34" w:rsidRDefault="007617C7" w:rsidP="006E51E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12F9ED2" w14:textId="77777777" w:rsidR="007617C7" w:rsidRPr="00D13E34" w:rsidRDefault="007617C7" w:rsidP="006E51EF">
      <w:pPr>
        <w:widowControl/>
        <w:autoSpaceDE w:val="0"/>
        <w:autoSpaceDN w:val="0"/>
        <w:adjustRightInd w:val="0"/>
        <w:rPr>
          <w:rFonts w:eastAsia="Calibri" w:cs="Arial"/>
          <w:bCs/>
          <w:szCs w:val="22"/>
          <w:lang w:val="en-AU" w:bidi="ar-SA"/>
        </w:rPr>
      </w:pPr>
    </w:p>
    <w:p w14:paraId="4AECCE4E" w14:textId="77777777" w:rsidR="007617C7" w:rsidRPr="009D435A" w:rsidRDefault="007617C7" w:rsidP="006E51EF">
      <w:pPr>
        <w:widowControl/>
        <w:autoSpaceDE w:val="0"/>
        <w:autoSpaceDN w:val="0"/>
        <w:adjustRightInd w:val="0"/>
        <w:rPr>
          <w:rFonts w:eastAsia="Calibri" w:cs="Arial"/>
          <w:szCs w:val="22"/>
          <w:lang w:val="en-AU" w:bidi="ar-SA"/>
        </w:rPr>
      </w:pPr>
      <w:r w:rsidRPr="009D435A">
        <w:rPr>
          <w:rFonts w:eastAsia="Calibri" w:cs="Arial"/>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9B37574" w14:textId="77777777" w:rsidR="007617C7" w:rsidRPr="009D435A" w:rsidRDefault="007617C7" w:rsidP="006E51EF">
      <w:pPr>
        <w:widowControl/>
        <w:autoSpaceDE w:val="0"/>
        <w:autoSpaceDN w:val="0"/>
        <w:adjustRightInd w:val="0"/>
        <w:rPr>
          <w:rFonts w:eastAsia="Calibri" w:cs="Arial"/>
          <w:szCs w:val="22"/>
          <w:lang w:val="en-AU" w:bidi="ar-SA"/>
        </w:rPr>
      </w:pPr>
    </w:p>
    <w:p w14:paraId="74ADCB4A" w14:textId="2C93BFF8" w:rsidR="007617C7" w:rsidRDefault="007617C7" w:rsidP="006E51EF">
      <w:pPr>
        <w:widowControl/>
        <w:autoSpaceDE w:val="0"/>
        <w:autoSpaceDN w:val="0"/>
        <w:adjustRightInd w:val="0"/>
        <w:rPr>
          <w:rFonts w:eastAsia="Calibri" w:cs="Arial"/>
          <w:szCs w:val="22"/>
          <w:lang w:val="en-AU" w:bidi="ar-SA"/>
        </w:rPr>
      </w:pPr>
      <w:r>
        <w:rPr>
          <w:rFonts w:eastAsia="Calibri" w:cs="Arial"/>
          <w:szCs w:val="22"/>
          <w:lang w:val="en-AU" w:bidi="ar-SA"/>
        </w:rPr>
        <w:t>The Authority</w:t>
      </w:r>
      <w:r w:rsidRPr="009D435A">
        <w:rPr>
          <w:rFonts w:eastAsia="Calibri" w:cs="Arial"/>
          <w:szCs w:val="22"/>
          <w:lang w:val="en-AU" w:bidi="ar-SA"/>
        </w:rPr>
        <w:t xml:space="preserve"> accepted Application A1186 which sought to permit the voluntary </w:t>
      </w:r>
      <w:r>
        <w:rPr>
          <w:rFonts w:eastAsia="Calibri" w:cs="Arial"/>
          <w:szCs w:val="22"/>
          <w:lang w:val="en-AU" w:bidi="ar-SA"/>
        </w:rPr>
        <w:t>use</w:t>
      </w:r>
      <w:r w:rsidRPr="009D435A">
        <w:rPr>
          <w:rFonts w:eastAsia="Calibri" w:cs="Arial"/>
          <w:szCs w:val="22"/>
          <w:lang w:val="en-AU" w:bidi="ar-SA"/>
        </w:rPr>
        <w:t xml:space="preserve"> of </w:t>
      </w:r>
      <w:r>
        <w:rPr>
          <w:rFonts w:eastAsia="Calibri" w:cs="Arial"/>
          <w:szCs w:val="22"/>
          <w:lang w:val="en-AU" w:bidi="ar-SA"/>
        </w:rPr>
        <w:t xml:space="preserve">a </w:t>
      </w:r>
      <w:r w:rsidRPr="009D435A">
        <w:rPr>
          <w:rFonts w:eastAsia="Calibri" w:cs="Arial"/>
          <w:szCs w:val="22"/>
          <w:lang w:val="en-AU" w:bidi="ar-SA"/>
        </w:rPr>
        <w:t>soy leghemoglobin, produced by microbial fermentation of a GM yeast (</w:t>
      </w:r>
      <w:r w:rsidRPr="009D435A">
        <w:rPr>
          <w:rFonts w:eastAsia="Calibri" w:cs="Arial"/>
          <w:i/>
          <w:szCs w:val="22"/>
          <w:lang w:val="en-AU" w:bidi="ar-SA"/>
        </w:rPr>
        <w:t>P</w:t>
      </w:r>
      <w:r w:rsidR="00EA3CBA">
        <w:rPr>
          <w:rFonts w:eastAsia="Calibri" w:cs="Arial"/>
          <w:i/>
          <w:szCs w:val="22"/>
          <w:lang w:val="en-AU" w:bidi="ar-SA"/>
        </w:rPr>
        <w:t>ichia</w:t>
      </w:r>
      <w:r w:rsidRPr="009D435A">
        <w:rPr>
          <w:rFonts w:eastAsia="Calibri" w:cs="Arial"/>
          <w:i/>
          <w:szCs w:val="22"/>
          <w:lang w:val="en-AU" w:bidi="ar-SA"/>
        </w:rPr>
        <w:t xml:space="preserve"> </w:t>
      </w:r>
      <w:r w:rsidR="00EA3CBA">
        <w:rPr>
          <w:rFonts w:eastAsia="Calibri" w:cs="Arial"/>
          <w:i/>
          <w:szCs w:val="22"/>
          <w:lang w:val="en-AU" w:bidi="ar-SA"/>
        </w:rPr>
        <w:t>p</w:t>
      </w:r>
      <w:r w:rsidRPr="009D435A">
        <w:rPr>
          <w:rFonts w:eastAsia="Calibri" w:cs="Arial"/>
          <w:i/>
          <w:szCs w:val="22"/>
          <w:lang w:val="en-AU" w:bidi="ar-SA"/>
        </w:rPr>
        <w:t>astoris</w:t>
      </w:r>
      <w:r w:rsidRPr="009D435A">
        <w:rPr>
          <w:rFonts w:eastAsia="Calibri" w:cs="Arial"/>
          <w:szCs w:val="22"/>
          <w:lang w:val="en-AU" w:bidi="ar-SA"/>
        </w:rPr>
        <w:t>),</w:t>
      </w:r>
      <w:r w:rsidR="006E05D9">
        <w:rPr>
          <w:rFonts w:eastAsia="Calibri" w:cs="Arial"/>
          <w:szCs w:val="22"/>
          <w:lang w:val="en-AU" w:bidi="ar-SA"/>
        </w:rPr>
        <w:t xml:space="preserve"> in a soy leghemoglobin preparation</w:t>
      </w:r>
      <w:r w:rsidRPr="009D435A">
        <w:rPr>
          <w:rFonts w:eastAsia="Calibri" w:cs="Arial"/>
          <w:szCs w:val="22"/>
          <w:lang w:val="en-AU" w:bidi="ar-SA"/>
        </w:rPr>
        <w:t xml:space="preserve"> to meat analogue products</w:t>
      </w:r>
      <w:r w:rsidR="00AD11FE">
        <w:rPr>
          <w:rFonts w:eastAsia="Calibri" w:cs="Arial"/>
          <w:szCs w:val="22"/>
          <w:lang w:val="en-AU" w:bidi="ar-SA"/>
        </w:rPr>
        <w:t xml:space="preserve"> </w:t>
      </w:r>
      <w:r w:rsidR="00AD11FE">
        <w:t>at levels not more than 0.8% weight for weight (w/w</w:t>
      </w:r>
      <w:r w:rsidR="00AD11FE">
        <w:rPr>
          <w:rStyle w:val="FootnoteReference"/>
        </w:rPr>
        <w:footnoteReference w:id="16"/>
      </w:r>
      <w:r w:rsidR="00AD11FE">
        <w:t>) in raw product</w:t>
      </w:r>
      <w:r w:rsidRPr="009D435A">
        <w:rPr>
          <w:rFonts w:eastAsia="Calibri" w:cs="Arial"/>
          <w:szCs w:val="22"/>
          <w:lang w:val="en-AU" w:bidi="ar-SA"/>
        </w:rPr>
        <w:t xml:space="preserve">. The Authority considered the Application in accordance with Division 1 of Part 3 and has </w:t>
      </w:r>
      <w:r w:rsidR="00907EE5">
        <w:rPr>
          <w:rFonts w:eastAsia="Calibri" w:cs="Arial"/>
          <w:szCs w:val="22"/>
          <w:lang w:val="en-AU" w:bidi="ar-SA"/>
        </w:rPr>
        <w:t>approved</w:t>
      </w:r>
      <w:r w:rsidR="00907EE5" w:rsidRPr="009D435A">
        <w:rPr>
          <w:rFonts w:eastAsia="Calibri" w:cs="Arial"/>
          <w:szCs w:val="22"/>
          <w:lang w:val="en-AU" w:bidi="ar-SA"/>
        </w:rPr>
        <w:t xml:space="preserve"> </w:t>
      </w:r>
      <w:r w:rsidRPr="009D435A">
        <w:rPr>
          <w:rFonts w:eastAsia="Calibri" w:cs="Arial"/>
          <w:szCs w:val="22"/>
          <w:lang w:val="en-AU" w:bidi="ar-SA"/>
        </w:rPr>
        <w:t xml:space="preserve">a draft variation to the Code. </w:t>
      </w:r>
    </w:p>
    <w:p w14:paraId="64A3D708" w14:textId="4053FD13" w:rsidR="00AD11FE" w:rsidRDefault="00AD11FE" w:rsidP="006E51EF">
      <w:pPr>
        <w:widowControl/>
        <w:autoSpaceDE w:val="0"/>
        <w:autoSpaceDN w:val="0"/>
        <w:adjustRightInd w:val="0"/>
        <w:rPr>
          <w:rFonts w:eastAsia="Calibri" w:cs="Arial"/>
          <w:szCs w:val="22"/>
          <w:lang w:val="en-AU" w:bidi="ar-SA"/>
        </w:rPr>
      </w:pPr>
    </w:p>
    <w:p w14:paraId="0494D3C4" w14:textId="77777777" w:rsidR="00AD11FE" w:rsidRPr="00AD11FE" w:rsidRDefault="00AD11FE" w:rsidP="00AD11FE">
      <w:pPr>
        <w:widowControl/>
        <w:autoSpaceDE w:val="0"/>
        <w:autoSpaceDN w:val="0"/>
        <w:adjustRightInd w:val="0"/>
        <w:rPr>
          <w:rFonts w:eastAsia="Calibri" w:cs="Arial"/>
          <w:bCs/>
          <w:szCs w:val="22"/>
          <w:lang w:val="en-AU" w:bidi="ar-SA"/>
        </w:rPr>
      </w:pPr>
      <w:r w:rsidRPr="00AD11FE">
        <w:rPr>
          <w:rFonts w:eastAsia="Calibri" w:cs="Arial"/>
          <w:bCs/>
          <w:szCs w:val="22"/>
          <w:lang w:val="en-AU" w:bidi="ar-SA"/>
        </w:rPr>
        <w:t xml:space="preserve">Following consideration by the </w:t>
      </w:r>
      <w:r w:rsidRPr="00AD11FE">
        <w:rPr>
          <w:rFonts w:cs="Helvetica"/>
          <w:lang w:val="en-AU"/>
        </w:rPr>
        <w:t xml:space="preserve">Australia and New Zealand Ministerial Forum on Food </w:t>
      </w:r>
      <w:r w:rsidRPr="00AD11FE">
        <w:rPr>
          <w:rFonts w:cs="Arial"/>
        </w:rPr>
        <w:t>Regulation</w:t>
      </w:r>
      <w:r w:rsidRPr="00AD11FE">
        <w:rPr>
          <w:rFonts w:eastAsia="Calibri" w:cs="Arial"/>
          <w:bCs/>
          <w:szCs w:val="22"/>
          <w:lang w:val="en-AU" w:bidi="ar-SA"/>
        </w:rPr>
        <w:t xml:space="preserve">, section 92 of the FSANZ Act stipulates that the Authority must publish a notice about the standard or draft variation of a standard. </w:t>
      </w:r>
    </w:p>
    <w:p w14:paraId="5C8CC059" w14:textId="77777777" w:rsidR="00AD11FE" w:rsidRPr="00AD11FE" w:rsidRDefault="00AD11FE" w:rsidP="00AD11FE">
      <w:pPr>
        <w:widowControl/>
        <w:autoSpaceDE w:val="0"/>
        <w:autoSpaceDN w:val="0"/>
        <w:adjustRightInd w:val="0"/>
        <w:rPr>
          <w:rFonts w:eastAsia="Calibri" w:cs="Arial"/>
          <w:bCs/>
          <w:szCs w:val="22"/>
          <w:lang w:val="en-AU" w:bidi="ar-SA"/>
        </w:rPr>
      </w:pPr>
    </w:p>
    <w:p w14:paraId="1EBBEE60" w14:textId="77777777" w:rsidR="00AD11FE" w:rsidRPr="00AD11FE" w:rsidRDefault="00AD11FE" w:rsidP="00AD11FE">
      <w:pPr>
        <w:widowControl/>
        <w:autoSpaceDE w:val="0"/>
        <w:autoSpaceDN w:val="0"/>
        <w:adjustRightInd w:val="0"/>
        <w:rPr>
          <w:rFonts w:eastAsia="Calibri" w:cs="Arial"/>
          <w:color w:val="000000"/>
          <w:szCs w:val="22"/>
          <w:lang w:val="en-AU" w:bidi="ar-SA"/>
        </w:rPr>
      </w:pPr>
      <w:r w:rsidRPr="00AD11FE">
        <w:rPr>
          <w:rFonts w:eastAsia="Calibri" w:cs="Arial"/>
          <w:bCs/>
          <w:color w:val="000000"/>
          <w:szCs w:val="22"/>
          <w:lang w:val="en-AU" w:bidi="ar-SA"/>
        </w:rPr>
        <w:t>Section 94 of the FSANZ Act specifies that a</w:t>
      </w:r>
      <w:r w:rsidRPr="00AD11FE">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w:t>
      </w:r>
      <w:proofErr w:type="spellStart"/>
      <w:r w:rsidRPr="00AD11FE">
        <w:rPr>
          <w:rFonts w:eastAsia="Calibri" w:cs="Arial"/>
          <w:color w:val="000000"/>
          <w:szCs w:val="22"/>
          <w:lang w:val="en-AU" w:bidi="ar-SA"/>
        </w:rPr>
        <w:t>sunsetting</w:t>
      </w:r>
      <w:proofErr w:type="spellEnd"/>
      <w:r w:rsidRPr="00AD11FE">
        <w:rPr>
          <w:rFonts w:eastAsia="Calibri" w:cs="Arial"/>
          <w:color w:val="000000"/>
          <w:szCs w:val="22"/>
          <w:lang w:val="en-AU" w:bidi="ar-SA"/>
        </w:rPr>
        <w:t xml:space="preserve"> under the </w:t>
      </w:r>
      <w:r w:rsidRPr="00AD11FE">
        <w:rPr>
          <w:rFonts w:eastAsia="Calibri" w:cs="Arial"/>
          <w:i/>
          <w:color w:val="000000"/>
          <w:szCs w:val="22"/>
          <w:lang w:val="en-AU" w:bidi="ar-SA"/>
        </w:rPr>
        <w:t>Legislation Act 2003</w:t>
      </w:r>
      <w:r w:rsidRPr="00AD11FE">
        <w:rPr>
          <w:rFonts w:eastAsia="Calibri" w:cs="Arial"/>
          <w:color w:val="000000"/>
          <w:szCs w:val="22"/>
          <w:lang w:val="en-AU" w:bidi="ar-SA"/>
        </w:rPr>
        <w:t>.</w:t>
      </w:r>
    </w:p>
    <w:p w14:paraId="4A5CC24E" w14:textId="32E8CBAF" w:rsidR="007617C7" w:rsidRPr="00B51A46" w:rsidRDefault="007617C7" w:rsidP="006E51EF">
      <w:pPr>
        <w:widowControl/>
        <w:spacing w:before="240" w:after="240"/>
        <w:rPr>
          <w:b/>
          <w:lang w:val="en-AU"/>
        </w:rPr>
      </w:pPr>
      <w:r w:rsidRPr="00B51A46">
        <w:rPr>
          <w:b/>
          <w:lang w:val="en-AU"/>
        </w:rPr>
        <w:t>2.</w:t>
      </w:r>
      <w:r w:rsidRPr="00B51A46">
        <w:rPr>
          <w:b/>
          <w:lang w:val="en-AU"/>
        </w:rPr>
        <w:tab/>
        <w:t xml:space="preserve">Purpose </w:t>
      </w:r>
    </w:p>
    <w:p w14:paraId="6396FDE1" w14:textId="68B9135F" w:rsidR="007617C7" w:rsidRDefault="007617C7" w:rsidP="006E51EF">
      <w:pPr>
        <w:widowControl/>
      </w:pPr>
      <w:r>
        <w:rPr>
          <w:lang w:val="en-AU" w:eastAsia="en-GB" w:bidi="ar-SA"/>
        </w:rPr>
        <w:t xml:space="preserve">The Authority has </w:t>
      </w:r>
      <w:r w:rsidR="00BD1A7F">
        <w:rPr>
          <w:lang w:val="en-AU" w:eastAsia="en-GB" w:bidi="ar-SA"/>
        </w:rPr>
        <w:t xml:space="preserve">approved </w:t>
      </w:r>
      <w:r w:rsidRPr="00E03188">
        <w:rPr>
          <w:lang w:val="en-AU" w:eastAsia="en-GB" w:bidi="ar-SA"/>
        </w:rPr>
        <w:t xml:space="preserve">a draft variation </w:t>
      </w:r>
      <w:r>
        <w:rPr>
          <w:lang w:val="en-AU" w:eastAsia="en-GB" w:bidi="ar-SA"/>
        </w:rPr>
        <w:t>amending</w:t>
      </w:r>
      <w:r w:rsidRPr="00E03188">
        <w:rPr>
          <w:lang w:val="en-AU" w:eastAsia="en-GB" w:bidi="ar-SA"/>
        </w:rPr>
        <w:t xml:space="preserve"> the Code to</w:t>
      </w:r>
      <w:r>
        <w:rPr>
          <w:lang w:val="en-AU" w:eastAsia="en-GB" w:bidi="ar-SA"/>
        </w:rPr>
        <w:t xml:space="preserve"> permit iron in the form of </w:t>
      </w:r>
      <w:r>
        <w:t xml:space="preserve">soy leghemoglobin, produced in a particular way, to be used as a nutritive substance in meat analogue products to which section S17—4 applies, up to a specified maximum level. </w:t>
      </w:r>
    </w:p>
    <w:p w14:paraId="32968EE2" w14:textId="77777777" w:rsidR="007617C7" w:rsidRDefault="007617C7" w:rsidP="006E51EF">
      <w:pPr>
        <w:widowControl/>
      </w:pPr>
    </w:p>
    <w:p w14:paraId="54F44E64" w14:textId="77777777" w:rsidR="007617C7" w:rsidRDefault="007617C7" w:rsidP="006E51EF">
      <w:pPr>
        <w:widowControl/>
      </w:pPr>
      <w:r>
        <w:t>The soy leghemoglobin must be in a soy leghemoglobin preparation that is listed in Schedule 26 and complies with corresponding conditions listed in that Schedule.</w:t>
      </w:r>
    </w:p>
    <w:p w14:paraId="3B702773" w14:textId="77777777" w:rsidR="007617C7" w:rsidRDefault="007617C7" w:rsidP="006E51EF">
      <w:pPr>
        <w:widowControl/>
      </w:pPr>
    </w:p>
    <w:p w14:paraId="58A62770" w14:textId="77777777" w:rsidR="007617C7" w:rsidRDefault="007617C7" w:rsidP="006E51EF">
      <w:pPr>
        <w:widowControl/>
      </w:pPr>
      <w:r>
        <w:t xml:space="preserve">The draft variation includes amendments to Standard 1.3.2, and Schedules 3, 17 and 26 to achieve this purpose. </w:t>
      </w:r>
    </w:p>
    <w:p w14:paraId="7943EA85" w14:textId="77777777" w:rsidR="007617C7" w:rsidRPr="00B51A46" w:rsidRDefault="007617C7" w:rsidP="006E51EF">
      <w:pPr>
        <w:widowControl/>
        <w:spacing w:before="240" w:after="240"/>
        <w:rPr>
          <w:b/>
          <w:lang w:val="en-AU"/>
        </w:rPr>
      </w:pPr>
      <w:r w:rsidRPr="00B51A46">
        <w:rPr>
          <w:b/>
          <w:lang w:val="en-AU"/>
        </w:rPr>
        <w:t>3.</w:t>
      </w:r>
      <w:r w:rsidRPr="00B51A46">
        <w:rPr>
          <w:b/>
          <w:lang w:val="en-AU"/>
        </w:rPr>
        <w:tab/>
        <w:t>Documents incorporated by reference</w:t>
      </w:r>
    </w:p>
    <w:p w14:paraId="3D88F3AB" w14:textId="77777777" w:rsidR="007617C7" w:rsidRPr="00B16C8E" w:rsidRDefault="007617C7" w:rsidP="006E51EF">
      <w:pPr>
        <w:widowControl/>
        <w:autoSpaceDE w:val="0"/>
        <w:autoSpaceDN w:val="0"/>
        <w:adjustRightInd w:val="0"/>
        <w:rPr>
          <w:rFonts w:eastAsia="Calibri" w:cs="Arial"/>
          <w:szCs w:val="22"/>
          <w:lang w:val="en-AU" w:bidi="ar-SA"/>
        </w:rPr>
      </w:pPr>
      <w:r w:rsidRPr="00D13E34">
        <w:rPr>
          <w:rFonts w:eastAsia="Calibri" w:cs="Arial"/>
          <w:bCs/>
          <w:szCs w:val="22"/>
          <w:lang w:val="en-AU" w:bidi="ar-SA"/>
        </w:rPr>
        <w:t>The variations to food regulatory measures do not incorporate any documents by reference.</w:t>
      </w:r>
    </w:p>
    <w:p w14:paraId="49F8AAA2" w14:textId="77777777" w:rsidR="007617C7" w:rsidRPr="00B51A46" w:rsidRDefault="007617C7" w:rsidP="006E51EF">
      <w:pPr>
        <w:widowControl/>
        <w:spacing w:before="240" w:after="240"/>
        <w:rPr>
          <w:b/>
          <w:lang w:val="en-AU"/>
        </w:rPr>
      </w:pPr>
      <w:r w:rsidRPr="00B51A46">
        <w:rPr>
          <w:b/>
          <w:lang w:val="en-AU"/>
        </w:rPr>
        <w:t>4.</w:t>
      </w:r>
      <w:r w:rsidRPr="00B51A46">
        <w:rPr>
          <w:b/>
          <w:lang w:val="en-AU"/>
        </w:rPr>
        <w:tab/>
        <w:t>Consultation</w:t>
      </w:r>
    </w:p>
    <w:p w14:paraId="63B6D594" w14:textId="308B0AE8" w:rsidR="007617C7" w:rsidRPr="006C6CCA" w:rsidRDefault="007617C7" w:rsidP="006E51EF">
      <w:pPr>
        <w:widowControl/>
      </w:pPr>
      <w:r w:rsidRPr="00F634A1">
        <w:rPr>
          <w:szCs w:val="22"/>
        </w:rPr>
        <w:t xml:space="preserve">In accordance with the procedure in Division </w:t>
      </w:r>
      <w:r w:rsidRPr="006C6CCA">
        <w:rPr>
          <w:szCs w:val="22"/>
        </w:rPr>
        <w:t xml:space="preserve">1 </w:t>
      </w:r>
      <w:r w:rsidRPr="00F634A1">
        <w:rPr>
          <w:szCs w:val="22"/>
        </w:rPr>
        <w:t xml:space="preserve">of Part </w:t>
      </w:r>
      <w:r w:rsidRPr="006C6CCA">
        <w:rPr>
          <w:szCs w:val="22"/>
        </w:rPr>
        <w:t xml:space="preserve">3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6C6CCA">
        <w:rPr>
          <w:szCs w:val="22"/>
        </w:rPr>
        <w:t xml:space="preserve">Application A1186 </w:t>
      </w:r>
      <w:r w:rsidR="00BD1A7F" w:rsidRPr="006C6CCA">
        <w:rPr>
          <w:szCs w:val="22"/>
        </w:rPr>
        <w:t>include</w:t>
      </w:r>
      <w:r w:rsidR="00BD1A7F">
        <w:rPr>
          <w:szCs w:val="22"/>
        </w:rPr>
        <w:t>d</w:t>
      </w:r>
      <w:r w:rsidR="00BD1A7F" w:rsidRPr="006C6CCA">
        <w:rPr>
          <w:szCs w:val="22"/>
        </w:rPr>
        <w:t xml:space="preserve"> </w:t>
      </w:r>
      <w:r w:rsidRPr="006C6CCA">
        <w:rPr>
          <w:szCs w:val="22"/>
        </w:rPr>
        <w:t xml:space="preserve">a total of two public </w:t>
      </w:r>
      <w:r w:rsidR="00BD1A7F">
        <w:rPr>
          <w:szCs w:val="22"/>
        </w:rPr>
        <w:t xml:space="preserve">and one targeted </w:t>
      </w:r>
      <w:r w:rsidRPr="006C6CCA">
        <w:rPr>
          <w:szCs w:val="22"/>
        </w:rPr>
        <w:t>consultation rounds following an assessment and the preparation of a draft variation and associated assessment summaries.</w:t>
      </w:r>
    </w:p>
    <w:p w14:paraId="782C689A" w14:textId="77777777" w:rsidR="007617C7" w:rsidRDefault="007617C7" w:rsidP="006E51EF">
      <w:pPr>
        <w:widowControl/>
        <w:rPr>
          <w:szCs w:val="22"/>
        </w:rPr>
      </w:pPr>
    </w:p>
    <w:p w14:paraId="5AB5D3FB" w14:textId="2D115A4E" w:rsidR="007617C7" w:rsidRDefault="007617C7" w:rsidP="006E51EF">
      <w:pPr>
        <w:widowControl/>
      </w:pPr>
      <w:r>
        <w:rPr>
          <w:szCs w:val="22"/>
        </w:rPr>
        <w:t xml:space="preserve">Submissions were first called for on the Authority’s safety and risk assessment, and preliminary regulatory position </w:t>
      </w:r>
      <w:r>
        <w:t>on 20 December 2020 for a</w:t>
      </w:r>
      <w:r w:rsidR="000E78FE">
        <w:t xml:space="preserve">n eight </w:t>
      </w:r>
      <w:r>
        <w:t>week consultation period</w:t>
      </w:r>
      <w:r w:rsidR="00DB0193">
        <w:t xml:space="preserve">, </w:t>
      </w:r>
      <w:r w:rsidR="00DB0193">
        <w:lastRenderedPageBreak/>
        <w:t>after which the Authority undertook targeted consultation with interested Australian enforcement agencies and the New Zealand Ministry of Primary Industries</w:t>
      </w:r>
    </w:p>
    <w:p w14:paraId="5C849B92" w14:textId="482EF5A4" w:rsidR="00DB0193" w:rsidRDefault="00DB0193" w:rsidP="006E51EF">
      <w:pPr>
        <w:widowControl/>
        <w:rPr>
          <w:rFonts w:eastAsia="Calibri"/>
          <w:szCs w:val="22"/>
        </w:rPr>
      </w:pPr>
    </w:p>
    <w:p w14:paraId="4C926D71" w14:textId="7C257DC5" w:rsidR="00DB0193" w:rsidRDefault="00DB0193" w:rsidP="006E51EF">
      <w:pPr>
        <w:widowControl/>
        <w:rPr>
          <w:rFonts w:eastAsia="Calibri"/>
          <w:szCs w:val="22"/>
        </w:rPr>
      </w:pPr>
      <w:r>
        <w:rPr>
          <w:rFonts w:eastAsia="Calibri"/>
          <w:szCs w:val="22"/>
        </w:rPr>
        <w:t>A second consultation was undertaken on the Authority’s proposed draft variation to the Code on 6 August 2020 for a 6 week consultation period.</w:t>
      </w:r>
    </w:p>
    <w:p w14:paraId="0C921DBA" w14:textId="77777777" w:rsidR="007617C7" w:rsidRPr="006C6CCA" w:rsidRDefault="007617C7" w:rsidP="006E51EF">
      <w:pPr>
        <w:widowControl/>
        <w:rPr>
          <w:rFonts w:eastAsia="Calibri"/>
          <w:lang w:val="en-AU" w:bidi="ar-SA"/>
        </w:rPr>
      </w:pPr>
    </w:p>
    <w:p w14:paraId="5C8B1E5E" w14:textId="77777777" w:rsidR="007617C7" w:rsidRDefault="007617C7" w:rsidP="006E51EF">
      <w:pPr>
        <w:widowControl/>
        <w:autoSpaceDE w:val="0"/>
        <w:autoSpaceDN w:val="0"/>
        <w:adjustRightInd w:val="0"/>
        <w:rPr>
          <w:rFonts w:eastAsia="Calibri" w:cs="Arial"/>
          <w:szCs w:val="22"/>
          <w:lang w:val="en-AU" w:bidi="ar-SA"/>
        </w:rPr>
      </w:pPr>
      <w:r w:rsidRPr="006C6CCA">
        <w:rPr>
          <w:rFonts w:eastAsia="Calibri" w:cs="Arial"/>
          <w:szCs w:val="22"/>
          <w:lang w:val="en-AU" w:bidi="ar-SA"/>
        </w:rPr>
        <w:t>A Regulation Impact Statement</w:t>
      </w:r>
      <w:r>
        <w:rPr>
          <w:rFonts w:eastAsia="Calibri" w:cs="Arial"/>
          <w:szCs w:val="22"/>
          <w:lang w:val="en-AU" w:bidi="ar-SA"/>
        </w:rPr>
        <w:t xml:space="preserve"> (RIS)</w:t>
      </w:r>
      <w:r w:rsidRPr="006C6CCA">
        <w:rPr>
          <w:rFonts w:eastAsia="Calibri" w:cs="Arial"/>
          <w:szCs w:val="22"/>
          <w:lang w:val="en-AU" w:bidi="ar-SA"/>
        </w:rPr>
        <w:t xml:space="preserve"> was not required because </w:t>
      </w:r>
      <w:r>
        <w:rPr>
          <w:rFonts w:eastAsia="Calibri" w:cs="Arial"/>
          <w:szCs w:val="22"/>
          <w:lang w:val="en-AU" w:bidi="ar-SA"/>
        </w:rPr>
        <w:t>t</w:t>
      </w:r>
      <w:r w:rsidRPr="00EB555F">
        <w:rPr>
          <w:rFonts w:eastAsia="Calibri" w:cs="Arial"/>
          <w:szCs w:val="22"/>
          <w:lang w:val="en-AU" w:bidi="ar-SA"/>
        </w:rPr>
        <w:t>he Office of Best Practice Regulation (OBPR) gra</w:t>
      </w:r>
      <w:r>
        <w:rPr>
          <w:rFonts w:eastAsia="Calibri" w:cs="Arial"/>
          <w:szCs w:val="22"/>
          <w:lang w:val="en-AU" w:bidi="ar-SA"/>
        </w:rPr>
        <w:t xml:space="preserve">nted FSANZ a standing exemption, </w:t>
      </w:r>
      <w:r w:rsidRPr="00EB555F">
        <w:rPr>
          <w:rFonts w:eastAsia="Calibri" w:cs="Arial"/>
          <w:szCs w:val="22"/>
          <w:lang w:val="en-AU" w:bidi="ar-SA"/>
        </w:rPr>
        <w:t>permit</w:t>
      </w:r>
      <w:r>
        <w:rPr>
          <w:rFonts w:eastAsia="Calibri" w:cs="Arial"/>
          <w:szCs w:val="22"/>
          <w:lang w:val="en-AU" w:bidi="ar-SA"/>
        </w:rPr>
        <w:t>ting:</w:t>
      </w:r>
    </w:p>
    <w:p w14:paraId="6018E605" w14:textId="77777777" w:rsidR="007617C7" w:rsidRDefault="007617C7" w:rsidP="006E51EF">
      <w:pPr>
        <w:widowControl/>
        <w:autoSpaceDE w:val="0"/>
        <w:autoSpaceDN w:val="0"/>
        <w:adjustRightInd w:val="0"/>
        <w:rPr>
          <w:rFonts w:eastAsia="Calibri" w:cs="Arial"/>
          <w:szCs w:val="22"/>
          <w:lang w:val="en-AU" w:bidi="ar-SA"/>
        </w:rPr>
      </w:pPr>
    </w:p>
    <w:p w14:paraId="363D40E8" w14:textId="77777777" w:rsidR="007617C7" w:rsidRPr="000143DF" w:rsidRDefault="007617C7" w:rsidP="00FF61AD">
      <w:pPr>
        <w:pStyle w:val="ListParagraph"/>
        <w:widowControl/>
        <w:numPr>
          <w:ilvl w:val="0"/>
          <w:numId w:val="26"/>
        </w:numPr>
        <w:autoSpaceDE w:val="0"/>
        <w:autoSpaceDN w:val="0"/>
        <w:adjustRightInd w:val="0"/>
        <w:rPr>
          <w:rFonts w:eastAsiaTheme="minorHAnsi" w:cs="Arial"/>
          <w:szCs w:val="22"/>
        </w:rPr>
      </w:pPr>
      <w:r>
        <w:rPr>
          <w:rFonts w:eastAsia="Calibri" w:cs="Arial"/>
          <w:szCs w:val="22"/>
          <w:lang w:val="en-AU" w:bidi="ar-SA"/>
        </w:rPr>
        <w:t>the voluntary use of</w:t>
      </w:r>
      <w:r w:rsidRPr="000143DF">
        <w:rPr>
          <w:rFonts w:eastAsia="Calibri" w:cs="Arial"/>
          <w:szCs w:val="22"/>
          <w:lang w:val="en-AU" w:bidi="ar-SA"/>
        </w:rPr>
        <w:t xml:space="preserve"> genetically modified food (OBPR correspondence dated 24 November 2010, reference 12065)</w:t>
      </w:r>
      <w:r>
        <w:rPr>
          <w:rFonts w:eastAsia="Calibri" w:cs="Arial"/>
          <w:szCs w:val="22"/>
          <w:lang w:val="en-AU" w:bidi="ar-SA"/>
        </w:rPr>
        <w:t>, and</w:t>
      </w:r>
    </w:p>
    <w:p w14:paraId="66EFDE1E" w14:textId="77777777" w:rsidR="007617C7" w:rsidRPr="000143DF" w:rsidRDefault="007617C7" w:rsidP="00FF61AD">
      <w:pPr>
        <w:pStyle w:val="ListParagraph"/>
        <w:widowControl/>
        <w:numPr>
          <w:ilvl w:val="0"/>
          <w:numId w:val="26"/>
        </w:numPr>
        <w:autoSpaceDE w:val="0"/>
        <w:autoSpaceDN w:val="0"/>
        <w:adjustRightInd w:val="0"/>
        <w:rPr>
          <w:rFonts w:eastAsiaTheme="minorHAnsi" w:cs="Arial"/>
          <w:szCs w:val="22"/>
        </w:rPr>
      </w:pPr>
      <w:r>
        <w:rPr>
          <w:rFonts w:cs="Arial"/>
          <w:lang w:val="en-AU"/>
        </w:rPr>
        <w:t>the voluntary addition of nutritive substances to foods (OBPR correspondence dated 16 April 2013, reference 14943).</w:t>
      </w:r>
    </w:p>
    <w:p w14:paraId="1B291CF0" w14:textId="77777777" w:rsidR="007617C7" w:rsidRDefault="007617C7" w:rsidP="006E51EF">
      <w:pPr>
        <w:widowControl/>
        <w:autoSpaceDE w:val="0"/>
        <w:autoSpaceDN w:val="0"/>
        <w:adjustRightInd w:val="0"/>
        <w:rPr>
          <w:rFonts w:eastAsia="Calibri" w:cs="Arial"/>
          <w:szCs w:val="22"/>
          <w:lang w:val="en-AU" w:bidi="ar-SA"/>
        </w:rPr>
      </w:pPr>
    </w:p>
    <w:p w14:paraId="1347D637" w14:textId="08EFBBE7" w:rsidR="007617C7" w:rsidRPr="000143DF" w:rsidRDefault="007617C7" w:rsidP="006E51EF">
      <w:pPr>
        <w:widowControl/>
        <w:autoSpaceDE w:val="0"/>
        <w:autoSpaceDN w:val="0"/>
        <w:adjustRightInd w:val="0"/>
        <w:rPr>
          <w:rFonts w:eastAsiaTheme="minorHAnsi" w:cs="Arial"/>
          <w:szCs w:val="22"/>
        </w:rPr>
      </w:pPr>
      <w:r w:rsidRPr="000143DF">
        <w:rPr>
          <w:rFonts w:eastAsia="Calibri" w:cs="Arial"/>
          <w:szCs w:val="22"/>
          <w:lang w:val="en-AU" w:bidi="ar-SA"/>
        </w:rPr>
        <w:t xml:space="preserve">The </w:t>
      </w:r>
      <w:r>
        <w:rPr>
          <w:lang w:bidi="ar-SA"/>
        </w:rPr>
        <w:t xml:space="preserve">use of soy leghemoglobin in </w:t>
      </w:r>
      <w:r w:rsidR="00DB0193">
        <w:rPr>
          <w:lang w:bidi="ar-SA"/>
        </w:rPr>
        <w:t>a soy leghemoglobin preparation</w:t>
      </w:r>
      <w:r>
        <w:rPr>
          <w:lang w:bidi="ar-SA"/>
        </w:rPr>
        <w:t xml:space="preserve"> </w:t>
      </w:r>
      <w:r w:rsidR="004722A9">
        <w:rPr>
          <w:lang w:bidi="ar-SA"/>
        </w:rPr>
        <w:t xml:space="preserve">as a nutritive substance in </w:t>
      </w:r>
      <w:r>
        <w:rPr>
          <w:lang w:bidi="ar-SA"/>
        </w:rPr>
        <w:t>meat analogue products</w:t>
      </w:r>
      <w:r w:rsidR="004722A9">
        <w:rPr>
          <w:lang w:bidi="ar-SA"/>
        </w:rPr>
        <w:t>,</w:t>
      </w:r>
      <w:r>
        <w:rPr>
          <w:lang w:bidi="ar-SA"/>
        </w:rPr>
        <w:t xml:space="preserve"> as </w:t>
      </w:r>
      <w:r w:rsidR="004722A9">
        <w:rPr>
          <w:lang w:bidi="ar-SA"/>
        </w:rPr>
        <w:t>proposed</w:t>
      </w:r>
      <w:r>
        <w:rPr>
          <w:lang w:bidi="ar-SA"/>
        </w:rPr>
        <w:t>, is voluntary</w:t>
      </w:r>
      <w:r w:rsidRPr="006C6CCA">
        <w:t xml:space="preserve">. </w:t>
      </w:r>
      <w:r>
        <w:t xml:space="preserve">In addition, </w:t>
      </w:r>
      <w:r w:rsidRPr="000143DF">
        <w:rPr>
          <w:bCs/>
        </w:rPr>
        <w:t>permission</w:t>
      </w:r>
      <w:r w:rsidR="004722A9">
        <w:rPr>
          <w:bCs/>
        </w:rPr>
        <w:t>s in the draft variation</w:t>
      </w:r>
      <w:r w:rsidRPr="000143DF">
        <w:rPr>
          <w:bCs/>
        </w:rPr>
        <w:t xml:space="preserve"> </w:t>
      </w:r>
      <w:r w:rsidR="004722A9">
        <w:rPr>
          <w:szCs w:val="22"/>
        </w:rPr>
        <w:t>are</w:t>
      </w:r>
      <w:r w:rsidR="004722A9" w:rsidRPr="000143DF">
        <w:rPr>
          <w:szCs w:val="22"/>
        </w:rPr>
        <w:t xml:space="preserve"> </w:t>
      </w:r>
      <w:r w:rsidRPr="000143DF">
        <w:rPr>
          <w:szCs w:val="22"/>
        </w:rPr>
        <w:t xml:space="preserve">likely to have only a minor impact on business and individuals because </w:t>
      </w:r>
      <w:r w:rsidR="004722A9">
        <w:rPr>
          <w:szCs w:val="22"/>
        </w:rPr>
        <w:t>they are</w:t>
      </w:r>
      <w:r w:rsidRPr="000143DF">
        <w:rPr>
          <w:bCs/>
        </w:rPr>
        <w:t xml:space="preserve"> minor, deregulatory change</w:t>
      </w:r>
      <w:r w:rsidR="004722A9">
        <w:rPr>
          <w:bCs/>
        </w:rPr>
        <w:t>s</w:t>
      </w:r>
      <w:r w:rsidRPr="000143DF">
        <w:rPr>
          <w:bCs/>
        </w:rPr>
        <w:t xml:space="preserve"> that allow for the introduction of a food product to the food supply which has been determined to be safe.</w:t>
      </w:r>
    </w:p>
    <w:p w14:paraId="45F1CA35" w14:textId="77777777" w:rsidR="007617C7" w:rsidRPr="00B51A46" w:rsidRDefault="007617C7" w:rsidP="006E51EF">
      <w:pPr>
        <w:widowControl/>
        <w:spacing w:before="240" w:after="240"/>
        <w:rPr>
          <w:rFonts w:eastAsiaTheme="minorHAnsi"/>
          <w:b/>
          <w:lang w:val="en-AU"/>
        </w:rPr>
      </w:pPr>
      <w:r w:rsidRPr="00B51A46">
        <w:rPr>
          <w:rFonts w:eastAsiaTheme="minorHAnsi"/>
          <w:b/>
          <w:lang w:val="en-AU"/>
        </w:rPr>
        <w:t>5.</w:t>
      </w:r>
      <w:r w:rsidRPr="00B51A46">
        <w:rPr>
          <w:rFonts w:eastAsiaTheme="minorHAnsi"/>
          <w:b/>
          <w:lang w:val="en-AU"/>
        </w:rPr>
        <w:tab/>
        <w:t>Statement of compatibility with human rights</w:t>
      </w:r>
    </w:p>
    <w:p w14:paraId="67E71F01" w14:textId="77777777" w:rsidR="007617C7" w:rsidRDefault="007617C7" w:rsidP="006E51EF">
      <w:pPr>
        <w:widowControl/>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89D5BB5" w14:textId="77777777" w:rsidR="007617C7" w:rsidRPr="00B51A46" w:rsidRDefault="007617C7" w:rsidP="006E51EF">
      <w:pPr>
        <w:widowControl/>
        <w:spacing w:before="240" w:after="240"/>
        <w:rPr>
          <w:b/>
          <w:lang w:val="en-AU"/>
        </w:rPr>
      </w:pPr>
      <w:r w:rsidRPr="00B51A46">
        <w:rPr>
          <w:b/>
        </w:rPr>
        <w:t>6.</w:t>
      </w:r>
      <w:r w:rsidRPr="00B51A46">
        <w:rPr>
          <w:b/>
        </w:rPr>
        <w:tab/>
      </w:r>
      <w:r w:rsidRPr="00B51A46">
        <w:rPr>
          <w:b/>
          <w:lang w:val="en-AU"/>
        </w:rPr>
        <w:t>Variation</w:t>
      </w:r>
    </w:p>
    <w:p w14:paraId="37D3E946" w14:textId="77777777" w:rsidR="007617C7" w:rsidRPr="00A9218D" w:rsidRDefault="007617C7" w:rsidP="006E51EF">
      <w:pPr>
        <w:widowControl/>
        <w:rPr>
          <w:b/>
        </w:rPr>
      </w:pPr>
      <w:r w:rsidRPr="00A9218D">
        <w:rPr>
          <w:b/>
          <w:i/>
        </w:rPr>
        <w:t xml:space="preserve">Item [1] </w:t>
      </w:r>
    </w:p>
    <w:p w14:paraId="57A8F6F3" w14:textId="77777777" w:rsidR="007617C7" w:rsidRDefault="007617C7" w:rsidP="006E51EF">
      <w:pPr>
        <w:widowControl/>
      </w:pPr>
    </w:p>
    <w:p w14:paraId="08169DED" w14:textId="77777777" w:rsidR="007617C7" w:rsidRDefault="007617C7" w:rsidP="006E51EF">
      <w:pPr>
        <w:widowControl/>
      </w:pPr>
      <w:r>
        <w:t xml:space="preserve">Item </w:t>
      </w:r>
      <w:r w:rsidRPr="003F2261">
        <w:t>[1]</w:t>
      </w:r>
      <w:r>
        <w:t xml:space="preserve"> varies</w:t>
      </w:r>
      <w:r w:rsidRPr="003F2261">
        <w:t xml:space="preserve"> Standard 1.3.2 </w:t>
      </w:r>
      <w:r>
        <w:t>by inserting after section 1.3.2—7, new section 1.3.2—8, which lists conditions for the permitted use of soy leghemoglobin as a nutritive substance.</w:t>
      </w:r>
      <w:r w:rsidRPr="00A9218D">
        <w:t xml:space="preserve"> </w:t>
      </w:r>
      <w:r>
        <w:t xml:space="preserve">The conditions are: </w:t>
      </w:r>
    </w:p>
    <w:p w14:paraId="66B531CF" w14:textId="77777777" w:rsidR="007617C7" w:rsidRDefault="007617C7" w:rsidP="006E51EF">
      <w:pPr>
        <w:widowControl/>
      </w:pPr>
    </w:p>
    <w:p w14:paraId="5044D28D" w14:textId="77777777" w:rsidR="007617C7" w:rsidRDefault="007617C7" w:rsidP="00FF61AD">
      <w:pPr>
        <w:pStyle w:val="ListParagraph"/>
        <w:widowControl/>
        <w:numPr>
          <w:ilvl w:val="0"/>
          <w:numId w:val="17"/>
        </w:numPr>
      </w:pPr>
      <w:r>
        <w:t>iron in the form of soy leghemoglobin must not be used as a nutritive substance in food other than meat analogue products to which section S17—4 applies; and</w:t>
      </w:r>
    </w:p>
    <w:p w14:paraId="7B4E4AD4" w14:textId="77777777" w:rsidR="007617C7" w:rsidRDefault="007617C7" w:rsidP="00FF61AD">
      <w:pPr>
        <w:pStyle w:val="ListParagraph"/>
        <w:widowControl/>
        <w:numPr>
          <w:ilvl w:val="0"/>
          <w:numId w:val="17"/>
        </w:numPr>
      </w:pPr>
      <w:r w:rsidRPr="00565461">
        <w:t xml:space="preserve">soy leghemoglobin must not be present in a meat analogue product in its raw state at a </w:t>
      </w:r>
      <w:r>
        <w:t>concentration greater than 0.8%.</w:t>
      </w:r>
    </w:p>
    <w:p w14:paraId="05999E88" w14:textId="77777777" w:rsidR="007617C7" w:rsidRDefault="007617C7" w:rsidP="006E51EF">
      <w:pPr>
        <w:widowControl/>
      </w:pPr>
    </w:p>
    <w:p w14:paraId="71637017" w14:textId="77777777" w:rsidR="007617C7" w:rsidRPr="00565461" w:rsidRDefault="007617C7" w:rsidP="006E51EF">
      <w:pPr>
        <w:widowControl/>
        <w:rPr>
          <w:b/>
        </w:rPr>
      </w:pPr>
      <w:r w:rsidRPr="00565461">
        <w:rPr>
          <w:b/>
          <w:i/>
        </w:rPr>
        <w:t xml:space="preserve">Item [2] </w:t>
      </w:r>
    </w:p>
    <w:p w14:paraId="0ED01466" w14:textId="77777777" w:rsidR="007617C7" w:rsidRDefault="007617C7" w:rsidP="006E51EF">
      <w:pPr>
        <w:widowControl/>
      </w:pPr>
    </w:p>
    <w:p w14:paraId="5FAB5236" w14:textId="77777777" w:rsidR="007617C7" w:rsidRDefault="007617C7" w:rsidP="006E51EF">
      <w:pPr>
        <w:widowControl/>
      </w:pPr>
      <w:r>
        <w:t>Item [2] makes the following amendments to Schedule 3.</w:t>
      </w:r>
    </w:p>
    <w:p w14:paraId="4A7DD48F" w14:textId="77777777" w:rsidR="007617C7" w:rsidRDefault="007617C7" w:rsidP="006E51EF">
      <w:pPr>
        <w:widowControl/>
      </w:pPr>
    </w:p>
    <w:p w14:paraId="58503DDA" w14:textId="38AD265A" w:rsidR="007617C7" w:rsidRDefault="007617C7" w:rsidP="006E51EF">
      <w:pPr>
        <w:widowControl/>
      </w:pPr>
      <w:r>
        <w:t xml:space="preserve">Sub-item [2.1] varies </w:t>
      </w:r>
      <w:r w:rsidRPr="00A605C6">
        <w:t>Note 1</w:t>
      </w:r>
      <w:r>
        <w:t xml:space="preserve"> of Schedule 3 by omitting </w:t>
      </w:r>
      <w:r w:rsidRPr="00A605C6">
        <w:t xml:space="preserve">the words </w:t>
      </w:r>
      <w:r>
        <w:t>‘</w:t>
      </w:r>
      <w:r w:rsidRPr="00A605C6">
        <w:t>Section 1.1.1—15 requires</w:t>
      </w:r>
      <w:r>
        <w:t>’</w:t>
      </w:r>
      <w:r w:rsidRPr="00A605C6">
        <w:t>,</w:t>
      </w:r>
      <w:r>
        <w:t xml:space="preserve"> and</w:t>
      </w:r>
      <w:r w:rsidRPr="00A605C6">
        <w:t xml:space="preserve"> substituting </w:t>
      </w:r>
      <w:r>
        <w:t>‘</w:t>
      </w:r>
      <w:r w:rsidRPr="006A1E43">
        <w:rPr>
          <w:rFonts w:cs="Arial"/>
          <w:szCs w:val="22"/>
        </w:rPr>
        <w:t>Section</w:t>
      </w:r>
      <w:r>
        <w:rPr>
          <w:rFonts w:cs="Arial"/>
          <w:szCs w:val="22"/>
        </w:rPr>
        <w:t>s</w:t>
      </w:r>
      <w:r w:rsidRPr="006A1E43">
        <w:rPr>
          <w:rFonts w:cs="Arial"/>
          <w:szCs w:val="22"/>
        </w:rPr>
        <w:t xml:space="preserve"> 1.1.1—15 and </w:t>
      </w:r>
      <w:r w:rsidRPr="00F151B5">
        <w:rPr>
          <w:szCs w:val="22"/>
        </w:rPr>
        <w:t>S</w:t>
      </w:r>
      <w:r w:rsidRPr="00A605C6">
        <w:t>26—</w:t>
      </w:r>
      <w:r>
        <w:t>3 require’. The effect of this amendment is to explain that</w:t>
      </w:r>
      <w:r w:rsidRPr="00A605C6">
        <w:t xml:space="preserve"> </w:t>
      </w:r>
      <w:r>
        <w:rPr>
          <w:rFonts w:cs="Arial"/>
          <w:szCs w:val="22"/>
        </w:rPr>
        <w:t xml:space="preserve">section </w:t>
      </w:r>
      <w:r w:rsidRPr="00F151B5">
        <w:rPr>
          <w:szCs w:val="22"/>
        </w:rPr>
        <w:t>S</w:t>
      </w:r>
      <w:r w:rsidRPr="00A605C6">
        <w:t>26—</w:t>
      </w:r>
      <w:r>
        <w:t>3 requires certain food produced using gene technology, for example—</w:t>
      </w:r>
      <w:r w:rsidR="002813C0">
        <w:t xml:space="preserve">the </w:t>
      </w:r>
      <w:r>
        <w:t>soy leghemoglobin</w:t>
      </w:r>
      <w:r w:rsidR="004722A9">
        <w:t xml:space="preserve"> </w:t>
      </w:r>
      <w:r w:rsidR="002813C0">
        <w:t>p</w:t>
      </w:r>
      <w:r w:rsidR="004722A9">
        <w:t>reparation</w:t>
      </w:r>
      <w:r>
        <w:t>, to comply with any relevant specifications in Schedule 3. This is in addition to the same requirement in section 1.1.1—15 applying to other types of substances.</w:t>
      </w:r>
    </w:p>
    <w:p w14:paraId="1961AE1D" w14:textId="77777777" w:rsidR="007617C7" w:rsidRDefault="007617C7" w:rsidP="006E51EF">
      <w:pPr>
        <w:widowControl/>
      </w:pPr>
    </w:p>
    <w:p w14:paraId="536140D0" w14:textId="77777777" w:rsidR="007617C7" w:rsidRDefault="007617C7" w:rsidP="006E51EF">
      <w:pPr>
        <w:widowControl/>
      </w:pPr>
      <w:r>
        <w:t>This amendment is consequential to the amendments made to the table to subsection S26—3(7) in sub-item [4.2] below.</w:t>
      </w:r>
    </w:p>
    <w:p w14:paraId="550040D4" w14:textId="77777777" w:rsidR="007617C7" w:rsidRDefault="007617C7" w:rsidP="006E51EF">
      <w:pPr>
        <w:widowControl/>
      </w:pPr>
    </w:p>
    <w:p w14:paraId="05C3F9FC" w14:textId="77777777" w:rsidR="007617C7" w:rsidRDefault="007617C7" w:rsidP="006E51EF">
      <w:pPr>
        <w:widowControl/>
      </w:pPr>
      <w:r>
        <w:t>Sub-item [2.2] varies the table to subsection S3—2(2) by inserting the substance ‘soy leghemoglobin preparation’ in column 1 of the table in alphabetical order, and ‘section S3—42’ as the corresponding provision in column 2 of the table.</w:t>
      </w:r>
    </w:p>
    <w:p w14:paraId="4A59DA6A" w14:textId="77777777" w:rsidR="007617C7" w:rsidRDefault="007617C7" w:rsidP="006E51EF">
      <w:pPr>
        <w:widowControl/>
      </w:pPr>
    </w:p>
    <w:p w14:paraId="741CF23E" w14:textId="575AC4CC" w:rsidR="007617C7" w:rsidRDefault="007617C7" w:rsidP="006E51EF">
      <w:pPr>
        <w:widowControl/>
      </w:pPr>
      <w:r>
        <w:t>Sub-item [2.3] varies Schedule 3 by inserting a new section S3</w:t>
      </w:r>
      <w:r>
        <w:rPr>
          <w:rFonts w:ascii="Helvetica Neue" w:hAnsi="Helvetica Neue"/>
          <w:sz w:val="19"/>
          <w:szCs w:val="19"/>
        </w:rPr>
        <w:t>—</w:t>
      </w:r>
      <w:r>
        <w:t>42 after section S3—41. The new section sets out specifications for a soy leghemoglobin preparation. A note is also included explaining that subsections S26—3(5) and (7) require a soy leghemoglobin preparation to comply with the specifications set out in section S3</w:t>
      </w:r>
      <w:r>
        <w:rPr>
          <w:rFonts w:ascii="Helvetica Neue" w:hAnsi="Helvetica Neue"/>
          <w:sz w:val="19"/>
          <w:szCs w:val="19"/>
        </w:rPr>
        <w:t>—</w:t>
      </w:r>
      <w:r>
        <w:t>42.</w:t>
      </w:r>
    </w:p>
    <w:p w14:paraId="503CAB90" w14:textId="62A3BF57" w:rsidR="002813C0" w:rsidRDefault="002813C0" w:rsidP="006E51EF">
      <w:pPr>
        <w:widowControl/>
      </w:pPr>
    </w:p>
    <w:p w14:paraId="5437E837" w14:textId="0877A984" w:rsidR="007617C7" w:rsidRDefault="007617C7" w:rsidP="006E51EF">
      <w:pPr>
        <w:widowControl/>
        <w:rPr>
          <w:b/>
          <w:i/>
        </w:rPr>
      </w:pPr>
      <w:r w:rsidRPr="00565461">
        <w:rPr>
          <w:b/>
          <w:i/>
        </w:rPr>
        <w:t>Item [3]</w:t>
      </w:r>
    </w:p>
    <w:p w14:paraId="7FD4759F" w14:textId="77777777" w:rsidR="007617C7" w:rsidRPr="00565461" w:rsidRDefault="007617C7" w:rsidP="006E51EF">
      <w:pPr>
        <w:widowControl/>
        <w:rPr>
          <w:b/>
        </w:rPr>
      </w:pPr>
    </w:p>
    <w:p w14:paraId="14B14754" w14:textId="77777777" w:rsidR="007617C7" w:rsidRDefault="007617C7" w:rsidP="006E51EF">
      <w:pPr>
        <w:widowControl/>
      </w:pPr>
      <w:r>
        <w:t>Sub-item [3.1] varies the table to subsection S17—3 by inserting ‘Soy leghemoglobin in a soy leghemoglobin preparation that is listed in Schedule 26 and complies with any corresponding conditions listed in that Schedule’, alphabetically into Column 2 of the table under the entry for the mineral ‘Iron’ in column 1 of the table.</w:t>
      </w:r>
    </w:p>
    <w:p w14:paraId="700A3103" w14:textId="77777777" w:rsidR="007617C7" w:rsidRDefault="007617C7" w:rsidP="006E51EF">
      <w:pPr>
        <w:widowControl/>
      </w:pPr>
    </w:p>
    <w:p w14:paraId="52073594" w14:textId="77777777" w:rsidR="007617C7" w:rsidRDefault="007617C7" w:rsidP="006E51EF">
      <w:pPr>
        <w:widowControl/>
      </w:pPr>
      <w:r>
        <w:t xml:space="preserve">The effect of this amendment is that this </w:t>
      </w:r>
      <w:r w:rsidRPr="000E3ED4">
        <w:rPr>
          <w:i/>
        </w:rPr>
        <w:t>particula</w:t>
      </w:r>
      <w:r>
        <w:t xml:space="preserve">r soy leghemoglobin is a permitted form of iron for the purposes of subsection S17—3. </w:t>
      </w:r>
    </w:p>
    <w:p w14:paraId="799F4169" w14:textId="77777777" w:rsidR="007617C7" w:rsidRDefault="007617C7" w:rsidP="006E51EF">
      <w:pPr>
        <w:widowControl/>
      </w:pPr>
    </w:p>
    <w:p w14:paraId="6D9D4065" w14:textId="77777777" w:rsidR="007617C7" w:rsidRDefault="007617C7" w:rsidP="006E51EF">
      <w:pPr>
        <w:widowControl/>
        <w:rPr>
          <w:lang w:val="en-AU"/>
        </w:rPr>
      </w:pPr>
      <w:r>
        <w:t xml:space="preserve">Sub-item [3.2] varies </w:t>
      </w:r>
      <w:r w:rsidRPr="002D7FDC">
        <w:t>the table to section S17—4</w:t>
      </w:r>
      <w:r>
        <w:t xml:space="preserve"> under the heading ‘Analogues derived from legumes’ by omitting ‘</w:t>
      </w:r>
      <w:r w:rsidRPr="006A1E43">
        <w:rPr>
          <w:lang w:val="en-AU"/>
        </w:rPr>
        <w:t>Analogues of meat, where no less than 12% of the energy value of the food is derived from protein, and the food contains 5 g protein per serve of the food</w:t>
      </w:r>
      <w:r>
        <w:rPr>
          <w:lang w:val="en-AU"/>
        </w:rPr>
        <w:t>’ and substituting with, ‘</w:t>
      </w:r>
      <w:r w:rsidRPr="006A1E43">
        <w:rPr>
          <w:lang w:val="en-AU"/>
        </w:rPr>
        <w:t>Analogues of meat, where no less than 12% of the energy value of the food is derived from protein, and the food contains no less than 5 g protein per serve of the food</w:t>
      </w:r>
      <w:r>
        <w:rPr>
          <w:lang w:val="en-AU"/>
        </w:rPr>
        <w:t xml:space="preserve">’. </w:t>
      </w:r>
    </w:p>
    <w:p w14:paraId="44BC4838" w14:textId="77777777" w:rsidR="007617C7" w:rsidRDefault="007617C7" w:rsidP="006E51EF">
      <w:pPr>
        <w:widowControl/>
        <w:rPr>
          <w:lang w:val="en-AU"/>
        </w:rPr>
      </w:pPr>
    </w:p>
    <w:p w14:paraId="062B6AFB" w14:textId="77777777" w:rsidR="007617C7" w:rsidRDefault="007617C7" w:rsidP="006E51EF">
      <w:pPr>
        <w:widowControl/>
      </w:pPr>
      <w:r>
        <w:rPr>
          <w:lang w:val="en-AU"/>
        </w:rPr>
        <w:t>The effect of the amendment in item [3.2] is that the vitamins and minerals (and their corresponding maximum claim amounts) listed for analogues of meat under the heading ‘</w:t>
      </w:r>
      <w:r>
        <w:t>Analogues derived from legumes’ in the table</w:t>
      </w:r>
      <w:r w:rsidRPr="00D63BE1">
        <w:t xml:space="preserve"> </w:t>
      </w:r>
      <w:r w:rsidRPr="002D7FDC">
        <w:t>to section S17—4</w:t>
      </w:r>
      <w:r>
        <w:t>, will now relate to analogues of meat with the following properties:</w:t>
      </w:r>
    </w:p>
    <w:p w14:paraId="4AB3E278" w14:textId="77777777" w:rsidR="007617C7" w:rsidRDefault="007617C7" w:rsidP="006E51EF">
      <w:pPr>
        <w:widowControl/>
      </w:pPr>
    </w:p>
    <w:p w14:paraId="7203F3C7" w14:textId="77777777" w:rsidR="007617C7" w:rsidRDefault="007617C7" w:rsidP="00FF61AD">
      <w:pPr>
        <w:pStyle w:val="ListParagraph"/>
        <w:widowControl/>
        <w:numPr>
          <w:ilvl w:val="0"/>
          <w:numId w:val="18"/>
        </w:numPr>
      </w:pPr>
      <w:r w:rsidRPr="002D7FDC">
        <w:t>no less than 12% of the energy value of the food is derived from protein</w:t>
      </w:r>
      <w:r>
        <w:t>;</w:t>
      </w:r>
      <w:r w:rsidRPr="002D7FDC">
        <w:t xml:space="preserve"> and </w:t>
      </w:r>
    </w:p>
    <w:p w14:paraId="1CABFF7F" w14:textId="77777777" w:rsidR="007617C7" w:rsidRPr="00905ED0" w:rsidRDefault="007617C7" w:rsidP="00FF61AD">
      <w:pPr>
        <w:pStyle w:val="ListParagraph"/>
        <w:widowControl/>
        <w:numPr>
          <w:ilvl w:val="0"/>
          <w:numId w:val="18"/>
        </w:numPr>
        <w:rPr>
          <w:lang w:val="en-AU"/>
        </w:rPr>
      </w:pPr>
      <w:r w:rsidRPr="002D7FDC">
        <w:t xml:space="preserve">the food contains </w:t>
      </w:r>
      <w:r w:rsidRPr="00905ED0">
        <w:rPr>
          <w:i/>
          <w:lang w:val="en-AU"/>
        </w:rPr>
        <w:t>no less than</w:t>
      </w:r>
      <w:r w:rsidRPr="00905ED0">
        <w:rPr>
          <w:lang w:val="en-AU"/>
        </w:rPr>
        <w:t xml:space="preserve"> </w:t>
      </w:r>
      <w:r w:rsidRPr="002D7FDC">
        <w:t>5 g protein per serve of the food</w:t>
      </w:r>
      <w:r w:rsidRPr="00905ED0">
        <w:rPr>
          <w:lang w:val="en-AU"/>
        </w:rPr>
        <w:t xml:space="preserve">. </w:t>
      </w:r>
    </w:p>
    <w:p w14:paraId="0D757BB0" w14:textId="77777777" w:rsidR="007617C7" w:rsidRDefault="007617C7" w:rsidP="006E51EF">
      <w:pPr>
        <w:widowControl/>
        <w:rPr>
          <w:lang w:val="en-AU"/>
        </w:rPr>
      </w:pPr>
    </w:p>
    <w:p w14:paraId="6F16CC87" w14:textId="77777777" w:rsidR="007617C7" w:rsidRPr="00565461" w:rsidRDefault="007617C7" w:rsidP="006E51EF">
      <w:pPr>
        <w:widowControl/>
        <w:rPr>
          <w:b/>
          <w:i/>
        </w:rPr>
      </w:pPr>
      <w:r w:rsidRPr="00565461">
        <w:rPr>
          <w:b/>
          <w:i/>
        </w:rPr>
        <w:t>Item [4]</w:t>
      </w:r>
    </w:p>
    <w:p w14:paraId="58B13CB8" w14:textId="77777777" w:rsidR="007617C7" w:rsidRDefault="007617C7" w:rsidP="006E51EF">
      <w:pPr>
        <w:widowControl/>
      </w:pPr>
    </w:p>
    <w:p w14:paraId="22734B6B" w14:textId="77777777" w:rsidR="007617C7" w:rsidRDefault="007617C7" w:rsidP="006E51EF">
      <w:pPr>
        <w:widowControl/>
      </w:pPr>
      <w:r>
        <w:t>Sub-item [4.1] varies subsection S26—2(2) by inserting the definition for ‘soy leghemoglobin preparation’ into that subsection, in alphabetical order. ‘Soy leghemoglobin preparation’ is defined as a cell lysate preparation with the following components—the preparation:</w:t>
      </w:r>
    </w:p>
    <w:p w14:paraId="3C2102EA" w14:textId="77777777" w:rsidR="007617C7" w:rsidRDefault="007617C7" w:rsidP="006E51EF">
      <w:pPr>
        <w:widowControl/>
      </w:pPr>
    </w:p>
    <w:p w14:paraId="5979A9F1" w14:textId="160D6779" w:rsidR="007617C7" w:rsidRDefault="007617C7" w:rsidP="00FF61AD">
      <w:pPr>
        <w:pStyle w:val="ListParagraph"/>
        <w:widowControl/>
        <w:numPr>
          <w:ilvl w:val="0"/>
          <w:numId w:val="19"/>
        </w:numPr>
      </w:pPr>
      <w:r>
        <w:t xml:space="preserve">derives from </w:t>
      </w:r>
      <w:r w:rsidRPr="0049187B">
        <w:rPr>
          <w:rFonts w:eastAsia="Calibri"/>
          <w:i/>
          <w:lang w:val="en-AU"/>
        </w:rPr>
        <w:t xml:space="preserve">Pichia </w:t>
      </w:r>
      <w:r w:rsidR="000C58F5">
        <w:rPr>
          <w:rFonts w:eastAsia="Calibri"/>
          <w:i/>
          <w:lang w:val="en-AU"/>
        </w:rPr>
        <w:t>p</w:t>
      </w:r>
      <w:r w:rsidRPr="0049187B">
        <w:rPr>
          <w:rFonts w:eastAsia="Calibri"/>
          <w:i/>
          <w:lang w:val="en-AU"/>
        </w:rPr>
        <w:t>astoris</w:t>
      </w:r>
      <w:r w:rsidRPr="0049187B">
        <w:rPr>
          <w:rFonts w:eastAsia="Calibri"/>
          <w:lang w:val="en-AU"/>
        </w:rPr>
        <w:t xml:space="preserve"> containing the gene for leghemoglobin c2 from </w:t>
      </w:r>
      <w:r w:rsidRPr="0049187B">
        <w:rPr>
          <w:rFonts w:eastAsia="Calibri"/>
          <w:i/>
          <w:lang w:val="en-AU"/>
        </w:rPr>
        <w:t>Glycine</w:t>
      </w:r>
      <w:r>
        <w:rPr>
          <w:rFonts w:eastAsia="Calibri"/>
          <w:i/>
          <w:lang w:val="en-AU"/>
        </w:rPr>
        <w:t xml:space="preserve"> max</w:t>
      </w:r>
      <w:r w:rsidRPr="0049187B">
        <w:rPr>
          <w:rFonts w:eastAsia="Calibri"/>
          <w:lang w:val="en-AU"/>
        </w:rPr>
        <w:t xml:space="preserve">; </w:t>
      </w:r>
      <w:r>
        <w:t xml:space="preserve">and </w:t>
      </w:r>
    </w:p>
    <w:p w14:paraId="2B7961B6" w14:textId="77777777" w:rsidR="007617C7" w:rsidRDefault="007617C7" w:rsidP="00FF61AD">
      <w:pPr>
        <w:pStyle w:val="ListParagraph"/>
        <w:widowControl/>
        <w:numPr>
          <w:ilvl w:val="0"/>
          <w:numId w:val="19"/>
        </w:numPr>
      </w:pPr>
      <w:r>
        <w:t>contains soy leghemoglobin.</w:t>
      </w:r>
    </w:p>
    <w:p w14:paraId="6AA650D1" w14:textId="77777777" w:rsidR="007617C7" w:rsidRDefault="007617C7" w:rsidP="006E51EF">
      <w:pPr>
        <w:widowControl/>
      </w:pPr>
    </w:p>
    <w:p w14:paraId="097749A1" w14:textId="77777777" w:rsidR="007617C7" w:rsidRDefault="007617C7" w:rsidP="006E51EF">
      <w:pPr>
        <w:widowControl/>
      </w:pPr>
      <w:r>
        <w:t xml:space="preserve">Sub-item [4.2] varies the table to subsection S26—3(7) by inserting as </w:t>
      </w:r>
      <w:r w:rsidRPr="000E20ED">
        <w:rPr>
          <w:b/>
        </w:rPr>
        <w:t>item 3</w:t>
      </w:r>
      <w:r>
        <w:t xml:space="preserve"> in column 1 of that table, the substance ‘soy leghemoglobin preparation’, in numerical order (by item number indicating the order in which the substance is permitted by the Code). </w:t>
      </w:r>
    </w:p>
    <w:p w14:paraId="405067F3" w14:textId="77777777" w:rsidR="007617C7" w:rsidRDefault="007617C7" w:rsidP="006E51EF">
      <w:pPr>
        <w:widowControl/>
      </w:pPr>
    </w:p>
    <w:p w14:paraId="67B0B389" w14:textId="18181931" w:rsidR="007617C7" w:rsidRDefault="007617C7" w:rsidP="006E51EF">
      <w:pPr>
        <w:widowControl/>
      </w:pPr>
      <w:r w:rsidRPr="00AC779E">
        <w:rPr>
          <w:b/>
        </w:rPr>
        <w:t>Note:</w:t>
      </w:r>
      <w:r>
        <w:t xml:space="preserve"> The table to subsection S26—3(7) does not currently exist in the Code, but is proposed in the drafting of A1155</w:t>
      </w:r>
      <w:r w:rsidR="00573FC8">
        <w:t>, which is yet to be gazetted</w:t>
      </w:r>
      <w:r>
        <w:t>. The drafting of A1155 also inserts two substances into the new table. At the point of preparing this Explanatory Statement, the soy leghemoglobin preparation is the third substance inserted into the table to subsection S26—3(7).</w:t>
      </w:r>
    </w:p>
    <w:p w14:paraId="00E47BF2" w14:textId="77777777" w:rsidR="007617C7" w:rsidRDefault="007617C7" w:rsidP="006E51EF">
      <w:pPr>
        <w:widowControl/>
      </w:pPr>
    </w:p>
    <w:p w14:paraId="587398FA" w14:textId="77777777" w:rsidR="007617C7" w:rsidRDefault="007617C7" w:rsidP="006E51EF">
      <w:pPr>
        <w:widowControl/>
      </w:pPr>
      <w:r>
        <w:t>Sub-item [4.2] also inserts in column 2 of the table to subsection S26—3(7), the source of the permitted soy leghemoglobin preparation as ‘</w:t>
      </w:r>
      <w:r w:rsidRPr="00C849B2">
        <w:rPr>
          <w:i/>
        </w:rPr>
        <w:t xml:space="preserve">Pichia </w:t>
      </w:r>
      <w:r>
        <w:rPr>
          <w:i/>
        </w:rPr>
        <w:t>p</w:t>
      </w:r>
      <w:r w:rsidRPr="00C849B2">
        <w:rPr>
          <w:i/>
        </w:rPr>
        <w:t>astoris</w:t>
      </w:r>
      <w:r w:rsidRPr="00C849B2">
        <w:t xml:space="preserve"> containing the gene for leghemoglobin c2 from </w:t>
      </w:r>
      <w:r w:rsidRPr="00485C99">
        <w:rPr>
          <w:i/>
        </w:rPr>
        <w:t>Glycine max</w:t>
      </w:r>
      <w:r>
        <w:t>’. In other words, only a soy leghemoglobin preparation from that source is permitted under the Code.</w:t>
      </w:r>
    </w:p>
    <w:p w14:paraId="65C09326" w14:textId="77777777" w:rsidR="007617C7" w:rsidRDefault="007617C7" w:rsidP="006E51EF">
      <w:pPr>
        <w:widowControl/>
      </w:pPr>
    </w:p>
    <w:p w14:paraId="27DA066D" w14:textId="77777777" w:rsidR="007617C7" w:rsidRDefault="007617C7" w:rsidP="006E51EF">
      <w:pPr>
        <w:widowControl/>
      </w:pPr>
      <w:r>
        <w:t>Last, sub-item [4.2] inserts the following conditions, corresponding to the soy leghemoglobin preparation, in column 3 of the table to subsection S26—3(7):</w:t>
      </w:r>
    </w:p>
    <w:p w14:paraId="72355378" w14:textId="77777777" w:rsidR="007617C7" w:rsidRDefault="007617C7" w:rsidP="006E51EF">
      <w:pPr>
        <w:widowControl/>
      </w:pPr>
    </w:p>
    <w:p w14:paraId="02D01490" w14:textId="77777777" w:rsidR="007617C7" w:rsidRDefault="007617C7" w:rsidP="00FF61AD">
      <w:pPr>
        <w:pStyle w:val="ListParagraph"/>
        <w:widowControl/>
        <w:numPr>
          <w:ilvl w:val="0"/>
          <w:numId w:val="20"/>
        </w:numPr>
      </w:pPr>
      <w:r>
        <w:t>the preparation m</w:t>
      </w:r>
      <w:r w:rsidRPr="000D718B">
        <w:t>ay only be added to a meat analogue product to enable the use</w:t>
      </w:r>
      <w:r>
        <w:t>,</w:t>
      </w:r>
      <w:r w:rsidRPr="000D718B">
        <w:t xml:space="preserve"> in that product</w:t>
      </w:r>
      <w:r>
        <w:t>,</w:t>
      </w:r>
      <w:r w:rsidRPr="000D718B">
        <w:t xml:space="preserve"> of soy leghemoglobin as a nutritive substance in accordance with Standard 1.3.2</w:t>
      </w:r>
      <w:r>
        <w:t>; and</w:t>
      </w:r>
    </w:p>
    <w:p w14:paraId="03B1966F" w14:textId="77777777" w:rsidR="007617C7" w:rsidRDefault="007617C7" w:rsidP="00FF61AD">
      <w:pPr>
        <w:pStyle w:val="ListParagraph"/>
        <w:widowControl/>
        <w:numPr>
          <w:ilvl w:val="0"/>
          <w:numId w:val="20"/>
        </w:numPr>
      </w:pPr>
      <w:r>
        <w:t xml:space="preserve">the preparation must </w:t>
      </w:r>
      <w:r w:rsidRPr="000D718B">
        <w:t>comply with the specifications set out in section S3—42</w:t>
      </w:r>
      <w:r>
        <w:t>.</w:t>
      </w:r>
    </w:p>
    <w:p w14:paraId="4EE4C3B1" w14:textId="77777777" w:rsidR="007617C7" w:rsidRDefault="007617C7" w:rsidP="006E51EF">
      <w:pPr>
        <w:widowControl/>
      </w:pPr>
    </w:p>
    <w:p w14:paraId="393443F2" w14:textId="77777777" w:rsidR="007617C7" w:rsidRDefault="007617C7" w:rsidP="006E51EF">
      <w:pPr>
        <w:widowControl/>
      </w:pPr>
      <w:r>
        <w:t>A soy leghemoglobin preparation listed in the table to subsection S26—3(7) must comply with both of those conditions (this requirement is included in the A1155 drafting)</w:t>
      </w:r>
      <w:r>
        <w:br w:type="page"/>
      </w:r>
    </w:p>
    <w:p w14:paraId="251F5FA0" w14:textId="56125C98" w:rsidR="007617C7" w:rsidRDefault="007617C7" w:rsidP="00714C81">
      <w:pPr>
        <w:pStyle w:val="Heading2"/>
      </w:pPr>
      <w:bookmarkStart w:id="321" w:name="_Toc41576687"/>
      <w:bookmarkStart w:id="322" w:name="_Toc42875250"/>
      <w:bookmarkStart w:id="323" w:name="_Toc43126903"/>
      <w:bookmarkStart w:id="324" w:name="_Toc43128154"/>
      <w:bookmarkStart w:id="325" w:name="_Toc58840834"/>
      <w:r>
        <w:lastRenderedPageBreak/>
        <w:t>Attachment C – Mock-up of proposed drafting</w:t>
      </w:r>
      <w:bookmarkEnd w:id="321"/>
      <w:r>
        <w:t xml:space="preserve"> for Schedule 3 and Schedule 26</w:t>
      </w:r>
      <w:bookmarkEnd w:id="322"/>
      <w:bookmarkEnd w:id="323"/>
      <w:bookmarkEnd w:id="324"/>
      <w:bookmarkEnd w:id="325"/>
    </w:p>
    <w:p w14:paraId="3FA44641" w14:textId="77777777" w:rsidR="007617C7" w:rsidRPr="001D1563" w:rsidRDefault="007617C7" w:rsidP="006E51EF">
      <w:pPr>
        <w:pStyle w:val="FSCh4Div"/>
        <w:widowControl/>
      </w:pPr>
      <w:r>
        <w:t>Schedule</w:t>
      </w:r>
      <w:r w:rsidRPr="001D1563">
        <w:t xml:space="preserve"> 3</w:t>
      </w:r>
      <w:r w:rsidRPr="001D1563">
        <w:tab/>
        <w:t>Identity and purity</w:t>
      </w:r>
    </w:p>
    <w:p w14:paraId="1C28103F" w14:textId="77777777" w:rsidR="007617C7" w:rsidRPr="001D1563" w:rsidRDefault="007617C7" w:rsidP="006E51EF">
      <w:pPr>
        <w:pStyle w:val="FSCnatHeading"/>
        <w:widowControl/>
      </w:pPr>
      <w:r w:rsidRPr="009573BC">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w:t>
      </w:r>
      <w:proofErr w:type="spellStart"/>
      <w:r w:rsidRPr="001D1563">
        <w:t>Cth</w:t>
      </w:r>
      <w:proofErr w:type="spellEnd"/>
      <w:r w:rsidRPr="001D1563">
        <w:t xml:space="preserve">). The standards together make up the </w:t>
      </w:r>
      <w:r w:rsidRPr="00406023">
        <w:rPr>
          <w:i/>
        </w:rPr>
        <w:t>Australia New Zealand Food Standards Code</w:t>
      </w:r>
      <w:r w:rsidRPr="001D1563">
        <w:t>. See also section 1.1.1—3.</w:t>
      </w:r>
    </w:p>
    <w:p w14:paraId="4803F230" w14:textId="77777777" w:rsidR="007617C7" w:rsidRPr="001D1563" w:rsidRDefault="007617C7" w:rsidP="006E51EF">
      <w:pPr>
        <w:pStyle w:val="FSCnatHeading"/>
        <w:widowControl/>
      </w:pPr>
      <w:r w:rsidRPr="001D1563">
        <w:tab/>
        <w:t xml:space="preserve">Standard 1.1.1 relates to introductory matters and standards that apply to all foods. </w:t>
      </w:r>
      <w:r w:rsidRPr="002475E8">
        <w:t>Sections 1.1.1—15 and S26—4 require</w:t>
      </w:r>
      <w:r w:rsidRPr="001D1563">
        <w:t xml:space="preserve"> certain substances to comply with relevant specifications. This Standard sets out the relevant specifications.</w:t>
      </w:r>
    </w:p>
    <w:p w14:paraId="5A6F0935" w14:textId="77777777" w:rsidR="007617C7" w:rsidRPr="001D1563" w:rsidRDefault="007617C7" w:rsidP="006E51EF">
      <w:pPr>
        <w:pStyle w:val="FSCnatHeading"/>
        <w:widowControl/>
      </w:pPr>
      <w:r w:rsidRPr="009573BC">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70C11410" w14:textId="77777777" w:rsidR="007617C7" w:rsidRPr="001D1563" w:rsidRDefault="007617C7" w:rsidP="006E51EF">
      <w:pPr>
        <w:pStyle w:val="FSCh5Section"/>
        <w:widowControl/>
      </w:pPr>
      <w:bookmarkStart w:id="326" w:name="_Toc400032393"/>
      <w:bookmarkStart w:id="327" w:name="_Ref331693428"/>
      <w:r w:rsidRPr="001D1563">
        <w:rPr>
          <w:rFonts w:ascii="Arial Bold" w:hAnsi="Arial Bold"/>
        </w:rPr>
        <w:t>S3—1</w:t>
      </w:r>
      <w:r w:rsidRPr="001D1563">
        <w:tab/>
        <w:t>Name</w:t>
      </w:r>
      <w:bookmarkEnd w:id="326"/>
    </w:p>
    <w:p w14:paraId="3A2B9389" w14:textId="77777777" w:rsidR="007617C7" w:rsidRPr="00406023" w:rsidRDefault="007617C7" w:rsidP="006E51EF">
      <w:pPr>
        <w:pStyle w:val="FSCtMain"/>
        <w:widowControl/>
      </w:pPr>
      <w:r w:rsidRPr="001D1563">
        <w:tab/>
      </w:r>
      <w:r w:rsidRPr="001D1563">
        <w:tab/>
        <w:t xml:space="preserve">This Standard is </w:t>
      </w:r>
      <w:r w:rsidRPr="001D1563">
        <w:rPr>
          <w:i/>
        </w:rPr>
        <w:t xml:space="preserve">Australia New Zealand Food Standards Code </w:t>
      </w:r>
      <w:r w:rsidRPr="00406023">
        <w:t>– Schedule 3 – Identity and purity.</w:t>
      </w:r>
    </w:p>
    <w:p w14:paraId="34C7D400" w14:textId="77777777" w:rsidR="007617C7" w:rsidRPr="001D1563" w:rsidRDefault="007617C7" w:rsidP="006E51EF">
      <w:pPr>
        <w:pStyle w:val="FSCnMain"/>
        <w:widowControl/>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w:t>
      </w:r>
      <w:proofErr w:type="spellStart"/>
      <w:r w:rsidRPr="001D1563">
        <w:t>Cth</w:t>
      </w:r>
      <w:proofErr w:type="spellEnd"/>
      <w:r w:rsidRPr="001D1563">
        <w:t>). See also section 93 of that Act.</w:t>
      </w:r>
    </w:p>
    <w:p w14:paraId="711CC6AF" w14:textId="77777777" w:rsidR="007617C7" w:rsidRPr="001D1563" w:rsidRDefault="007617C7" w:rsidP="006E51EF">
      <w:pPr>
        <w:pStyle w:val="FSCh5Section"/>
        <w:widowControl/>
      </w:pPr>
      <w:bookmarkStart w:id="328" w:name="_Toc371505774"/>
      <w:bookmarkStart w:id="329" w:name="_Toc400032394"/>
      <w:r w:rsidRPr="001D1563">
        <w:rPr>
          <w:rFonts w:ascii="Arial Bold" w:hAnsi="Arial Bold"/>
        </w:rPr>
        <w:t>S3—2</w:t>
      </w:r>
      <w:r w:rsidRPr="001D1563">
        <w:rPr>
          <w:rFonts w:ascii="Arial Bold" w:hAnsi="Arial Bold"/>
        </w:rPr>
        <w:tab/>
      </w:r>
      <w:r w:rsidRPr="001D1563">
        <w:t>Substances with specifications in primary sources</w:t>
      </w:r>
      <w:bookmarkEnd w:id="327"/>
      <w:bookmarkEnd w:id="328"/>
      <w:bookmarkEnd w:id="329"/>
    </w:p>
    <w:p w14:paraId="77FF1ABC" w14:textId="77777777" w:rsidR="007617C7" w:rsidRDefault="007617C7" w:rsidP="006E51EF">
      <w:pPr>
        <w:pStyle w:val="FSCtMain"/>
        <w:widowControl/>
      </w:pPr>
    </w:p>
    <w:p w14:paraId="10B1A58C" w14:textId="77777777" w:rsidR="007617C7" w:rsidRPr="001D1563" w:rsidRDefault="007617C7" w:rsidP="006E51EF">
      <w:pPr>
        <w:pStyle w:val="FSCtMain"/>
        <w:widowControl/>
      </w:pPr>
      <w:r w:rsidRPr="001D1563">
        <w:tab/>
        <w:t>(2)</w:t>
      </w:r>
      <w:r w:rsidRPr="001D1563">
        <w:tab/>
        <w:t>The table to this subsection is:</w:t>
      </w:r>
    </w:p>
    <w:p w14:paraId="0A289A18" w14:textId="77777777" w:rsidR="007617C7" w:rsidRPr="00406023" w:rsidRDefault="007617C7" w:rsidP="006E51EF">
      <w:pPr>
        <w:pStyle w:val="FSCtblh2"/>
      </w:pPr>
      <w:r w:rsidRPr="001D1563">
        <w:t>Relevant provisions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402"/>
      </w:tblGrid>
      <w:tr w:rsidR="007617C7" w:rsidRPr="00406023" w14:paraId="3A779A16" w14:textId="77777777" w:rsidTr="00B86919">
        <w:trPr>
          <w:tblHeader/>
          <w:jc w:val="center"/>
        </w:trPr>
        <w:tc>
          <w:tcPr>
            <w:tcW w:w="5103" w:type="dxa"/>
            <w:tcBorders>
              <w:top w:val="single" w:sz="4" w:space="0" w:color="auto"/>
              <w:bottom w:val="single" w:sz="4" w:space="0" w:color="auto"/>
            </w:tcBorders>
          </w:tcPr>
          <w:p w14:paraId="52AC40F7" w14:textId="77777777" w:rsidR="007617C7" w:rsidRPr="00406023" w:rsidRDefault="007617C7" w:rsidP="006E51EF">
            <w:pPr>
              <w:pStyle w:val="FSCtblh3"/>
            </w:pPr>
            <w:r w:rsidRPr="001D1563">
              <w:t>Substance</w:t>
            </w:r>
          </w:p>
        </w:tc>
        <w:tc>
          <w:tcPr>
            <w:tcW w:w="3402" w:type="dxa"/>
            <w:tcBorders>
              <w:top w:val="single" w:sz="4" w:space="0" w:color="auto"/>
              <w:bottom w:val="single" w:sz="4" w:space="0" w:color="auto"/>
            </w:tcBorders>
          </w:tcPr>
          <w:p w14:paraId="3545310D" w14:textId="77777777" w:rsidR="007617C7" w:rsidRPr="00406023" w:rsidRDefault="007617C7" w:rsidP="006E51EF">
            <w:pPr>
              <w:pStyle w:val="FSCtblh3"/>
            </w:pPr>
            <w:r w:rsidRPr="001D1563">
              <w:t>Provision</w:t>
            </w:r>
          </w:p>
        </w:tc>
      </w:tr>
      <w:tr w:rsidR="007617C7" w:rsidRPr="00406023" w14:paraId="5341ECD5" w14:textId="77777777" w:rsidTr="00B86919">
        <w:trPr>
          <w:cantSplit/>
          <w:jc w:val="center"/>
        </w:trPr>
        <w:tc>
          <w:tcPr>
            <w:tcW w:w="5103" w:type="dxa"/>
          </w:tcPr>
          <w:p w14:paraId="195F1A15" w14:textId="77777777" w:rsidR="007617C7" w:rsidRPr="00222B77" w:rsidRDefault="007617C7" w:rsidP="006E51EF">
            <w:pPr>
              <w:pStyle w:val="FSCtblMain"/>
              <w:rPr>
                <w:i/>
              </w:rPr>
            </w:pPr>
            <w:r>
              <w:rPr>
                <w:i/>
              </w:rPr>
              <w:t>….</w:t>
            </w:r>
          </w:p>
        </w:tc>
        <w:tc>
          <w:tcPr>
            <w:tcW w:w="3402" w:type="dxa"/>
          </w:tcPr>
          <w:p w14:paraId="7078542B" w14:textId="77777777" w:rsidR="007617C7" w:rsidRPr="00222B77" w:rsidRDefault="007617C7" w:rsidP="006E51EF">
            <w:pPr>
              <w:pStyle w:val="FSCtblMain"/>
            </w:pPr>
            <w:r>
              <w:t>….</w:t>
            </w:r>
          </w:p>
        </w:tc>
      </w:tr>
      <w:tr w:rsidR="007617C7" w:rsidRPr="00406023" w14:paraId="210EF7F1" w14:textId="77777777" w:rsidTr="00B86919">
        <w:trPr>
          <w:cantSplit/>
          <w:jc w:val="center"/>
        </w:trPr>
        <w:tc>
          <w:tcPr>
            <w:tcW w:w="5103" w:type="dxa"/>
          </w:tcPr>
          <w:p w14:paraId="232780EC" w14:textId="77777777" w:rsidR="007617C7" w:rsidRDefault="007617C7" w:rsidP="006E51EF">
            <w:pPr>
              <w:pStyle w:val="FSCtblMain"/>
            </w:pPr>
            <w:r w:rsidRPr="00222B77">
              <w:rPr>
                <w:i/>
              </w:rPr>
              <w:t>Salmonella</w:t>
            </w:r>
            <w:r w:rsidRPr="00222B77">
              <w:t xml:space="preserve"> phage preparation (S16 and FO1a)</w:t>
            </w:r>
          </w:p>
          <w:p w14:paraId="3D899389" w14:textId="77777777" w:rsidR="007617C7" w:rsidRPr="00222B77" w:rsidRDefault="007617C7" w:rsidP="006E51EF">
            <w:pPr>
              <w:pStyle w:val="FSCtblMain"/>
            </w:pPr>
            <w:r w:rsidRPr="002275A0">
              <w:rPr>
                <w:rFonts w:cs="Times New Roman"/>
              </w:rPr>
              <w:t>Soy leghemoglobin preparation</w:t>
            </w:r>
          </w:p>
        </w:tc>
        <w:tc>
          <w:tcPr>
            <w:tcW w:w="3402" w:type="dxa"/>
          </w:tcPr>
          <w:p w14:paraId="61EDB247" w14:textId="77777777" w:rsidR="007617C7" w:rsidRDefault="007617C7" w:rsidP="006E51EF">
            <w:pPr>
              <w:pStyle w:val="FSCtblMain"/>
            </w:pPr>
            <w:r w:rsidRPr="00222B77">
              <w:t>section S3—33</w:t>
            </w:r>
          </w:p>
          <w:p w14:paraId="76DD40E1" w14:textId="77777777" w:rsidR="007617C7" w:rsidRPr="00222B77" w:rsidRDefault="007617C7" w:rsidP="006E51EF">
            <w:pPr>
              <w:pStyle w:val="FSCtblMain"/>
            </w:pPr>
            <w:r w:rsidRPr="000A329E">
              <w:t>section S3—42</w:t>
            </w:r>
          </w:p>
        </w:tc>
      </w:tr>
      <w:tr w:rsidR="007617C7" w:rsidRPr="00406023" w14:paraId="4315C533" w14:textId="77777777" w:rsidTr="00B86919">
        <w:trPr>
          <w:cantSplit/>
          <w:jc w:val="center"/>
        </w:trPr>
        <w:tc>
          <w:tcPr>
            <w:tcW w:w="5103" w:type="dxa"/>
          </w:tcPr>
          <w:p w14:paraId="564AAA4C" w14:textId="77777777" w:rsidR="007617C7" w:rsidRDefault="007617C7" w:rsidP="006E51EF">
            <w:pPr>
              <w:pStyle w:val="FSCtblMain"/>
            </w:pPr>
            <w:proofErr w:type="spellStart"/>
            <w:r w:rsidRPr="0043540F">
              <w:t>steviol</w:t>
            </w:r>
            <w:proofErr w:type="spellEnd"/>
            <w:r w:rsidRPr="0043540F">
              <w:t xml:space="preserve"> glycoside m</w:t>
            </w:r>
            <w:r>
              <w:t xml:space="preserve">ixtures including </w:t>
            </w:r>
            <w:proofErr w:type="spellStart"/>
            <w:r>
              <w:t>rebaudioside</w:t>
            </w:r>
            <w:proofErr w:type="spellEnd"/>
            <w:r>
              <w:t xml:space="preserve"> </w:t>
            </w:r>
          </w:p>
        </w:tc>
        <w:tc>
          <w:tcPr>
            <w:tcW w:w="3402" w:type="dxa"/>
          </w:tcPr>
          <w:p w14:paraId="097405F9" w14:textId="77777777" w:rsidR="007617C7" w:rsidRPr="0009172D" w:rsidRDefault="007617C7" w:rsidP="006E51EF">
            <w:pPr>
              <w:pStyle w:val="FSCtblMain"/>
            </w:pPr>
            <w:r w:rsidRPr="0009172D">
              <w:t>section S3—32</w:t>
            </w:r>
          </w:p>
        </w:tc>
      </w:tr>
    </w:tbl>
    <w:p w14:paraId="353B01A8" w14:textId="77777777" w:rsidR="007617C7" w:rsidRPr="00675D8F" w:rsidRDefault="007617C7" w:rsidP="006E51EF">
      <w:pPr>
        <w:widowControl/>
        <w:ind w:left="1134"/>
        <w:rPr>
          <w:b/>
        </w:rPr>
      </w:pPr>
      <w:bookmarkStart w:id="330" w:name="_Ref331693430"/>
      <w:bookmarkStart w:id="331" w:name="_Toc371505775"/>
      <w:bookmarkStart w:id="332" w:name="_Toc400032395"/>
      <w:r w:rsidRPr="00675D8F">
        <w:rPr>
          <w:b/>
        </w:rPr>
        <w:t>….</w:t>
      </w:r>
    </w:p>
    <w:bookmarkEnd w:id="330"/>
    <w:bookmarkEnd w:id="331"/>
    <w:bookmarkEnd w:id="332"/>
    <w:p w14:paraId="33BB527D" w14:textId="77777777" w:rsidR="007617C7" w:rsidRPr="00A15DA1" w:rsidRDefault="007617C7" w:rsidP="006E51EF">
      <w:pPr>
        <w:pStyle w:val="FSCoStandardEnd"/>
        <w:widowControl/>
        <w:jc w:val="left"/>
        <w:rPr>
          <w:b/>
          <w:bCs/>
          <w:kern w:val="32"/>
          <w:sz w:val="22"/>
        </w:rPr>
      </w:pPr>
      <w:r w:rsidRPr="00A15DA1">
        <w:rPr>
          <w:b/>
          <w:bCs/>
          <w:kern w:val="32"/>
          <w:sz w:val="22"/>
        </w:rPr>
        <w:t>S3—42</w:t>
      </w:r>
      <w:r w:rsidRPr="00A15DA1">
        <w:rPr>
          <w:b/>
          <w:bCs/>
          <w:kern w:val="32"/>
          <w:sz w:val="22"/>
        </w:rPr>
        <w:tab/>
        <w:t>Specification for a soy leghemoglobin preparation</w:t>
      </w:r>
    </w:p>
    <w:p w14:paraId="345851B0" w14:textId="77777777" w:rsidR="007617C7" w:rsidRPr="00A15DA1" w:rsidRDefault="007617C7" w:rsidP="006E51EF">
      <w:pPr>
        <w:widowControl/>
        <w:tabs>
          <w:tab w:val="left" w:pos="1701"/>
        </w:tabs>
        <w:spacing w:before="60" w:after="60"/>
        <w:ind w:left="2268" w:hanging="2268"/>
        <w:rPr>
          <w:rFonts w:cs="Arial"/>
          <w:sz w:val="16"/>
          <w:szCs w:val="18"/>
        </w:rPr>
      </w:pPr>
      <w:r w:rsidRPr="00A15DA1">
        <w:rPr>
          <w:rFonts w:cs="Arial"/>
          <w:sz w:val="16"/>
          <w:szCs w:val="18"/>
        </w:rPr>
        <w:tab/>
      </w:r>
      <w:r w:rsidRPr="00A15DA1">
        <w:rPr>
          <w:rFonts w:cs="Arial"/>
          <w:b/>
          <w:i/>
          <w:sz w:val="16"/>
          <w:szCs w:val="18"/>
        </w:rPr>
        <w:t>Note</w:t>
      </w:r>
      <w:r w:rsidRPr="00A15DA1">
        <w:rPr>
          <w:rFonts w:cs="Arial"/>
          <w:sz w:val="16"/>
          <w:szCs w:val="18"/>
        </w:rPr>
        <w:t xml:space="preserve"> </w:t>
      </w:r>
      <w:r w:rsidRPr="00A15DA1">
        <w:rPr>
          <w:rFonts w:cs="Arial"/>
          <w:sz w:val="16"/>
          <w:szCs w:val="18"/>
        </w:rPr>
        <w:tab/>
      </w:r>
      <w:r w:rsidRPr="00A15DA1">
        <w:rPr>
          <w:rFonts w:cs="Arial"/>
          <w:sz w:val="16"/>
          <w:szCs w:val="16"/>
        </w:rPr>
        <w:t xml:space="preserve">Subsections S26—3(5) and (7) require a soy leghemoglobin preparation to comply with </w:t>
      </w:r>
      <w:r w:rsidRPr="00A15DA1">
        <w:rPr>
          <w:rFonts w:eastAsia="Calibri" w:cs="Arial"/>
          <w:sz w:val="16"/>
          <w:szCs w:val="16"/>
        </w:rPr>
        <w:t>the specifications set out in this section</w:t>
      </w:r>
      <w:r w:rsidRPr="00A15DA1">
        <w:rPr>
          <w:rFonts w:cs="Arial"/>
          <w:sz w:val="16"/>
          <w:szCs w:val="16"/>
        </w:rPr>
        <w:t>.</w:t>
      </w:r>
    </w:p>
    <w:p w14:paraId="3B42A355" w14:textId="77777777" w:rsidR="007617C7" w:rsidRPr="00A15DA1" w:rsidRDefault="007617C7" w:rsidP="006E51EF">
      <w:pPr>
        <w:widowControl/>
        <w:shd w:val="clear" w:color="auto" w:fill="FFFFFF"/>
        <w:tabs>
          <w:tab w:val="left" w:pos="851"/>
          <w:tab w:val="left" w:pos="1134"/>
        </w:tabs>
        <w:spacing w:before="120" w:after="120"/>
        <w:ind w:left="1701" w:hanging="1701"/>
        <w:rPr>
          <w:rFonts w:cs="Arial"/>
          <w:szCs w:val="20"/>
          <w:lang w:val="en-US" w:eastAsia="en-GB"/>
        </w:rPr>
      </w:pPr>
      <w:r w:rsidRPr="00A15DA1">
        <w:rPr>
          <w:rFonts w:cs="Arial"/>
          <w:szCs w:val="20"/>
        </w:rPr>
        <w:t xml:space="preserve">                        </w:t>
      </w:r>
      <w:r w:rsidRPr="00A15DA1">
        <w:rPr>
          <w:rFonts w:cs="Arial"/>
          <w:szCs w:val="20"/>
        </w:rPr>
        <w:tab/>
      </w:r>
      <w:r w:rsidRPr="00A15DA1">
        <w:rPr>
          <w:rFonts w:eastAsia="Calibri"/>
          <w:iCs/>
          <w:szCs w:val="20"/>
        </w:rPr>
        <w:t xml:space="preserve">For a </w:t>
      </w:r>
      <w:r w:rsidRPr="00A15DA1">
        <w:rPr>
          <w:rFonts w:eastAsia="Calibri"/>
          <w:szCs w:val="20"/>
        </w:rPr>
        <w:t>soy leghemoglobin preparation, the</w:t>
      </w:r>
      <w:r w:rsidRPr="00A15DA1">
        <w:rPr>
          <w:rFonts w:eastAsia="Calibri"/>
          <w:iCs/>
          <w:szCs w:val="20"/>
        </w:rPr>
        <w:t xml:space="preserve"> </w:t>
      </w:r>
      <w:r w:rsidRPr="00A15DA1">
        <w:rPr>
          <w:szCs w:val="20"/>
        </w:rPr>
        <w:t>specifications are the following:</w:t>
      </w:r>
      <w:r w:rsidRPr="00A15DA1">
        <w:rPr>
          <w:rFonts w:ascii="Times New Roman" w:hAnsi="Times New Roman"/>
          <w:szCs w:val="20"/>
          <w:lang w:val="en-AU" w:eastAsia="en-GB"/>
        </w:rPr>
        <w:t xml:space="preserve"> </w:t>
      </w:r>
    </w:p>
    <w:p w14:paraId="0680B7EB"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soy leghemoglobin protein—maximum 9.0%;</w:t>
      </w:r>
    </w:p>
    <w:p w14:paraId="131C6327"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soy leghemoglobin protein purity—minimum 65%;</w:t>
      </w:r>
    </w:p>
    <w:p w14:paraId="43148C29"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appearance—dark red concentrated liquid;</w:t>
      </w:r>
    </w:p>
    <w:p w14:paraId="0651D531"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solids— maximum 26%;</w:t>
      </w:r>
    </w:p>
    <w:p w14:paraId="0C6C798B"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fat—maximum 2.0%;</w:t>
      </w:r>
    </w:p>
    <w:p w14:paraId="387F7A93"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carbohydrate—maximum 6.0%;</w:t>
      </w:r>
    </w:p>
    <w:p w14:paraId="0D8E3245"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pH—5-10;</w:t>
      </w:r>
    </w:p>
    <w:p w14:paraId="232B44E1"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moisture—maximum 90%;</w:t>
      </w:r>
    </w:p>
    <w:p w14:paraId="4DFE2DF9"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ash—maximum 4.0%;</w:t>
      </w:r>
    </w:p>
    <w:p w14:paraId="2B36992D"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lead—maximum 0.4 mg/kg;</w:t>
      </w:r>
    </w:p>
    <w:p w14:paraId="689F2684"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arsenic—maximum 0.05 mg/kg;</w:t>
      </w:r>
    </w:p>
    <w:p w14:paraId="3C95879F"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mercury—maximum 0.05 mg/kg;</w:t>
      </w:r>
    </w:p>
    <w:p w14:paraId="4F80A74B"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t>cadmium—maximum 0.2 mg/kg;</w:t>
      </w:r>
    </w:p>
    <w:p w14:paraId="159EBB7F" w14:textId="77777777" w:rsidR="007617C7" w:rsidRPr="00A15DA1" w:rsidRDefault="007617C7" w:rsidP="00FF61AD">
      <w:pPr>
        <w:widowControl/>
        <w:numPr>
          <w:ilvl w:val="0"/>
          <w:numId w:val="21"/>
        </w:numPr>
        <w:tabs>
          <w:tab w:val="left" w:pos="851"/>
          <w:tab w:val="left" w:pos="1701"/>
        </w:tabs>
        <w:spacing w:before="60" w:after="60"/>
        <w:rPr>
          <w:rFonts w:eastAsia="Calibri" w:cs="Arial"/>
          <w:iCs/>
          <w:szCs w:val="20"/>
        </w:rPr>
      </w:pPr>
      <w:r w:rsidRPr="00A15DA1">
        <w:rPr>
          <w:rFonts w:eastAsia="Calibri" w:cs="Arial"/>
          <w:iCs/>
          <w:szCs w:val="20"/>
        </w:rPr>
        <w:lastRenderedPageBreak/>
        <w:t>microbiological:</w:t>
      </w:r>
    </w:p>
    <w:p w14:paraId="058BA30C" w14:textId="77777777" w:rsidR="007617C7" w:rsidRPr="00A15DA1" w:rsidRDefault="007617C7" w:rsidP="006E51EF">
      <w:pPr>
        <w:widowControl/>
        <w:tabs>
          <w:tab w:val="left" w:pos="2268"/>
        </w:tabs>
        <w:spacing w:before="60" w:after="60"/>
        <w:ind w:left="2835" w:hanging="2835"/>
        <w:rPr>
          <w:rFonts w:cs="Arial"/>
          <w:iCs/>
          <w:szCs w:val="20"/>
        </w:rPr>
      </w:pPr>
      <w:r w:rsidRPr="00A15DA1">
        <w:rPr>
          <w:rFonts w:eastAsia="Calibri" w:cs="Arial"/>
          <w:iCs/>
          <w:szCs w:val="20"/>
        </w:rPr>
        <w:tab/>
        <w:t>(</w:t>
      </w:r>
      <w:proofErr w:type="spellStart"/>
      <w:r w:rsidRPr="00A15DA1">
        <w:rPr>
          <w:rFonts w:eastAsia="Calibri" w:cs="Arial"/>
          <w:iCs/>
          <w:szCs w:val="20"/>
        </w:rPr>
        <w:t>i</w:t>
      </w:r>
      <w:proofErr w:type="spellEnd"/>
      <w:r w:rsidRPr="00A15DA1">
        <w:rPr>
          <w:rFonts w:eastAsia="Calibri" w:cs="Arial"/>
          <w:iCs/>
          <w:szCs w:val="20"/>
        </w:rPr>
        <w:t xml:space="preserve">) </w:t>
      </w:r>
      <w:r w:rsidRPr="00A15DA1">
        <w:rPr>
          <w:rFonts w:eastAsia="Calibri" w:cs="Arial"/>
          <w:iCs/>
          <w:szCs w:val="20"/>
        </w:rPr>
        <w:tab/>
      </w:r>
      <w:r w:rsidRPr="00A15DA1">
        <w:rPr>
          <w:rFonts w:cs="Arial"/>
          <w:i/>
          <w:iCs/>
          <w:szCs w:val="20"/>
        </w:rPr>
        <w:t>Escherichia coli</w:t>
      </w:r>
      <w:r w:rsidRPr="00A15DA1">
        <w:rPr>
          <w:rFonts w:cs="Arial"/>
          <w:iCs/>
          <w:szCs w:val="20"/>
        </w:rPr>
        <w:t xml:space="preserve">—negative to test; </w:t>
      </w:r>
    </w:p>
    <w:p w14:paraId="58FAC7C5" w14:textId="77777777" w:rsidR="007617C7" w:rsidRDefault="007617C7" w:rsidP="006E51EF">
      <w:pPr>
        <w:widowControl/>
        <w:tabs>
          <w:tab w:val="left" w:pos="2268"/>
        </w:tabs>
        <w:spacing w:before="60" w:after="60"/>
        <w:ind w:left="2835" w:hanging="2835"/>
        <w:rPr>
          <w:rFonts w:cs="Arial"/>
          <w:iCs/>
          <w:szCs w:val="20"/>
        </w:rPr>
      </w:pPr>
      <w:r w:rsidRPr="00A15DA1">
        <w:rPr>
          <w:rFonts w:cs="Arial"/>
          <w:iCs/>
          <w:szCs w:val="20"/>
        </w:rPr>
        <w:tab/>
        <w:t>(ii)</w:t>
      </w:r>
      <w:r w:rsidRPr="00A15DA1">
        <w:rPr>
          <w:rFonts w:cs="Arial"/>
          <w:iCs/>
          <w:szCs w:val="20"/>
        </w:rPr>
        <w:tab/>
      </w:r>
      <w:r w:rsidRPr="00A15DA1">
        <w:rPr>
          <w:rFonts w:cs="Arial"/>
          <w:i/>
          <w:iCs/>
          <w:szCs w:val="20"/>
        </w:rPr>
        <w:t>Salmonella spp</w:t>
      </w:r>
      <w:r w:rsidRPr="00A15DA1">
        <w:rPr>
          <w:rFonts w:cs="Arial"/>
          <w:iCs/>
          <w:szCs w:val="20"/>
        </w:rPr>
        <w:t xml:space="preserve">.—negative to test; </w:t>
      </w:r>
    </w:p>
    <w:p w14:paraId="27CEA430" w14:textId="77777777" w:rsidR="007617C7" w:rsidRPr="00A15DA1" w:rsidRDefault="007617C7" w:rsidP="006E51EF">
      <w:pPr>
        <w:widowControl/>
        <w:tabs>
          <w:tab w:val="left" w:pos="2268"/>
        </w:tabs>
        <w:spacing w:before="60" w:after="60"/>
        <w:ind w:left="2835" w:hanging="2835"/>
        <w:rPr>
          <w:i/>
          <w:iCs/>
          <w:szCs w:val="20"/>
        </w:rPr>
      </w:pPr>
      <w:r>
        <w:rPr>
          <w:rFonts w:cs="Arial"/>
          <w:iCs/>
          <w:szCs w:val="20"/>
        </w:rPr>
        <w:tab/>
      </w:r>
      <w:r w:rsidRPr="00A15DA1">
        <w:rPr>
          <w:szCs w:val="20"/>
        </w:rPr>
        <w:t>(iii)</w:t>
      </w:r>
      <w:r w:rsidRPr="00A15DA1">
        <w:rPr>
          <w:szCs w:val="20"/>
        </w:rPr>
        <w:tab/>
      </w:r>
      <w:r w:rsidRPr="00A15DA1">
        <w:rPr>
          <w:rFonts w:cs="Arial"/>
          <w:i/>
          <w:iCs/>
          <w:szCs w:val="20"/>
        </w:rPr>
        <w:t xml:space="preserve">Listeria </w:t>
      </w:r>
      <w:proofErr w:type="spellStart"/>
      <w:r w:rsidRPr="00A15DA1">
        <w:rPr>
          <w:rFonts w:cs="Arial"/>
          <w:i/>
          <w:iCs/>
          <w:szCs w:val="20"/>
        </w:rPr>
        <w:t>monocytogenes</w:t>
      </w:r>
      <w:proofErr w:type="spellEnd"/>
      <w:r w:rsidRPr="00A15DA1">
        <w:rPr>
          <w:rFonts w:cs="Arial"/>
          <w:i/>
          <w:iCs/>
          <w:szCs w:val="20"/>
        </w:rPr>
        <w:t>—negative to test.</w:t>
      </w:r>
    </w:p>
    <w:p w14:paraId="3D7D9430" w14:textId="77777777" w:rsidR="007617C7" w:rsidRDefault="007617C7" w:rsidP="006E51EF">
      <w:pPr>
        <w:widowControl/>
      </w:pPr>
    </w:p>
    <w:p w14:paraId="15AACB9C" w14:textId="484AC318" w:rsidR="007617C7" w:rsidRPr="001D1563" w:rsidRDefault="006E05D9" w:rsidP="006E51EF">
      <w:pPr>
        <w:pStyle w:val="FSCh4Div"/>
        <w:widowControl/>
      </w:pPr>
      <w:r>
        <w:t xml:space="preserve"> </w:t>
      </w:r>
      <w:r w:rsidR="007617C7">
        <w:t>Schedule</w:t>
      </w:r>
      <w:r w:rsidR="007617C7" w:rsidRPr="001D1563">
        <w:t xml:space="preserve"> 26</w:t>
      </w:r>
      <w:r w:rsidR="007617C7" w:rsidRPr="001D1563">
        <w:tab/>
        <w:t>Food produced using gene technology</w:t>
      </w:r>
    </w:p>
    <w:p w14:paraId="5451CECD" w14:textId="77777777" w:rsidR="007617C7" w:rsidRPr="001D1563" w:rsidRDefault="007617C7" w:rsidP="006E51EF">
      <w:pPr>
        <w:pStyle w:val="FSCnatHeading"/>
        <w:widowControl/>
      </w:pPr>
      <w:r w:rsidRPr="00453F9C">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w:t>
      </w:r>
      <w:proofErr w:type="spellStart"/>
      <w:r w:rsidRPr="001D1563">
        <w:t>Cth</w:t>
      </w:r>
      <w:proofErr w:type="spellEnd"/>
      <w:r w:rsidRPr="001D1563">
        <w:t>). The standards together make up the</w:t>
      </w:r>
      <w:r w:rsidRPr="00D71F3E">
        <w:rPr>
          <w:i/>
        </w:rPr>
        <w:t xml:space="preserve"> Australia New Zealand Food Standards Code</w:t>
      </w:r>
      <w:r w:rsidRPr="001D1563">
        <w:rPr>
          <w:i/>
        </w:rPr>
        <w:t>.</w:t>
      </w:r>
      <w:r w:rsidRPr="001D1563">
        <w:t xml:space="preserve"> See also section 1.1.1—3.</w:t>
      </w:r>
    </w:p>
    <w:p w14:paraId="617771FA" w14:textId="77777777" w:rsidR="007617C7" w:rsidRPr="001D1563" w:rsidRDefault="007617C7" w:rsidP="006E51EF">
      <w:pPr>
        <w:pStyle w:val="FSCnatHeading"/>
        <w:widowControl/>
      </w:pPr>
      <w:r w:rsidRPr="001D1563">
        <w:tab/>
        <w:t>Food produced using gene technology is re</w:t>
      </w:r>
      <w:r>
        <w:t>gulated by paragraphs</w:t>
      </w:r>
      <w:r w:rsidRPr="008107E8">
        <w:t xml:space="preserve"> 1.1.1—10(5)(c) and (6)(g) </w:t>
      </w:r>
      <w:r w:rsidRPr="001D1563">
        <w:t>and Standard 1.5.2. This standard lists food produced using gene technology, and corresponding conditions, for paragraph 1.5.2—3(a).</w:t>
      </w:r>
    </w:p>
    <w:p w14:paraId="3E5C660D" w14:textId="77777777" w:rsidR="007617C7" w:rsidRPr="001D1563" w:rsidRDefault="007617C7" w:rsidP="006E51EF">
      <w:pPr>
        <w:pStyle w:val="FSCnatHeading"/>
        <w:widowControl/>
      </w:pPr>
      <w:r w:rsidRPr="00453F9C">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79C3DF94" w14:textId="77777777" w:rsidR="007617C7" w:rsidRPr="001D1563" w:rsidRDefault="007617C7" w:rsidP="006E51EF">
      <w:pPr>
        <w:pStyle w:val="FSCh5Section"/>
        <w:widowControl/>
      </w:pPr>
      <w:bookmarkStart w:id="333" w:name="_Toc400032528"/>
      <w:bookmarkStart w:id="334" w:name="_Ref331337028"/>
      <w:bookmarkStart w:id="335" w:name="_Ref333235607"/>
      <w:bookmarkStart w:id="336" w:name="_Toc371505885"/>
      <w:r w:rsidRPr="001D1563">
        <w:rPr>
          <w:rFonts w:ascii="Arial Bold" w:hAnsi="Arial Bold"/>
        </w:rPr>
        <w:t>S26—1</w:t>
      </w:r>
      <w:r w:rsidRPr="001D1563">
        <w:tab/>
        <w:t>Name</w:t>
      </w:r>
      <w:bookmarkEnd w:id="333"/>
    </w:p>
    <w:p w14:paraId="6A652F51" w14:textId="77777777" w:rsidR="007617C7" w:rsidRPr="00D71F3E" w:rsidRDefault="007617C7" w:rsidP="006E51EF">
      <w:pPr>
        <w:pStyle w:val="FSCtMain"/>
        <w:widowControl/>
      </w:pPr>
      <w:r w:rsidRPr="001D1563">
        <w:tab/>
      </w:r>
      <w:r w:rsidRPr="001D1563">
        <w:tab/>
        <w:t xml:space="preserve">This Standard is </w:t>
      </w:r>
      <w:r w:rsidRPr="001D1563">
        <w:rPr>
          <w:i/>
        </w:rPr>
        <w:t xml:space="preserve">Australia New Zealand Food Standards Code </w:t>
      </w:r>
      <w:r w:rsidRPr="00D71F3E">
        <w:t>– Schedule 26 – Food produced using gene technology.</w:t>
      </w:r>
    </w:p>
    <w:p w14:paraId="46D52EB0" w14:textId="77777777" w:rsidR="007617C7" w:rsidRPr="001D1563" w:rsidRDefault="007617C7" w:rsidP="006E51EF">
      <w:pPr>
        <w:pStyle w:val="FSCnMain"/>
        <w:widowControl/>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w:t>
      </w:r>
      <w:proofErr w:type="spellStart"/>
      <w:r w:rsidRPr="001D1563">
        <w:t>Cth</w:t>
      </w:r>
      <w:proofErr w:type="spellEnd"/>
      <w:r w:rsidRPr="001D1563">
        <w:t>). See also section 93 of that Act.</w:t>
      </w:r>
    </w:p>
    <w:p w14:paraId="7B6CDDDE" w14:textId="77777777" w:rsidR="007617C7" w:rsidRPr="001D1563" w:rsidRDefault="007617C7" w:rsidP="006E51EF">
      <w:pPr>
        <w:pStyle w:val="FSCh5Section"/>
        <w:widowControl/>
      </w:pPr>
      <w:r w:rsidRPr="001D1563">
        <w:t>S26—2</w:t>
      </w:r>
      <w:r w:rsidRPr="001D1563">
        <w:tab/>
        <w:t>Interpretation</w:t>
      </w:r>
      <w:bookmarkEnd w:id="334"/>
      <w:bookmarkEnd w:id="335"/>
      <w:bookmarkEnd w:id="336"/>
    </w:p>
    <w:p w14:paraId="1A8875E0" w14:textId="77777777" w:rsidR="007617C7" w:rsidRPr="001D1563" w:rsidRDefault="007617C7" w:rsidP="006E51EF">
      <w:pPr>
        <w:pStyle w:val="FSCtMain"/>
        <w:widowControl/>
      </w:pPr>
      <w:r w:rsidRPr="001D1563">
        <w:tab/>
        <w:t>(1)</w:t>
      </w:r>
      <w:r w:rsidRPr="001D1563">
        <w:tab/>
        <w:t>In this Schedule, headings in bold type are for information only, and do not list food for the purpose of section 1.5.2—3.</w:t>
      </w:r>
      <w:bookmarkStart w:id="337" w:name="_Ref334097279"/>
    </w:p>
    <w:p w14:paraId="001EDF55" w14:textId="77777777" w:rsidR="007617C7" w:rsidRPr="001D1563" w:rsidRDefault="007617C7" w:rsidP="006E51EF">
      <w:pPr>
        <w:pStyle w:val="FSCtMain"/>
        <w:widowControl/>
      </w:pPr>
      <w:r w:rsidRPr="001D1563">
        <w:tab/>
        <w:t>(2)</w:t>
      </w:r>
      <w:r w:rsidRPr="001D1563">
        <w:tab/>
        <w:t>In this Schedule:</w:t>
      </w:r>
      <w:bookmarkEnd w:id="337"/>
    </w:p>
    <w:p w14:paraId="3B6A61E6" w14:textId="77777777" w:rsidR="007617C7" w:rsidRPr="00675D8F" w:rsidRDefault="007617C7" w:rsidP="006E51EF">
      <w:pPr>
        <w:pStyle w:val="FSCtSubpara"/>
        <w:widowControl/>
        <w:tabs>
          <w:tab w:val="clear" w:pos="2268"/>
          <w:tab w:val="left" w:pos="1701"/>
        </w:tabs>
        <w:rPr>
          <w:b/>
        </w:rPr>
      </w:pPr>
      <w:r>
        <w:t xml:space="preserve"> </w:t>
      </w:r>
      <w:r>
        <w:tab/>
      </w:r>
      <w:r w:rsidRPr="00675D8F">
        <w:rPr>
          <w:b/>
        </w:rPr>
        <w:t>…</w:t>
      </w:r>
    </w:p>
    <w:p w14:paraId="7B3A79DD" w14:textId="77777777" w:rsidR="007617C7" w:rsidRDefault="007617C7" w:rsidP="006E51EF">
      <w:pPr>
        <w:pStyle w:val="FSCtDefn"/>
        <w:widowControl/>
        <w:rPr>
          <w:rFonts w:eastAsia="Calibri"/>
          <w:szCs w:val="20"/>
        </w:rPr>
      </w:pPr>
      <w:r w:rsidRPr="00D1467B">
        <w:rPr>
          <w:b/>
          <w:i/>
          <w:szCs w:val="20"/>
        </w:rPr>
        <w:t xml:space="preserve">Soy leghemoglobin preparation </w:t>
      </w:r>
      <w:r w:rsidRPr="00D1467B">
        <w:rPr>
          <w:szCs w:val="20"/>
        </w:rPr>
        <w:t xml:space="preserve">means a </w:t>
      </w:r>
      <w:r w:rsidRPr="00D1467B">
        <w:rPr>
          <w:rFonts w:eastAsia="Calibri"/>
          <w:szCs w:val="20"/>
        </w:rPr>
        <w:t xml:space="preserve">cell lysate preparation </w:t>
      </w:r>
      <w:r>
        <w:rPr>
          <w:rFonts w:eastAsia="Calibri"/>
          <w:szCs w:val="20"/>
        </w:rPr>
        <w:t>that:</w:t>
      </w:r>
    </w:p>
    <w:p w14:paraId="0D61FC30" w14:textId="32AB123F" w:rsidR="007617C7" w:rsidRPr="001D1563" w:rsidRDefault="007617C7" w:rsidP="006E51EF">
      <w:pPr>
        <w:pStyle w:val="FSCtPara"/>
        <w:widowControl/>
      </w:pPr>
      <w:r w:rsidRPr="001D1563">
        <w:tab/>
        <w:t>(a)</w:t>
      </w:r>
      <w:r w:rsidRPr="001D1563">
        <w:tab/>
      </w:r>
      <w:r>
        <w:t xml:space="preserve">is derived from </w:t>
      </w:r>
      <w:r w:rsidRPr="00D1467B">
        <w:rPr>
          <w:rFonts w:eastAsia="Calibri"/>
          <w:i/>
          <w:lang w:val="en-AU"/>
        </w:rPr>
        <w:t xml:space="preserve">Pichia </w:t>
      </w:r>
      <w:r w:rsidR="000C58F5">
        <w:rPr>
          <w:rFonts w:eastAsia="Calibri"/>
          <w:i/>
          <w:lang w:val="en-AU"/>
        </w:rPr>
        <w:t>p</w:t>
      </w:r>
      <w:r w:rsidRPr="00D1467B">
        <w:rPr>
          <w:rFonts w:eastAsia="Calibri"/>
          <w:i/>
          <w:lang w:val="en-AU"/>
        </w:rPr>
        <w:t>astoris</w:t>
      </w:r>
      <w:r w:rsidRPr="00D1467B">
        <w:rPr>
          <w:rFonts w:eastAsia="Calibri"/>
          <w:lang w:val="en-AU"/>
        </w:rPr>
        <w:t xml:space="preserve"> containing the gene for leghemoglobin c2 from </w:t>
      </w:r>
      <w:r w:rsidRPr="00D1467B">
        <w:rPr>
          <w:rFonts w:eastAsia="Calibri"/>
          <w:i/>
          <w:lang w:val="en-AU"/>
        </w:rPr>
        <w:t>Glycine max</w:t>
      </w:r>
      <w:r>
        <w:rPr>
          <w:rFonts w:eastAsia="Calibri"/>
          <w:lang w:val="en-AU"/>
        </w:rPr>
        <w:t xml:space="preserve">; </w:t>
      </w:r>
      <w:r>
        <w:t>and</w:t>
      </w:r>
    </w:p>
    <w:p w14:paraId="03147C4E" w14:textId="77777777" w:rsidR="007617C7" w:rsidRPr="001D1563" w:rsidRDefault="007617C7" w:rsidP="006E51EF">
      <w:pPr>
        <w:pStyle w:val="FSCtPara"/>
        <w:widowControl/>
      </w:pPr>
      <w:r w:rsidRPr="001D1563">
        <w:tab/>
        <w:t>(b)</w:t>
      </w:r>
      <w:r w:rsidRPr="001D1563">
        <w:tab/>
      </w:r>
      <w:r w:rsidRPr="00D1467B">
        <w:rPr>
          <w:rFonts w:eastAsia="Calibri"/>
          <w:szCs w:val="20"/>
          <w:lang w:val="en-AU"/>
        </w:rPr>
        <w:t xml:space="preserve">contains </w:t>
      </w:r>
      <w:r w:rsidRPr="00D1467B">
        <w:rPr>
          <w:rFonts w:eastAsia="Calibri"/>
          <w:szCs w:val="20"/>
        </w:rPr>
        <w:t>soy leghemoglobin</w:t>
      </w:r>
      <w:r>
        <w:rPr>
          <w:rFonts w:eastAsia="Calibri"/>
          <w:szCs w:val="20"/>
        </w:rPr>
        <w:t>.</w:t>
      </w:r>
    </w:p>
    <w:p w14:paraId="43F17F06" w14:textId="77777777" w:rsidR="007617C7" w:rsidRPr="00270ADA" w:rsidRDefault="007617C7" w:rsidP="006E51EF">
      <w:pPr>
        <w:pStyle w:val="FSCtDefn"/>
        <w:widowControl/>
      </w:pPr>
      <w:bookmarkStart w:id="338" w:name="_Ref338160659"/>
      <w:r w:rsidRPr="00270ADA">
        <w:rPr>
          <w:b/>
        </w:rPr>
        <w:t>…</w:t>
      </w:r>
    </w:p>
    <w:p w14:paraId="22A2D5FC" w14:textId="77777777" w:rsidR="007617C7" w:rsidRPr="001D1563" w:rsidRDefault="007617C7" w:rsidP="006E51EF">
      <w:pPr>
        <w:pStyle w:val="FSCh5Section"/>
        <w:widowControl/>
      </w:pPr>
      <w:bookmarkStart w:id="339" w:name="_Ref342055933"/>
      <w:bookmarkStart w:id="340" w:name="_Toc371505886"/>
      <w:bookmarkStart w:id="341" w:name="_Toc400032530"/>
      <w:r w:rsidRPr="001D1563">
        <w:t>S26—3</w:t>
      </w:r>
      <w:r w:rsidRPr="001D1563">
        <w:tab/>
        <w:t>Permitted food produced using gene technology</w:t>
      </w:r>
      <w:bookmarkEnd w:id="338"/>
      <w:bookmarkEnd w:id="339"/>
      <w:bookmarkEnd w:id="340"/>
      <w:r w:rsidRPr="001D1563">
        <w:t xml:space="preserve"> and conditions</w:t>
      </w:r>
      <w:bookmarkEnd w:id="341"/>
    </w:p>
    <w:p w14:paraId="5BF7F5FE" w14:textId="77777777" w:rsidR="007617C7" w:rsidRPr="00C135D6" w:rsidRDefault="007617C7" w:rsidP="006E51EF">
      <w:pPr>
        <w:pStyle w:val="FSCtMain"/>
        <w:widowControl/>
      </w:pPr>
      <w:r w:rsidRPr="001D1563">
        <w:tab/>
      </w:r>
      <w:r w:rsidRPr="00C135D6">
        <w:t xml:space="preserve">(1) </w:t>
      </w:r>
      <w:r>
        <w:tab/>
      </w:r>
      <w:r w:rsidRPr="00C135D6">
        <w:t xml:space="preserve">The table to subsection (4) and the table to subsection (7) list permitted food produced using gene technology. </w:t>
      </w:r>
    </w:p>
    <w:p w14:paraId="52A4FC1F" w14:textId="77777777" w:rsidR="007617C7" w:rsidRPr="00C135D6" w:rsidRDefault="007617C7" w:rsidP="006E51EF">
      <w:pPr>
        <w:pStyle w:val="FSCtMain"/>
        <w:widowControl/>
      </w:pPr>
      <w:r>
        <w:tab/>
      </w:r>
      <w:r w:rsidRPr="00C135D6">
        <w:t xml:space="preserve">(2) </w:t>
      </w:r>
      <w:r>
        <w:tab/>
      </w:r>
      <w:r w:rsidRPr="00C135D6">
        <w:t xml:space="preserve">Items 1(g), 2(m), 7(e), (g) and (h), and 9(a) of the table to subsection (4) are subject to the condition that their labelling must comply with section 1.5.2—4. </w:t>
      </w:r>
    </w:p>
    <w:p w14:paraId="1E690BDA" w14:textId="77777777" w:rsidR="007617C7" w:rsidRPr="00C135D6" w:rsidRDefault="007617C7" w:rsidP="006E51EF">
      <w:pPr>
        <w:pStyle w:val="FSCtMain"/>
        <w:widowControl/>
      </w:pPr>
      <w:r>
        <w:rPr>
          <w:b/>
          <w:bCs/>
          <w:i/>
        </w:rPr>
        <w:tab/>
      </w:r>
      <w:r>
        <w:rPr>
          <w:b/>
          <w:bCs/>
          <w:i/>
        </w:rPr>
        <w:tab/>
      </w:r>
      <w:r w:rsidRPr="00C135D6">
        <w:rPr>
          <w:b/>
          <w:i/>
          <w:iCs w:val="0"/>
          <w:sz w:val="16"/>
          <w:szCs w:val="18"/>
        </w:rPr>
        <w:t xml:space="preserve">Note </w:t>
      </w:r>
      <w:r>
        <w:rPr>
          <w:b/>
          <w:i/>
          <w:iCs w:val="0"/>
          <w:sz w:val="16"/>
          <w:szCs w:val="18"/>
        </w:rPr>
        <w:tab/>
      </w:r>
      <w:r w:rsidRPr="00C135D6">
        <w:rPr>
          <w:i/>
          <w:iCs w:val="0"/>
          <w:sz w:val="16"/>
          <w:szCs w:val="18"/>
        </w:rPr>
        <w:t>That section requires the statement ‘genetically modified’.</w:t>
      </w:r>
      <w:r w:rsidRPr="00C135D6">
        <w:t xml:space="preserve"> </w:t>
      </w:r>
    </w:p>
    <w:p w14:paraId="3EF874D3" w14:textId="77777777" w:rsidR="007617C7" w:rsidRPr="00C135D6" w:rsidRDefault="007617C7" w:rsidP="006E51EF">
      <w:pPr>
        <w:pStyle w:val="FSCtMain"/>
        <w:widowControl/>
      </w:pPr>
      <w:r>
        <w:tab/>
      </w:r>
      <w:r w:rsidRPr="00C135D6">
        <w:t xml:space="preserve">(2A) </w:t>
      </w:r>
      <w:r>
        <w:tab/>
      </w:r>
      <w:r w:rsidRPr="00C135D6">
        <w:t xml:space="preserve">Products containing beta-carotene from item 6(b) of the table to subsection (4) are subject to the condition that their labelling must comply with section 1.5.2—4. </w:t>
      </w:r>
    </w:p>
    <w:p w14:paraId="5CA69931" w14:textId="77777777" w:rsidR="007617C7" w:rsidRDefault="007617C7" w:rsidP="006E51EF">
      <w:pPr>
        <w:pStyle w:val="FSCtMain"/>
        <w:widowControl/>
      </w:pPr>
      <w:r>
        <w:tab/>
      </w:r>
      <w:r w:rsidRPr="00C135D6">
        <w:t xml:space="preserve">(3) </w:t>
      </w:r>
      <w:r>
        <w:tab/>
      </w:r>
      <w:r w:rsidRPr="00C135D6">
        <w:t>Item 2(m) of the table to subsection (4) is also subject to the condition that, for the labelling provisions, unless the protein content has been removed as part of a</w:t>
      </w:r>
      <w:r>
        <w:t xml:space="preserve"> </w:t>
      </w:r>
      <w:r>
        <w:rPr>
          <w:szCs w:val="20"/>
        </w:rPr>
        <w:t>refining process, the information relating to *foods produced using gene technology includes a statement to the effect that the high lysine corn line LY038 has been genetically modified to contain increased levels of lysine.</w:t>
      </w:r>
    </w:p>
    <w:p w14:paraId="7E4FE522" w14:textId="77777777" w:rsidR="007617C7" w:rsidRPr="001D1563" w:rsidRDefault="007617C7" w:rsidP="006E51EF">
      <w:pPr>
        <w:pStyle w:val="FSCtMain"/>
        <w:widowControl/>
      </w:pPr>
      <w:r w:rsidRPr="001D1563">
        <w:tab/>
        <w:t>(4)</w:t>
      </w:r>
      <w:r w:rsidRPr="001D1563">
        <w:tab/>
        <w:t>The table for this subsection is:</w:t>
      </w:r>
    </w:p>
    <w:p w14:paraId="5A163E9D" w14:textId="77777777" w:rsidR="007617C7" w:rsidRPr="001D1563" w:rsidRDefault="007617C7" w:rsidP="006E51EF">
      <w:pPr>
        <w:pStyle w:val="FSCtblh2"/>
      </w:pPr>
      <w:r w:rsidRPr="001D1563">
        <w:lastRenderedPageBreak/>
        <w:t xml:space="preserve">Food produced using </w:t>
      </w:r>
      <w:r w:rsidRPr="00C135D6">
        <w:t>gene technology of plant origin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7617C7" w:rsidRPr="00D71F3E" w14:paraId="56DE47A9" w14:textId="77777777" w:rsidTr="00B86919">
        <w:trPr>
          <w:cantSplit/>
          <w:tblHeader/>
        </w:trPr>
        <w:tc>
          <w:tcPr>
            <w:tcW w:w="2093" w:type="dxa"/>
            <w:gridSpan w:val="2"/>
            <w:tcBorders>
              <w:top w:val="single" w:sz="4" w:space="0" w:color="auto"/>
              <w:bottom w:val="single" w:sz="4" w:space="0" w:color="auto"/>
            </w:tcBorders>
          </w:tcPr>
          <w:p w14:paraId="226CF137" w14:textId="77777777" w:rsidR="007617C7" w:rsidRPr="00D71F3E" w:rsidRDefault="007617C7" w:rsidP="006E51EF">
            <w:pPr>
              <w:pStyle w:val="FSCtblh3"/>
            </w:pPr>
            <w:r w:rsidRPr="00D71F3E">
              <w:t>Commodity</w:t>
            </w:r>
          </w:p>
        </w:tc>
        <w:tc>
          <w:tcPr>
            <w:tcW w:w="6979" w:type="dxa"/>
            <w:tcBorders>
              <w:top w:val="single" w:sz="4" w:space="0" w:color="auto"/>
              <w:bottom w:val="single" w:sz="4" w:space="0" w:color="auto"/>
            </w:tcBorders>
          </w:tcPr>
          <w:p w14:paraId="486E9F33" w14:textId="77777777" w:rsidR="007617C7" w:rsidRPr="00D71F3E" w:rsidRDefault="007617C7" w:rsidP="006E51EF">
            <w:pPr>
              <w:pStyle w:val="FSCtblh3"/>
            </w:pPr>
            <w:r w:rsidRPr="00D71F3E">
              <w:t>Food derived from:</w:t>
            </w:r>
          </w:p>
        </w:tc>
      </w:tr>
      <w:tr w:rsidR="007617C7" w:rsidRPr="00D71F3E" w14:paraId="4F9B296F" w14:textId="77777777" w:rsidTr="00B86919">
        <w:trPr>
          <w:cantSplit/>
          <w:trHeight w:val="67"/>
        </w:trPr>
        <w:tc>
          <w:tcPr>
            <w:tcW w:w="903" w:type="dxa"/>
            <w:tcBorders>
              <w:top w:val="single" w:sz="4" w:space="0" w:color="auto"/>
            </w:tcBorders>
          </w:tcPr>
          <w:p w14:paraId="286FF9F5" w14:textId="77777777" w:rsidR="007617C7" w:rsidRPr="00DE6404" w:rsidRDefault="007617C7" w:rsidP="006E51EF">
            <w:pPr>
              <w:pStyle w:val="FSCtblMain"/>
              <w:rPr>
                <w:b/>
              </w:rPr>
            </w:pPr>
            <w:r>
              <w:rPr>
                <w:b/>
              </w:rPr>
              <w:t>…</w:t>
            </w:r>
          </w:p>
        </w:tc>
        <w:tc>
          <w:tcPr>
            <w:tcW w:w="1190" w:type="dxa"/>
            <w:tcBorders>
              <w:top w:val="single" w:sz="4" w:space="0" w:color="auto"/>
            </w:tcBorders>
          </w:tcPr>
          <w:p w14:paraId="6AD5047E" w14:textId="77777777" w:rsidR="007617C7" w:rsidRPr="00DE6404" w:rsidRDefault="007617C7" w:rsidP="006E51EF">
            <w:pPr>
              <w:pStyle w:val="FSCtblMain"/>
              <w:rPr>
                <w:b/>
              </w:rPr>
            </w:pPr>
          </w:p>
        </w:tc>
        <w:tc>
          <w:tcPr>
            <w:tcW w:w="6979" w:type="dxa"/>
            <w:tcBorders>
              <w:top w:val="single" w:sz="4" w:space="0" w:color="auto"/>
            </w:tcBorders>
          </w:tcPr>
          <w:p w14:paraId="091A4379" w14:textId="77777777" w:rsidR="007617C7" w:rsidRPr="00D71F3E" w:rsidRDefault="007617C7" w:rsidP="006E51EF">
            <w:pPr>
              <w:pStyle w:val="FSCtblPara"/>
            </w:pPr>
            <w:r>
              <w:t>…</w:t>
            </w:r>
          </w:p>
        </w:tc>
      </w:tr>
    </w:tbl>
    <w:p w14:paraId="0E91752C" w14:textId="77777777" w:rsidR="007617C7" w:rsidRDefault="007617C7" w:rsidP="006E51EF">
      <w:pPr>
        <w:widowControl/>
      </w:pPr>
    </w:p>
    <w:p w14:paraId="7D48D765" w14:textId="77777777" w:rsidR="007617C7" w:rsidRDefault="007617C7" w:rsidP="006E51EF">
      <w:pPr>
        <w:pStyle w:val="FSCtMain"/>
        <w:widowControl/>
        <w:ind w:hanging="567"/>
      </w:pPr>
      <w:r>
        <w:t xml:space="preserve">(5) </w:t>
      </w:r>
      <w:r>
        <w:tab/>
        <w:t>A food listed in the table to subsection (7) must comply with any corresponding conditions listed in that table.</w:t>
      </w:r>
    </w:p>
    <w:p w14:paraId="6E7C49A8" w14:textId="77777777" w:rsidR="007617C7" w:rsidRDefault="007617C7" w:rsidP="006E51EF">
      <w:pPr>
        <w:pStyle w:val="FSCtMain"/>
        <w:widowControl/>
      </w:pPr>
      <w:r>
        <w:tab/>
        <w:t xml:space="preserve">(6) </w:t>
      </w:r>
      <w:r>
        <w:tab/>
        <w:t>A source listed in the table to subsection (7) may contain additional copies of genes from the same strain.</w:t>
      </w:r>
    </w:p>
    <w:p w14:paraId="3122978F" w14:textId="77777777" w:rsidR="007617C7" w:rsidRDefault="007617C7" w:rsidP="006E51EF">
      <w:pPr>
        <w:pStyle w:val="FSCtMain"/>
        <w:widowControl/>
      </w:pPr>
      <w:r>
        <w:tab/>
        <w:t xml:space="preserve">(7) </w:t>
      </w:r>
      <w:r>
        <w:tab/>
        <w:t>The table for this subsection is:</w:t>
      </w:r>
    </w:p>
    <w:p w14:paraId="171D2796" w14:textId="77777777" w:rsidR="007617C7" w:rsidRPr="009A61B0" w:rsidRDefault="007617C7" w:rsidP="006E51EF">
      <w:pPr>
        <w:widowControl/>
        <w:shd w:val="clear" w:color="auto" w:fill="FFFFFF"/>
        <w:spacing w:after="120"/>
        <w:ind w:left="993"/>
        <w:jc w:val="center"/>
        <w:rPr>
          <w:rFonts w:cs="Arial"/>
          <w:b/>
          <w:sz w:val="19"/>
          <w:szCs w:val="19"/>
          <w:lang w:val="en-US" w:eastAsia="en-GB"/>
        </w:rPr>
      </w:pPr>
      <w:r w:rsidRPr="009A61B0">
        <w:rPr>
          <w:rFonts w:cs="Arial"/>
          <w:b/>
          <w:sz w:val="19"/>
          <w:szCs w:val="19"/>
          <w:lang w:eastAsia="en-GB"/>
        </w:rPr>
        <w:t xml:space="preserve">Food produced using gene technology of microbial origin </w:t>
      </w:r>
    </w:p>
    <w:tbl>
      <w:tblPr>
        <w:tblW w:w="9072" w:type="dxa"/>
        <w:tblLayout w:type="fixed"/>
        <w:tblCellMar>
          <w:left w:w="0" w:type="dxa"/>
          <w:right w:w="0" w:type="dxa"/>
        </w:tblCellMar>
        <w:tblLook w:val="04A0" w:firstRow="1" w:lastRow="0" w:firstColumn="1" w:lastColumn="0" w:noHBand="0" w:noVBand="1"/>
      </w:tblPr>
      <w:tblGrid>
        <w:gridCol w:w="284"/>
        <w:gridCol w:w="37"/>
        <w:gridCol w:w="1626"/>
        <w:gridCol w:w="223"/>
        <w:gridCol w:w="240"/>
        <w:gridCol w:w="279"/>
        <w:gridCol w:w="2414"/>
        <w:gridCol w:w="709"/>
        <w:gridCol w:w="3260"/>
      </w:tblGrid>
      <w:tr w:rsidR="007617C7" w:rsidRPr="009A61B0" w14:paraId="0E92D33B" w14:textId="77777777" w:rsidTr="00B86919">
        <w:trPr>
          <w:cantSplit/>
          <w:trHeight w:val="283"/>
          <w:tblHeader/>
        </w:trPr>
        <w:tc>
          <w:tcPr>
            <w:tcW w:w="2689" w:type="dxa"/>
            <w:gridSpan w:val="6"/>
            <w:tcBorders>
              <w:top w:val="single" w:sz="8" w:space="0" w:color="auto"/>
              <w:left w:val="nil"/>
              <w:bottom w:val="single" w:sz="8" w:space="0" w:color="auto"/>
              <w:right w:val="nil"/>
            </w:tcBorders>
            <w:tcMar>
              <w:top w:w="0" w:type="dxa"/>
              <w:left w:w="108" w:type="dxa"/>
              <w:bottom w:w="0" w:type="dxa"/>
              <w:right w:w="108" w:type="dxa"/>
            </w:tcMar>
            <w:vAlign w:val="center"/>
            <w:hideMark/>
          </w:tcPr>
          <w:p w14:paraId="548468C7" w14:textId="77777777" w:rsidR="007617C7" w:rsidRPr="009A61B0" w:rsidRDefault="007617C7" w:rsidP="006E51EF">
            <w:pPr>
              <w:widowControl/>
              <w:spacing w:before="100" w:beforeAutospacing="1" w:after="100" w:afterAutospacing="1"/>
              <w:rPr>
                <w:rFonts w:cs="Arial"/>
                <w:b/>
                <w:i/>
                <w:sz w:val="18"/>
                <w:szCs w:val="19"/>
                <w:lang w:eastAsia="en-GB"/>
              </w:rPr>
            </w:pPr>
            <w:r w:rsidRPr="009A61B0">
              <w:rPr>
                <w:rFonts w:cs="Arial"/>
                <w:b/>
                <w:i/>
                <w:sz w:val="18"/>
                <w:szCs w:val="19"/>
                <w:lang w:eastAsia="en-GB"/>
              </w:rPr>
              <w:t>Substance</w:t>
            </w:r>
          </w:p>
        </w:tc>
        <w:tc>
          <w:tcPr>
            <w:tcW w:w="3123" w:type="dxa"/>
            <w:gridSpan w:val="2"/>
            <w:tcBorders>
              <w:top w:val="single" w:sz="8" w:space="0" w:color="auto"/>
              <w:left w:val="nil"/>
              <w:bottom w:val="single" w:sz="8" w:space="0" w:color="auto"/>
              <w:right w:val="nil"/>
            </w:tcBorders>
            <w:vAlign w:val="center"/>
            <w:hideMark/>
          </w:tcPr>
          <w:p w14:paraId="76B4787A" w14:textId="77777777" w:rsidR="007617C7" w:rsidRPr="009A61B0" w:rsidRDefault="007617C7" w:rsidP="006E51EF">
            <w:pPr>
              <w:widowControl/>
              <w:spacing w:before="100" w:beforeAutospacing="1" w:after="100" w:afterAutospacing="1"/>
              <w:ind w:right="36"/>
              <w:rPr>
                <w:rFonts w:cs="Arial"/>
                <w:b/>
                <w:i/>
                <w:sz w:val="18"/>
                <w:szCs w:val="19"/>
                <w:lang w:eastAsia="en-GB"/>
              </w:rPr>
            </w:pPr>
            <w:r w:rsidRPr="009A61B0">
              <w:rPr>
                <w:rFonts w:cs="Arial"/>
                <w:b/>
                <w:i/>
                <w:sz w:val="18"/>
                <w:szCs w:val="19"/>
                <w:lang w:eastAsia="en-GB"/>
              </w:rPr>
              <w:t>Source</w:t>
            </w:r>
          </w:p>
        </w:tc>
        <w:tc>
          <w:tcPr>
            <w:tcW w:w="3260" w:type="dxa"/>
            <w:tcBorders>
              <w:top w:val="single" w:sz="8" w:space="0" w:color="auto"/>
              <w:left w:val="nil"/>
              <w:bottom w:val="single" w:sz="8" w:space="0" w:color="auto"/>
              <w:right w:val="nil"/>
            </w:tcBorders>
            <w:hideMark/>
          </w:tcPr>
          <w:p w14:paraId="047EC687" w14:textId="77777777" w:rsidR="007617C7" w:rsidRPr="009A61B0" w:rsidRDefault="007617C7" w:rsidP="006E51EF">
            <w:pPr>
              <w:widowControl/>
              <w:spacing w:before="100" w:beforeAutospacing="1" w:after="100" w:afterAutospacing="1"/>
              <w:ind w:right="284"/>
              <w:rPr>
                <w:rFonts w:cs="Arial"/>
                <w:b/>
                <w:i/>
                <w:sz w:val="18"/>
                <w:szCs w:val="19"/>
                <w:lang w:eastAsia="en-GB"/>
              </w:rPr>
            </w:pPr>
            <w:r w:rsidRPr="009A61B0">
              <w:rPr>
                <w:rFonts w:cs="Arial"/>
                <w:b/>
                <w:i/>
                <w:sz w:val="18"/>
                <w:szCs w:val="19"/>
                <w:lang w:eastAsia="en-GB"/>
              </w:rPr>
              <w:t>Conditions of use</w:t>
            </w:r>
          </w:p>
        </w:tc>
      </w:tr>
      <w:tr w:rsidR="007617C7" w:rsidRPr="009A61B0" w14:paraId="7AB55D23" w14:textId="77777777" w:rsidTr="00B86919">
        <w:trPr>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31BE3C07" w14:textId="77777777" w:rsidR="007617C7" w:rsidRPr="009A61B0" w:rsidRDefault="007617C7" w:rsidP="006E51EF">
            <w:pPr>
              <w:widowControl/>
              <w:spacing w:before="60" w:after="60"/>
              <w:rPr>
                <w:rFonts w:cs="Arial"/>
                <w:sz w:val="18"/>
                <w:szCs w:val="18"/>
                <w:lang w:eastAsia="en-GB"/>
              </w:rPr>
            </w:pPr>
            <w:r w:rsidRPr="009A61B0">
              <w:rPr>
                <w:rFonts w:cs="Arial"/>
                <w:b/>
                <w:bCs/>
                <w:sz w:val="18"/>
                <w:szCs w:val="18"/>
                <w:lang w:eastAsia="en-GB"/>
              </w:rPr>
              <w:t>1</w:t>
            </w:r>
          </w:p>
        </w:tc>
        <w:tc>
          <w:tcPr>
            <w:tcW w:w="2126" w:type="dxa"/>
            <w:gridSpan w:val="4"/>
            <w:tcBorders>
              <w:top w:val="nil"/>
              <w:left w:val="nil"/>
              <w:bottom w:val="single" w:sz="4" w:space="0" w:color="auto"/>
              <w:right w:val="nil"/>
            </w:tcBorders>
            <w:tcMar>
              <w:top w:w="0" w:type="dxa"/>
              <w:left w:w="108" w:type="dxa"/>
              <w:bottom w:w="0" w:type="dxa"/>
              <w:right w:w="108" w:type="dxa"/>
            </w:tcMar>
            <w:hideMark/>
          </w:tcPr>
          <w:p w14:paraId="6A1197DB" w14:textId="77777777" w:rsidR="007617C7" w:rsidRPr="009A61B0" w:rsidRDefault="007617C7" w:rsidP="006E51EF">
            <w:pPr>
              <w:widowControl/>
              <w:spacing w:before="60" w:after="60"/>
              <w:rPr>
                <w:rFonts w:cs="Arial"/>
                <w:sz w:val="18"/>
                <w:szCs w:val="18"/>
                <w:lang w:eastAsia="en-GB"/>
              </w:rPr>
            </w:pPr>
            <w:r w:rsidRPr="009A61B0">
              <w:rPr>
                <w:rFonts w:cs="Arial"/>
                <w:b/>
                <w:bCs/>
                <w:sz w:val="18"/>
                <w:szCs w:val="18"/>
                <w:lang w:eastAsia="en-GB"/>
              </w:rPr>
              <w:t>2′-O-fucosyllactose</w:t>
            </w:r>
          </w:p>
        </w:tc>
        <w:tc>
          <w:tcPr>
            <w:tcW w:w="2693" w:type="dxa"/>
            <w:gridSpan w:val="2"/>
            <w:tcBorders>
              <w:top w:val="nil"/>
              <w:left w:val="nil"/>
              <w:bottom w:val="single" w:sz="4" w:space="0" w:color="auto"/>
              <w:right w:val="nil"/>
            </w:tcBorders>
            <w:hideMark/>
          </w:tcPr>
          <w:p w14:paraId="3FFB990E" w14:textId="77777777" w:rsidR="007617C7" w:rsidRPr="009A61B0" w:rsidRDefault="007617C7" w:rsidP="00FF61AD">
            <w:pPr>
              <w:widowControl/>
              <w:numPr>
                <w:ilvl w:val="0"/>
                <w:numId w:val="22"/>
              </w:numPr>
              <w:spacing w:before="60" w:after="60"/>
              <w:ind w:left="423" w:right="36" w:hanging="286"/>
              <w:contextualSpacing/>
              <w:rPr>
                <w:rFonts w:cs="Arial"/>
                <w:sz w:val="18"/>
                <w:szCs w:val="18"/>
                <w:lang w:eastAsia="en-GB"/>
              </w:rPr>
            </w:pPr>
            <w:r w:rsidRPr="009A61B0">
              <w:rPr>
                <w:rFonts w:cs="Arial"/>
                <w:i/>
                <w:sz w:val="18"/>
                <w:szCs w:val="18"/>
                <w:lang w:eastAsia="en-GB"/>
              </w:rPr>
              <w:t>Escherichia coli</w:t>
            </w:r>
            <w:r w:rsidRPr="009A61B0">
              <w:rPr>
                <w:rFonts w:cs="Arial"/>
                <w:sz w:val="18"/>
                <w:szCs w:val="18"/>
                <w:lang w:eastAsia="en-GB"/>
              </w:rPr>
              <w:t xml:space="preserve"> K-12 containing the gene for alpha-1,2-fucosyltransferase from </w:t>
            </w:r>
            <w:r w:rsidRPr="009A61B0">
              <w:rPr>
                <w:rFonts w:cs="Arial"/>
                <w:i/>
                <w:sz w:val="18"/>
                <w:szCs w:val="18"/>
                <w:lang w:eastAsia="en-GB"/>
              </w:rPr>
              <w:t>Helicobacter pylori</w:t>
            </w:r>
          </w:p>
        </w:tc>
        <w:tc>
          <w:tcPr>
            <w:tcW w:w="709" w:type="dxa"/>
            <w:tcBorders>
              <w:top w:val="nil"/>
              <w:left w:val="nil"/>
              <w:bottom w:val="single" w:sz="4" w:space="0" w:color="auto"/>
              <w:right w:val="nil"/>
            </w:tcBorders>
            <w:tcMar>
              <w:top w:w="0" w:type="dxa"/>
              <w:left w:w="108" w:type="dxa"/>
              <w:bottom w:w="0" w:type="dxa"/>
              <w:right w:w="108" w:type="dxa"/>
            </w:tcMar>
            <w:hideMark/>
          </w:tcPr>
          <w:p w14:paraId="322B8887" w14:textId="77777777" w:rsidR="007617C7" w:rsidRPr="009A61B0" w:rsidRDefault="007617C7" w:rsidP="006E51EF">
            <w:pPr>
              <w:widowControl/>
              <w:rPr>
                <w:rFonts w:cs="Arial"/>
                <w:sz w:val="18"/>
                <w:szCs w:val="18"/>
                <w:lang w:eastAsia="en-GB"/>
              </w:rPr>
            </w:pPr>
          </w:p>
        </w:tc>
        <w:tc>
          <w:tcPr>
            <w:tcW w:w="3260" w:type="dxa"/>
            <w:tcBorders>
              <w:top w:val="nil"/>
              <w:left w:val="nil"/>
              <w:bottom w:val="single" w:sz="4" w:space="0" w:color="auto"/>
              <w:right w:val="nil"/>
            </w:tcBorders>
            <w:hideMark/>
          </w:tcPr>
          <w:p w14:paraId="4B215FBC" w14:textId="79CAEC2C" w:rsidR="007617C7" w:rsidRPr="009A61B0" w:rsidRDefault="007617C7" w:rsidP="00FF61AD">
            <w:pPr>
              <w:widowControl/>
              <w:numPr>
                <w:ilvl w:val="0"/>
                <w:numId w:val="23"/>
              </w:numPr>
              <w:spacing w:before="60" w:after="60"/>
              <w:ind w:left="305" w:right="34" w:hanging="283"/>
              <w:contextualSpacing/>
              <w:rPr>
                <w:rFonts w:cs="Arial"/>
                <w:sz w:val="18"/>
                <w:szCs w:val="18"/>
                <w:lang w:eastAsia="en-GB"/>
              </w:rPr>
            </w:pPr>
            <w:r w:rsidRPr="009A61B0">
              <w:rPr>
                <w:rFonts w:cs="Arial"/>
                <w:sz w:val="18"/>
                <w:szCs w:val="18"/>
              </w:rPr>
              <w:t xml:space="preserve">May only be added to infant formula products </w:t>
            </w:r>
          </w:p>
          <w:p w14:paraId="5A628E14" w14:textId="77777777" w:rsidR="007617C7" w:rsidRPr="009A61B0" w:rsidRDefault="007617C7" w:rsidP="00FF61AD">
            <w:pPr>
              <w:widowControl/>
              <w:numPr>
                <w:ilvl w:val="0"/>
                <w:numId w:val="23"/>
              </w:numPr>
              <w:spacing w:before="60" w:after="60"/>
              <w:ind w:left="305" w:right="36" w:hanging="283"/>
              <w:contextualSpacing/>
              <w:rPr>
                <w:rFonts w:cs="Arial"/>
                <w:sz w:val="18"/>
                <w:szCs w:val="18"/>
                <w:lang w:eastAsia="en-GB"/>
              </w:rPr>
            </w:pPr>
            <w:r w:rsidRPr="009A61B0">
              <w:rPr>
                <w:rFonts w:cs="Arial"/>
                <w:sz w:val="18"/>
                <w:szCs w:val="18"/>
                <w:lang w:eastAsia="en-GB"/>
              </w:rPr>
              <w:t xml:space="preserve">During the </w:t>
            </w:r>
            <w:r w:rsidRPr="009A61B0">
              <w:rPr>
                <w:sz w:val="18"/>
                <w:szCs w:val="18"/>
              </w:rPr>
              <w:t xml:space="preserve">exclusive use period, may only be sold under </w:t>
            </w:r>
            <w:r w:rsidRPr="009A61B0">
              <w:rPr>
                <w:rFonts w:cs="Arial"/>
                <w:sz w:val="18"/>
                <w:szCs w:val="18"/>
              </w:rPr>
              <w:t xml:space="preserve">the brand </w:t>
            </w:r>
            <w:proofErr w:type="spellStart"/>
            <w:r w:rsidRPr="009A61B0">
              <w:rPr>
                <w:rFonts w:cs="Arial"/>
                <w:sz w:val="18"/>
                <w:szCs w:val="18"/>
              </w:rPr>
              <w:t>GlyCare</w:t>
            </w:r>
            <w:proofErr w:type="spellEnd"/>
            <w:r w:rsidRPr="009A61B0">
              <w:rPr>
                <w:rFonts w:cs="Arial"/>
                <w:sz w:val="18"/>
                <w:szCs w:val="18"/>
              </w:rPr>
              <w:t>.</w:t>
            </w:r>
          </w:p>
          <w:p w14:paraId="11F18CDB" w14:textId="77777777" w:rsidR="007617C7" w:rsidRPr="009A61B0" w:rsidRDefault="007617C7" w:rsidP="00FF61AD">
            <w:pPr>
              <w:widowControl/>
              <w:numPr>
                <w:ilvl w:val="0"/>
                <w:numId w:val="23"/>
              </w:numPr>
              <w:spacing w:before="60" w:after="60"/>
              <w:ind w:left="305" w:right="36" w:hanging="283"/>
              <w:contextualSpacing/>
              <w:rPr>
                <w:rFonts w:cs="Arial"/>
                <w:sz w:val="18"/>
                <w:szCs w:val="18"/>
                <w:lang w:eastAsia="en-GB"/>
              </w:rPr>
            </w:pPr>
            <w:r w:rsidRPr="009A61B0">
              <w:rPr>
                <w:sz w:val="18"/>
                <w:szCs w:val="18"/>
              </w:rPr>
              <w:t xml:space="preserve">For the purposes of condition 2 above, </w:t>
            </w:r>
            <w:r w:rsidRPr="009A61B0">
              <w:rPr>
                <w:b/>
                <w:sz w:val="18"/>
                <w:szCs w:val="18"/>
              </w:rPr>
              <w:t>exclusive use period</w:t>
            </w:r>
            <w:r w:rsidRPr="009A61B0">
              <w:rPr>
                <w:sz w:val="18"/>
                <w:szCs w:val="18"/>
              </w:rPr>
              <w:t xml:space="preserve"> means the period commencing on the date of gazettal of the </w:t>
            </w:r>
            <w:r w:rsidRPr="009A61B0">
              <w:rPr>
                <w:i/>
                <w:sz w:val="18"/>
                <w:szCs w:val="18"/>
              </w:rPr>
              <w:t>Food Standards (Application A1155 – 2</w:t>
            </w:r>
            <w:r w:rsidRPr="009A61B0">
              <w:rPr>
                <w:rFonts w:cs="Arial"/>
                <w:i/>
                <w:sz w:val="18"/>
                <w:szCs w:val="18"/>
              </w:rPr>
              <w:t>′</w:t>
            </w:r>
            <w:r w:rsidRPr="009A61B0">
              <w:rPr>
                <w:i/>
                <w:sz w:val="18"/>
                <w:szCs w:val="18"/>
              </w:rPr>
              <w:t xml:space="preserve">-FL and </w:t>
            </w:r>
            <w:proofErr w:type="spellStart"/>
            <w:r w:rsidRPr="009A61B0">
              <w:rPr>
                <w:i/>
                <w:sz w:val="18"/>
                <w:szCs w:val="18"/>
              </w:rPr>
              <w:t>LNnT</w:t>
            </w:r>
            <w:proofErr w:type="spellEnd"/>
            <w:r w:rsidRPr="009A61B0">
              <w:rPr>
                <w:i/>
                <w:sz w:val="18"/>
                <w:szCs w:val="18"/>
              </w:rPr>
              <w:t xml:space="preserve"> in infant formula and other products) Variation</w:t>
            </w:r>
            <w:r w:rsidRPr="009A61B0">
              <w:rPr>
                <w:sz w:val="18"/>
                <w:szCs w:val="18"/>
              </w:rPr>
              <w:t xml:space="preserve"> and ending 15 months after that date.</w:t>
            </w:r>
          </w:p>
        </w:tc>
      </w:tr>
      <w:tr w:rsidR="007617C7" w:rsidRPr="009A61B0" w14:paraId="7A6835E7" w14:textId="77777777" w:rsidTr="00B86919">
        <w:trPr>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1AC2EEAB" w14:textId="77777777" w:rsidR="007617C7" w:rsidRPr="009A61B0" w:rsidRDefault="007617C7" w:rsidP="006E51EF">
            <w:pPr>
              <w:widowControl/>
              <w:spacing w:before="60" w:after="60"/>
              <w:rPr>
                <w:rFonts w:cs="Arial"/>
                <w:b/>
                <w:bCs/>
                <w:sz w:val="18"/>
                <w:szCs w:val="18"/>
                <w:lang w:eastAsia="en-GB"/>
              </w:rPr>
            </w:pPr>
            <w:r w:rsidRPr="009A61B0">
              <w:rPr>
                <w:rFonts w:cs="Arial"/>
                <w:b/>
                <w:bCs/>
                <w:sz w:val="18"/>
                <w:szCs w:val="18"/>
                <w:lang w:eastAsia="en-GB"/>
              </w:rPr>
              <w:t>2</w:t>
            </w:r>
          </w:p>
        </w:tc>
        <w:tc>
          <w:tcPr>
            <w:tcW w:w="2126" w:type="dxa"/>
            <w:gridSpan w:val="4"/>
            <w:tcBorders>
              <w:top w:val="nil"/>
              <w:left w:val="nil"/>
              <w:bottom w:val="single" w:sz="4" w:space="0" w:color="auto"/>
              <w:right w:val="nil"/>
            </w:tcBorders>
            <w:tcMar>
              <w:top w:w="0" w:type="dxa"/>
              <w:left w:w="108" w:type="dxa"/>
              <w:bottom w:w="0" w:type="dxa"/>
              <w:right w:w="108" w:type="dxa"/>
            </w:tcMar>
            <w:hideMark/>
          </w:tcPr>
          <w:p w14:paraId="434ADFC7" w14:textId="77777777" w:rsidR="007617C7" w:rsidRPr="009A61B0" w:rsidRDefault="007617C7" w:rsidP="006E51EF">
            <w:pPr>
              <w:widowControl/>
              <w:spacing w:before="60" w:after="60"/>
              <w:rPr>
                <w:rFonts w:cs="Arial"/>
                <w:b/>
                <w:bCs/>
                <w:sz w:val="18"/>
                <w:szCs w:val="18"/>
                <w:lang w:eastAsia="en-GB"/>
              </w:rPr>
            </w:pPr>
            <w:r w:rsidRPr="009A61B0">
              <w:rPr>
                <w:rFonts w:cs="Arial"/>
                <w:b/>
                <w:bCs/>
                <w:sz w:val="18"/>
                <w:szCs w:val="18"/>
                <w:lang w:eastAsia="en-GB"/>
              </w:rPr>
              <w:t>Lacto-N-</w:t>
            </w:r>
            <w:proofErr w:type="spellStart"/>
            <w:r w:rsidRPr="009A61B0">
              <w:rPr>
                <w:rFonts w:cs="Arial"/>
                <w:b/>
                <w:bCs/>
                <w:sz w:val="18"/>
                <w:szCs w:val="18"/>
                <w:lang w:eastAsia="en-GB"/>
              </w:rPr>
              <w:t>neotetraose</w:t>
            </w:r>
            <w:proofErr w:type="spellEnd"/>
          </w:p>
        </w:tc>
        <w:tc>
          <w:tcPr>
            <w:tcW w:w="2693" w:type="dxa"/>
            <w:gridSpan w:val="2"/>
            <w:tcBorders>
              <w:top w:val="nil"/>
              <w:left w:val="nil"/>
              <w:bottom w:val="single" w:sz="4" w:space="0" w:color="auto"/>
              <w:right w:val="nil"/>
            </w:tcBorders>
            <w:hideMark/>
          </w:tcPr>
          <w:p w14:paraId="2A779DFA" w14:textId="77777777" w:rsidR="007617C7" w:rsidRPr="009A61B0" w:rsidRDefault="007617C7" w:rsidP="00FF61AD">
            <w:pPr>
              <w:widowControl/>
              <w:numPr>
                <w:ilvl w:val="0"/>
                <w:numId w:val="24"/>
              </w:numPr>
              <w:spacing w:before="60" w:after="60"/>
              <w:ind w:left="423" w:right="36" w:hanging="286"/>
              <w:contextualSpacing/>
              <w:rPr>
                <w:rFonts w:cs="Arial"/>
                <w:sz w:val="18"/>
                <w:szCs w:val="18"/>
                <w:lang w:eastAsia="en-GB"/>
              </w:rPr>
            </w:pPr>
            <w:r w:rsidRPr="009A61B0">
              <w:rPr>
                <w:rFonts w:cs="Arial"/>
                <w:i/>
                <w:sz w:val="18"/>
                <w:szCs w:val="18"/>
                <w:lang w:eastAsia="en-GB"/>
              </w:rPr>
              <w:t>Escherichia coli</w:t>
            </w:r>
            <w:r w:rsidRPr="009A61B0">
              <w:rPr>
                <w:rFonts w:cs="Arial"/>
                <w:sz w:val="18"/>
                <w:szCs w:val="18"/>
                <w:lang w:eastAsia="en-GB"/>
              </w:rPr>
              <w:t xml:space="preserve"> K-12 containing the gene for beta-1,3-N-acetylglucosaminyltransferase from </w:t>
            </w:r>
            <w:r w:rsidRPr="009A61B0">
              <w:rPr>
                <w:rFonts w:cs="Arial"/>
                <w:i/>
                <w:sz w:val="18"/>
                <w:szCs w:val="18"/>
                <w:lang w:eastAsia="en-GB"/>
              </w:rPr>
              <w:t>Neisseria meningitides</w:t>
            </w:r>
            <w:r w:rsidRPr="009A61B0">
              <w:rPr>
                <w:rFonts w:cs="Arial"/>
                <w:sz w:val="18"/>
                <w:szCs w:val="18"/>
                <w:lang w:eastAsia="en-GB"/>
              </w:rPr>
              <w:t xml:space="preserve"> and the gene for beta-1,4-galactosyltransferase from </w:t>
            </w:r>
            <w:r w:rsidRPr="009A61B0">
              <w:rPr>
                <w:rFonts w:cs="Arial"/>
                <w:i/>
                <w:sz w:val="18"/>
                <w:szCs w:val="18"/>
                <w:lang w:eastAsia="en-GB"/>
              </w:rPr>
              <w:t>Helicobacter pylori</w:t>
            </w:r>
          </w:p>
        </w:tc>
        <w:tc>
          <w:tcPr>
            <w:tcW w:w="709" w:type="dxa"/>
            <w:tcBorders>
              <w:top w:val="nil"/>
              <w:left w:val="nil"/>
              <w:bottom w:val="single" w:sz="4" w:space="0" w:color="auto"/>
              <w:right w:val="nil"/>
            </w:tcBorders>
            <w:tcMar>
              <w:top w:w="0" w:type="dxa"/>
              <w:left w:w="108" w:type="dxa"/>
              <w:bottom w:w="0" w:type="dxa"/>
              <w:right w:w="108" w:type="dxa"/>
            </w:tcMar>
          </w:tcPr>
          <w:p w14:paraId="49F43AA4" w14:textId="77777777" w:rsidR="007617C7" w:rsidRPr="009A61B0" w:rsidRDefault="007617C7" w:rsidP="006E51EF">
            <w:pPr>
              <w:widowControl/>
              <w:spacing w:before="60" w:after="60"/>
              <w:ind w:right="36"/>
              <w:rPr>
                <w:rFonts w:cs="Arial"/>
                <w:sz w:val="18"/>
                <w:szCs w:val="18"/>
                <w:lang w:eastAsia="en-GB"/>
              </w:rPr>
            </w:pPr>
          </w:p>
        </w:tc>
        <w:tc>
          <w:tcPr>
            <w:tcW w:w="3260" w:type="dxa"/>
            <w:tcBorders>
              <w:top w:val="nil"/>
              <w:left w:val="nil"/>
              <w:bottom w:val="single" w:sz="4" w:space="0" w:color="auto"/>
              <w:right w:val="nil"/>
            </w:tcBorders>
            <w:hideMark/>
          </w:tcPr>
          <w:p w14:paraId="397A6F9C" w14:textId="5C0F6125" w:rsidR="007617C7" w:rsidRPr="009A61B0" w:rsidRDefault="007617C7" w:rsidP="00FF61AD">
            <w:pPr>
              <w:widowControl/>
              <w:numPr>
                <w:ilvl w:val="0"/>
                <w:numId w:val="25"/>
              </w:numPr>
              <w:spacing w:before="60" w:after="60"/>
              <w:ind w:left="342" w:right="36" w:hanging="283"/>
              <w:contextualSpacing/>
              <w:rPr>
                <w:rFonts w:cs="Arial"/>
                <w:sz w:val="18"/>
                <w:szCs w:val="18"/>
                <w:lang w:eastAsia="en-GB"/>
              </w:rPr>
            </w:pPr>
            <w:r w:rsidRPr="009A61B0">
              <w:rPr>
                <w:rFonts w:cs="Arial"/>
                <w:sz w:val="18"/>
                <w:szCs w:val="18"/>
              </w:rPr>
              <w:t xml:space="preserve">May only be added to the following foods in combination with </w:t>
            </w:r>
            <w:r w:rsidRPr="009A61B0">
              <w:rPr>
                <w:rFonts w:cs="Arial"/>
                <w:bCs/>
                <w:sz w:val="18"/>
                <w:szCs w:val="18"/>
                <w:lang w:eastAsia="en-GB"/>
              </w:rPr>
              <w:t>2′-O-fucosyllactose that is permitted for use in</w:t>
            </w:r>
            <w:r w:rsidRPr="009A61B0">
              <w:rPr>
                <w:rFonts w:cs="Arial"/>
                <w:sz w:val="18"/>
                <w:szCs w:val="18"/>
              </w:rPr>
              <w:t xml:space="preserve"> infant formula products</w:t>
            </w:r>
            <w:r w:rsidR="00C60FD6">
              <w:rPr>
                <w:rFonts w:cs="Arial"/>
                <w:sz w:val="18"/>
                <w:szCs w:val="18"/>
              </w:rPr>
              <w:t>.</w:t>
            </w:r>
          </w:p>
          <w:p w14:paraId="291878D5" w14:textId="77777777" w:rsidR="007617C7" w:rsidRPr="009A61B0" w:rsidRDefault="007617C7" w:rsidP="00FF61AD">
            <w:pPr>
              <w:widowControl/>
              <w:numPr>
                <w:ilvl w:val="0"/>
                <w:numId w:val="25"/>
              </w:numPr>
              <w:spacing w:before="60" w:after="60"/>
              <w:ind w:left="342" w:right="36" w:hanging="283"/>
              <w:contextualSpacing/>
              <w:rPr>
                <w:rFonts w:cs="Arial"/>
                <w:sz w:val="18"/>
                <w:szCs w:val="18"/>
                <w:lang w:eastAsia="en-GB"/>
              </w:rPr>
            </w:pPr>
            <w:r w:rsidRPr="009A61B0">
              <w:rPr>
                <w:rFonts w:cs="Arial"/>
                <w:sz w:val="18"/>
                <w:szCs w:val="18"/>
                <w:lang w:eastAsia="en-GB"/>
              </w:rPr>
              <w:t xml:space="preserve">During the </w:t>
            </w:r>
            <w:r w:rsidRPr="009A61B0">
              <w:rPr>
                <w:sz w:val="18"/>
                <w:szCs w:val="18"/>
              </w:rPr>
              <w:t xml:space="preserve">exclusive use period, may only be sold under </w:t>
            </w:r>
            <w:r w:rsidRPr="009A61B0">
              <w:rPr>
                <w:rFonts w:cs="Arial"/>
                <w:sz w:val="18"/>
                <w:szCs w:val="18"/>
              </w:rPr>
              <w:t xml:space="preserve">the brand </w:t>
            </w:r>
            <w:proofErr w:type="spellStart"/>
            <w:r w:rsidRPr="009A61B0">
              <w:rPr>
                <w:rFonts w:cs="Arial"/>
                <w:sz w:val="18"/>
                <w:szCs w:val="18"/>
              </w:rPr>
              <w:t>GlyCare</w:t>
            </w:r>
            <w:proofErr w:type="spellEnd"/>
            <w:r w:rsidRPr="009A61B0">
              <w:rPr>
                <w:rFonts w:cs="Arial"/>
                <w:sz w:val="18"/>
                <w:szCs w:val="18"/>
              </w:rPr>
              <w:t>.</w:t>
            </w:r>
          </w:p>
          <w:p w14:paraId="2AE04FF5" w14:textId="77777777" w:rsidR="007617C7" w:rsidRPr="009A61B0" w:rsidRDefault="007617C7" w:rsidP="00FF61AD">
            <w:pPr>
              <w:widowControl/>
              <w:numPr>
                <w:ilvl w:val="0"/>
                <w:numId w:val="25"/>
              </w:numPr>
              <w:spacing w:before="60" w:after="60"/>
              <w:ind w:left="342" w:right="36" w:hanging="283"/>
              <w:contextualSpacing/>
              <w:rPr>
                <w:rFonts w:cs="Arial"/>
                <w:sz w:val="18"/>
                <w:szCs w:val="18"/>
                <w:lang w:eastAsia="en-GB"/>
              </w:rPr>
            </w:pPr>
            <w:r w:rsidRPr="009A61B0">
              <w:rPr>
                <w:sz w:val="18"/>
                <w:szCs w:val="18"/>
              </w:rPr>
              <w:t xml:space="preserve">For the purposes of condition 2 above, </w:t>
            </w:r>
            <w:r w:rsidRPr="009A61B0">
              <w:rPr>
                <w:b/>
                <w:sz w:val="18"/>
                <w:szCs w:val="18"/>
              </w:rPr>
              <w:t>exclusive use period</w:t>
            </w:r>
            <w:r w:rsidRPr="009A61B0">
              <w:rPr>
                <w:sz w:val="18"/>
                <w:szCs w:val="18"/>
              </w:rPr>
              <w:t xml:space="preserve"> means the period commencing on the date of gazettal of the </w:t>
            </w:r>
            <w:r w:rsidRPr="009A61B0">
              <w:rPr>
                <w:i/>
                <w:sz w:val="18"/>
                <w:szCs w:val="18"/>
              </w:rPr>
              <w:t>Food Standards (Application A1155 – 2</w:t>
            </w:r>
            <w:r w:rsidRPr="009A61B0">
              <w:rPr>
                <w:rFonts w:cs="Arial"/>
                <w:i/>
                <w:sz w:val="18"/>
                <w:szCs w:val="18"/>
              </w:rPr>
              <w:t>′</w:t>
            </w:r>
            <w:r w:rsidRPr="009A61B0">
              <w:rPr>
                <w:i/>
                <w:sz w:val="18"/>
                <w:szCs w:val="18"/>
              </w:rPr>
              <w:t xml:space="preserve">-FL and </w:t>
            </w:r>
            <w:proofErr w:type="spellStart"/>
            <w:r w:rsidRPr="009A61B0">
              <w:rPr>
                <w:i/>
                <w:sz w:val="18"/>
                <w:szCs w:val="18"/>
              </w:rPr>
              <w:t>LNnT</w:t>
            </w:r>
            <w:proofErr w:type="spellEnd"/>
            <w:r w:rsidRPr="009A61B0">
              <w:rPr>
                <w:i/>
                <w:sz w:val="18"/>
                <w:szCs w:val="18"/>
              </w:rPr>
              <w:t xml:space="preserve"> in infant formula and other products) Variation</w:t>
            </w:r>
            <w:r w:rsidRPr="009A61B0">
              <w:rPr>
                <w:sz w:val="18"/>
                <w:szCs w:val="18"/>
              </w:rPr>
              <w:t xml:space="preserve"> and ending 15 months after that date.</w:t>
            </w:r>
          </w:p>
        </w:tc>
      </w:tr>
      <w:tr w:rsidR="007617C7" w:rsidRPr="00D1467B" w14:paraId="0C09C26E" w14:textId="77777777" w:rsidTr="00B86919">
        <w:trPr>
          <w:cantSplit/>
          <w:trHeight w:val="243"/>
        </w:trPr>
        <w:tc>
          <w:tcPr>
            <w:tcW w:w="321" w:type="dxa"/>
            <w:gridSpan w:val="2"/>
            <w:tcMar>
              <w:top w:w="0" w:type="dxa"/>
              <w:left w:w="108" w:type="dxa"/>
              <w:bottom w:w="0" w:type="dxa"/>
              <w:right w:w="108" w:type="dxa"/>
            </w:tcMar>
            <w:hideMark/>
          </w:tcPr>
          <w:p w14:paraId="0AE8DF33" w14:textId="77777777" w:rsidR="007617C7" w:rsidRPr="00D1467B" w:rsidRDefault="007617C7" w:rsidP="006E51EF">
            <w:pPr>
              <w:pStyle w:val="FSCtblMain"/>
              <w:rPr>
                <w:b/>
              </w:rPr>
            </w:pPr>
            <w:r w:rsidRPr="00D1467B">
              <w:rPr>
                <w:b/>
              </w:rPr>
              <w:t>3</w:t>
            </w:r>
          </w:p>
        </w:tc>
        <w:tc>
          <w:tcPr>
            <w:tcW w:w="1626" w:type="dxa"/>
            <w:tcMar>
              <w:top w:w="0" w:type="dxa"/>
              <w:left w:w="108" w:type="dxa"/>
              <w:bottom w:w="0" w:type="dxa"/>
              <w:right w:w="108" w:type="dxa"/>
            </w:tcMar>
            <w:hideMark/>
          </w:tcPr>
          <w:p w14:paraId="22C759CE" w14:textId="77777777" w:rsidR="007617C7" w:rsidRPr="00D1467B" w:rsidRDefault="007617C7" w:rsidP="006E51EF">
            <w:pPr>
              <w:pStyle w:val="FSCtblMain"/>
            </w:pPr>
            <w:r>
              <w:t>S</w:t>
            </w:r>
            <w:r w:rsidRPr="00D1467B">
              <w:t xml:space="preserve">oy leghemoglobin preparation </w:t>
            </w:r>
          </w:p>
        </w:tc>
        <w:tc>
          <w:tcPr>
            <w:tcW w:w="223" w:type="dxa"/>
          </w:tcPr>
          <w:p w14:paraId="54CD091A" w14:textId="77777777" w:rsidR="007617C7" w:rsidRPr="00D1467B" w:rsidRDefault="007617C7" w:rsidP="006E51EF">
            <w:pPr>
              <w:widowControl/>
              <w:spacing w:before="60" w:after="60"/>
              <w:ind w:left="347" w:hanging="347"/>
              <w:rPr>
                <w:rFonts w:cs="Arial"/>
                <w:sz w:val="18"/>
                <w:szCs w:val="18"/>
                <w:lang w:eastAsia="en-GB"/>
              </w:rPr>
            </w:pPr>
          </w:p>
        </w:tc>
        <w:tc>
          <w:tcPr>
            <w:tcW w:w="3642" w:type="dxa"/>
            <w:gridSpan w:val="4"/>
            <w:tcMar>
              <w:top w:w="0" w:type="dxa"/>
              <w:left w:w="108" w:type="dxa"/>
              <w:bottom w:w="0" w:type="dxa"/>
              <w:right w:w="108" w:type="dxa"/>
            </w:tcMar>
            <w:hideMark/>
          </w:tcPr>
          <w:p w14:paraId="58E31F68" w14:textId="085F554E" w:rsidR="007617C7" w:rsidRPr="00D1467B" w:rsidRDefault="007617C7" w:rsidP="000C58F5">
            <w:pPr>
              <w:pStyle w:val="FSCtblMain"/>
              <w:rPr>
                <w:szCs w:val="18"/>
              </w:rPr>
            </w:pPr>
            <w:r w:rsidRPr="00D1467B">
              <w:rPr>
                <w:rFonts w:eastAsia="Calibri"/>
                <w:i/>
                <w:lang w:val="en-AU"/>
              </w:rPr>
              <w:t xml:space="preserve">Pichia </w:t>
            </w:r>
            <w:r w:rsidR="000C58F5">
              <w:rPr>
                <w:rFonts w:eastAsia="Calibri"/>
                <w:i/>
                <w:lang w:val="en-AU"/>
              </w:rPr>
              <w:t>p</w:t>
            </w:r>
            <w:r w:rsidRPr="00D1467B">
              <w:rPr>
                <w:rFonts w:eastAsia="Calibri"/>
                <w:i/>
                <w:lang w:val="en-AU"/>
              </w:rPr>
              <w:t>astoris</w:t>
            </w:r>
            <w:r w:rsidRPr="00D1467B">
              <w:rPr>
                <w:rFonts w:eastAsia="Calibri"/>
                <w:lang w:val="en-AU"/>
              </w:rPr>
              <w:t xml:space="preserve"> containing the gene for leghemoglobin c2 from </w:t>
            </w:r>
            <w:r w:rsidRPr="00D1467B">
              <w:rPr>
                <w:rFonts w:eastAsia="Calibri"/>
                <w:i/>
                <w:lang w:val="en-AU"/>
              </w:rPr>
              <w:t>Glycine max</w:t>
            </w:r>
          </w:p>
        </w:tc>
        <w:tc>
          <w:tcPr>
            <w:tcW w:w="3260" w:type="dxa"/>
          </w:tcPr>
          <w:p w14:paraId="1C38C761" w14:textId="77777777" w:rsidR="007617C7" w:rsidRPr="00D1467B" w:rsidRDefault="007617C7" w:rsidP="006E51EF">
            <w:pPr>
              <w:widowControl/>
              <w:tabs>
                <w:tab w:val="left" w:pos="279"/>
              </w:tabs>
              <w:spacing w:before="60" w:after="60"/>
              <w:ind w:left="279" w:right="34" w:hanging="279"/>
              <w:contextualSpacing/>
              <w:rPr>
                <w:rFonts w:eastAsia="Calibri" w:cs="Arial"/>
                <w:sz w:val="18"/>
                <w:szCs w:val="18"/>
                <w:lang w:eastAsia="en-GB"/>
              </w:rPr>
            </w:pPr>
            <w:r>
              <w:rPr>
                <w:rFonts w:eastAsia="Calibri" w:cs="Arial"/>
                <w:sz w:val="18"/>
                <w:szCs w:val="18"/>
              </w:rPr>
              <w:t xml:space="preserve">1.   </w:t>
            </w:r>
            <w:r w:rsidRPr="00D1467B">
              <w:rPr>
                <w:rFonts w:eastAsia="Calibri" w:cs="Arial"/>
                <w:sz w:val="18"/>
                <w:szCs w:val="18"/>
              </w:rPr>
              <w:t xml:space="preserve">May only be added to </w:t>
            </w:r>
            <w:r w:rsidRPr="00D1467B">
              <w:rPr>
                <w:sz w:val="18"/>
                <w:szCs w:val="18"/>
              </w:rPr>
              <w:t xml:space="preserve">a meat analogue product to enable the use in that product of soy leghemoglobin </w:t>
            </w:r>
            <w:r w:rsidRPr="00D1467B">
              <w:rPr>
                <w:rFonts w:eastAsia="Calibri" w:cs="Arial"/>
                <w:sz w:val="18"/>
                <w:szCs w:val="18"/>
              </w:rPr>
              <w:t>as a nutritive substance in accordance with Standard 1.3.2.</w:t>
            </w:r>
          </w:p>
          <w:p w14:paraId="49458B9C" w14:textId="77777777" w:rsidR="007617C7" w:rsidRPr="00D1467B" w:rsidRDefault="007617C7" w:rsidP="006E51EF">
            <w:pPr>
              <w:widowControl/>
              <w:tabs>
                <w:tab w:val="left" w:pos="279"/>
              </w:tabs>
              <w:spacing w:before="60" w:after="60"/>
              <w:ind w:left="279" w:right="36" w:hanging="279"/>
              <w:contextualSpacing/>
              <w:rPr>
                <w:rFonts w:eastAsia="Calibri" w:cs="Arial"/>
                <w:sz w:val="18"/>
                <w:szCs w:val="18"/>
                <w:lang w:eastAsia="en-GB"/>
              </w:rPr>
            </w:pPr>
            <w:r>
              <w:rPr>
                <w:rFonts w:eastAsia="Calibri" w:cs="Arial"/>
                <w:sz w:val="18"/>
                <w:szCs w:val="18"/>
              </w:rPr>
              <w:t xml:space="preserve">2.   </w:t>
            </w:r>
            <w:r w:rsidRPr="00B52820">
              <w:rPr>
                <w:rFonts w:eastAsia="Calibri" w:cs="Arial"/>
                <w:sz w:val="18"/>
                <w:szCs w:val="18"/>
              </w:rPr>
              <w:t xml:space="preserve">Must comply with the specifications set out in section </w:t>
            </w:r>
            <w:r w:rsidRPr="00B52820">
              <w:rPr>
                <w:sz w:val="18"/>
                <w:szCs w:val="18"/>
              </w:rPr>
              <w:t>S3—42.</w:t>
            </w:r>
          </w:p>
        </w:tc>
      </w:tr>
      <w:tr w:rsidR="007617C7" w:rsidRPr="00D1467B" w14:paraId="3B34E86B" w14:textId="77777777" w:rsidTr="00B86919">
        <w:trPr>
          <w:cantSplit/>
          <w:trHeight w:val="243"/>
        </w:trPr>
        <w:tc>
          <w:tcPr>
            <w:tcW w:w="321" w:type="dxa"/>
            <w:gridSpan w:val="2"/>
            <w:tcMar>
              <w:top w:w="0" w:type="dxa"/>
              <w:left w:w="108" w:type="dxa"/>
              <w:bottom w:w="0" w:type="dxa"/>
              <w:right w:w="108" w:type="dxa"/>
            </w:tcMar>
          </w:tcPr>
          <w:p w14:paraId="6D74B8DF" w14:textId="77777777" w:rsidR="007617C7" w:rsidRPr="00D1467B" w:rsidRDefault="007617C7" w:rsidP="006E51EF">
            <w:pPr>
              <w:pStyle w:val="FSCtblMain"/>
              <w:rPr>
                <w:b/>
              </w:rPr>
            </w:pPr>
          </w:p>
        </w:tc>
        <w:tc>
          <w:tcPr>
            <w:tcW w:w="1626" w:type="dxa"/>
            <w:tcMar>
              <w:top w:w="0" w:type="dxa"/>
              <w:left w:w="108" w:type="dxa"/>
              <w:bottom w:w="0" w:type="dxa"/>
              <w:right w:w="108" w:type="dxa"/>
            </w:tcMar>
          </w:tcPr>
          <w:p w14:paraId="31E524B8" w14:textId="77777777" w:rsidR="007617C7" w:rsidRDefault="007617C7" w:rsidP="006E51EF">
            <w:pPr>
              <w:pStyle w:val="FSCtblMain"/>
            </w:pPr>
          </w:p>
        </w:tc>
        <w:tc>
          <w:tcPr>
            <w:tcW w:w="223" w:type="dxa"/>
          </w:tcPr>
          <w:p w14:paraId="3EBE7B4A" w14:textId="77777777" w:rsidR="007617C7" w:rsidRPr="00D1467B" w:rsidRDefault="007617C7" w:rsidP="006E51EF">
            <w:pPr>
              <w:widowControl/>
              <w:spacing w:before="60" w:after="60"/>
              <w:ind w:left="347" w:hanging="347"/>
              <w:rPr>
                <w:rFonts w:cs="Arial"/>
                <w:sz w:val="18"/>
                <w:szCs w:val="18"/>
                <w:lang w:eastAsia="en-GB"/>
              </w:rPr>
            </w:pPr>
          </w:p>
        </w:tc>
        <w:tc>
          <w:tcPr>
            <w:tcW w:w="3642" w:type="dxa"/>
            <w:gridSpan w:val="4"/>
            <w:tcMar>
              <w:top w:w="0" w:type="dxa"/>
              <w:left w:w="108" w:type="dxa"/>
              <w:bottom w:w="0" w:type="dxa"/>
              <w:right w:w="108" w:type="dxa"/>
            </w:tcMar>
          </w:tcPr>
          <w:p w14:paraId="2C8C948F" w14:textId="77777777" w:rsidR="007617C7" w:rsidRPr="00D1467B" w:rsidRDefault="007617C7" w:rsidP="006E51EF">
            <w:pPr>
              <w:pStyle w:val="FSCtblMain"/>
              <w:rPr>
                <w:rFonts w:eastAsia="Calibri"/>
                <w:i/>
                <w:lang w:val="en-AU"/>
              </w:rPr>
            </w:pPr>
            <w:bookmarkStart w:id="342" w:name="_GoBack"/>
            <w:bookmarkEnd w:id="342"/>
          </w:p>
        </w:tc>
        <w:tc>
          <w:tcPr>
            <w:tcW w:w="3260" w:type="dxa"/>
          </w:tcPr>
          <w:p w14:paraId="282C0126" w14:textId="77777777" w:rsidR="007617C7" w:rsidRDefault="007617C7" w:rsidP="006E51EF">
            <w:pPr>
              <w:widowControl/>
              <w:tabs>
                <w:tab w:val="left" w:pos="0"/>
              </w:tabs>
              <w:spacing w:before="60" w:after="60"/>
              <w:ind w:right="34"/>
              <w:contextualSpacing/>
              <w:rPr>
                <w:rFonts w:eastAsia="Calibri" w:cs="Arial"/>
                <w:sz w:val="18"/>
                <w:szCs w:val="18"/>
              </w:rPr>
            </w:pPr>
          </w:p>
        </w:tc>
      </w:tr>
    </w:tbl>
    <w:p w14:paraId="77C53400" w14:textId="77777777" w:rsidR="007617C7" w:rsidRDefault="007617C7" w:rsidP="006E51EF">
      <w:pPr>
        <w:widowControl/>
        <w:rPr>
          <w:rFonts w:cs="Arial"/>
          <w:iCs/>
          <w:sz w:val="20"/>
          <w:szCs w:val="22"/>
          <w:lang w:eastAsia="en-AU" w:bidi="ar-SA"/>
        </w:rPr>
      </w:pPr>
      <w:r>
        <w:br w:type="page"/>
      </w:r>
    </w:p>
    <w:p w14:paraId="6368C9C0" w14:textId="49664625" w:rsidR="007617C7" w:rsidRDefault="007617C7" w:rsidP="00714C81">
      <w:pPr>
        <w:pStyle w:val="Heading2"/>
      </w:pPr>
      <w:bookmarkStart w:id="343" w:name="_Toc41576688"/>
      <w:bookmarkStart w:id="344" w:name="_Toc42875251"/>
      <w:bookmarkStart w:id="345" w:name="_Toc43126904"/>
      <w:bookmarkStart w:id="346" w:name="_Toc43128155"/>
      <w:bookmarkStart w:id="347" w:name="_Toc58840835"/>
      <w:r>
        <w:lastRenderedPageBreak/>
        <w:t>Attachment</w:t>
      </w:r>
      <w:r w:rsidR="00BE663F">
        <w:t xml:space="preserve"> D</w:t>
      </w:r>
      <w:r>
        <w:t xml:space="preserve"> – </w:t>
      </w:r>
      <w:r w:rsidR="00403E3D">
        <w:t>List of s</w:t>
      </w:r>
      <w:r>
        <w:t>ubmitters at</w:t>
      </w:r>
      <w:r w:rsidR="007072DB">
        <w:t xml:space="preserve"> 2</w:t>
      </w:r>
      <w:r w:rsidR="007072DB" w:rsidRPr="007072DB">
        <w:rPr>
          <w:vertAlign w:val="superscript"/>
        </w:rPr>
        <w:t>nd</w:t>
      </w:r>
      <w:r w:rsidR="007072DB">
        <w:t xml:space="preserve"> </w:t>
      </w:r>
      <w:r>
        <w:t>CFS</w:t>
      </w:r>
      <w:bookmarkEnd w:id="343"/>
      <w:bookmarkEnd w:id="344"/>
      <w:bookmarkEnd w:id="345"/>
      <w:bookmarkEnd w:id="346"/>
      <w:bookmarkEnd w:id="347"/>
    </w:p>
    <w:p w14:paraId="1E4475F5" w14:textId="4E6A6C5F" w:rsidR="007072DB" w:rsidRDefault="007072DB" w:rsidP="00B935B4">
      <w:pPr>
        <w:rPr>
          <w:b/>
        </w:rPr>
      </w:pPr>
      <w:bookmarkStart w:id="348" w:name="_Toc53406140"/>
      <w:bookmarkStart w:id="349" w:name="_Toc53484650"/>
      <w:r w:rsidRPr="00B935B4">
        <w:rPr>
          <w:b/>
        </w:rPr>
        <w:t>List of submitters:</w:t>
      </w:r>
      <w:bookmarkEnd w:id="348"/>
      <w:bookmarkEnd w:id="349"/>
    </w:p>
    <w:p w14:paraId="63CC5BCA" w14:textId="77777777" w:rsidR="00B935B4" w:rsidRPr="00B935B4" w:rsidRDefault="00B935B4" w:rsidP="00B935B4">
      <w:pPr>
        <w:rPr>
          <w:b/>
        </w:rPr>
      </w:pPr>
    </w:p>
    <w:p w14:paraId="436E099A" w14:textId="77777777" w:rsidR="007072DB" w:rsidRDefault="007072DB" w:rsidP="006E51EF">
      <w:pPr>
        <w:widowControl/>
        <w:rPr>
          <w:rFonts w:cs="Arial"/>
          <w:b/>
          <w:i/>
          <w:szCs w:val="22"/>
        </w:rPr>
      </w:pPr>
      <w:r>
        <w:rPr>
          <w:rFonts w:cs="Arial"/>
          <w:b/>
          <w:i/>
          <w:szCs w:val="22"/>
        </w:rPr>
        <w:t>Government (4)</w:t>
      </w:r>
    </w:p>
    <w:p w14:paraId="6F732B5D" w14:textId="77777777" w:rsidR="007072DB" w:rsidRDefault="007072DB" w:rsidP="006E51EF">
      <w:pPr>
        <w:widowControl/>
        <w:rPr>
          <w:rFonts w:cs="Arial"/>
          <w:b/>
          <w:i/>
          <w:szCs w:val="22"/>
        </w:rPr>
      </w:pPr>
    </w:p>
    <w:p w14:paraId="3053877F" w14:textId="77777777" w:rsidR="007072DB" w:rsidRDefault="007072DB" w:rsidP="00FF61AD">
      <w:pPr>
        <w:pStyle w:val="ListParagraph"/>
        <w:widowControl/>
        <w:numPr>
          <w:ilvl w:val="0"/>
          <w:numId w:val="27"/>
        </w:numPr>
        <w:rPr>
          <w:rFonts w:cs="Arial"/>
          <w:szCs w:val="22"/>
        </w:rPr>
      </w:pPr>
      <w:r>
        <w:rPr>
          <w:rFonts w:cs="Arial"/>
        </w:rPr>
        <w:t xml:space="preserve">Victorian Department of Health and Human Services, </w:t>
      </w:r>
      <w:r>
        <w:rPr>
          <w:rFonts w:cs="Arial"/>
          <w:bCs/>
        </w:rPr>
        <w:t xml:space="preserve">Victorian Department of Jobs, Precincts and Regions (the Victorian Departments) and </w:t>
      </w:r>
      <w:proofErr w:type="spellStart"/>
      <w:r>
        <w:rPr>
          <w:rFonts w:cs="Arial"/>
          <w:bCs/>
        </w:rPr>
        <w:t>PrimeSafe</w:t>
      </w:r>
      <w:proofErr w:type="spellEnd"/>
      <w:r>
        <w:rPr>
          <w:rFonts w:cs="Arial"/>
          <w:bCs/>
        </w:rPr>
        <w:t xml:space="preserve"> (joint submission)</w:t>
      </w:r>
    </w:p>
    <w:p w14:paraId="0F81DE98" w14:textId="631BCEAC" w:rsidR="007072DB" w:rsidRDefault="007072DB" w:rsidP="00FF61AD">
      <w:pPr>
        <w:pStyle w:val="ListParagraph"/>
        <w:widowControl/>
        <w:numPr>
          <w:ilvl w:val="0"/>
          <w:numId w:val="27"/>
        </w:numPr>
        <w:rPr>
          <w:rFonts w:cs="Arial"/>
          <w:b/>
          <w:i/>
        </w:rPr>
      </w:pPr>
      <w:r>
        <w:rPr>
          <w:rFonts w:cs="Arial"/>
        </w:rPr>
        <w:t xml:space="preserve">NZ </w:t>
      </w:r>
      <w:r w:rsidR="003107AD">
        <w:rPr>
          <w:rFonts w:cs="Arial"/>
        </w:rPr>
        <w:t>Ministry for Primary Industries</w:t>
      </w:r>
      <w:r w:rsidR="00795E6C">
        <w:rPr>
          <w:rFonts w:cs="Arial"/>
        </w:rPr>
        <w:t xml:space="preserve"> / Food Safety</w:t>
      </w:r>
    </w:p>
    <w:p w14:paraId="04451D54" w14:textId="77777777" w:rsidR="007072DB" w:rsidRDefault="007072DB" w:rsidP="00FF61AD">
      <w:pPr>
        <w:pStyle w:val="ListParagraph"/>
        <w:widowControl/>
        <w:numPr>
          <w:ilvl w:val="0"/>
          <w:numId w:val="27"/>
        </w:numPr>
        <w:rPr>
          <w:rFonts w:cs="Arial"/>
        </w:rPr>
      </w:pPr>
      <w:r>
        <w:rPr>
          <w:rFonts w:cs="Arial"/>
        </w:rPr>
        <w:t>QLD Health</w:t>
      </w:r>
    </w:p>
    <w:p w14:paraId="6A82C427" w14:textId="77777777" w:rsidR="007072DB" w:rsidRDefault="007072DB" w:rsidP="00FF61AD">
      <w:pPr>
        <w:pStyle w:val="ListParagraph"/>
        <w:widowControl/>
        <w:numPr>
          <w:ilvl w:val="0"/>
          <w:numId w:val="27"/>
        </w:numPr>
        <w:rPr>
          <w:rFonts w:cs="Arial"/>
        </w:rPr>
      </w:pPr>
      <w:r>
        <w:rPr>
          <w:rFonts w:cs="Arial"/>
        </w:rPr>
        <w:t>SA Health</w:t>
      </w:r>
    </w:p>
    <w:p w14:paraId="35AC058E" w14:textId="77777777" w:rsidR="007072DB" w:rsidRDefault="007072DB" w:rsidP="006E51EF">
      <w:pPr>
        <w:widowControl/>
        <w:rPr>
          <w:rFonts w:cs="Arial"/>
          <w:b/>
          <w:i/>
          <w:szCs w:val="22"/>
        </w:rPr>
      </w:pPr>
    </w:p>
    <w:p w14:paraId="235DD5F4" w14:textId="77777777" w:rsidR="007072DB" w:rsidRDefault="007072DB" w:rsidP="006E51EF">
      <w:pPr>
        <w:widowControl/>
        <w:rPr>
          <w:rFonts w:cs="Arial"/>
          <w:b/>
          <w:i/>
          <w:szCs w:val="22"/>
        </w:rPr>
      </w:pPr>
      <w:r>
        <w:rPr>
          <w:rFonts w:cs="Arial"/>
          <w:b/>
          <w:i/>
          <w:szCs w:val="22"/>
        </w:rPr>
        <w:t>Industry (5)</w:t>
      </w:r>
    </w:p>
    <w:p w14:paraId="61E5C269" w14:textId="77777777" w:rsidR="007072DB" w:rsidRDefault="007072DB" w:rsidP="006E51EF">
      <w:pPr>
        <w:widowControl/>
        <w:rPr>
          <w:rFonts w:cs="Arial"/>
          <w:b/>
          <w:i/>
          <w:szCs w:val="22"/>
        </w:rPr>
      </w:pPr>
    </w:p>
    <w:p w14:paraId="46602F01" w14:textId="77777777" w:rsidR="007072DB" w:rsidRDefault="007072DB" w:rsidP="00FF61AD">
      <w:pPr>
        <w:pStyle w:val="ListParagraph"/>
        <w:widowControl/>
        <w:numPr>
          <w:ilvl w:val="0"/>
          <w:numId w:val="28"/>
        </w:numPr>
        <w:rPr>
          <w:rFonts w:cs="Arial"/>
          <w:szCs w:val="22"/>
        </w:rPr>
      </w:pPr>
      <w:r>
        <w:rPr>
          <w:rFonts w:cs="Arial"/>
        </w:rPr>
        <w:t>Impossible Foods (applicant)</w:t>
      </w:r>
    </w:p>
    <w:p w14:paraId="72F812AD" w14:textId="77777777" w:rsidR="007072DB" w:rsidRDefault="007072DB" w:rsidP="00FF61AD">
      <w:pPr>
        <w:pStyle w:val="ListParagraph"/>
        <w:widowControl/>
        <w:numPr>
          <w:ilvl w:val="0"/>
          <w:numId w:val="28"/>
        </w:numPr>
        <w:rPr>
          <w:rFonts w:cs="Arial"/>
        </w:rPr>
      </w:pPr>
      <w:r>
        <w:rPr>
          <w:rFonts w:cs="Arial"/>
        </w:rPr>
        <w:t>Australian Food and Grocery Council</w:t>
      </w:r>
    </w:p>
    <w:p w14:paraId="31F16478" w14:textId="77777777" w:rsidR="007072DB" w:rsidRDefault="007072DB" w:rsidP="00FF61AD">
      <w:pPr>
        <w:pStyle w:val="ListParagraph"/>
        <w:widowControl/>
        <w:numPr>
          <w:ilvl w:val="0"/>
          <w:numId w:val="28"/>
        </w:numPr>
        <w:rPr>
          <w:rFonts w:cs="Arial"/>
        </w:rPr>
      </w:pPr>
      <w:r>
        <w:rPr>
          <w:rFonts w:cs="Arial"/>
        </w:rPr>
        <w:t>New Zealand Food and Grocery Council</w:t>
      </w:r>
    </w:p>
    <w:p w14:paraId="14A81F8C" w14:textId="1AC4CAB0" w:rsidR="007072DB" w:rsidRDefault="007072DB" w:rsidP="00FF61AD">
      <w:pPr>
        <w:pStyle w:val="ListParagraph"/>
        <w:widowControl/>
        <w:numPr>
          <w:ilvl w:val="0"/>
          <w:numId w:val="28"/>
        </w:numPr>
        <w:rPr>
          <w:rFonts w:cs="Arial"/>
        </w:rPr>
      </w:pPr>
      <w:proofErr w:type="spellStart"/>
      <w:r>
        <w:rPr>
          <w:rFonts w:cs="Arial"/>
        </w:rPr>
        <w:t>Grill’d</w:t>
      </w:r>
      <w:proofErr w:type="spellEnd"/>
    </w:p>
    <w:p w14:paraId="4CE52F01" w14:textId="0C669540" w:rsidR="007072DB" w:rsidRPr="00F566C7" w:rsidRDefault="007072DB" w:rsidP="00FF61AD">
      <w:pPr>
        <w:pStyle w:val="ListParagraph"/>
        <w:widowControl/>
        <w:numPr>
          <w:ilvl w:val="0"/>
          <w:numId w:val="28"/>
        </w:numPr>
        <w:rPr>
          <w:rFonts w:cs="Arial"/>
          <w:szCs w:val="22"/>
          <w:lang w:bidi="ar-SA"/>
        </w:rPr>
      </w:pPr>
      <w:r>
        <w:rPr>
          <w:rFonts w:cs="Arial"/>
        </w:rPr>
        <w:t>Milky Lane</w:t>
      </w:r>
    </w:p>
    <w:p w14:paraId="0F491C59" w14:textId="77777777" w:rsidR="007072DB" w:rsidRDefault="007072DB" w:rsidP="006E51EF">
      <w:pPr>
        <w:widowControl/>
        <w:rPr>
          <w:rFonts w:cs="Arial"/>
          <w:b/>
          <w:i/>
          <w:szCs w:val="22"/>
        </w:rPr>
      </w:pPr>
    </w:p>
    <w:p w14:paraId="02D133CA" w14:textId="77777777" w:rsidR="007072DB" w:rsidRDefault="007072DB" w:rsidP="006E51EF">
      <w:pPr>
        <w:widowControl/>
        <w:spacing w:after="240"/>
        <w:rPr>
          <w:rFonts w:cs="Arial"/>
          <w:b/>
          <w:i/>
          <w:szCs w:val="22"/>
        </w:rPr>
      </w:pPr>
      <w:r>
        <w:rPr>
          <w:rFonts w:cs="Arial"/>
          <w:b/>
          <w:i/>
          <w:szCs w:val="22"/>
        </w:rPr>
        <w:t>Not for profit organisations (2)</w:t>
      </w:r>
    </w:p>
    <w:p w14:paraId="2EBC7B5D" w14:textId="77777777" w:rsidR="007072DB" w:rsidRDefault="007072DB" w:rsidP="00FF61AD">
      <w:pPr>
        <w:pStyle w:val="ListParagraph"/>
        <w:widowControl/>
        <w:numPr>
          <w:ilvl w:val="0"/>
          <w:numId w:val="29"/>
        </w:numPr>
        <w:rPr>
          <w:rFonts w:cs="Arial"/>
          <w:szCs w:val="22"/>
        </w:rPr>
      </w:pPr>
      <w:r>
        <w:rPr>
          <w:rFonts w:cs="Arial"/>
        </w:rPr>
        <w:t>Allergy and Anaphylaxis Australia</w:t>
      </w:r>
    </w:p>
    <w:p w14:paraId="0FD5745C" w14:textId="77777777" w:rsidR="007072DB" w:rsidRDefault="007072DB" w:rsidP="00FF61AD">
      <w:pPr>
        <w:pStyle w:val="ListParagraph"/>
        <w:widowControl/>
        <w:numPr>
          <w:ilvl w:val="0"/>
          <w:numId w:val="29"/>
        </w:numPr>
        <w:rPr>
          <w:rFonts w:cs="Arial"/>
        </w:rPr>
      </w:pPr>
      <w:r>
        <w:rPr>
          <w:rFonts w:cs="Arial"/>
        </w:rPr>
        <w:t>Food Frontier AU</w:t>
      </w:r>
    </w:p>
    <w:p w14:paraId="59E8B79A" w14:textId="4F973EA6" w:rsidR="007072DB" w:rsidRDefault="007072DB" w:rsidP="006E51EF">
      <w:pPr>
        <w:widowControl/>
        <w:rPr>
          <w:rFonts w:cs="Arial"/>
          <w:b/>
          <w:i/>
          <w:szCs w:val="22"/>
        </w:rPr>
      </w:pPr>
    </w:p>
    <w:p w14:paraId="4FD863B0" w14:textId="77777777" w:rsidR="007072DB" w:rsidRDefault="007072DB" w:rsidP="006E51EF">
      <w:pPr>
        <w:widowControl/>
        <w:rPr>
          <w:rFonts w:cs="Arial"/>
          <w:b/>
          <w:i/>
          <w:szCs w:val="22"/>
        </w:rPr>
      </w:pPr>
      <w:r>
        <w:rPr>
          <w:rFonts w:cs="Arial"/>
          <w:b/>
          <w:i/>
          <w:szCs w:val="22"/>
        </w:rPr>
        <w:t>Consumer organisations (3)</w:t>
      </w:r>
    </w:p>
    <w:p w14:paraId="3B75417C" w14:textId="77777777" w:rsidR="007072DB" w:rsidRDefault="007072DB" w:rsidP="006E51EF">
      <w:pPr>
        <w:widowControl/>
        <w:rPr>
          <w:rFonts w:cs="Arial"/>
          <w:szCs w:val="22"/>
        </w:rPr>
      </w:pPr>
    </w:p>
    <w:p w14:paraId="1C5E1721" w14:textId="678A2E17" w:rsidR="007072DB" w:rsidRDefault="007072DB" w:rsidP="00FF61AD">
      <w:pPr>
        <w:pStyle w:val="ListParagraph"/>
        <w:widowControl/>
        <w:numPr>
          <w:ilvl w:val="0"/>
          <w:numId w:val="30"/>
        </w:numPr>
        <w:rPr>
          <w:rFonts w:cs="Arial"/>
          <w:szCs w:val="22"/>
        </w:rPr>
      </w:pPr>
      <w:r>
        <w:rPr>
          <w:rFonts w:cs="Arial"/>
        </w:rPr>
        <w:t xml:space="preserve">Friends of the Earth and </w:t>
      </w:r>
      <w:proofErr w:type="spellStart"/>
      <w:r>
        <w:rPr>
          <w:rFonts w:cs="Arial"/>
        </w:rPr>
        <w:t>GeneEthics</w:t>
      </w:r>
      <w:proofErr w:type="spellEnd"/>
      <w:r>
        <w:rPr>
          <w:rFonts w:cs="Arial"/>
        </w:rPr>
        <w:t xml:space="preserve"> (joint</w:t>
      </w:r>
      <w:r w:rsidR="00BB4BEF">
        <w:rPr>
          <w:rFonts w:cs="Arial"/>
        </w:rPr>
        <w:t xml:space="preserve"> submission</w:t>
      </w:r>
      <w:r>
        <w:rPr>
          <w:rFonts w:cs="Arial"/>
        </w:rPr>
        <w:t>)</w:t>
      </w:r>
    </w:p>
    <w:p w14:paraId="60AA01BC" w14:textId="77777777" w:rsidR="007072DB" w:rsidRDefault="007072DB" w:rsidP="00FF61AD">
      <w:pPr>
        <w:pStyle w:val="ListParagraph"/>
        <w:widowControl/>
        <w:numPr>
          <w:ilvl w:val="0"/>
          <w:numId w:val="30"/>
        </w:numPr>
        <w:rPr>
          <w:rFonts w:cs="Arial"/>
        </w:rPr>
      </w:pPr>
      <w:r>
        <w:rPr>
          <w:rFonts w:cs="Arial"/>
        </w:rPr>
        <w:t>GE Free NZ</w:t>
      </w:r>
    </w:p>
    <w:p w14:paraId="751184B3" w14:textId="77777777" w:rsidR="007072DB" w:rsidRDefault="007072DB" w:rsidP="00FF61AD">
      <w:pPr>
        <w:pStyle w:val="ListParagraph"/>
        <w:widowControl/>
        <w:numPr>
          <w:ilvl w:val="0"/>
          <w:numId w:val="30"/>
        </w:numPr>
        <w:rPr>
          <w:rFonts w:cs="Arial"/>
        </w:rPr>
      </w:pPr>
      <w:r>
        <w:rPr>
          <w:rFonts w:cs="Arial"/>
        </w:rPr>
        <w:t>Grey Power Combined NZ</w:t>
      </w:r>
    </w:p>
    <w:p w14:paraId="3C1CCD73" w14:textId="77777777" w:rsidR="007072DB" w:rsidRPr="007627F1" w:rsidRDefault="007072DB" w:rsidP="006E51EF">
      <w:pPr>
        <w:widowControl/>
        <w:rPr>
          <w:rFonts w:cs="Arial"/>
        </w:rPr>
      </w:pPr>
    </w:p>
    <w:p w14:paraId="38028986" w14:textId="77777777" w:rsidR="007072DB" w:rsidRDefault="007072DB" w:rsidP="006E51EF">
      <w:pPr>
        <w:widowControl/>
        <w:rPr>
          <w:rFonts w:cs="Arial"/>
          <w:b/>
          <w:i/>
          <w:szCs w:val="22"/>
        </w:rPr>
      </w:pPr>
      <w:r>
        <w:rPr>
          <w:rFonts w:cs="Arial"/>
          <w:b/>
          <w:i/>
          <w:szCs w:val="22"/>
        </w:rPr>
        <w:t>Individual submitters (2)</w:t>
      </w:r>
    </w:p>
    <w:p w14:paraId="019A26E7" w14:textId="13F00DE8" w:rsidR="007072DB" w:rsidRDefault="007072DB" w:rsidP="006E51EF">
      <w:pPr>
        <w:widowControl/>
        <w:rPr>
          <w:rFonts w:cs="Arial"/>
          <w:szCs w:val="22"/>
        </w:rPr>
      </w:pPr>
    </w:p>
    <w:p w14:paraId="11D31A9A" w14:textId="77777777" w:rsidR="007072DB" w:rsidRDefault="007072DB" w:rsidP="006E51EF">
      <w:pPr>
        <w:widowControl/>
        <w:spacing w:after="240"/>
        <w:rPr>
          <w:rFonts w:cs="Arial"/>
          <w:szCs w:val="22"/>
          <w:u w:val="single"/>
        </w:rPr>
      </w:pPr>
      <w:r>
        <w:rPr>
          <w:rFonts w:cs="Arial"/>
          <w:szCs w:val="22"/>
          <w:u w:val="single"/>
        </w:rPr>
        <w:t>Australia</w:t>
      </w:r>
    </w:p>
    <w:p w14:paraId="6AB03FA4" w14:textId="77777777" w:rsidR="007072DB" w:rsidRDefault="007072DB" w:rsidP="00FF61AD">
      <w:pPr>
        <w:pStyle w:val="ListParagraph"/>
        <w:widowControl/>
        <w:numPr>
          <w:ilvl w:val="0"/>
          <w:numId w:val="31"/>
        </w:numPr>
        <w:rPr>
          <w:rFonts w:cs="Arial"/>
          <w:szCs w:val="22"/>
        </w:rPr>
      </w:pPr>
      <w:r>
        <w:rPr>
          <w:rFonts w:cs="Arial"/>
        </w:rPr>
        <w:t>JM Private</w:t>
      </w:r>
    </w:p>
    <w:p w14:paraId="4969AF02" w14:textId="77777777" w:rsidR="007072DB" w:rsidRDefault="007072DB" w:rsidP="006E51EF">
      <w:pPr>
        <w:widowControl/>
        <w:rPr>
          <w:rFonts w:cs="Arial"/>
          <w:szCs w:val="22"/>
          <w:u w:val="single"/>
        </w:rPr>
      </w:pPr>
    </w:p>
    <w:p w14:paraId="09354496" w14:textId="11E9979A" w:rsidR="007072DB" w:rsidRDefault="007072DB" w:rsidP="006E51EF">
      <w:pPr>
        <w:widowControl/>
        <w:spacing w:after="240"/>
        <w:rPr>
          <w:rFonts w:cs="Arial"/>
          <w:szCs w:val="22"/>
          <w:u w:val="single"/>
        </w:rPr>
      </w:pPr>
      <w:r>
        <w:rPr>
          <w:rFonts w:cs="Arial"/>
          <w:szCs w:val="22"/>
          <w:u w:val="single"/>
        </w:rPr>
        <w:t>New Zealand</w:t>
      </w:r>
    </w:p>
    <w:p w14:paraId="346ADACD" w14:textId="20F3DC89" w:rsidR="0012388D" w:rsidRPr="00813F20" w:rsidRDefault="007072DB" w:rsidP="00FF61AD">
      <w:pPr>
        <w:pStyle w:val="ListParagraph"/>
        <w:widowControl/>
        <w:numPr>
          <w:ilvl w:val="0"/>
          <w:numId w:val="28"/>
        </w:numPr>
        <w:rPr>
          <w:rFonts w:cs="Arial"/>
          <w:szCs w:val="22"/>
        </w:rPr>
      </w:pPr>
      <w:r>
        <w:rPr>
          <w:rFonts w:cs="Arial"/>
        </w:rPr>
        <w:t>MC Private</w:t>
      </w:r>
    </w:p>
    <w:sectPr w:rsidR="0012388D" w:rsidRPr="00813F20" w:rsidSect="00F45A8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C3602" w14:textId="77777777" w:rsidR="00B83C94" w:rsidRDefault="00B83C94">
      <w:r>
        <w:separator/>
      </w:r>
    </w:p>
    <w:p w14:paraId="2290AF70" w14:textId="77777777" w:rsidR="00B83C94" w:rsidRDefault="00B83C94"/>
  </w:endnote>
  <w:endnote w:type="continuationSeparator" w:id="0">
    <w:p w14:paraId="5E3C4A8E" w14:textId="77777777" w:rsidR="00B83C94" w:rsidRDefault="00B83C94">
      <w:r>
        <w:continuationSeparator/>
      </w:r>
    </w:p>
    <w:p w14:paraId="4A050140" w14:textId="77777777" w:rsidR="00B83C94" w:rsidRDefault="00B83C94"/>
  </w:endnote>
  <w:endnote w:type="continuationNotice" w:id="1">
    <w:p w14:paraId="58A4B7A0" w14:textId="77777777" w:rsidR="00B83C94" w:rsidRDefault="00B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22E0B831" w:rsidR="001323E6" w:rsidRDefault="001323E6" w:rsidP="00EF7F3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1323E6" w:rsidRDefault="001323E6" w:rsidP="00C45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9513" w14:textId="357B982F" w:rsidR="001323E6" w:rsidRDefault="001323E6" w:rsidP="002C519D">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55185">
      <w:rPr>
        <w:b/>
        <w:bCs/>
        <w:noProof/>
      </w:rPr>
      <w:t>54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55185">
      <w:rPr>
        <w:b/>
        <w:bCs/>
        <w:noProof/>
      </w:rPr>
      <w:t>56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77B02" w14:textId="77777777" w:rsidR="00B83C94" w:rsidRDefault="00B83C94">
      <w:r>
        <w:separator/>
      </w:r>
    </w:p>
  </w:footnote>
  <w:footnote w:type="continuationSeparator" w:id="0">
    <w:p w14:paraId="17EF243E" w14:textId="77777777" w:rsidR="00B83C94" w:rsidRDefault="00B83C94">
      <w:r>
        <w:continuationSeparator/>
      </w:r>
    </w:p>
  </w:footnote>
  <w:footnote w:type="continuationNotice" w:id="1">
    <w:p w14:paraId="6A1B1B69" w14:textId="77777777" w:rsidR="00B83C94" w:rsidRDefault="00B83C94"/>
  </w:footnote>
  <w:footnote w:id="2">
    <w:p w14:paraId="506D75A3" w14:textId="58703A2E" w:rsidR="001323E6" w:rsidRPr="00133D6A" w:rsidRDefault="001323E6" w:rsidP="00613871">
      <w:pPr>
        <w:rPr>
          <w:sz w:val="20"/>
          <w:szCs w:val="18"/>
        </w:rPr>
      </w:pPr>
      <w:r w:rsidRPr="00385BC2">
        <w:rPr>
          <w:rStyle w:val="FootnoteReference"/>
          <w:sz w:val="18"/>
          <w:szCs w:val="18"/>
        </w:rPr>
        <w:footnoteRef/>
      </w:r>
      <w:r w:rsidRPr="00596724">
        <w:rPr>
          <w:sz w:val="20"/>
          <w:szCs w:val="18"/>
          <w:lang w:eastAsia="en-AU" w:bidi="ar-SA"/>
        </w:rPr>
        <w:t>FSANZ recognises that</w:t>
      </w:r>
      <w:r>
        <w:rPr>
          <w:sz w:val="20"/>
          <w:szCs w:val="18"/>
          <w:lang w:eastAsia="en-AU" w:bidi="ar-SA"/>
        </w:rPr>
        <w:t>,</w:t>
      </w:r>
      <w:r w:rsidRPr="00596724">
        <w:rPr>
          <w:sz w:val="20"/>
          <w:szCs w:val="18"/>
          <w:lang w:eastAsia="en-AU" w:bidi="ar-SA"/>
        </w:rPr>
        <w:t xml:space="preserve"> </w:t>
      </w:r>
      <w:r w:rsidRPr="00596724">
        <w:rPr>
          <w:sz w:val="20"/>
          <w:szCs w:val="18"/>
        </w:rPr>
        <w:t xml:space="preserve">in Australia and New Zealand, the English spelling </w:t>
      </w:r>
      <w:r>
        <w:rPr>
          <w:sz w:val="20"/>
          <w:szCs w:val="18"/>
        </w:rPr>
        <w:t>of</w:t>
      </w:r>
      <w:r w:rsidRPr="00596724">
        <w:rPr>
          <w:sz w:val="20"/>
          <w:szCs w:val="18"/>
        </w:rPr>
        <w:t xml:space="preserve"> ‘haem’ is more commonly used than ‘</w:t>
      </w:r>
      <w:proofErr w:type="spellStart"/>
      <w:r w:rsidRPr="00596724">
        <w:rPr>
          <w:sz w:val="20"/>
          <w:szCs w:val="18"/>
        </w:rPr>
        <w:t>heme</w:t>
      </w:r>
      <w:proofErr w:type="spellEnd"/>
      <w:r w:rsidRPr="00596724">
        <w:rPr>
          <w:sz w:val="20"/>
          <w:szCs w:val="18"/>
        </w:rPr>
        <w:t xml:space="preserve">’, however the name ‘soy leghemoglobin’ is a </w:t>
      </w:r>
      <w:r>
        <w:rPr>
          <w:sz w:val="20"/>
          <w:szCs w:val="18"/>
        </w:rPr>
        <w:t>common product</w:t>
      </w:r>
      <w:r w:rsidRPr="00596724">
        <w:rPr>
          <w:sz w:val="20"/>
          <w:szCs w:val="18"/>
        </w:rPr>
        <w:t xml:space="preserve"> name used by the applicant. FSANZ will hereafter use ‘soy leghemoglobin’, ‘leghaemoglobin’ and ‘haem’</w:t>
      </w:r>
      <w:r>
        <w:rPr>
          <w:sz w:val="20"/>
          <w:szCs w:val="18"/>
        </w:rPr>
        <w:t xml:space="preserve">, as applicable. </w:t>
      </w:r>
    </w:p>
  </w:footnote>
  <w:footnote w:id="3">
    <w:p w14:paraId="1246C9DB" w14:textId="0AC72E6C" w:rsidR="001323E6" w:rsidRPr="00133D6A" w:rsidRDefault="001323E6" w:rsidP="00613871">
      <w:pPr>
        <w:pStyle w:val="FootnoteText"/>
        <w:rPr>
          <w:lang w:val="en-AU"/>
        </w:rPr>
      </w:pPr>
      <w:r>
        <w:rPr>
          <w:rStyle w:val="FootnoteReference"/>
        </w:rPr>
        <w:footnoteRef/>
      </w:r>
      <w:r>
        <w:t xml:space="preserve">%‘weight for weight’ or %‘w/w’ means </w:t>
      </w:r>
      <w:r>
        <w:rPr>
          <w:rFonts w:eastAsia="Calibri"/>
          <w:szCs w:val="22"/>
          <w:lang w:bidi="ar-SA"/>
        </w:rPr>
        <w:t>g/100 g.</w:t>
      </w:r>
    </w:p>
  </w:footnote>
  <w:footnote w:id="4">
    <w:p w14:paraId="447E2056" w14:textId="244CBDDE" w:rsidR="001323E6" w:rsidRPr="00D94276" w:rsidRDefault="001323E6" w:rsidP="00BE663F">
      <w:pPr>
        <w:pStyle w:val="FootnoteText"/>
        <w:rPr>
          <w:lang w:val="en-AU"/>
        </w:rPr>
      </w:pPr>
      <w:r>
        <w:rPr>
          <w:rStyle w:val="FootnoteReference"/>
        </w:rPr>
        <w:footnoteRef/>
      </w:r>
      <w:r>
        <w:rPr>
          <w:lang w:val="en-AU"/>
        </w:rPr>
        <w:t xml:space="preserve">The applicant’s brand name for the liquid preparation containing the soy leghemoglobin ingredient is </w:t>
      </w:r>
      <w:proofErr w:type="spellStart"/>
      <w:r>
        <w:rPr>
          <w:lang w:val="en-AU"/>
        </w:rPr>
        <w:t>LegH</w:t>
      </w:r>
      <w:proofErr w:type="spellEnd"/>
      <w:r>
        <w:rPr>
          <w:lang w:val="en-AU"/>
        </w:rPr>
        <w:t xml:space="preserve"> Prep. For drafting purposes and to future-proof the Code, the term ‘soy leghemoglobin preparation’ is used in the draft variation.</w:t>
      </w:r>
    </w:p>
  </w:footnote>
  <w:footnote w:id="5">
    <w:p w14:paraId="0FB5DB97" w14:textId="1EFCC7F0" w:rsidR="001323E6" w:rsidRPr="00081770" w:rsidRDefault="001323E6">
      <w:pPr>
        <w:pStyle w:val="FootnoteText"/>
        <w:rPr>
          <w:lang w:val="en-AU"/>
        </w:rPr>
      </w:pPr>
      <w:r>
        <w:rPr>
          <w:rStyle w:val="FootnoteReference"/>
        </w:rPr>
        <w:footnoteRef/>
      </w:r>
      <w:r>
        <w:rPr>
          <w:lang w:val="en-AU"/>
        </w:rPr>
        <w:t xml:space="preserve"> The applicant’s brand name for the liquid preparation containing the soy leghemoglobin ingredient is </w:t>
      </w:r>
      <w:proofErr w:type="spellStart"/>
      <w:r>
        <w:rPr>
          <w:lang w:val="en-AU"/>
        </w:rPr>
        <w:t>LegH</w:t>
      </w:r>
      <w:proofErr w:type="spellEnd"/>
      <w:r>
        <w:rPr>
          <w:lang w:val="en-AU"/>
        </w:rPr>
        <w:t xml:space="preserve"> Prep. For drafting purposes, the term ‘soy leghemoglobin preparation’ is used, herein referred to as the Preparation.</w:t>
      </w:r>
    </w:p>
  </w:footnote>
  <w:footnote w:id="6">
    <w:p w14:paraId="21BECFDD" w14:textId="77777777" w:rsidR="001323E6" w:rsidRPr="00CA420F" w:rsidRDefault="001323E6" w:rsidP="00EF3067">
      <w:pPr>
        <w:pStyle w:val="FootnoteText"/>
        <w:rPr>
          <w:lang w:val="en-AU"/>
        </w:rPr>
      </w:pPr>
      <w:r>
        <w:rPr>
          <w:rStyle w:val="FootnoteReference"/>
        </w:rPr>
        <w:footnoteRef/>
      </w:r>
      <w:r>
        <w:t xml:space="preserve"> </w:t>
      </w:r>
      <w:r>
        <w:rPr>
          <w:lang w:val="en-AU"/>
        </w:rPr>
        <w:t xml:space="preserve">FSANZ searched for “impossible foods” on </w:t>
      </w:r>
      <w:hyperlink r:id="rId1" w:history="1">
        <w:r w:rsidRPr="00F03945">
          <w:rPr>
            <w:rStyle w:val="Hyperlink"/>
            <w:lang w:val="en-AU"/>
          </w:rPr>
          <w:t>New Zealand Intellectual Property Office</w:t>
        </w:r>
      </w:hyperlink>
      <w:r>
        <w:rPr>
          <w:lang w:val="en-AU"/>
        </w:rPr>
        <w:t xml:space="preserve"> and </w:t>
      </w:r>
      <w:hyperlink r:id="rId2" w:history="1">
        <w:r w:rsidRPr="00F03945">
          <w:rPr>
            <w:rStyle w:val="Hyperlink"/>
            <w:lang w:val="en-AU"/>
          </w:rPr>
          <w:t>IP Australia</w:t>
        </w:r>
      </w:hyperlink>
      <w:r>
        <w:rPr>
          <w:lang w:val="en-AU"/>
        </w:rPr>
        <w:t xml:space="preserve"> websites.</w:t>
      </w:r>
    </w:p>
  </w:footnote>
  <w:footnote w:id="7">
    <w:p w14:paraId="45F4F9C6" w14:textId="77777777" w:rsidR="001323E6" w:rsidRPr="00483E80" w:rsidRDefault="001323E6" w:rsidP="00EF3067">
      <w:pPr>
        <w:pStyle w:val="FootnoteText"/>
        <w:rPr>
          <w:lang w:val="en-AU"/>
        </w:rPr>
      </w:pPr>
      <w:r>
        <w:rPr>
          <w:rStyle w:val="FootnoteReference"/>
        </w:rPr>
        <w:footnoteRef/>
      </w:r>
      <w:r>
        <w:t xml:space="preserve"> The meaning of </w:t>
      </w:r>
      <w:r>
        <w:rPr>
          <w:lang w:val="en-AU"/>
        </w:rPr>
        <w:t>‘reference quantity’ is provided in subsection 1.1.2—2(3) of the Code.</w:t>
      </w:r>
    </w:p>
  </w:footnote>
  <w:footnote w:id="8">
    <w:p w14:paraId="2CDBB44A" w14:textId="24CD2F40" w:rsidR="001323E6" w:rsidRPr="00277E11" w:rsidRDefault="001323E6">
      <w:pPr>
        <w:pStyle w:val="FootnoteText"/>
        <w:rPr>
          <w:lang w:val="en-AU"/>
        </w:rPr>
      </w:pPr>
      <w:r>
        <w:rPr>
          <w:rStyle w:val="FootnoteReference"/>
        </w:rPr>
        <w:footnoteRef/>
      </w:r>
      <w:r>
        <w:t xml:space="preserve"> </w:t>
      </w:r>
      <w:r w:rsidRPr="003C48F0">
        <w:rPr>
          <w:b/>
        </w:rPr>
        <w:t>Caterer</w:t>
      </w:r>
      <w:r w:rsidRPr="003C48F0">
        <w:t xml:space="preserve"> is defined as a person, establishment or institution (for example, a catering establishment, a restaurant, a canteen, a school, or a hospital) which handles or offers food for immediate consumption (subsection 1.1.2—2(3) of Standard 1.1.2 </w:t>
      </w:r>
      <w:r>
        <w:t>–</w:t>
      </w:r>
      <w:r w:rsidRPr="003C48F0">
        <w:t xml:space="preserve"> Definitions used throughout the Code</w:t>
      </w:r>
      <w:r>
        <w:t>)</w:t>
      </w:r>
      <w:r w:rsidRPr="003C48F0">
        <w:t>.</w:t>
      </w:r>
    </w:p>
  </w:footnote>
  <w:footnote w:id="9">
    <w:p w14:paraId="09F44E78" w14:textId="77777777" w:rsidR="001323E6" w:rsidRPr="00320EFF" w:rsidRDefault="001323E6" w:rsidP="00EF3067">
      <w:pPr>
        <w:pStyle w:val="FootnoteText"/>
        <w:rPr>
          <w:lang w:val="en-AU"/>
        </w:rPr>
      </w:pPr>
      <w:r>
        <w:rPr>
          <w:rStyle w:val="FootnoteReference"/>
        </w:rPr>
        <w:footnoteRef/>
      </w:r>
      <w:r>
        <w:t xml:space="preserve"> FAO is the F</w:t>
      </w:r>
      <w:r w:rsidRPr="00320EFF">
        <w:t xml:space="preserve">ood and </w:t>
      </w:r>
      <w:r>
        <w:t>A</w:t>
      </w:r>
      <w:r w:rsidRPr="00320EFF">
        <w:t xml:space="preserve">griculture </w:t>
      </w:r>
      <w:r>
        <w:t>O</w:t>
      </w:r>
      <w:r w:rsidRPr="00320EFF">
        <w:t xml:space="preserve">rganization of the </w:t>
      </w:r>
      <w:r>
        <w:t>U</w:t>
      </w:r>
      <w:r w:rsidRPr="00320EFF">
        <w:t xml:space="preserve">nited </w:t>
      </w:r>
      <w:r>
        <w:t>N</w:t>
      </w:r>
      <w:r w:rsidRPr="00320EFF">
        <w:t>ations</w:t>
      </w:r>
      <w:r>
        <w:t>; WHO is the World Health Organization.</w:t>
      </w:r>
    </w:p>
  </w:footnote>
  <w:footnote w:id="10">
    <w:p w14:paraId="2B07972E" w14:textId="7955B3B8" w:rsidR="001323E6" w:rsidRPr="006C6C34" w:rsidRDefault="001323E6">
      <w:pPr>
        <w:pStyle w:val="FootnoteText"/>
        <w:rPr>
          <w:lang w:val="en-AU"/>
        </w:rPr>
      </w:pPr>
      <w:r>
        <w:rPr>
          <w:rStyle w:val="FootnoteReference"/>
        </w:rPr>
        <w:footnoteRef/>
      </w:r>
      <w:r>
        <w:t xml:space="preserve"> Some </w:t>
      </w:r>
      <w:r>
        <w:rPr>
          <w:lang w:val="en-AU"/>
        </w:rPr>
        <w:t>international regulatory bodies have provided permission for ‘soy leghemoglobin’, FSANZ understands this is for the soy leghemoglobin in the Preparation.</w:t>
      </w:r>
    </w:p>
  </w:footnote>
  <w:footnote w:id="11">
    <w:p w14:paraId="7C72F542" w14:textId="77777777" w:rsidR="001323E6" w:rsidRPr="00090D27" w:rsidRDefault="001323E6" w:rsidP="00EF3067">
      <w:pPr>
        <w:pStyle w:val="FootnoteText"/>
        <w:rPr>
          <w:lang w:val="en-AU"/>
        </w:rPr>
      </w:pPr>
      <w:r>
        <w:rPr>
          <w:rStyle w:val="FootnoteReference"/>
        </w:rPr>
        <w:footnoteRef/>
      </w:r>
      <w:r>
        <w:t xml:space="preserve"> </w:t>
      </w:r>
      <w:r w:rsidRPr="001753D9">
        <w:t>https://www.regulations.gov/document?D=FDA-2018-C-4464-0002</w:t>
      </w:r>
    </w:p>
  </w:footnote>
  <w:footnote w:id="12">
    <w:p w14:paraId="6137D07F" w14:textId="0765246C" w:rsidR="001323E6" w:rsidRPr="00280A87" w:rsidRDefault="001323E6" w:rsidP="00EF3067">
      <w:pPr>
        <w:pStyle w:val="FootnoteText"/>
        <w:rPr>
          <w:lang w:val="en-AU"/>
        </w:rPr>
      </w:pPr>
      <w:r>
        <w:rPr>
          <w:rStyle w:val="FootnoteReference"/>
        </w:rPr>
        <w:footnoteRef/>
      </w:r>
      <w:r>
        <w:t xml:space="preserve"> For further information see </w:t>
      </w:r>
      <w:hyperlink r:id="rId3" w:history="1">
        <w:r>
          <w:rPr>
            <w:rStyle w:val="Hyperlink"/>
          </w:rPr>
          <w:t>EFSA register</w:t>
        </w:r>
        <w:r w:rsidRPr="00280A87">
          <w:rPr>
            <w:rStyle w:val="Hyperlink"/>
          </w:rPr>
          <w:t xml:space="preserve"> of questions</w:t>
        </w:r>
      </w:hyperlink>
      <w:r>
        <w:rPr>
          <w:rStyle w:val="Hyperlink"/>
        </w:rPr>
        <w:t>:</w:t>
      </w:r>
      <w:r>
        <w:t xml:space="preserve"> </w:t>
      </w:r>
      <w:r w:rsidRPr="00280A87">
        <w:t>mandate number M-2019-0132</w:t>
      </w:r>
      <w:r>
        <w:t xml:space="preserve">, Question </w:t>
      </w:r>
      <w:r w:rsidRPr="00315B8E">
        <w:t xml:space="preserve">number </w:t>
      </w:r>
      <w:r>
        <w:rPr>
          <w:rStyle w:val="Hyperlink"/>
          <w:color w:val="auto"/>
          <w:u w:val="none"/>
        </w:rPr>
        <w:t>EFSA-Q-2019-00651</w:t>
      </w:r>
      <w:r w:rsidRPr="00315B8E">
        <w:rPr>
          <w:rStyle w:val="Hyperlink"/>
          <w:color w:val="auto"/>
          <w:u w:val="none"/>
        </w:rPr>
        <w:t xml:space="preserve">, </w:t>
      </w:r>
      <w:r w:rsidRPr="00315B8E">
        <w:t xml:space="preserve">Application </w:t>
      </w:r>
      <w:r>
        <w:t xml:space="preserve">number </w:t>
      </w:r>
      <w:r w:rsidRPr="008B10A5">
        <w:t>GMO-2019-0008</w:t>
      </w:r>
      <w:r>
        <w:t>;</w:t>
      </w:r>
      <w:r w:rsidRPr="00280A87">
        <w:t>.</w:t>
      </w:r>
    </w:p>
  </w:footnote>
  <w:footnote w:id="13">
    <w:p w14:paraId="3ED421FA" w14:textId="23911A45" w:rsidR="001323E6" w:rsidRPr="00E24A7B" w:rsidRDefault="001323E6">
      <w:pPr>
        <w:pStyle w:val="FootnoteText"/>
        <w:rPr>
          <w:lang w:val="en-AU"/>
        </w:rPr>
      </w:pPr>
      <w:r>
        <w:rPr>
          <w:rStyle w:val="FootnoteReference"/>
        </w:rPr>
        <w:footnoteRef/>
      </w:r>
      <w:r>
        <w:t xml:space="preserve"> </w:t>
      </w:r>
      <w:r>
        <w:rPr>
          <w:rFonts w:cs="Arial"/>
          <w:lang w:val="en-AU"/>
        </w:rPr>
        <w:t>For the purpose of this example the moisture loss during cooking for products containing soy leghemoglobin is assumed to be similar to the weight change from baking or frying beef mince and beef rissoles (-26%) and vegetable patties (-20%), as published in the</w:t>
      </w:r>
      <w:r>
        <w:rPr>
          <w:rFonts w:cs="Arial"/>
          <w:lang w:val="en-AU" w:eastAsia="en-AU"/>
        </w:rPr>
        <w:t xml:space="preserve"> </w:t>
      </w:r>
      <w:hyperlink r:id="rId4" w:history="1">
        <w:r>
          <w:rPr>
            <w:rStyle w:val="Hyperlink"/>
            <w:rFonts w:cs="Arial"/>
            <w:color w:val="2E75B6"/>
            <w:lang w:eastAsia="en-AU"/>
          </w:rPr>
          <w:t>AUSNUT 2011-13 Food Recipe File</w:t>
        </w:r>
      </w:hyperlink>
      <w:r>
        <w:rPr>
          <w:rFonts w:cs="Arial"/>
          <w:color w:val="2E75B6"/>
          <w:lang w:eastAsia="en-AU"/>
        </w:rPr>
        <w:t> </w:t>
      </w:r>
      <w:r>
        <w:rPr>
          <w:rFonts w:cs="Arial"/>
          <w:lang w:val="en-AU"/>
        </w:rPr>
        <w:t xml:space="preserve"> on the FSANZ website.</w:t>
      </w:r>
    </w:p>
  </w:footnote>
  <w:footnote w:id="14">
    <w:p w14:paraId="24D44187" w14:textId="77777777" w:rsidR="001323E6" w:rsidRDefault="001323E6" w:rsidP="006F6359">
      <w:pPr>
        <w:pStyle w:val="FootnoteText"/>
        <w:rPr>
          <w:lang w:val="en-AU"/>
        </w:rPr>
      </w:pPr>
      <w:r>
        <w:rPr>
          <w:rStyle w:val="FootnoteReference"/>
        </w:rPr>
        <w:footnoteRef/>
      </w:r>
      <w:r>
        <w:t xml:space="preserve"> </w:t>
      </w:r>
      <w:hyperlink r:id="rId5" w:history="1">
        <w:r>
          <w:rPr>
            <w:rStyle w:val="Hyperlink"/>
            <w:rFonts w:eastAsiaTheme="majorEastAsia"/>
          </w:rPr>
          <w:t>https://foodregulation.gov.au/internet/fr/publishing.nsf/Content/publication-Policy-Guideline-for-the-Fortification-of-Foods-with-Vitamins-and-Minerals</w:t>
        </w:r>
      </w:hyperlink>
      <w:r>
        <w:t xml:space="preserve"> </w:t>
      </w:r>
    </w:p>
  </w:footnote>
  <w:footnote w:id="15">
    <w:p w14:paraId="7D13C004" w14:textId="77777777" w:rsidR="001323E6" w:rsidRPr="0083532C" w:rsidRDefault="001323E6" w:rsidP="007A4A48">
      <w:pPr>
        <w:pStyle w:val="FootnoteText"/>
        <w:rPr>
          <w:lang w:val="en-AU"/>
        </w:rPr>
      </w:pPr>
      <w:r>
        <w:rPr>
          <w:rStyle w:val="FootnoteReference"/>
        </w:rPr>
        <w:footnoteRef/>
      </w:r>
      <w:r>
        <w:t xml:space="preserve"> </w:t>
      </w:r>
      <w:r>
        <w:rPr>
          <w:lang w:val="en-AU"/>
        </w:rPr>
        <w:t xml:space="preserve">See </w:t>
      </w:r>
      <w:hyperlink r:id="rId6" w:history="1">
        <w:r w:rsidRPr="0083532C">
          <w:rPr>
            <w:rStyle w:val="Hyperlink"/>
            <w:lang w:val="en-AU"/>
          </w:rPr>
          <w:t>Communique</w:t>
        </w:r>
      </w:hyperlink>
    </w:p>
  </w:footnote>
  <w:footnote w:id="16">
    <w:p w14:paraId="6CB0B817" w14:textId="77777777" w:rsidR="001323E6" w:rsidRPr="00133D6A" w:rsidRDefault="001323E6" w:rsidP="00AD11FE">
      <w:pPr>
        <w:pStyle w:val="FootnoteText"/>
        <w:rPr>
          <w:lang w:val="en-AU"/>
        </w:rPr>
      </w:pPr>
      <w:r>
        <w:rPr>
          <w:rStyle w:val="FootnoteReference"/>
        </w:rPr>
        <w:footnoteRef/>
      </w:r>
      <w:r>
        <w:t xml:space="preserve"> %‘weight for weight’ or %‘w/w’ means </w:t>
      </w:r>
      <w:r>
        <w:rPr>
          <w:rFonts w:eastAsia="Calibri"/>
          <w:szCs w:val="22"/>
          <w:lang w:bidi="ar-SA"/>
        </w:rPr>
        <w:t>g/100 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376D5E2E" w:rsidR="001323E6" w:rsidRDefault="001323E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A0C"/>
    <w:multiLevelType w:val="hybridMultilevel"/>
    <w:tmpl w:val="984E5838"/>
    <w:lvl w:ilvl="0" w:tplc="0809000F">
      <w:start w:val="1"/>
      <w:numFmt w:val="decimal"/>
      <w:lvlText w:val="%1."/>
      <w:lvlJc w:val="left"/>
      <w:pPr>
        <w:ind w:left="720" w:hanging="360"/>
      </w:pPr>
    </w:lvl>
    <w:lvl w:ilvl="1" w:tplc="C8121166">
      <w:numFmt w:val="bullet"/>
      <w:lvlText w:val="•"/>
      <w:lvlJc w:val="left"/>
      <w:pPr>
        <w:ind w:left="1441" w:hanging="361"/>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85E0C"/>
    <w:multiLevelType w:val="hybridMultilevel"/>
    <w:tmpl w:val="821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F25D6"/>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490449B"/>
    <w:multiLevelType w:val="hybridMultilevel"/>
    <w:tmpl w:val="BA4A5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77636"/>
    <w:multiLevelType w:val="hybridMultilevel"/>
    <w:tmpl w:val="6EEE1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6E1332"/>
    <w:multiLevelType w:val="hybridMultilevel"/>
    <w:tmpl w:val="28C0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81668"/>
    <w:multiLevelType w:val="hybridMultilevel"/>
    <w:tmpl w:val="A98E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1180F"/>
    <w:multiLevelType w:val="hybridMultilevel"/>
    <w:tmpl w:val="9240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2CE2807"/>
    <w:multiLevelType w:val="hybridMultilevel"/>
    <w:tmpl w:val="984E5838"/>
    <w:lvl w:ilvl="0" w:tplc="0809000F">
      <w:start w:val="1"/>
      <w:numFmt w:val="decimal"/>
      <w:lvlText w:val="%1."/>
      <w:lvlJc w:val="left"/>
      <w:pPr>
        <w:ind w:left="720" w:hanging="360"/>
      </w:pPr>
    </w:lvl>
    <w:lvl w:ilvl="1" w:tplc="C8121166">
      <w:numFmt w:val="bullet"/>
      <w:lvlText w:val="•"/>
      <w:lvlJc w:val="left"/>
      <w:pPr>
        <w:ind w:left="1441" w:hanging="361"/>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5707C1"/>
    <w:multiLevelType w:val="hybridMultilevel"/>
    <w:tmpl w:val="2D3E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E3B88"/>
    <w:multiLevelType w:val="hybridMultilevel"/>
    <w:tmpl w:val="4038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1B3"/>
    <w:multiLevelType w:val="hybridMultilevel"/>
    <w:tmpl w:val="C178C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900434"/>
    <w:multiLevelType w:val="hybridMultilevel"/>
    <w:tmpl w:val="25104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A590E3B"/>
    <w:multiLevelType w:val="hybridMultilevel"/>
    <w:tmpl w:val="B8B0AAFE"/>
    <w:lvl w:ilvl="0" w:tplc="3C10B5F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1EE449DB"/>
    <w:multiLevelType w:val="hybridMultilevel"/>
    <w:tmpl w:val="FE76A75E"/>
    <w:lvl w:ilvl="0" w:tplc="C95C5FD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3F609A"/>
    <w:multiLevelType w:val="hybridMultilevel"/>
    <w:tmpl w:val="631A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5275A6"/>
    <w:multiLevelType w:val="hybridMultilevel"/>
    <w:tmpl w:val="82E8A60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8" w15:restartNumberingAfterBreak="0">
    <w:nsid w:val="23105097"/>
    <w:multiLevelType w:val="hybridMultilevel"/>
    <w:tmpl w:val="DDC6AD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2933491E"/>
    <w:multiLevelType w:val="hybridMultilevel"/>
    <w:tmpl w:val="7054D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724526"/>
    <w:multiLevelType w:val="hybridMultilevel"/>
    <w:tmpl w:val="107C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01F4EC6"/>
    <w:multiLevelType w:val="hybridMultilevel"/>
    <w:tmpl w:val="083638A0"/>
    <w:lvl w:ilvl="0" w:tplc="F2FEACB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48A5FCB"/>
    <w:multiLevelType w:val="hybridMultilevel"/>
    <w:tmpl w:val="D1DE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1C6D1D"/>
    <w:multiLevelType w:val="hybridMultilevel"/>
    <w:tmpl w:val="7C5C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7070BC"/>
    <w:multiLevelType w:val="hybridMultilevel"/>
    <w:tmpl w:val="77348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FC49A5"/>
    <w:multiLevelType w:val="hybridMultilevel"/>
    <w:tmpl w:val="E81E8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DEB217D"/>
    <w:multiLevelType w:val="hybridMultilevel"/>
    <w:tmpl w:val="C7A4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447F29"/>
    <w:multiLevelType w:val="hybridMultilevel"/>
    <w:tmpl w:val="1A4E7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2B133CA"/>
    <w:multiLevelType w:val="hybridMultilevel"/>
    <w:tmpl w:val="2660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2580C"/>
    <w:multiLevelType w:val="hybridMultilevel"/>
    <w:tmpl w:val="13B2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863DA4"/>
    <w:multiLevelType w:val="hybridMultilevel"/>
    <w:tmpl w:val="1D04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67679C"/>
    <w:multiLevelType w:val="hybridMultilevel"/>
    <w:tmpl w:val="56763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C41187F"/>
    <w:multiLevelType w:val="multilevel"/>
    <w:tmpl w:val="DC8EE26C"/>
    <w:lvl w:ilvl="0">
      <w:start w:val="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D05725"/>
    <w:multiLevelType w:val="multilevel"/>
    <w:tmpl w:val="340ACB62"/>
    <w:lvl w:ilvl="0">
      <w:start w:val="1"/>
      <w:numFmt w:val="decimal"/>
      <w:lvlText w:val="%1."/>
      <w:lvlJc w:val="left"/>
      <w:pPr>
        <w:ind w:left="720" w:hanging="360"/>
      </w:pPr>
    </w:lvl>
    <w:lvl w:ilvl="1">
      <w:start w:val="3"/>
      <w:numFmt w:val="decimal"/>
      <w:isLgl/>
      <w:lvlText w:val="%1.%2"/>
      <w:lvlJc w:val="left"/>
      <w:pPr>
        <w:ind w:left="1210" w:hanging="850"/>
      </w:pPr>
      <w:rPr>
        <w:rFonts w:hint="default"/>
      </w:rPr>
    </w:lvl>
    <w:lvl w:ilvl="2">
      <w:start w:val="1"/>
      <w:numFmt w:val="decimal"/>
      <w:isLgl/>
      <w:lvlText w:val="%1.%2.%3"/>
      <w:lvlJc w:val="left"/>
      <w:pPr>
        <w:ind w:left="1210" w:hanging="850"/>
      </w:pPr>
      <w:rPr>
        <w:rFonts w:hint="default"/>
      </w:rPr>
    </w:lvl>
    <w:lvl w:ilvl="3">
      <w:start w:val="1"/>
      <w:numFmt w:val="decimal"/>
      <w:isLgl/>
      <w:lvlText w:val="%1.%2.%3.%4"/>
      <w:lvlJc w:val="left"/>
      <w:pPr>
        <w:ind w:left="1210"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FC63032"/>
    <w:multiLevelType w:val="hybridMultilevel"/>
    <w:tmpl w:val="681C5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0FD3728"/>
    <w:multiLevelType w:val="hybridMultilevel"/>
    <w:tmpl w:val="5C80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E73B22"/>
    <w:multiLevelType w:val="hybridMultilevel"/>
    <w:tmpl w:val="749E48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56036A56"/>
    <w:multiLevelType w:val="multilevel"/>
    <w:tmpl w:val="823E1AB2"/>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92C2682"/>
    <w:multiLevelType w:val="hybridMultilevel"/>
    <w:tmpl w:val="69B0E834"/>
    <w:lvl w:ilvl="0" w:tplc="63C60B0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13328D3"/>
    <w:multiLevelType w:val="hybridMultilevel"/>
    <w:tmpl w:val="D12E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72372CC"/>
    <w:multiLevelType w:val="hybridMultilevel"/>
    <w:tmpl w:val="8EC0BD2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43" w15:restartNumberingAfterBreak="0">
    <w:nsid w:val="6AD53A01"/>
    <w:multiLevelType w:val="hybridMultilevel"/>
    <w:tmpl w:val="065AE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F12507E"/>
    <w:multiLevelType w:val="hybridMultilevel"/>
    <w:tmpl w:val="C93E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670ACD"/>
    <w:multiLevelType w:val="hybridMultilevel"/>
    <w:tmpl w:val="E198004E"/>
    <w:lvl w:ilvl="0" w:tplc="E3722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C44B4D"/>
    <w:multiLevelType w:val="hybridMultilevel"/>
    <w:tmpl w:val="B8B0AAFE"/>
    <w:lvl w:ilvl="0" w:tplc="3C10B5F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7" w15:restartNumberingAfterBreak="0">
    <w:nsid w:val="75557D07"/>
    <w:multiLevelType w:val="hybridMultilevel"/>
    <w:tmpl w:val="C93E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55201B"/>
    <w:multiLevelType w:val="hybridMultilevel"/>
    <w:tmpl w:val="BDBA02CA"/>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49" w15:restartNumberingAfterBreak="0">
    <w:nsid w:val="79D940D2"/>
    <w:multiLevelType w:val="hybridMultilevel"/>
    <w:tmpl w:val="AAAE5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4958AA"/>
    <w:multiLevelType w:val="hybridMultilevel"/>
    <w:tmpl w:val="659C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80228A"/>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num>
  <w:num w:numId="2">
    <w:abstractNumId w:val="8"/>
  </w:num>
  <w:num w:numId="3">
    <w:abstractNumId w:val="22"/>
  </w:num>
  <w:num w:numId="4">
    <w:abstractNumId w:val="11"/>
  </w:num>
  <w:num w:numId="5">
    <w:abstractNumId w:val="15"/>
  </w:num>
  <w:num w:numId="6">
    <w:abstractNumId w:val="26"/>
  </w:num>
  <w:num w:numId="7">
    <w:abstractNumId w:val="31"/>
  </w:num>
  <w:num w:numId="8">
    <w:abstractNumId w:val="6"/>
  </w:num>
  <w:num w:numId="9">
    <w:abstractNumId w:val="16"/>
  </w:num>
  <w:num w:numId="10">
    <w:abstractNumId w:val="32"/>
  </w:num>
  <w:num w:numId="11">
    <w:abstractNumId w:val="7"/>
  </w:num>
  <w:num w:numId="12">
    <w:abstractNumId w:val="37"/>
  </w:num>
  <w:num w:numId="13">
    <w:abstractNumId w:val="43"/>
  </w:num>
  <w:num w:numId="14">
    <w:abstractNumId w:val="48"/>
  </w:num>
  <w:num w:numId="15">
    <w:abstractNumId w:val="45"/>
  </w:num>
  <w:num w:numId="16">
    <w:abstractNumId w:val="46"/>
  </w:num>
  <w:num w:numId="17">
    <w:abstractNumId w:val="50"/>
  </w:num>
  <w:num w:numId="18">
    <w:abstractNumId w:val="28"/>
  </w:num>
  <w:num w:numId="19">
    <w:abstractNumId w:val="21"/>
  </w:num>
  <w:num w:numId="20">
    <w:abstractNumId w:val="10"/>
  </w:num>
  <w:num w:numId="21">
    <w:abstractNumId w:val="14"/>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7"/>
  </w:num>
  <w:num w:numId="28">
    <w:abstractNumId w:val="4"/>
  </w:num>
  <w:num w:numId="29">
    <w:abstractNumId w:val="33"/>
  </w:num>
  <w:num w:numId="30">
    <w:abstractNumId w:val="29"/>
  </w:num>
  <w:num w:numId="31">
    <w:abstractNumId w:val="13"/>
  </w:num>
  <w:num w:numId="32">
    <w:abstractNumId w:val="12"/>
  </w:num>
  <w:num w:numId="33">
    <w:abstractNumId w:val="47"/>
  </w:num>
  <w:num w:numId="34">
    <w:abstractNumId w:val="44"/>
  </w:num>
  <w:num w:numId="35">
    <w:abstractNumId w:val="18"/>
  </w:num>
  <w:num w:numId="36">
    <w:abstractNumId w:val="38"/>
  </w:num>
  <w:num w:numId="37">
    <w:abstractNumId w:val="41"/>
  </w:num>
  <w:num w:numId="38">
    <w:abstractNumId w:val="0"/>
  </w:num>
  <w:num w:numId="39">
    <w:abstractNumId w:val="35"/>
  </w:num>
  <w:num w:numId="40">
    <w:abstractNumId w:val="42"/>
  </w:num>
  <w:num w:numId="41">
    <w:abstractNumId w:val="19"/>
  </w:num>
  <w:num w:numId="42">
    <w:abstractNumId w:val="17"/>
  </w:num>
  <w:num w:numId="43">
    <w:abstractNumId w:val="36"/>
  </w:num>
  <w:num w:numId="44">
    <w:abstractNumId w:val="3"/>
  </w:num>
  <w:num w:numId="45">
    <w:abstractNumId w:val="34"/>
  </w:num>
  <w:num w:numId="46">
    <w:abstractNumId w:val="39"/>
  </w:num>
  <w:num w:numId="47">
    <w:abstractNumId w:val="9"/>
  </w:num>
  <w:num w:numId="48">
    <w:abstractNumId w:val="24"/>
  </w:num>
  <w:num w:numId="49">
    <w:abstractNumId w:val="25"/>
  </w:num>
  <w:num w:numId="50">
    <w:abstractNumId w:val="5"/>
  </w:num>
  <w:num w:numId="51">
    <w:abstractNumId w:val="30"/>
  </w:num>
  <w:num w:numId="52">
    <w:abstractNumId w:val="4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0905"/>
    <w:rsid w:val="0000247B"/>
    <w:rsid w:val="0000469B"/>
    <w:rsid w:val="00005736"/>
    <w:rsid w:val="00006DC9"/>
    <w:rsid w:val="00010664"/>
    <w:rsid w:val="00010E79"/>
    <w:rsid w:val="00011187"/>
    <w:rsid w:val="00013F68"/>
    <w:rsid w:val="00013FCC"/>
    <w:rsid w:val="0001490F"/>
    <w:rsid w:val="00014E34"/>
    <w:rsid w:val="00015703"/>
    <w:rsid w:val="000246D6"/>
    <w:rsid w:val="000332AE"/>
    <w:rsid w:val="00033E9F"/>
    <w:rsid w:val="00035F6C"/>
    <w:rsid w:val="00035FF3"/>
    <w:rsid w:val="000364C1"/>
    <w:rsid w:val="00036A63"/>
    <w:rsid w:val="000418F0"/>
    <w:rsid w:val="00044D68"/>
    <w:rsid w:val="00047FB0"/>
    <w:rsid w:val="00051021"/>
    <w:rsid w:val="000520D6"/>
    <w:rsid w:val="000524F0"/>
    <w:rsid w:val="00052D54"/>
    <w:rsid w:val="0005536C"/>
    <w:rsid w:val="000576EB"/>
    <w:rsid w:val="00062BE2"/>
    <w:rsid w:val="00064B2D"/>
    <w:rsid w:val="00065F1F"/>
    <w:rsid w:val="00076D33"/>
    <w:rsid w:val="00076D3B"/>
    <w:rsid w:val="00077859"/>
    <w:rsid w:val="00077AEA"/>
    <w:rsid w:val="00081770"/>
    <w:rsid w:val="00081B0A"/>
    <w:rsid w:val="00084C24"/>
    <w:rsid w:val="000860F7"/>
    <w:rsid w:val="000923B5"/>
    <w:rsid w:val="00094168"/>
    <w:rsid w:val="000A06EE"/>
    <w:rsid w:val="000A0E8D"/>
    <w:rsid w:val="000A3D8B"/>
    <w:rsid w:val="000A48B9"/>
    <w:rsid w:val="000A6A4E"/>
    <w:rsid w:val="000B1561"/>
    <w:rsid w:val="000B427A"/>
    <w:rsid w:val="000B4CBE"/>
    <w:rsid w:val="000B6AF2"/>
    <w:rsid w:val="000C059E"/>
    <w:rsid w:val="000C2893"/>
    <w:rsid w:val="000C4261"/>
    <w:rsid w:val="000C483E"/>
    <w:rsid w:val="000C58F5"/>
    <w:rsid w:val="000C7486"/>
    <w:rsid w:val="000D02A2"/>
    <w:rsid w:val="000D6FD4"/>
    <w:rsid w:val="000D79FF"/>
    <w:rsid w:val="000D7B1C"/>
    <w:rsid w:val="000E0A21"/>
    <w:rsid w:val="000E0AE4"/>
    <w:rsid w:val="000E0F8A"/>
    <w:rsid w:val="000E1EA4"/>
    <w:rsid w:val="000E3DBC"/>
    <w:rsid w:val="000E49F2"/>
    <w:rsid w:val="000E662F"/>
    <w:rsid w:val="000E78FE"/>
    <w:rsid w:val="000F0156"/>
    <w:rsid w:val="000F3CFE"/>
    <w:rsid w:val="000F6568"/>
    <w:rsid w:val="000F661B"/>
    <w:rsid w:val="00101D55"/>
    <w:rsid w:val="00102819"/>
    <w:rsid w:val="00104544"/>
    <w:rsid w:val="00105EC2"/>
    <w:rsid w:val="00106EA7"/>
    <w:rsid w:val="001076E6"/>
    <w:rsid w:val="0010778D"/>
    <w:rsid w:val="001122EC"/>
    <w:rsid w:val="00116950"/>
    <w:rsid w:val="0012388D"/>
    <w:rsid w:val="00123B4B"/>
    <w:rsid w:val="00127E01"/>
    <w:rsid w:val="00130E42"/>
    <w:rsid w:val="0013147D"/>
    <w:rsid w:val="00131DA0"/>
    <w:rsid w:val="001323E6"/>
    <w:rsid w:val="00136B57"/>
    <w:rsid w:val="001400B7"/>
    <w:rsid w:val="00140E67"/>
    <w:rsid w:val="0014196F"/>
    <w:rsid w:val="00150B54"/>
    <w:rsid w:val="0015187A"/>
    <w:rsid w:val="00152501"/>
    <w:rsid w:val="00157133"/>
    <w:rsid w:val="0016594E"/>
    <w:rsid w:val="00182C4C"/>
    <w:rsid w:val="00183200"/>
    <w:rsid w:val="00184B78"/>
    <w:rsid w:val="0018543C"/>
    <w:rsid w:val="00186DAE"/>
    <w:rsid w:val="001878C5"/>
    <w:rsid w:val="0019399D"/>
    <w:rsid w:val="00193C0B"/>
    <w:rsid w:val="00197D8D"/>
    <w:rsid w:val="001A1A75"/>
    <w:rsid w:val="001A2615"/>
    <w:rsid w:val="001A310A"/>
    <w:rsid w:val="001A6106"/>
    <w:rsid w:val="001A7E9A"/>
    <w:rsid w:val="001B13D4"/>
    <w:rsid w:val="001B6058"/>
    <w:rsid w:val="001C27A3"/>
    <w:rsid w:val="001C5283"/>
    <w:rsid w:val="001D2B53"/>
    <w:rsid w:val="001D40B7"/>
    <w:rsid w:val="001D43F6"/>
    <w:rsid w:val="001D509F"/>
    <w:rsid w:val="001D677B"/>
    <w:rsid w:val="001D7CAE"/>
    <w:rsid w:val="001E08F1"/>
    <w:rsid w:val="001E09FA"/>
    <w:rsid w:val="001E26E9"/>
    <w:rsid w:val="001E726D"/>
    <w:rsid w:val="001E7C1C"/>
    <w:rsid w:val="001F085E"/>
    <w:rsid w:val="001F08BF"/>
    <w:rsid w:val="001F63CA"/>
    <w:rsid w:val="001F7F63"/>
    <w:rsid w:val="00200351"/>
    <w:rsid w:val="00202A6F"/>
    <w:rsid w:val="00204BC1"/>
    <w:rsid w:val="0020635C"/>
    <w:rsid w:val="00206F0C"/>
    <w:rsid w:val="00212D46"/>
    <w:rsid w:val="00213EDA"/>
    <w:rsid w:val="00214B56"/>
    <w:rsid w:val="0021675E"/>
    <w:rsid w:val="002218C0"/>
    <w:rsid w:val="0022197C"/>
    <w:rsid w:val="00221D07"/>
    <w:rsid w:val="00222824"/>
    <w:rsid w:val="0022363D"/>
    <w:rsid w:val="00224E3B"/>
    <w:rsid w:val="00225AB5"/>
    <w:rsid w:val="00227E4A"/>
    <w:rsid w:val="002407EB"/>
    <w:rsid w:val="0024107D"/>
    <w:rsid w:val="00241A18"/>
    <w:rsid w:val="002421C1"/>
    <w:rsid w:val="0024783B"/>
    <w:rsid w:val="00250197"/>
    <w:rsid w:val="00250795"/>
    <w:rsid w:val="0025089F"/>
    <w:rsid w:val="00252EEA"/>
    <w:rsid w:val="002560BA"/>
    <w:rsid w:val="00256EB9"/>
    <w:rsid w:val="002625C6"/>
    <w:rsid w:val="002636F0"/>
    <w:rsid w:val="0026387E"/>
    <w:rsid w:val="00264E3C"/>
    <w:rsid w:val="00267892"/>
    <w:rsid w:val="002758A0"/>
    <w:rsid w:val="00276A0C"/>
    <w:rsid w:val="00276A68"/>
    <w:rsid w:val="00277E11"/>
    <w:rsid w:val="002813C0"/>
    <w:rsid w:val="0029204E"/>
    <w:rsid w:val="00292B9B"/>
    <w:rsid w:val="00293EC7"/>
    <w:rsid w:val="002953CD"/>
    <w:rsid w:val="00295DDA"/>
    <w:rsid w:val="002A0194"/>
    <w:rsid w:val="002A3C07"/>
    <w:rsid w:val="002A55F7"/>
    <w:rsid w:val="002A5F8B"/>
    <w:rsid w:val="002A62C9"/>
    <w:rsid w:val="002A7F6C"/>
    <w:rsid w:val="002B0071"/>
    <w:rsid w:val="002B22B7"/>
    <w:rsid w:val="002B35F2"/>
    <w:rsid w:val="002B370C"/>
    <w:rsid w:val="002B4125"/>
    <w:rsid w:val="002B5541"/>
    <w:rsid w:val="002B73F6"/>
    <w:rsid w:val="002C0142"/>
    <w:rsid w:val="002C1A3B"/>
    <w:rsid w:val="002C519D"/>
    <w:rsid w:val="002C71DB"/>
    <w:rsid w:val="002D244C"/>
    <w:rsid w:val="002D39C5"/>
    <w:rsid w:val="002E16D5"/>
    <w:rsid w:val="002E1820"/>
    <w:rsid w:val="002E2012"/>
    <w:rsid w:val="002F1318"/>
    <w:rsid w:val="002F35EA"/>
    <w:rsid w:val="002F39E9"/>
    <w:rsid w:val="002F4B18"/>
    <w:rsid w:val="002F6488"/>
    <w:rsid w:val="00305C54"/>
    <w:rsid w:val="003078E7"/>
    <w:rsid w:val="0031016C"/>
    <w:rsid w:val="0031027E"/>
    <w:rsid w:val="003107AD"/>
    <w:rsid w:val="0031426B"/>
    <w:rsid w:val="00315B8E"/>
    <w:rsid w:val="00321271"/>
    <w:rsid w:val="003213F9"/>
    <w:rsid w:val="00323AB6"/>
    <w:rsid w:val="00323DBF"/>
    <w:rsid w:val="00324793"/>
    <w:rsid w:val="00325C08"/>
    <w:rsid w:val="00327867"/>
    <w:rsid w:val="00327B95"/>
    <w:rsid w:val="00331C22"/>
    <w:rsid w:val="00332B12"/>
    <w:rsid w:val="00334677"/>
    <w:rsid w:val="00334691"/>
    <w:rsid w:val="00337CBC"/>
    <w:rsid w:val="003428FC"/>
    <w:rsid w:val="00346622"/>
    <w:rsid w:val="00346CDA"/>
    <w:rsid w:val="003507DB"/>
    <w:rsid w:val="00350C2D"/>
    <w:rsid w:val="00351B07"/>
    <w:rsid w:val="00351E40"/>
    <w:rsid w:val="003547E2"/>
    <w:rsid w:val="00355833"/>
    <w:rsid w:val="00355D38"/>
    <w:rsid w:val="00357E4A"/>
    <w:rsid w:val="0036129A"/>
    <w:rsid w:val="00361DDC"/>
    <w:rsid w:val="0036533D"/>
    <w:rsid w:val="00366432"/>
    <w:rsid w:val="00366FD8"/>
    <w:rsid w:val="00371B29"/>
    <w:rsid w:val="0037252D"/>
    <w:rsid w:val="003766F8"/>
    <w:rsid w:val="00380106"/>
    <w:rsid w:val="003814F0"/>
    <w:rsid w:val="003814F9"/>
    <w:rsid w:val="00381E07"/>
    <w:rsid w:val="00385788"/>
    <w:rsid w:val="0038695A"/>
    <w:rsid w:val="003877EF"/>
    <w:rsid w:val="00390621"/>
    <w:rsid w:val="00391769"/>
    <w:rsid w:val="00391B48"/>
    <w:rsid w:val="003931AB"/>
    <w:rsid w:val="003953E1"/>
    <w:rsid w:val="003956B3"/>
    <w:rsid w:val="00396254"/>
    <w:rsid w:val="003A0A4D"/>
    <w:rsid w:val="003A3D30"/>
    <w:rsid w:val="003A68BE"/>
    <w:rsid w:val="003A6F7F"/>
    <w:rsid w:val="003A7B84"/>
    <w:rsid w:val="003B417C"/>
    <w:rsid w:val="003B71CB"/>
    <w:rsid w:val="003C02EA"/>
    <w:rsid w:val="003C4969"/>
    <w:rsid w:val="003C714F"/>
    <w:rsid w:val="003D2CDC"/>
    <w:rsid w:val="003D33F1"/>
    <w:rsid w:val="003D5539"/>
    <w:rsid w:val="003E1450"/>
    <w:rsid w:val="003E1C34"/>
    <w:rsid w:val="003E41D5"/>
    <w:rsid w:val="003E46BA"/>
    <w:rsid w:val="003F0E0D"/>
    <w:rsid w:val="003F6CD4"/>
    <w:rsid w:val="003F74C1"/>
    <w:rsid w:val="003F7C9B"/>
    <w:rsid w:val="00401ADE"/>
    <w:rsid w:val="00403E3D"/>
    <w:rsid w:val="004047EF"/>
    <w:rsid w:val="00405B1A"/>
    <w:rsid w:val="00410842"/>
    <w:rsid w:val="00410C76"/>
    <w:rsid w:val="00411907"/>
    <w:rsid w:val="00411A1E"/>
    <w:rsid w:val="00411DE4"/>
    <w:rsid w:val="00412E4D"/>
    <w:rsid w:val="00412F62"/>
    <w:rsid w:val="00414512"/>
    <w:rsid w:val="00417EE3"/>
    <w:rsid w:val="004207EB"/>
    <w:rsid w:val="004207FC"/>
    <w:rsid w:val="004209A1"/>
    <w:rsid w:val="00421730"/>
    <w:rsid w:val="00422EC9"/>
    <w:rsid w:val="00423AC7"/>
    <w:rsid w:val="00432A42"/>
    <w:rsid w:val="00433FEC"/>
    <w:rsid w:val="00434249"/>
    <w:rsid w:val="0043499A"/>
    <w:rsid w:val="004359F4"/>
    <w:rsid w:val="00435DA0"/>
    <w:rsid w:val="00437276"/>
    <w:rsid w:val="004379E2"/>
    <w:rsid w:val="00440090"/>
    <w:rsid w:val="00441B13"/>
    <w:rsid w:val="0044484C"/>
    <w:rsid w:val="00450AC4"/>
    <w:rsid w:val="0045210B"/>
    <w:rsid w:val="00453646"/>
    <w:rsid w:val="00456B54"/>
    <w:rsid w:val="00456BD5"/>
    <w:rsid w:val="00464643"/>
    <w:rsid w:val="00465D7F"/>
    <w:rsid w:val="00471EB6"/>
    <w:rsid w:val="004722A9"/>
    <w:rsid w:val="00477AE7"/>
    <w:rsid w:val="00480880"/>
    <w:rsid w:val="00482773"/>
    <w:rsid w:val="00486793"/>
    <w:rsid w:val="00486B17"/>
    <w:rsid w:val="00486C66"/>
    <w:rsid w:val="004916AD"/>
    <w:rsid w:val="00494A3F"/>
    <w:rsid w:val="004A038F"/>
    <w:rsid w:val="004A2037"/>
    <w:rsid w:val="004A24F7"/>
    <w:rsid w:val="004A3B44"/>
    <w:rsid w:val="004A6614"/>
    <w:rsid w:val="004A793C"/>
    <w:rsid w:val="004B047B"/>
    <w:rsid w:val="004B1B7E"/>
    <w:rsid w:val="004B3EA0"/>
    <w:rsid w:val="004B4CDC"/>
    <w:rsid w:val="004B4FE0"/>
    <w:rsid w:val="004B60EA"/>
    <w:rsid w:val="004B644E"/>
    <w:rsid w:val="004B6B3C"/>
    <w:rsid w:val="004C285B"/>
    <w:rsid w:val="004C5D3A"/>
    <w:rsid w:val="004C63F2"/>
    <w:rsid w:val="004C7DBF"/>
    <w:rsid w:val="004D121E"/>
    <w:rsid w:val="004D170D"/>
    <w:rsid w:val="004D1B1C"/>
    <w:rsid w:val="004D34A9"/>
    <w:rsid w:val="004D3BFE"/>
    <w:rsid w:val="004D692D"/>
    <w:rsid w:val="004E60CF"/>
    <w:rsid w:val="004E62C4"/>
    <w:rsid w:val="004E755B"/>
    <w:rsid w:val="004F4408"/>
    <w:rsid w:val="004F4F98"/>
    <w:rsid w:val="004F69F6"/>
    <w:rsid w:val="004F79AC"/>
    <w:rsid w:val="00501325"/>
    <w:rsid w:val="00501FB4"/>
    <w:rsid w:val="00505AEA"/>
    <w:rsid w:val="00506E9B"/>
    <w:rsid w:val="005207D8"/>
    <w:rsid w:val="00521E1A"/>
    <w:rsid w:val="005231B3"/>
    <w:rsid w:val="00523930"/>
    <w:rsid w:val="005244F1"/>
    <w:rsid w:val="005246B5"/>
    <w:rsid w:val="0052724E"/>
    <w:rsid w:val="00533322"/>
    <w:rsid w:val="00534460"/>
    <w:rsid w:val="005363BB"/>
    <w:rsid w:val="00537CDC"/>
    <w:rsid w:val="0054043C"/>
    <w:rsid w:val="00540F28"/>
    <w:rsid w:val="00554E82"/>
    <w:rsid w:val="00555731"/>
    <w:rsid w:val="005576CB"/>
    <w:rsid w:val="00560185"/>
    <w:rsid w:val="0056181E"/>
    <w:rsid w:val="00561B58"/>
    <w:rsid w:val="00562917"/>
    <w:rsid w:val="005644DD"/>
    <w:rsid w:val="00567088"/>
    <w:rsid w:val="00571B8C"/>
    <w:rsid w:val="00573FC8"/>
    <w:rsid w:val="005740F9"/>
    <w:rsid w:val="00575471"/>
    <w:rsid w:val="00576069"/>
    <w:rsid w:val="00577080"/>
    <w:rsid w:val="00580DDF"/>
    <w:rsid w:val="005811B7"/>
    <w:rsid w:val="00586228"/>
    <w:rsid w:val="005946D3"/>
    <w:rsid w:val="00594B6A"/>
    <w:rsid w:val="00597631"/>
    <w:rsid w:val="005A572E"/>
    <w:rsid w:val="005A637B"/>
    <w:rsid w:val="005B084E"/>
    <w:rsid w:val="005B256F"/>
    <w:rsid w:val="005B56F5"/>
    <w:rsid w:val="005B6AF4"/>
    <w:rsid w:val="005B71AF"/>
    <w:rsid w:val="005C0410"/>
    <w:rsid w:val="005C04CB"/>
    <w:rsid w:val="005C1251"/>
    <w:rsid w:val="005C286E"/>
    <w:rsid w:val="005C2E0C"/>
    <w:rsid w:val="005C3C5C"/>
    <w:rsid w:val="005C540D"/>
    <w:rsid w:val="005D098B"/>
    <w:rsid w:val="005D0C49"/>
    <w:rsid w:val="005D1264"/>
    <w:rsid w:val="005D16AD"/>
    <w:rsid w:val="005D2016"/>
    <w:rsid w:val="005D6219"/>
    <w:rsid w:val="005D72E1"/>
    <w:rsid w:val="005E06C0"/>
    <w:rsid w:val="005E17A7"/>
    <w:rsid w:val="005E58D3"/>
    <w:rsid w:val="005E6E16"/>
    <w:rsid w:val="005F400E"/>
    <w:rsid w:val="005F7342"/>
    <w:rsid w:val="00607A47"/>
    <w:rsid w:val="00610A3C"/>
    <w:rsid w:val="00611C3D"/>
    <w:rsid w:val="00611EF6"/>
    <w:rsid w:val="00612CC3"/>
    <w:rsid w:val="00613871"/>
    <w:rsid w:val="006138D7"/>
    <w:rsid w:val="00613D7F"/>
    <w:rsid w:val="00615E83"/>
    <w:rsid w:val="00616017"/>
    <w:rsid w:val="00627F48"/>
    <w:rsid w:val="00632DD1"/>
    <w:rsid w:val="0063455F"/>
    <w:rsid w:val="00635814"/>
    <w:rsid w:val="006413C0"/>
    <w:rsid w:val="0064307A"/>
    <w:rsid w:val="00645677"/>
    <w:rsid w:val="00646417"/>
    <w:rsid w:val="00647D99"/>
    <w:rsid w:val="0065040E"/>
    <w:rsid w:val="006513FF"/>
    <w:rsid w:val="00653441"/>
    <w:rsid w:val="00654B28"/>
    <w:rsid w:val="00655185"/>
    <w:rsid w:val="006559B9"/>
    <w:rsid w:val="00663FCF"/>
    <w:rsid w:val="006652A2"/>
    <w:rsid w:val="0067684C"/>
    <w:rsid w:val="00683071"/>
    <w:rsid w:val="00684282"/>
    <w:rsid w:val="00686995"/>
    <w:rsid w:val="006872D6"/>
    <w:rsid w:val="00687C4E"/>
    <w:rsid w:val="0069078B"/>
    <w:rsid w:val="00691ABA"/>
    <w:rsid w:val="00692490"/>
    <w:rsid w:val="00694241"/>
    <w:rsid w:val="00694C28"/>
    <w:rsid w:val="006969CC"/>
    <w:rsid w:val="00696A15"/>
    <w:rsid w:val="006A16EC"/>
    <w:rsid w:val="006A1D2E"/>
    <w:rsid w:val="006A48A7"/>
    <w:rsid w:val="006A5D40"/>
    <w:rsid w:val="006B0A93"/>
    <w:rsid w:val="006B0AB7"/>
    <w:rsid w:val="006B331C"/>
    <w:rsid w:val="006C040F"/>
    <w:rsid w:val="006C116D"/>
    <w:rsid w:val="006C1313"/>
    <w:rsid w:val="006C1759"/>
    <w:rsid w:val="006C22A7"/>
    <w:rsid w:val="006C5CF5"/>
    <w:rsid w:val="006C699A"/>
    <w:rsid w:val="006C6C34"/>
    <w:rsid w:val="006D3043"/>
    <w:rsid w:val="006D33FF"/>
    <w:rsid w:val="006D34C1"/>
    <w:rsid w:val="006E05D9"/>
    <w:rsid w:val="006E10A1"/>
    <w:rsid w:val="006E3055"/>
    <w:rsid w:val="006E4D4A"/>
    <w:rsid w:val="006E51EF"/>
    <w:rsid w:val="006E716E"/>
    <w:rsid w:val="006E7A9D"/>
    <w:rsid w:val="006F1154"/>
    <w:rsid w:val="006F4693"/>
    <w:rsid w:val="006F4A82"/>
    <w:rsid w:val="006F5261"/>
    <w:rsid w:val="006F6359"/>
    <w:rsid w:val="0070239A"/>
    <w:rsid w:val="0070258B"/>
    <w:rsid w:val="00702A60"/>
    <w:rsid w:val="007072DB"/>
    <w:rsid w:val="00710C37"/>
    <w:rsid w:val="00714C81"/>
    <w:rsid w:val="0071617D"/>
    <w:rsid w:val="007228F0"/>
    <w:rsid w:val="00724EA6"/>
    <w:rsid w:val="00724FA4"/>
    <w:rsid w:val="00730800"/>
    <w:rsid w:val="00731935"/>
    <w:rsid w:val="00734E03"/>
    <w:rsid w:val="007369D6"/>
    <w:rsid w:val="00742668"/>
    <w:rsid w:val="00743586"/>
    <w:rsid w:val="00747727"/>
    <w:rsid w:val="007546C1"/>
    <w:rsid w:val="007554B1"/>
    <w:rsid w:val="00755F02"/>
    <w:rsid w:val="00755FDC"/>
    <w:rsid w:val="00757375"/>
    <w:rsid w:val="007602AA"/>
    <w:rsid w:val="007617C7"/>
    <w:rsid w:val="007627F1"/>
    <w:rsid w:val="007652EF"/>
    <w:rsid w:val="00765DE1"/>
    <w:rsid w:val="00770908"/>
    <w:rsid w:val="00772BDC"/>
    <w:rsid w:val="007740AB"/>
    <w:rsid w:val="00777437"/>
    <w:rsid w:val="007776B4"/>
    <w:rsid w:val="00780792"/>
    <w:rsid w:val="0078309E"/>
    <w:rsid w:val="007852FE"/>
    <w:rsid w:val="00790033"/>
    <w:rsid w:val="00793BD1"/>
    <w:rsid w:val="0079407D"/>
    <w:rsid w:val="0079463A"/>
    <w:rsid w:val="00795D86"/>
    <w:rsid w:val="00795E6C"/>
    <w:rsid w:val="007A1204"/>
    <w:rsid w:val="007A1B9A"/>
    <w:rsid w:val="007A2CBD"/>
    <w:rsid w:val="007A32BA"/>
    <w:rsid w:val="007A3B81"/>
    <w:rsid w:val="007A44B4"/>
    <w:rsid w:val="007A4A48"/>
    <w:rsid w:val="007A53BF"/>
    <w:rsid w:val="007A6B3E"/>
    <w:rsid w:val="007A7D3D"/>
    <w:rsid w:val="007B1CDC"/>
    <w:rsid w:val="007B225D"/>
    <w:rsid w:val="007B292E"/>
    <w:rsid w:val="007B37B3"/>
    <w:rsid w:val="007B4B5D"/>
    <w:rsid w:val="007B5565"/>
    <w:rsid w:val="007C1C64"/>
    <w:rsid w:val="007C22CB"/>
    <w:rsid w:val="007C22D1"/>
    <w:rsid w:val="007C3647"/>
    <w:rsid w:val="007C6905"/>
    <w:rsid w:val="007D0111"/>
    <w:rsid w:val="007D0189"/>
    <w:rsid w:val="007D0228"/>
    <w:rsid w:val="007D756C"/>
    <w:rsid w:val="007E034A"/>
    <w:rsid w:val="007E239D"/>
    <w:rsid w:val="007E3A13"/>
    <w:rsid w:val="007E48BC"/>
    <w:rsid w:val="007E4B53"/>
    <w:rsid w:val="007E4E0F"/>
    <w:rsid w:val="007E79F7"/>
    <w:rsid w:val="007F2BF1"/>
    <w:rsid w:val="007F3630"/>
    <w:rsid w:val="007F4624"/>
    <w:rsid w:val="007F7BF7"/>
    <w:rsid w:val="008016FB"/>
    <w:rsid w:val="00802ED1"/>
    <w:rsid w:val="00805741"/>
    <w:rsid w:val="008062C9"/>
    <w:rsid w:val="00807559"/>
    <w:rsid w:val="00812262"/>
    <w:rsid w:val="00813464"/>
    <w:rsid w:val="00813F20"/>
    <w:rsid w:val="0081547D"/>
    <w:rsid w:val="00815526"/>
    <w:rsid w:val="008162CC"/>
    <w:rsid w:val="008163E8"/>
    <w:rsid w:val="0081760E"/>
    <w:rsid w:val="008245D4"/>
    <w:rsid w:val="0082668D"/>
    <w:rsid w:val="00826802"/>
    <w:rsid w:val="00831154"/>
    <w:rsid w:val="00831825"/>
    <w:rsid w:val="008318CD"/>
    <w:rsid w:val="00843F4B"/>
    <w:rsid w:val="008450BC"/>
    <w:rsid w:val="00847066"/>
    <w:rsid w:val="00850B09"/>
    <w:rsid w:val="00852BC2"/>
    <w:rsid w:val="00852E6A"/>
    <w:rsid w:val="0085334B"/>
    <w:rsid w:val="008537BA"/>
    <w:rsid w:val="00855541"/>
    <w:rsid w:val="00856712"/>
    <w:rsid w:val="00860808"/>
    <w:rsid w:val="00861C13"/>
    <w:rsid w:val="00862349"/>
    <w:rsid w:val="0086571E"/>
    <w:rsid w:val="00865817"/>
    <w:rsid w:val="00870214"/>
    <w:rsid w:val="00871116"/>
    <w:rsid w:val="0087259B"/>
    <w:rsid w:val="00873059"/>
    <w:rsid w:val="00880164"/>
    <w:rsid w:val="00882CAD"/>
    <w:rsid w:val="00885C51"/>
    <w:rsid w:val="00891975"/>
    <w:rsid w:val="00891E83"/>
    <w:rsid w:val="00893B99"/>
    <w:rsid w:val="00893CDD"/>
    <w:rsid w:val="0089434E"/>
    <w:rsid w:val="00896B85"/>
    <w:rsid w:val="008A1702"/>
    <w:rsid w:val="008A243D"/>
    <w:rsid w:val="008A58B3"/>
    <w:rsid w:val="008B1C6D"/>
    <w:rsid w:val="008B35FA"/>
    <w:rsid w:val="008B4D6A"/>
    <w:rsid w:val="008B7E66"/>
    <w:rsid w:val="008C0534"/>
    <w:rsid w:val="008C06D0"/>
    <w:rsid w:val="008C2861"/>
    <w:rsid w:val="008C2B13"/>
    <w:rsid w:val="008C2E5E"/>
    <w:rsid w:val="008C4E76"/>
    <w:rsid w:val="008C5D5D"/>
    <w:rsid w:val="008D06C6"/>
    <w:rsid w:val="008D29BD"/>
    <w:rsid w:val="008D2B1A"/>
    <w:rsid w:val="008D5E9D"/>
    <w:rsid w:val="008D7F54"/>
    <w:rsid w:val="008E5008"/>
    <w:rsid w:val="008E6250"/>
    <w:rsid w:val="008F12AC"/>
    <w:rsid w:val="008F424B"/>
    <w:rsid w:val="008F52D7"/>
    <w:rsid w:val="00901051"/>
    <w:rsid w:val="00904EF2"/>
    <w:rsid w:val="009062EA"/>
    <w:rsid w:val="00907EE5"/>
    <w:rsid w:val="009104EB"/>
    <w:rsid w:val="009114FD"/>
    <w:rsid w:val="009163DC"/>
    <w:rsid w:val="009165BD"/>
    <w:rsid w:val="00917C6F"/>
    <w:rsid w:val="00920249"/>
    <w:rsid w:val="00920887"/>
    <w:rsid w:val="00922E4F"/>
    <w:rsid w:val="00924A3B"/>
    <w:rsid w:val="00927A93"/>
    <w:rsid w:val="00930EC1"/>
    <w:rsid w:val="00932F14"/>
    <w:rsid w:val="009367C8"/>
    <w:rsid w:val="0094247F"/>
    <w:rsid w:val="00942D60"/>
    <w:rsid w:val="0094358A"/>
    <w:rsid w:val="00943FE3"/>
    <w:rsid w:val="0094586C"/>
    <w:rsid w:val="009460FA"/>
    <w:rsid w:val="00947534"/>
    <w:rsid w:val="009478A1"/>
    <w:rsid w:val="00950AB7"/>
    <w:rsid w:val="00953198"/>
    <w:rsid w:val="00954AD3"/>
    <w:rsid w:val="00954D7D"/>
    <w:rsid w:val="0095588F"/>
    <w:rsid w:val="00955FB0"/>
    <w:rsid w:val="009576B7"/>
    <w:rsid w:val="0096261B"/>
    <w:rsid w:val="00963A2F"/>
    <w:rsid w:val="009644A8"/>
    <w:rsid w:val="009650A6"/>
    <w:rsid w:val="0096523B"/>
    <w:rsid w:val="00972D06"/>
    <w:rsid w:val="009817DE"/>
    <w:rsid w:val="009842AA"/>
    <w:rsid w:val="009860BB"/>
    <w:rsid w:val="00991791"/>
    <w:rsid w:val="0099323D"/>
    <w:rsid w:val="00996179"/>
    <w:rsid w:val="0099623A"/>
    <w:rsid w:val="009A2699"/>
    <w:rsid w:val="009A2DC9"/>
    <w:rsid w:val="009A309E"/>
    <w:rsid w:val="009A352F"/>
    <w:rsid w:val="009A391C"/>
    <w:rsid w:val="009A408E"/>
    <w:rsid w:val="009A524E"/>
    <w:rsid w:val="009A7D86"/>
    <w:rsid w:val="009B2731"/>
    <w:rsid w:val="009B4BFD"/>
    <w:rsid w:val="009C009D"/>
    <w:rsid w:val="009C2A86"/>
    <w:rsid w:val="009C5AF7"/>
    <w:rsid w:val="009C620B"/>
    <w:rsid w:val="009D37C4"/>
    <w:rsid w:val="009E0A61"/>
    <w:rsid w:val="009E2032"/>
    <w:rsid w:val="009E3010"/>
    <w:rsid w:val="009E3EE4"/>
    <w:rsid w:val="009E433F"/>
    <w:rsid w:val="009E46F5"/>
    <w:rsid w:val="009E52EA"/>
    <w:rsid w:val="009F7065"/>
    <w:rsid w:val="00A005DC"/>
    <w:rsid w:val="00A02BD3"/>
    <w:rsid w:val="00A04E79"/>
    <w:rsid w:val="00A145CF"/>
    <w:rsid w:val="00A14750"/>
    <w:rsid w:val="00A16AFB"/>
    <w:rsid w:val="00A16EE1"/>
    <w:rsid w:val="00A2183E"/>
    <w:rsid w:val="00A21D56"/>
    <w:rsid w:val="00A21F98"/>
    <w:rsid w:val="00A2449C"/>
    <w:rsid w:val="00A25F1A"/>
    <w:rsid w:val="00A318EB"/>
    <w:rsid w:val="00A340EB"/>
    <w:rsid w:val="00A35BC4"/>
    <w:rsid w:val="00A36371"/>
    <w:rsid w:val="00A42C97"/>
    <w:rsid w:val="00A43765"/>
    <w:rsid w:val="00A4393D"/>
    <w:rsid w:val="00A53250"/>
    <w:rsid w:val="00A546F3"/>
    <w:rsid w:val="00A551B9"/>
    <w:rsid w:val="00A56DC7"/>
    <w:rsid w:val="00A61448"/>
    <w:rsid w:val="00A64F72"/>
    <w:rsid w:val="00A66FDD"/>
    <w:rsid w:val="00A671E6"/>
    <w:rsid w:val="00A67FFD"/>
    <w:rsid w:val="00A709E5"/>
    <w:rsid w:val="00A73CFF"/>
    <w:rsid w:val="00A748F4"/>
    <w:rsid w:val="00A74A58"/>
    <w:rsid w:val="00A74FD1"/>
    <w:rsid w:val="00A75F5F"/>
    <w:rsid w:val="00A764F7"/>
    <w:rsid w:val="00A81AC8"/>
    <w:rsid w:val="00A8341C"/>
    <w:rsid w:val="00A84A58"/>
    <w:rsid w:val="00A87222"/>
    <w:rsid w:val="00A929A9"/>
    <w:rsid w:val="00A96594"/>
    <w:rsid w:val="00A971DA"/>
    <w:rsid w:val="00A9765F"/>
    <w:rsid w:val="00A97684"/>
    <w:rsid w:val="00AA2EF5"/>
    <w:rsid w:val="00AA41BA"/>
    <w:rsid w:val="00AA53B4"/>
    <w:rsid w:val="00AA6D0D"/>
    <w:rsid w:val="00AA6FA3"/>
    <w:rsid w:val="00AB0DC4"/>
    <w:rsid w:val="00AB3331"/>
    <w:rsid w:val="00AB7663"/>
    <w:rsid w:val="00AC0C10"/>
    <w:rsid w:val="00AC3AE3"/>
    <w:rsid w:val="00AC428E"/>
    <w:rsid w:val="00AC6DD0"/>
    <w:rsid w:val="00AD03FC"/>
    <w:rsid w:val="00AD11FE"/>
    <w:rsid w:val="00AD14ED"/>
    <w:rsid w:val="00AD344F"/>
    <w:rsid w:val="00AD7C61"/>
    <w:rsid w:val="00AE010C"/>
    <w:rsid w:val="00AE0181"/>
    <w:rsid w:val="00AE1E35"/>
    <w:rsid w:val="00AE3413"/>
    <w:rsid w:val="00AE4FFD"/>
    <w:rsid w:val="00AE7C9F"/>
    <w:rsid w:val="00AF24FA"/>
    <w:rsid w:val="00AF387F"/>
    <w:rsid w:val="00AF397D"/>
    <w:rsid w:val="00AF7ACB"/>
    <w:rsid w:val="00AF7CBA"/>
    <w:rsid w:val="00B00E7F"/>
    <w:rsid w:val="00B02B6E"/>
    <w:rsid w:val="00B0546D"/>
    <w:rsid w:val="00B05F52"/>
    <w:rsid w:val="00B067C8"/>
    <w:rsid w:val="00B06DFD"/>
    <w:rsid w:val="00B072D1"/>
    <w:rsid w:val="00B11F9A"/>
    <w:rsid w:val="00B11FB7"/>
    <w:rsid w:val="00B17112"/>
    <w:rsid w:val="00B17396"/>
    <w:rsid w:val="00B20BE2"/>
    <w:rsid w:val="00B21055"/>
    <w:rsid w:val="00B21DCC"/>
    <w:rsid w:val="00B223ED"/>
    <w:rsid w:val="00B2250B"/>
    <w:rsid w:val="00B23844"/>
    <w:rsid w:val="00B23B6B"/>
    <w:rsid w:val="00B25F37"/>
    <w:rsid w:val="00B3353C"/>
    <w:rsid w:val="00B338D5"/>
    <w:rsid w:val="00B363AC"/>
    <w:rsid w:val="00B37158"/>
    <w:rsid w:val="00B425AA"/>
    <w:rsid w:val="00B43F27"/>
    <w:rsid w:val="00B44422"/>
    <w:rsid w:val="00B46742"/>
    <w:rsid w:val="00B46988"/>
    <w:rsid w:val="00B46EA0"/>
    <w:rsid w:val="00B475E3"/>
    <w:rsid w:val="00B550DC"/>
    <w:rsid w:val="00B55714"/>
    <w:rsid w:val="00B63BBA"/>
    <w:rsid w:val="00B657DB"/>
    <w:rsid w:val="00B731D3"/>
    <w:rsid w:val="00B75B57"/>
    <w:rsid w:val="00B777ED"/>
    <w:rsid w:val="00B77C18"/>
    <w:rsid w:val="00B811B3"/>
    <w:rsid w:val="00B81F4C"/>
    <w:rsid w:val="00B839A3"/>
    <w:rsid w:val="00B83C94"/>
    <w:rsid w:val="00B85B55"/>
    <w:rsid w:val="00B86919"/>
    <w:rsid w:val="00B902BD"/>
    <w:rsid w:val="00B92501"/>
    <w:rsid w:val="00B935B4"/>
    <w:rsid w:val="00B97BF5"/>
    <w:rsid w:val="00BA1009"/>
    <w:rsid w:val="00BA680A"/>
    <w:rsid w:val="00BB0E91"/>
    <w:rsid w:val="00BB0EC9"/>
    <w:rsid w:val="00BB4BEF"/>
    <w:rsid w:val="00BC17A1"/>
    <w:rsid w:val="00BC30AE"/>
    <w:rsid w:val="00BC72E7"/>
    <w:rsid w:val="00BD1A7F"/>
    <w:rsid w:val="00BD2A39"/>
    <w:rsid w:val="00BD2E80"/>
    <w:rsid w:val="00BD49FF"/>
    <w:rsid w:val="00BD4B64"/>
    <w:rsid w:val="00BD77E1"/>
    <w:rsid w:val="00BE0650"/>
    <w:rsid w:val="00BE11B8"/>
    <w:rsid w:val="00BE663F"/>
    <w:rsid w:val="00BE6AA7"/>
    <w:rsid w:val="00BF45A3"/>
    <w:rsid w:val="00BF5439"/>
    <w:rsid w:val="00BF7FF0"/>
    <w:rsid w:val="00C03802"/>
    <w:rsid w:val="00C05BD8"/>
    <w:rsid w:val="00C11AEA"/>
    <w:rsid w:val="00C12502"/>
    <w:rsid w:val="00C146FF"/>
    <w:rsid w:val="00C15D01"/>
    <w:rsid w:val="00C20180"/>
    <w:rsid w:val="00C2297D"/>
    <w:rsid w:val="00C24D60"/>
    <w:rsid w:val="00C26B3B"/>
    <w:rsid w:val="00C27AD6"/>
    <w:rsid w:val="00C31C3C"/>
    <w:rsid w:val="00C3311F"/>
    <w:rsid w:val="00C332C4"/>
    <w:rsid w:val="00C345DC"/>
    <w:rsid w:val="00C37BDA"/>
    <w:rsid w:val="00C40AA5"/>
    <w:rsid w:val="00C43898"/>
    <w:rsid w:val="00C45130"/>
    <w:rsid w:val="00C46F70"/>
    <w:rsid w:val="00C47394"/>
    <w:rsid w:val="00C476D0"/>
    <w:rsid w:val="00C50606"/>
    <w:rsid w:val="00C50A57"/>
    <w:rsid w:val="00C52C04"/>
    <w:rsid w:val="00C55A27"/>
    <w:rsid w:val="00C60FD6"/>
    <w:rsid w:val="00C6266F"/>
    <w:rsid w:val="00C6434A"/>
    <w:rsid w:val="00C64555"/>
    <w:rsid w:val="00C64665"/>
    <w:rsid w:val="00C65AD0"/>
    <w:rsid w:val="00C6646A"/>
    <w:rsid w:val="00C67A8D"/>
    <w:rsid w:val="00C74398"/>
    <w:rsid w:val="00C8073A"/>
    <w:rsid w:val="00C815ED"/>
    <w:rsid w:val="00C830B9"/>
    <w:rsid w:val="00C836E3"/>
    <w:rsid w:val="00C836FF"/>
    <w:rsid w:val="00C83B6C"/>
    <w:rsid w:val="00C854DC"/>
    <w:rsid w:val="00C86577"/>
    <w:rsid w:val="00C86766"/>
    <w:rsid w:val="00C91C02"/>
    <w:rsid w:val="00C92E07"/>
    <w:rsid w:val="00C941B0"/>
    <w:rsid w:val="00C96868"/>
    <w:rsid w:val="00C9759F"/>
    <w:rsid w:val="00CA0416"/>
    <w:rsid w:val="00CA09C5"/>
    <w:rsid w:val="00CA29EF"/>
    <w:rsid w:val="00CA3EDD"/>
    <w:rsid w:val="00CA4B78"/>
    <w:rsid w:val="00CA5734"/>
    <w:rsid w:val="00CB115C"/>
    <w:rsid w:val="00CB21BA"/>
    <w:rsid w:val="00CB2E18"/>
    <w:rsid w:val="00CB3431"/>
    <w:rsid w:val="00CB7A3A"/>
    <w:rsid w:val="00CC3764"/>
    <w:rsid w:val="00CC3A35"/>
    <w:rsid w:val="00CC5468"/>
    <w:rsid w:val="00CC560B"/>
    <w:rsid w:val="00CC75E2"/>
    <w:rsid w:val="00CD16EC"/>
    <w:rsid w:val="00CD46EB"/>
    <w:rsid w:val="00CD57D1"/>
    <w:rsid w:val="00CD7419"/>
    <w:rsid w:val="00CD7EBF"/>
    <w:rsid w:val="00CE1641"/>
    <w:rsid w:val="00CE395A"/>
    <w:rsid w:val="00CE59AA"/>
    <w:rsid w:val="00CF0E86"/>
    <w:rsid w:val="00CF0E97"/>
    <w:rsid w:val="00CF1EC0"/>
    <w:rsid w:val="00CF346F"/>
    <w:rsid w:val="00CF3C94"/>
    <w:rsid w:val="00CF6C95"/>
    <w:rsid w:val="00D00DFA"/>
    <w:rsid w:val="00D022AC"/>
    <w:rsid w:val="00D056F1"/>
    <w:rsid w:val="00D06616"/>
    <w:rsid w:val="00D0682D"/>
    <w:rsid w:val="00D11829"/>
    <w:rsid w:val="00D12384"/>
    <w:rsid w:val="00D13091"/>
    <w:rsid w:val="00D144D7"/>
    <w:rsid w:val="00D15A08"/>
    <w:rsid w:val="00D16D5E"/>
    <w:rsid w:val="00D23DB6"/>
    <w:rsid w:val="00D2523A"/>
    <w:rsid w:val="00D259A1"/>
    <w:rsid w:val="00D279A4"/>
    <w:rsid w:val="00D34271"/>
    <w:rsid w:val="00D3501A"/>
    <w:rsid w:val="00D37DCF"/>
    <w:rsid w:val="00D40F9E"/>
    <w:rsid w:val="00D4309E"/>
    <w:rsid w:val="00D4642D"/>
    <w:rsid w:val="00D51A95"/>
    <w:rsid w:val="00D60568"/>
    <w:rsid w:val="00D60B61"/>
    <w:rsid w:val="00D629CA"/>
    <w:rsid w:val="00D629CE"/>
    <w:rsid w:val="00D62B64"/>
    <w:rsid w:val="00D6313B"/>
    <w:rsid w:val="00D63F2A"/>
    <w:rsid w:val="00D67B7C"/>
    <w:rsid w:val="00D70C7A"/>
    <w:rsid w:val="00D714F1"/>
    <w:rsid w:val="00D72A29"/>
    <w:rsid w:val="00D73ABE"/>
    <w:rsid w:val="00D73E5A"/>
    <w:rsid w:val="00D77D23"/>
    <w:rsid w:val="00D80534"/>
    <w:rsid w:val="00D834E5"/>
    <w:rsid w:val="00D91CCB"/>
    <w:rsid w:val="00D93BA0"/>
    <w:rsid w:val="00D95759"/>
    <w:rsid w:val="00D96C9C"/>
    <w:rsid w:val="00D976DF"/>
    <w:rsid w:val="00DA10A8"/>
    <w:rsid w:val="00DA1D93"/>
    <w:rsid w:val="00DA570B"/>
    <w:rsid w:val="00DA790B"/>
    <w:rsid w:val="00DB0193"/>
    <w:rsid w:val="00DB01B2"/>
    <w:rsid w:val="00DB123A"/>
    <w:rsid w:val="00DB1E08"/>
    <w:rsid w:val="00DB2973"/>
    <w:rsid w:val="00DB4520"/>
    <w:rsid w:val="00DC0FBA"/>
    <w:rsid w:val="00DC1B56"/>
    <w:rsid w:val="00DC1EB0"/>
    <w:rsid w:val="00DC20CC"/>
    <w:rsid w:val="00DC2129"/>
    <w:rsid w:val="00DC25D8"/>
    <w:rsid w:val="00DC313A"/>
    <w:rsid w:val="00DC544A"/>
    <w:rsid w:val="00DC6570"/>
    <w:rsid w:val="00DD08CD"/>
    <w:rsid w:val="00DD265C"/>
    <w:rsid w:val="00DD2F30"/>
    <w:rsid w:val="00DD351E"/>
    <w:rsid w:val="00DD3703"/>
    <w:rsid w:val="00DD7644"/>
    <w:rsid w:val="00DE0AC5"/>
    <w:rsid w:val="00DE33FF"/>
    <w:rsid w:val="00DE5528"/>
    <w:rsid w:val="00DE5D83"/>
    <w:rsid w:val="00DF25C3"/>
    <w:rsid w:val="00DF5CFF"/>
    <w:rsid w:val="00DF63F5"/>
    <w:rsid w:val="00DF72BB"/>
    <w:rsid w:val="00E001C6"/>
    <w:rsid w:val="00E03A7B"/>
    <w:rsid w:val="00E03DFC"/>
    <w:rsid w:val="00E04062"/>
    <w:rsid w:val="00E040BC"/>
    <w:rsid w:val="00E063C6"/>
    <w:rsid w:val="00E137F7"/>
    <w:rsid w:val="00E160B9"/>
    <w:rsid w:val="00E2003B"/>
    <w:rsid w:val="00E24A7B"/>
    <w:rsid w:val="00E26887"/>
    <w:rsid w:val="00E279D8"/>
    <w:rsid w:val="00E30092"/>
    <w:rsid w:val="00E317E4"/>
    <w:rsid w:val="00E319B1"/>
    <w:rsid w:val="00E321AA"/>
    <w:rsid w:val="00E327A6"/>
    <w:rsid w:val="00E32FC9"/>
    <w:rsid w:val="00E331B8"/>
    <w:rsid w:val="00E3684F"/>
    <w:rsid w:val="00E41661"/>
    <w:rsid w:val="00E45253"/>
    <w:rsid w:val="00E45A1E"/>
    <w:rsid w:val="00E47D3B"/>
    <w:rsid w:val="00E52C66"/>
    <w:rsid w:val="00E5492F"/>
    <w:rsid w:val="00E572B1"/>
    <w:rsid w:val="00E60512"/>
    <w:rsid w:val="00E614B1"/>
    <w:rsid w:val="00E6369A"/>
    <w:rsid w:val="00E6754B"/>
    <w:rsid w:val="00E67A45"/>
    <w:rsid w:val="00E67A9B"/>
    <w:rsid w:val="00E67F16"/>
    <w:rsid w:val="00E70A86"/>
    <w:rsid w:val="00E73E50"/>
    <w:rsid w:val="00E777EC"/>
    <w:rsid w:val="00E77BDC"/>
    <w:rsid w:val="00E80FCD"/>
    <w:rsid w:val="00E8102C"/>
    <w:rsid w:val="00E82007"/>
    <w:rsid w:val="00E85163"/>
    <w:rsid w:val="00E86523"/>
    <w:rsid w:val="00E90456"/>
    <w:rsid w:val="00E92E6F"/>
    <w:rsid w:val="00E94289"/>
    <w:rsid w:val="00E97395"/>
    <w:rsid w:val="00EA2226"/>
    <w:rsid w:val="00EA3CBA"/>
    <w:rsid w:val="00EA57D3"/>
    <w:rsid w:val="00EA5968"/>
    <w:rsid w:val="00EA7DB0"/>
    <w:rsid w:val="00EA7F2F"/>
    <w:rsid w:val="00EB1F85"/>
    <w:rsid w:val="00EB46CF"/>
    <w:rsid w:val="00EB576F"/>
    <w:rsid w:val="00EB6590"/>
    <w:rsid w:val="00EC00DE"/>
    <w:rsid w:val="00EC1428"/>
    <w:rsid w:val="00EC1E91"/>
    <w:rsid w:val="00EC21DF"/>
    <w:rsid w:val="00EC30E1"/>
    <w:rsid w:val="00EC3436"/>
    <w:rsid w:val="00EC3B70"/>
    <w:rsid w:val="00EC5A78"/>
    <w:rsid w:val="00EC66BB"/>
    <w:rsid w:val="00EC6BD9"/>
    <w:rsid w:val="00ED172A"/>
    <w:rsid w:val="00ED6F4A"/>
    <w:rsid w:val="00EE01DC"/>
    <w:rsid w:val="00EE0FA9"/>
    <w:rsid w:val="00EE0FFD"/>
    <w:rsid w:val="00EE1B55"/>
    <w:rsid w:val="00EE502F"/>
    <w:rsid w:val="00EE5A66"/>
    <w:rsid w:val="00EF3067"/>
    <w:rsid w:val="00EF788E"/>
    <w:rsid w:val="00EF7F34"/>
    <w:rsid w:val="00F00BA3"/>
    <w:rsid w:val="00F05ED8"/>
    <w:rsid w:val="00F14AB3"/>
    <w:rsid w:val="00F14BEC"/>
    <w:rsid w:val="00F17602"/>
    <w:rsid w:val="00F205DC"/>
    <w:rsid w:val="00F224B7"/>
    <w:rsid w:val="00F225C5"/>
    <w:rsid w:val="00F2587A"/>
    <w:rsid w:val="00F27FD3"/>
    <w:rsid w:val="00F31E74"/>
    <w:rsid w:val="00F32A0E"/>
    <w:rsid w:val="00F33470"/>
    <w:rsid w:val="00F34E02"/>
    <w:rsid w:val="00F35D7F"/>
    <w:rsid w:val="00F3715D"/>
    <w:rsid w:val="00F379BA"/>
    <w:rsid w:val="00F37A10"/>
    <w:rsid w:val="00F407CD"/>
    <w:rsid w:val="00F41EA8"/>
    <w:rsid w:val="00F420C8"/>
    <w:rsid w:val="00F4228C"/>
    <w:rsid w:val="00F42A4C"/>
    <w:rsid w:val="00F45A8F"/>
    <w:rsid w:val="00F47FBE"/>
    <w:rsid w:val="00F50E98"/>
    <w:rsid w:val="00F526BD"/>
    <w:rsid w:val="00F54D58"/>
    <w:rsid w:val="00F566C7"/>
    <w:rsid w:val="00F57184"/>
    <w:rsid w:val="00F634A1"/>
    <w:rsid w:val="00F67612"/>
    <w:rsid w:val="00F70835"/>
    <w:rsid w:val="00F71943"/>
    <w:rsid w:val="00F77F5C"/>
    <w:rsid w:val="00F83999"/>
    <w:rsid w:val="00F84542"/>
    <w:rsid w:val="00F867B0"/>
    <w:rsid w:val="00F9229B"/>
    <w:rsid w:val="00F94CE5"/>
    <w:rsid w:val="00FA3942"/>
    <w:rsid w:val="00FA3F78"/>
    <w:rsid w:val="00FA4617"/>
    <w:rsid w:val="00FB2F9E"/>
    <w:rsid w:val="00FB4728"/>
    <w:rsid w:val="00FB540B"/>
    <w:rsid w:val="00FB7097"/>
    <w:rsid w:val="00FB7512"/>
    <w:rsid w:val="00FB7679"/>
    <w:rsid w:val="00FC5691"/>
    <w:rsid w:val="00FC5804"/>
    <w:rsid w:val="00FD51B4"/>
    <w:rsid w:val="00FD7547"/>
    <w:rsid w:val="00FD7A06"/>
    <w:rsid w:val="00FE287B"/>
    <w:rsid w:val="00FE318A"/>
    <w:rsid w:val="00FE4AA9"/>
    <w:rsid w:val="00FE51C3"/>
    <w:rsid w:val="00FE67F9"/>
    <w:rsid w:val="00FE6B50"/>
    <w:rsid w:val="00FE7427"/>
    <w:rsid w:val="00FE7E58"/>
    <w:rsid w:val="00FF1B03"/>
    <w:rsid w:val="00FF3E26"/>
    <w:rsid w:val="00FF442A"/>
    <w:rsid w:val="00FF5BF5"/>
    <w:rsid w:val="00FF5F5C"/>
    <w:rsid w:val="00FF61AD"/>
    <w:rsid w:val="00FF6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EF3067"/>
    <w:pPr>
      <w:ind w:left="720"/>
      <w:contextualSpacing/>
    </w:pPr>
  </w:style>
  <w:style w:type="table" w:customStyle="1" w:styleId="TableGrid5">
    <w:name w:val="Table Grid5"/>
    <w:basedOn w:val="TableNormal"/>
    <w:uiPriority w:val="59"/>
    <w:rsid w:val="007617C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3">
    <w:name w:val="Grid Table 4 Accent 3"/>
    <w:basedOn w:val="TableNormal"/>
    <w:uiPriority w:val="49"/>
    <w:rsid w:val="00357E4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laceholderText">
    <w:name w:val="Placeholder Text"/>
    <w:basedOn w:val="DefaultParagraphFont"/>
    <w:uiPriority w:val="99"/>
    <w:semiHidden/>
    <w:rsid w:val="00EF7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94401223">
      <w:bodyDiv w:val="1"/>
      <w:marLeft w:val="0"/>
      <w:marRight w:val="0"/>
      <w:marTop w:val="0"/>
      <w:marBottom w:val="0"/>
      <w:divBdr>
        <w:top w:val="none" w:sz="0" w:space="0" w:color="auto"/>
        <w:left w:val="none" w:sz="0" w:space="0" w:color="auto"/>
        <w:bottom w:val="none" w:sz="0" w:space="0" w:color="auto"/>
        <w:right w:val="none" w:sz="0" w:space="0" w:color="auto"/>
      </w:divBdr>
    </w:div>
    <w:div w:id="411124564">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08925812">
      <w:bodyDiv w:val="1"/>
      <w:marLeft w:val="0"/>
      <w:marRight w:val="0"/>
      <w:marTop w:val="0"/>
      <w:marBottom w:val="0"/>
      <w:divBdr>
        <w:top w:val="none" w:sz="0" w:space="0" w:color="auto"/>
        <w:left w:val="none" w:sz="0" w:space="0" w:color="auto"/>
        <w:bottom w:val="none" w:sz="0" w:space="0" w:color="auto"/>
        <w:right w:val="none" w:sz="0" w:space="0" w:color="auto"/>
      </w:divBdr>
    </w:div>
    <w:div w:id="630596599">
      <w:bodyDiv w:val="1"/>
      <w:marLeft w:val="0"/>
      <w:marRight w:val="0"/>
      <w:marTop w:val="0"/>
      <w:marBottom w:val="0"/>
      <w:divBdr>
        <w:top w:val="none" w:sz="0" w:space="0" w:color="auto"/>
        <w:left w:val="none" w:sz="0" w:space="0" w:color="auto"/>
        <w:bottom w:val="none" w:sz="0" w:space="0" w:color="auto"/>
        <w:right w:val="none" w:sz="0" w:space="0" w:color="auto"/>
      </w:divBdr>
    </w:div>
    <w:div w:id="710307507">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29741796">
      <w:bodyDiv w:val="1"/>
      <w:marLeft w:val="0"/>
      <w:marRight w:val="0"/>
      <w:marTop w:val="0"/>
      <w:marBottom w:val="0"/>
      <w:divBdr>
        <w:top w:val="none" w:sz="0" w:space="0" w:color="auto"/>
        <w:left w:val="none" w:sz="0" w:space="0" w:color="auto"/>
        <w:bottom w:val="none" w:sz="0" w:space="0" w:color="auto"/>
        <w:right w:val="none" w:sz="0" w:space="0" w:color="auto"/>
      </w:divBdr>
    </w:div>
    <w:div w:id="1295595174">
      <w:bodyDiv w:val="1"/>
      <w:marLeft w:val="0"/>
      <w:marRight w:val="0"/>
      <w:marTop w:val="0"/>
      <w:marBottom w:val="0"/>
      <w:divBdr>
        <w:top w:val="none" w:sz="0" w:space="0" w:color="auto"/>
        <w:left w:val="none" w:sz="0" w:space="0" w:color="auto"/>
        <w:bottom w:val="none" w:sz="0" w:space="0" w:color="auto"/>
        <w:right w:val="none" w:sz="0" w:space="0" w:color="auto"/>
      </w:divBdr>
    </w:div>
    <w:div w:id="1441990423">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94473964">
      <w:bodyDiv w:val="1"/>
      <w:marLeft w:val="0"/>
      <w:marRight w:val="0"/>
      <w:marTop w:val="0"/>
      <w:marBottom w:val="0"/>
      <w:divBdr>
        <w:top w:val="none" w:sz="0" w:space="0" w:color="auto"/>
        <w:left w:val="none" w:sz="0" w:space="0" w:color="auto"/>
        <w:bottom w:val="none" w:sz="0" w:space="0" w:color="auto"/>
        <w:right w:val="none" w:sz="0" w:space="0" w:color="auto"/>
      </w:divBdr>
    </w:div>
    <w:div w:id="1844084706">
      <w:bodyDiv w:val="1"/>
      <w:marLeft w:val="0"/>
      <w:marRight w:val="0"/>
      <w:marTop w:val="0"/>
      <w:marBottom w:val="0"/>
      <w:divBdr>
        <w:top w:val="none" w:sz="0" w:space="0" w:color="auto"/>
        <w:left w:val="none" w:sz="0" w:space="0" w:color="auto"/>
        <w:bottom w:val="none" w:sz="0" w:space="0" w:color="auto"/>
        <w:right w:val="none" w:sz="0" w:space="0" w:color="auto"/>
      </w:divBdr>
    </w:div>
    <w:div w:id="190232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foodstandards.gov.au/consumer/gmfood/labelling/Pages/defaul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ao.org/docrep/pdf/011/a1554e/a1554e00.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oodregulation.gov.au/internet/fr/publishing.nsf/Content/review-food-labell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odstandards.gov.au/code/applications/Pages/A1186.aspx" TargetMode="External"/><Relationship Id="rId20" Type="http://schemas.openxmlformats.org/officeDocument/2006/relationships/hyperlink" Target="https://comcom.govt.nz/about-us/our-policies-and-guidelines/investigations-and-enforcement/enforcement-criter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meat.tamu.edu/ansc-307-honors/meat-color/" TargetMode="External"/><Relationship Id="rId10" Type="http://schemas.openxmlformats.org/officeDocument/2006/relationships/footnotes" Target="footnotes.xml"/><Relationship Id="rId19" Type="http://schemas.openxmlformats.org/officeDocument/2006/relationships/hyperlink" Target="https://www.accc.gov.au/about-us/australian-competition-consumer-commission/compliance-enforcement-policy-prior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who.int/publications/i/item/principles-and-methods-for-the-risk-assessment-of-chemicals-in-foo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gisterofquestions.efsa.europa.eu/roqFrontend/wicket/bookmarkable/eu.europa.efsa.raw.gui.pages.listOfMandates.ListOfMandate?11" TargetMode="External"/><Relationship Id="rId2" Type="http://schemas.openxmlformats.org/officeDocument/2006/relationships/hyperlink" Target="https://www.ipaustralia.gov.au/" TargetMode="External"/><Relationship Id="rId1" Type="http://schemas.openxmlformats.org/officeDocument/2006/relationships/hyperlink" Target="https://www.iponz.govt.nz/manage-ip" TargetMode="External"/><Relationship Id="rId6" Type="http://schemas.openxmlformats.org/officeDocument/2006/relationships/hyperlink" Target="https://foodregulation.gov.au/internet/fr/publishing.nsf/Content/818671E42DDCF1F6CA2584B300120830/$File/Forum-Communiqu%C3%A9-15%20November%202019.pdf" TargetMode="External"/><Relationship Id="rId5" Type="http://schemas.openxmlformats.org/officeDocument/2006/relationships/hyperlink" Target="https://foodregulation.gov.au/internet/fr/publishing.nsf/Content/publication-Policy-Guideline-for-the-Fortification-of-Foods-with-Vitamins-and-Minerals" TargetMode="External"/><Relationship Id="rId4" Type="http://schemas.openxmlformats.org/officeDocument/2006/relationships/hyperlink" Target="https://www.foodstandards.gov.au/science/monitoringnutrients/ausnut/ausnutdatafiles/Pages/foodrecip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FB85-859A-49D3-AB38-9084723478BB}"/>
</file>

<file path=customXml/itemProps2.xml><?xml version="1.0" encoding="utf-8"?>
<ds:datastoreItem xmlns:ds="http://schemas.openxmlformats.org/officeDocument/2006/customXml" ds:itemID="{A90D271E-FD48-433D-989F-8650C73822AE}"/>
</file>

<file path=customXml/itemProps3.xml><?xml version="1.0" encoding="utf-8"?>
<ds:datastoreItem xmlns:ds="http://schemas.openxmlformats.org/officeDocument/2006/customXml" ds:itemID="{8D87E816-6CC5-4107-A48A-B5643E398CB9}"/>
</file>

<file path=customXml/itemProps4.xml><?xml version="1.0" encoding="utf-8"?>
<ds:datastoreItem xmlns:ds="http://schemas.openxmlformats.org/officeDocument/2006/customXml" ds:itemID="{E1708FC8-9E9A-4C0E-ACAF-28FD237C5EBF}"/>
</file>

<file path=customXml/itemProps5.xml><?xml version="1.0" encoding="utf-8"?>
<ds:datastoreItem xmlns:ds="http://schemas.openxmlformats.org/officeDocument/2006/customXml" ds:itemID="{F1F657B8-D79E-46F4-8910-96D0BD5AE8F9}"/>
</file>

<file path=docProps/app.xml><?xml version="1.0" encoding="utf-8"?>
<Properties xmlns="http://schemas.openxmlformats.org/officeDocument/2006/extended-properties" xmlns:vt="http://schemas.openxmlformats.org/officeDocument/2006/docPropsVTypes">
  <Template>Normal</Template>
  <TotalTime>0</TotalTime>
  <Pages>1</Pages>
  <Words>19635</Words>
  <Characters>111926</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2020-12-14T08:52:00Z</dcterms:created>
  <dcterms:modified xsi:type="dcterms:W3CDTF">2020-12-23T22:10:00Z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ff72a3ee-13bf-4ad4-a90c-c7d75e54e20d</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0x010100CB2FFA9FD6109347A9495CD5860AFAE6</vt:lpwstr>
  </property>
</Properties>
</file>