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4B624053" wp14:editId="134A8C18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500FF0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3BC4" w:rsidRPr="00BD1158" w:rsidRDefault="00083BC4" w:rsidP="00083BC4">
            <w:pPr>
              <w:pStyle w:val="FSCtitle1"/>
            </w:pPr>
            <w:r w:rsidRPr="00C90C7D">
              <w:t>No</w:t>
            </w:r>
            <w:r w:rsidRPr="002756BE">
              <w:t xml:space="preserve">. FSC </w:t>
            </w:r>
            <w:r w:rsidRPr="00EF5B56">
              <w:t>8</w:t>
            </w:r>
            <w:r w:rsidR="00B16C07">
              <w:t>6</w:t>
            </w:r>
            <w:r w:rsidRPr="00EF5B56">
              <w:t xml:space="preserve">, Thursday, </w:t>
            </w:r>
            <w:r w:rsidR="00B16C07">
              <w:t xml:space="preserve">5 December </w:t>
            </w:r>
            <w:r w:rsidRPr="00EF5B56">
              <w:t>201</w:t>
            </w:r>
            <w:r w:rsidRPr="00BD1158">
              <w:t>3</w:t>
            </w:r>
          </w:p>
          <w:p w:rsidR="00500FF0" w:rsidRDefault="00500FF0">
            <w:pPr>
              <w:rPr>
                <w:sz w:val="18"/>
              </w:rPr>
            </w:pPr>
            <w:r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0FF0" w:rsidRDefault="00500FF0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B16C07" w:rsidRPr="00C90C7D" w:rsidRDefault="00B16C07" w:rsidP="00B16C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AMENDMENT NO. 144</w:t>
      </w:r>
    </w:p>
    <w:p w:rsidR="00B16C07" w:rsidRPr="00C90C7D" w:rsidRDefault="00B16C07" w:rsidP="00B16C07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44</w:t>
      </w:r>
      <w:r w:rsidRPr="00C90C7D">
        <w:t>.</w:t>
      </w:r>
    </w:p>
    <w:p w:rsidR="00B16C07" w:rsidRPr="00C90C7D" w:rsidRDefault="00B16C07" w:rsidP="00B16C07">
      <w:pPr>
        <w:jc w:val="center"/>
        <w:rPr>
          <w:b/>
          <w:bCs/>
          <w:sz w:val="32"/>
          <w:szCs w:val="32"/>
        </w:rPr>
      </w:pPr>
    </w:p>
    <w:p w:rsidR="00B16C07" w:rsidRPr="00C90C7D" w:rsidRDefault="00B16C07" w:rsidP="00B16C07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B16C07" w:rsidRPr="00C90C7D" w:rsidRDefault="00B16C07" w:rsidP="00B16C07">
      <w:pPr>
        <w:jc w:val="center"/>
        <w:rPr>
          <w:b/>
          <w:bCs/>
          <w:sz w:val="32"/>
          <w:szCs w:val="32"/>
        </w:rPr>
      </w:pPr>
    </w:p>
    <w:p w:rsidR="00B16C07" w:rsidRDefault="00B16C07" w:rsidP="00B16C07"/>
    <w:p w:rsidR="00B16C07" w:rsidRDefault="00B16C07" w:rsidP="00B16C07">
      <w:pPr>
        <w:rPr>
          <w:b/>
        </w:rPr>
      </w:pPr>
      <w:r w:rsidRPr="00403438">
        <w:rPr>
          <w:b/>
        </w:rPr>
        <w:t xml:space="preserve">Food Standards (Application A1075 – </w:t>
      </w:r>
      <w:r w:rsidRPr="002B08CC">
        <w:rPr>
          <w:b/>
        </w:rPr>
        <w:t>Quillaia Extract (Quillaja Extract) as a Food Additive (Emulsifier)</w:t>
      </w:r>
      <w:r w:rsidRPr="009601C6">
        <w:rPr>
          <w:b/>
        </w:rPr>
        <w:t>)</w:t>
      </w:r>
      <w:r w:rsidRPr="00403438">
        <w:rPr>
          <w:b/>
          <w:i/>
        </w:rPr>
        <w:t xml:space="preserve"> </w:t>
      </w:r>
      <w:r w:rsidRPr="00403438">
        <w:rPr>
          <w:b/>
        </w:rPr>
        <w:t>Variation</w:t>
      </w:r>
    </w:p>
    <w:p w:rsidR="00B16C07" w:rsidRDefault="00B16C07" w:rsidP="00B16C07">
      <w:pPr>
        <w:rPr>
          <w:b/>
        </w:rPr>
      </w:pPr>
      <w:r w:rsidRPr="00FD6626">
        <w:rPr>
          <w:b/>
        </w:rPr>
        <w:t>Food Standards (Proposal P1019 – Carbon Monoxide as a Processing Aid for Fish)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1E3222" w:rsidP="00DA2689">
      <w:pPr>
        <w:tabs>
          <w:tab w:val="clear" w:pos="851"/>
          <w:tab w:val="left" w:pos="5700"/>
        </w:tabs>
      </w:pP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Pr="008E6BBD">
        <w:rPr>
          <w:sz w:val="16"/>
          <w:szCs w:val="16"/>
        </w:rPr>
        <w:t>a 2013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B16C07" w:rsidRPr="00B16C07" w:rsidRDefault="00161FA0" w:rsidP="00B16C07">
      <w:pPr>
        <w:rPr>
          <w:noProof/>
          <w:lang w:val="en-AU" w:eastAsia="en-AU"/>
        </w:rPr>
      </w:pPr>
      <w:r>
        <w:rPr>
          <w:sz w:val="16"/>
        </w:rPr>
        <w:br w:type="page"/>
      </w:r>
      <w:r w:rsidR="00B16C07" w:rsidRPr="00B16C07">
        <w:rPr>
          <w:noProof/>
          <w:lang w:eastAsia="en-GB"/>
        </w:rPr>
        <w:lastRenderedPageBreak/>
        <w:drawing>
          <wp:inline distT="0" distB="0" distL="0" distR="0" wp14:anchorId="782C024D" wp14:editId="4B612AA0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07" w:rsidRPr="00B16C07" w:rsidRDefault="00B16C07" w:rsidP="00B16C07">
      <w:pPr>
        <w:pBdr>
          <w:bottom w:val="single" w:sz="4" w:space="1" w:color="auto"/>
        </w:pBdr>
        <w:jc w:val="center"/>
      </w:pPr>
    </w:p>
    <w:p w:rsidR="00B16C07" w:rsidRPr="00B16C07" w:rsidRDefault="00B16C07" w:rsidP="00B16C07">
      <w:pPr>
        <w:pBdr>
          <w:bottom w:val="single" w:sz="4" w:space="1" w:color="auto"/>
        </w:pBdr>
        <w:rPr>
          <w:b/>
        </w:rPr>
      </w:pPr>
      <w:r w:rsidRPr="00B16C07">
        <w:rPr>
          <w:b/>
        </w:rPr>
        <w:t>Food Standards (Application A1075 – Quillaia Extract (Quillaja Extract) as a Food Additive (Emulsifier))</w:t>
      </w:r>
      <w:r w:rsidRPr="00B16C07">
        <w:rPr>
          <w:b/>
          <w:i/>
        </w:rPr>
        <w:t xml:space="preserve"> </w:t>
      </w:r>
      <w:r w:rsidRPr="00B16C07">
        <w:rPr>
          <w:b/>
        </w:rPr>
        <w:t>Variation</w:t>
      </w:r>
    </w:p>
    <w:p w:rsidR="00B16C07" w:rsidRPr="00B16C07" w:rsidRDefault="00B16C07" w:rsidP="00B16C07">
      <w:pPr>
        <w:pBdr>
          <w:bottom w:val="single" w:sz="4" w:space="1" w:color="auto"/>
        </w:pBdr>
        <w:rPr>
          <w:b/>
        </w:rPr>
      </w:pPr>
    </w:p>
    <w:p w:rsidR="00B16C07" w:rsidRPr="00B16C07" w:rsidRDefault="00B16C07" w:rsidP="00B16C07"/>
    <w:p w:rsidR="00B16C07" w:rsidRPr="00B16C07" w:rsidRDefault="00B16C07" w:rsidP="00B16C07">
      <w:r w:rsidRPr="00B16C07">
        <w:t xml:space="preserve">The Board of Food Standards Australia New Zealand gives notice of the making of this variation under section 92 of the </w:t>
      </w:r>
      <w:r w:rsidRPr="00B16C07">
        <w:rPr>
          <w:i/>
        </w:rPr>
        <w:t>Food Standards Australia New Zealand Act 1991</w:t>
      </w:r>
      <w:r w:rsidRPr="00B16C07">
        <w:t>.  The Standard commences on the date specified in clause 3 of this variation.</w:t>
      </w:r>
    </w:p>
    <w:p w:rsidR="00B16C07" w:rsidRPr="00B16C07" w:rsidRDefault="00B16C07" w:rsidP="00B16C07"/>
    <w:p w:rsidR="00B16C07" w:rsidRPr="00B16C07" w:rsidRDefault="00B16C07" w:rsidP="00B16C07">
      <w:r w:rsidRPr="00B16C07">
        <w:t>29 November 2013</w:t>
      </w:r>
    </w:p>
    <w:p w:rsidR="00B16C07" w:rsidRPr="00B16C07" w:rsidRDefault="00B16C07" w:rsidP="00B16C07">
      <w:r w:rsidRPr="00B16C07">
        <w:rPr>
          <w:noProof/>
          <w:szCs w:val="24"/>
          <w:lang w:eastAsia="en-GB"/>
        </w:rPr>
        <w:drawing>
          <wp:inline distT="0" distB="0" distL="0" distR="0" wp14:anchorId="69AD101E" wp14:editId="2F50407E">
            <wp:extent cx="1341120" cy="7867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C07" w:rsidRPr="00B16C07" w:rsidRDefault="00B16C07" w:rsidP="00B16C07">
      <w:r w:rsidRPr="00B16C07">
        <w:t>Standards Management Officer</w:t>
      </w:r>
    </w:p>
    <w:p w:rsidR="00B16C07" w:rsidRPr="00B16C07" w:rsidRDefault="00B16C07" w:rsidP="00B16C07">
      <w:r w:rsidRPr="00B16C07">
        <w:t>Delegate of the Board of Food Standards Australia New Zealand</w:t>
      </w:r>
    </w:p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B16C07">
        <w:rPr>
          <w:b/>
          <w:lang w:val="en-AU"/>
        </w:rPr>
        <w:t xml:space="preserve">Note:  </w:t>
      </w:r>
    </w:p>
    <w:p w:rsidR="00B16C07" w:rsidRPr="00B16C07" w:rsidRDefault="00B16C07" w:rsidP="00B16C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B16C07" w:rsidRPr="00B16C07" w:rsidRDefault="00B16C07" w:rsidP="00B16C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B16C07">
        <w:rPr>
          <w:lang w:val="en-AU"/>
        </w:rPr>
        <w:t xml:space="preserve">This variation will be published in the Commonwealth of Australia Gazette No. FSC 86 on 5 December 2013. This means that this date is the gazettal date for the purposes of clause 3 of the variation. </w:t>
      </w:r>
    </w:p>
    <w:p w:rsidR="00B16C07" w:rsidRPr="00B16C07" w:rsidRDefault="00B16C07" w:rsidP="00B16C07"/>
    <w:p w:rsidR="00B16C07" w:rsidRPr="00B16C07" w:rsidRDefault="00B16C07" w:rsidP="00B16C07">
      <w:pPr>
        <w:widowControl/>
      </w:pPr>
      <w:r w:rsidRPr="00B16C07">
        <w:br w:type="page"/>
      </w:r>
    </w:p>
    <w:p w:rsidR="00B16C07" w:rsidRPr="00B16C07" w:rsidRDefault="00B16C07" w:rsidP="00B16C07">
      <w:pPr>
        <w:rPr>
          <w:b/>
        </w:rPr>
      </w:pPr>
      <w:r w:rsidRPr="00B16C07">
        <w:rPr>
          <w:b/>
        </w:rPr>
        <w:lastRenderedPageBreak/>
        <w:t>1</w:t>
      </w:r>
      <w:r w:rsidRPr="00B16C07">
        <w:rPr>
          <w:b/>
        </w:rPr>
        <w:tab/>
        <w:t>Name</w:t>
      </w:r>
    </w:p>
    <w:p w:rsidR="00B16C07" w:rsidRPr="00B16C07" w:rsidRDefault="00B16C07" w:rsidP="00B16C07"/>
    <w:p w:rsidR="00B16C07" w:rsidRPr="00B16C07" w:rsidRDefault="00B16C07" w:rsidP="00B16C07">
      <w:r w:rsidRPr="00B16C07">
        <w:t xml:space="preserve">This instrument is the </w:t>
      </w:r>
      <w:r w:rsidRPr="00B16C07">
        <w:rPr>
          <w:i/>
        </w:rPr>
        <w:t>Food Standards (Application A1075 – Quillaia Extract (Quillaja Extract) as a Food Additive (Emulsifier)) Variation</w:t>
      </w:r>
      <w:r w:rsidRPr="00B16C07">
        <w:t>.</w:t>
      </w:r>
    </w:p>
    <w:p w:rsidR="00B16C07" w:rsidRPr="00B16C07" w:rsidRDefault="00B16C07" w:rsidP="00B16C07"/>
    <w:p w:rsidR="00B16C07" w:rsidRPr="00B16C07" w:rsidRDefault="00B16C07" w:rsidP="00B16C07">
      <w:pPr>
        <w:ind w:left="851" w:hanging="851"/>
        <w:rPr>
          <w:b/>
        </w:rPr>
      </w:pPr>
      <w:r w:rsidRPr="00B16C07">
        <w:rPr>
          <w:b/>
        </w:rPr>
        <w:t>2</w:t>
      </w:r>
      <w:r w:rsidRPr="00B16C07">
        <w:rPr>
          <w:b/>
        </w:rPr>
        <w:tab/>
        <w:t xml:space="preserve">Variation to Standards in the </w:t>
      </w:r>
      <w:r w:rsidRPr="00B16C07">
        <w:rPr>
          <w:b/>
          <w:i/>
        </w:rPr>
        <w:t>Australia New Zealand Food Standards Code</w:t>
      </w:r>
    </w:p>
    <w:p w:rsidR="00B16C07" w:rsidRPr="00B16C07" w:rsidRDefault="00B16C07" w:rsidP="00B16C07"/>
    <w:p w:rsidR="00B16C07" w:rsidRPr="00B16C07" w:rsidRDefault="00B16C07" w:rsidP="00B16C07">
      <w:r w:rsidRPr="00B16C07">
        <w:t xml:space="preserve">The Schedule varies the Standards in the </w:t>
      </w:r>
      <w:r w:rsidRPr="00B16C07">
        <w:rPr>
          <w:i/>
        </w:rPr>
        <w:t>Australia New Zealand Food Standards Code</w:t>
      </w:r>
      <w:r w:rsidRPr="00B16C07">
        <w:t>.</w:t>
      </w:r>
    </w:p>
    <w:p w:rsidR="00B16C07" w:rsidRPr="00B16C07" w:rsidRDefault="00B16C07" w:rsidP="00B16C07"/>
    <w:p w:rsidR="00B16C07" w:rsidRPr="00B16C07" w:rsidRDefault="00B16C07" w:rsidP="00B16C07">
      <w:pPr>
        <w:rPr>
          <w:b/>
        </w:rPr>
      </w:pPr>
      <w:r w:rsidRPr="00B16C07">
        <w:rPr>
          <w:b/>
        </w:rPr>
        <w:t>3</w:t>
      </w:r>
      <w:r w:rsidRPr="00B16C07">
        <w:rPr>
          <w:b/>
        </w:rPr>
        <w:tab/>
        <w:t>Commencement</w:t>
      </w:r>
    </w:p>
    <w:p w:rsidR="00B16C07" w:rsidRPr="00B16C07" w:rsidRDefault="00B16C07" w:rsidP="00B16C07"/>
    <w:p w:rsidR="00B16C07" w:rsidRPr="00B16C07" w:rsidRDefault="00B16C07" w:rsidP="00B16C07">
      <w:r w:rsidRPr="00B16C07">
        <w:t>The variations commence on the date of gazettal.</w:t>
      </w:r>
    </w:p>
    <w:p w:rsidR="00B16C07" w:rsidRPr="00B16C07" w:rsidRDefault="00B16C07" w:rsidP="00B16C07">
      <w:pPr>
        <w:jc w:val="center"/>
        <w:rPr>
          <w:b/>
          <w:caps/>
        </w:rPr>
      </w:pPr>
    </w:p>
    <w:p w:rsidR="00B16C07" w:rsidRPr="00B16C07" w:rsidRDefault="00B16C07" w:rsidP="00B16C07">
      <w:pPr>
        <w:jc w:val="center"/>
        <w:rPr>
          <w:b/>
          <w:caps/>
        </w:rPr>
      </w:pPr>
      <w:r w:rsidRPr="00B16C07">
        <w:rPr>
          <w:b/>
          <w:caps/>
        </w:rPr>
        <w:t>SCHEDULE</w:t>
      </w:r>
    </w:p>
    <w:p w:rsidR="00B16C07" w:rsidRPr="00B16C07" w:rsidRDefault="00B16C07" w:rsidP="00B16C07">
      <w:pPr>
        <w:widowControl/>
      </w:pPr>
    </w:p>
    <w:p w:rsidR="00B16C07" w:rsidRPr="00B16C07" w:rsidRDefault="00B16C07" w:rsidP="00B16C07">
      <w:pPr>
        <w:rPr>
          <w:iCs/>
        </w:rPr>
      </w:pPr>
      <w:r w:rsidRPr="00B16C07">
        <w:rPr>
          <w:b/>
          <w:bCs/>
        </w:rPr>
        <w:t>[1]</w:t>
      </w:r>
      <w:r w:rsidRPr="00B16C07">
        <w:tab/>
      </w:r>
      <w:r w:rsidRPr="00B16C07">
        <w:rPr>
          <w:b/>
          <w:bCs/>
          <w:iCs/>
        </w:rPr>
        <w:t>Standard 1.2.4</w:t>
      </w:r>
      <w:r w:rsidRPr="00B16C07">
        <w:rPr>
          <w:iCs/>
        </w:rPr>
        <w:t xml:space="preserve"> is varied by </w:t>
      </w:r>
      <w:r w:rsidRPr="00B16C07">
        <w:t xml:space="preserve">inserting in Part 1 and in Part 2 of Schedule 2 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4252" w:type="dxa"/>
        <w:tblLook w:val="0000" w:firstRow="0" w:lastRow="0" w:firstColumn="0" w:lastColumn="0" w:noHBand="0" w:noVBand="0"/>
      </w:tblPr>
      <w:tblGrid>
        <w:gridCol w:w="3260"/>
        <w:gridCol w:w="992"/>
      </w:tblGrid>
      <w:tr w:rsidR="00B16C07" w:rsidRPr="00B16C07" w:rsidTr="00D2356B">
        <w:tc>
          <w:tcPr>
            <w:tcW w:w="326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extract (type 1)</w:t>
            </w:r>
          </w:p>
        </w:tc>
        <w:tc>
          <w:tcPr>
            <w:tcW w:w="992" w:type="dxa"/>
          </w:tcPr>
          <w:p w:rsidR="00B16C07" w:rsidRPr="00B16C07" w:rsidRDefault="00B16C07" w:rsidP="00B16C07">
            <w:pPr>
              <w:ind w:left="31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 xml:space="preserve">999(i) </w:t>
            </w:r>
          </w:p>
        </w:tc>
      </w:tr>
      <w:tr w:rsidR="00B16C07" w:rsidRPr="00B16C07" w:rsidTr="00D2356B">
        <w:tc>
          <w:tcPr>
            <w:tcW w:w="326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extract (type 2)</w:t>
            </w:r>
          </w:p>
        </w:tc>
        <w:tc>
          <w:tcPr>
            <w:tcW w:w="992" w:type="dxa"/>
          </w:tcPr>
          <w:p w:rsidR="00B16C07" w:rsidRPr="00B16C07" w:rsidRDefault="00B16C07" w:rsidP="00B16C07">
            <w:pPr>
              <w:ind w:left="31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 xml:space="preserve">999(ii) </w:t>
            </w:r>
          </w:p>
        </w:tc>
      </w:tr>
    </w:tbl>
    <w:p w:rsidR="00B16C07" w:rsidRPr="00B16C07" w:rsidRDefault="00B16C07" w:rsidP="00B16C07">
      <w:r w:rsidRPr="00B16C07">
        <w:tab/>
      </w:r>
      <w:r w:rsidRPr="00B16C07">
        <w:tab/>
      </w:r>
      <w:r w:rsidRPr="00B16C07">
        <w:tab/>
      </w:r>
      <w:r w:rsidRPr="00B16C07">
        <w:tab/>
      </w:r>
      <w:r w:rsidRPr="00B16C07">
        <w:tab/>
      </w:r>
      <w:r w:rsidRPr="00B16C07">
        <w:tab/>
      </w:r>
      <w:r w:rsidRPr="00B16C07">
        <w:tab/>
      </w:r>
      <w:r w:rsidRPr="00B16C07">
        <w:tab/>
        <w:t>”</w:t>
      </w:r>
    </w:p>
    <w:p w:rsidR="00B16C07" w:rsidRPr="00B16C07" w:rsidRDefault="00B16C07" w:rsidP="00B16C07">
      <w:pPr>
        <w:widowControl/>
      </w:pPr>
    </w:p>
    <w:p w:rsidR="00B16C07" w:rsidRPr="00B16C07" w:rsidRDefault="00B16C07" w:rsidP="00B16C07">
      <w:r w:rsidRPr="00B16C07">
        <w:rPr>
          <w:b/>
          <w:bCs/>
        </w:rPr>
        <w:t>[2]</w:t>
      </w:r>
      <w:r w:rsidRPr="00B16C07">
        <w:tab/>
      </w:r>
      <w:r w:rsidRPr="00B16C07">
        <w:rPr>
          <w:b/>
          <w:bCs/>
          <w:iCs/>
        </w:rPr>
        <w:t>Standard 1.3.1</w:t>
      </w:r>
      <w:r w:rsidRPr="00B16C07">
        <w:rPr>
          <w:i/>
          <w:iCs/>
        </w:rPr>
        <w:t xml:space="preserve"> </w:t>
      </w:r>
      <w:r w:rsidRPr="00B16C07">
        <w:rPr>
          <w:iCs/>
        </w:rPr>
        <w:t>is varied by</w:t>
      </w:r>
      <w:r w:rsidRPr="00B16C07">
        <w:t xml:space="preserve"> inserting in</w:t>
      </w:r>
      <w:r w:rsidRPr="00B16C07">
        <w:rPr>
          <w:i/>
        </w:rPr>
        <w:t xml:space="preserve"> </w:t>
      </w:r>
      <w:r w:rsidRPr="00B16C07">
        <w:t>Schedule 1</w:t>
      </w:r>
    </w:p>
    <w:p w:rsidR="00B16C07" w:rsidRPr="00B16C07" w:rsidRDefault="00B16C07" w:rsidP="00B16C07"/>
    <w:p w:rsidR="00B16C07" w:rsidRPr="00B16C07" w:rsidRDefault="00B16C07" w:rsidP="00B16C07">
      <w:pPr>
        <w:rPr>
          <w:i/>
        </w:rPr>
      </w:pPr>
      <w:r w:rsidRPr="00B16C07">
        <w:t>[2.1]</w:t>
      </w:r>
      <w:r w:rsidRPr="00B16C07">
        <w:tab/>
        <w:t>under item 14.1.1.2 Carbonated, mineralised and soda waters* –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>
      <w:pPr>
        <w:rPr>
          <w:bCs/>
          <w:iCs/>
        </w:rPr>
      </w:pPr>
    </w:p>
    <w:p w:rsidR="00B16C07" w:rsidRPr="00B16C07" w:rsidRDefault="00B16C07" w:rsidP="00B16C07">
      <w:pPr>
        <w:rPr>
          <w:i/>
        </w:rPr>
      </w:pPr>
      <w:r w:rsidRPr="00B16C07">
        <w:rPr>
          <w:bCs/>
          <w:iCs/>
        </w:rPr>
        <w:t>[2.2</w:t>
      </w:r>
      <w:r w:rsidRPr="00B16C07">
        <w:t>]</w:t>
      </w:r>
      <w:r w:rsidRPr="00B16C07">
        <w:tab/>
        <w:t>under item 14.1.2.2 Fruit and vegetable juice products* –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/>
    <w:p w:rsidR="00B16C07" w:rsidRPr="00B16C07" w:rsidRDefault="00B16C07" w:rsidP="00B16C07">
      <w:pPr>
        <w:rPr>
          <w:i/>
        </w:rPr>
      </w:pPr>
      <w:r w:rsidRPr="00B16C07">
        <w:t>[2.3]</w:t>
      </w:r>
      <w:r w:rsidRPr="00B16C07">
        <w:tab/>
        <w:t>under item 14.1.3 Water based flavoured drinks* –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>
      <w:r w:rsidRPr="00B16C07">
        <w:t>[2.4]</w:t>
      </w:r>
      <w:r w:rsidRPr="00B16C07">
        <w:rPr>
          <w:i/>
        </w:rPr>
        <w:tab/>
      </w:r>
      <w:r w:rsidRPr="00B16C07">
        <w:t>under item 14.1.4 Formulated beverages –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/>
    <w:p w:rsidR="00B16C07" w:rsidRPr="00B16C07" w:rsidRDefault="00B16C07" w:rsidP="00B16C07">
      <w:pPr>
        <w:rPr>
          <w:i/>
        </w:rPr>
      </w:pPr>
      <w:r w:rsidRPr="00B16C07">
        <w:t>[2.5]</w:t>
      </w:r>
      <w:r w:rsidRPr="00B16C07">
        <w:tab/>
        <w:t>under item 14.1.5 Coffee, coffee substitutes, tea, herbal infusions and similar products –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30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/>
    <w:p w:rsidR="00B16C07" w:rsidRPr="00B16C07" w:rsidRDefault="00B16C07" w:rsidP="00B16C07">
      <w:pPr>
        <w:rPr>
          <w:i/>
        </w:rPr>
      </w:pPr>
      <w:r w:rsidRPr="00B16C07">
        <w:t>[2.6]</w:t>
      </w:r>
      <w:r w:rsidRPr="00B16C07">
        <w:tab/>
        <w:t>under item 14.2.1 Beer and related products –</w:t>
      </w:r>
    </w:p>
    <w:p w:rsidR="00B16C07" w:rsidRPr="00B16C07" w:rsidRDefault="00B16C07" w:rsidP="00B16C07"/>
    <w:p w:rsidR="006A5C36" w:rsidRDefault="006A5C36" w:rsidP="00B16C07">
      <w:r>
        <w:br w:type="page"/>
      </w:r>
    </w:p>
    <w:p w:rsidR="00B16C07" w:rsidRPr="00B16C07" w:rsidRDefault="00B16C07" w:rsidP="00B16C07">
      <w:r w:rsidRPr="00B16C07">
        <w:lastRenderedPageBreak/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/>
    <w:p w:rsidR="00B16C07" w:rsidRPr="00B16C07" w:rsidRDefault="00B16C07" w:rsidP="00B16C07">
      <w:pPr>
        <w:rPr>
          <w:i/>
        </w:rPr>
      </w:pPr>
      <w:r w:rsidRPr="00B16C07">
        <w:t>[2.7]</w:t>
      </w:r>
      <w:r w:rsidRPr="00B16C07">
        <w:tab/>
        <w:t>under item 14.2.5 Spirits and liqueurs* –</w:t>
      </w:r>
    </w:p>
    <w:p w:rsidR="00B16C07" w:rsidRPr="00B16C07" w:rsidRDefault="00B16C07" w:rsidP="00B16C07"/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>
      <w:r w:rsidRPr="00B16C07">
        <w:t xml:space="preserve"> </w:t>
      </w:r>
    </w:p>
    <w:p w:rsidR="00B16C07" w:rsidRPr="00B16C07" w:rsidRDefault="00B16C07" w:rsidP="00B16C07">
      <w:pPr>
        <w:rPr>
          <w:i/>
        </w:rPr>
      </w:pPr>
      <w:r w:rsidRPr="00B16C07">
        <w:t>[2.8]</w:t>
      </w:r>
      <w:r w:rsidRPr="00B16C07">
        <w:tab/>
        <w:t>under item 14.3 Alcoholic beverages not included in item 14.2* –</w:t>
      </w:r>
    </w:p>
    <w:p w:rsidR="00B16C07" w:rsidRPr="00B16C07" w:rsidRDefault="00B16C07" w:rsidP="00B16C07">
      <w:pPr>
        <w:rPr>
          <w:bCs/>
          <w:sz w:val="18"/>
        </w:rPr>
      </w:pPr>
    </w:p>
    <w:p w:rsidR="00B16C07" w:rsidRPr="00B16C07" w:rsidRDefault="00B16C07" w:rsidP="00B16C07">
      <w:r w:rsidRPr="00B16C0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B16C07" w:rsidRPr="00B16C07" w:rsidTr="00D2356B">
        <w:tc>
          <w:tcPr>
            <w:tcW w:w="64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999(i) and (ii)</w:t>
            </w:r>
          </w:p>
        </w:tc>
        <w:tc>
          <w:tcPr>
            <w:tcW w:w="2905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  <w:szCs w:val="18"/>
              </w:rPr>
            </w:pPr>
            <w:r w:rsidRPr="00B16C07">
              <w:rPr>
                <w:bCs/>
                <w:sz w:val="18"/>
                <w:szCs w:val="18"/>
              </w:rPr>
              <w:t>Quillaia saponins (from Quillaia extract type 1 and type 2)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40</w:t>
            </w:r>
          </w:p>
        </w:tc>
        <w:tc>
          <w:tcPr>
            <w:tcW w:w="709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  <w:r w:rsidRPr="00B16C0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B16C07" w:rsidRPr="00B16C07" w:rsidRDefault="00B16C07" w:rsidP="00B16C07">
            <w:pPr>
              <w:ind w:left="142" w:hanging="142"/>
              <w:rPr>
                <w:bCs/>
                <w:sz w:val="18"/>
              </w:rPr>
            </w:pPr>
          </w:p>
        </w:tc>
      </w:tr>
    </w:tbl>
    <w:p w:rsidR="00B16C07" w:rsidRPr="00B16C07" w:rsidRDefault="00B16C07" w:rsidP="00B16C07">
      <w:pPr>
        <w:jc w:val="right"/>
      </w:pPr>
      <w:r w:rsidRPr="00B16C07">
        <w:t>”</w:t>
      </w:r>
    </w:p>
    <w:p w:rsidR="00B16C07" w:rsidRPr="00B16C07" w:rsidRDefault="00B16C07" w:rsidP="00B16C07">
      <w:pPr>
        <w:jc w:val="right"/>
      </w:pPr>
      <w:r w:rsidRPr="00B16C07">
        <w:br w:type="page"/>
      </w:r>
    </w:p>
    <w:p w:rsidR="00B16C07" w:rsidRPr="00B16C07" w:rsidRDefault="00B16C07" w:rsidP="00B16C07">
      <w:pPr>
        <w:rPr>
          <w:noProof/>
          <w:lang w:val="en-AU" w:eastAsia="en-AU"/>
        </w:rPr>
      </w:pPr>
      <w:r w:rsidRPr="00B16C07">
        <w:rPr>
          <w:noProof/>
          <w:lang w:eastAsia="en-GB"/>
        </w:rPr>
        <w:lastRenderedPageBreak/>
        <w:drawing>
          <wp:inline distT="0" distB="0" distL="0" distR="0" wp14:anchorId="5D0E768A" wp14:editId="0EE67170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07" w:rsidRPr="00B16C07" w:rsidRDefault="00B16C07" w:rsidP="00B16C07">
      <w:pPr>
        <w:pBdr>
          <w:bottom w:val="single" w:sz="4" w:space="1" w:color="auto"/>
        </w:pBdr>
        <w:jc w:val="center"/>
      </w:pPr>
    </w:p>
    <w:p w:rsidR="00B16C07" w:rsidRPr="00B16C07" w:rsidRDefault="00B16C07" w:rsidP="00B16C07">
      <w:pPr>
        <w:pBdr>
          <w:bottom w:val="single" w:sz="4" w:space="1" w:color="auto"/>
        </w:pBdr>
        <w:rPr>
          <w:b/>
        </w:rPr>
      </w:pPr>
      <w:r w:rsidRPr="00B16C07">
        <w:rPr>
          <w:b/>
        </w:rPr>
        <w:t>Food Standards (Proposal P1019 – Carbon Monoxide as a Processing Aid for Fish) Variation</w:t>
      </w:r>
    </w:p>
    <w:p w:rsidR="00B16C07" w:rsidRPr="00B16C07" w:rsidRDefault="00B16C07" w:rsidP="00B16C07">
      <w:pPr>
        <w:pBdr>
          <w:bottom w:val="single" w:sz="4" w:space="1" w:color="auto"/>
        </w:pBdr>
        <w:rPr>
          <w:b/>
        </w:rPr>
      </w:pPr>
    </w:p>
    <w:p w:rsidR="00B16C07" w:rsidRPr="00B16C07" w:rsidRDefault="00B16C07" w:rsidP="00B16C07"/>
    <w:p w:rsidR="00B16C07" w:rsidRPr="00B16C07" w:rsidRDefault="00B16C07" w:rsidP="00B16C07">
      <w:r w:rsidRPr="00B16C07">
        <w:t xml:space="preserve">The Board of Food Standards Australia New Zealand gives notice of the making of this variation under section 92 of the </w:t>
      </w:r>
      <w:r w:rsidRPr="00B16C07">
        <w:rPr>
          <w:i/>
        </w:rPr>
        <w:t>Food Standards Australia New Zealand Act 1991</w:t>
      </w:r>
      <w:r w:rsidRPr="00B16C07">
        <w:t>.  The Standard commences on the date specified in clause 3 of this variation.</w:t>
      </w:r>
    </w:p>
    <w:p w:rsidR="00B16C07" w:rsidRPr="00B16C07" w:rsidRDefault="00B16C07" w:rsidP="00B16C07"/>
    <w:p w:rsidR="00B16C07" w:rsidRPr="00B16C07" w:rsidRDefault="00B16C07" w:rsidP="00B16C07">
      <w:r w:rsidRPr="00B16C07">
        <w:t>29 November 2013</w:t>
      </w:r>
    </w:p>
    <w:p w:rsidR="00B16C07" w:rsidRPr="00B16C07" w:rsidRDefault="00B16C07" w:rsidP="00B16C07">
      <w:r w:rsidRPr="00B16C07">
        <w:rPr>
          <w:noProof/>
          <w:szCs w:val="24"/>
          <w:lang w:eastAsia="en-GB"/>
        </w:rPr>
        <w:drawing>
          <wp:inline distT="0" distB="0" distL="0" distR="0" wp14:anchorId="399A9F58" wp14:editId="7BDFBBA5">
            <wp:extent cx="1341120" cy="7867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C07" w:rsidRPr="00B16C07" w:rsidRDefault="00B16C07" w:rsidP="00B16C07">
      <w:r w:rsidRPr="00B16C07">
        <w:t>Standards Management Officer</w:t>
      </w:r>
    </w:p>
    <w:p w:rsidR="00B16C07" w:rsidRPr="00B16C07" w:rsidRDefault="00B16C07" w:rsidP="00B16C07">
      <w:r w:rsidRPr="00B16C07">
        <w:t>Delegate of the Board of Food Standards Australia New Zealand</w:t>
      </w:r>
    </w:p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/>
    <w:p w:rsidR="00B16C07" w:rsidRPr="00B16C07" w:rsidRDefault="00B16C07" w:rsidP="00B16C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B16C07">
        <w:rPr>
          <w:b/>
          <w:lang w:val="en-AU"/>
        </w:rPr>
        <w:t xml:space="preserve">Note:  </w:t>
      </w:r>
    </w:p>
    <w:p w:rsidR="00B16C07" w:rsidRPr="00B16C07" w:rsidRDefault="00B16C07" w:rsidP="00B16C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B16C07" w:rsidRPr="00B16C07" w:rsidRDefault="00B16C07" w:rsidP="00B16C07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B16C07">
        <w:rPr>
          <w:lang w:val="en-AU"/>
        </w:rPr>
        <w:t xml:space="preserve">This variation will be published in the Commonwealth of Australia Gazette No. FSC 86 on 5 December 2013. This means that this date is the gazettal date for the purposes of clause 3 of the variation. </w:t>
      </w:r>
    </w:p>
    <w:p w:rsidR="00B16C07" w:rsidRPr="00B16C07" w:rsidRDefault="00B16C07" w:rsidP="00B16C07">
      <w:pPr>
        <w:widowControl/>
      </w:pPr>
      <w:r w:rsidRPr="00B16C07">
        <w:br w:type="page"/>
      </w:r>
    </w:p>
    <w:p w:rsidR="00B16C07" w:rsidRPr="00B16C07" w:rsidRDefault="00B16C07" w:rsidP="00B16C07">
      <w:pPr>
        <w:rPr>
          <w:b/>
        </w:rPr>
      </w:pPr>
      <w:r w:rsidRPr="00B16C07">
        <w:rPr>
          <w:b/>
        </w:rPr>
        <w:lastRenderedPageBreak/>
        <w:t>1</w:t>
      </w:r>
      <w:r w:rsidRPr="00B16C07">
        <w:rPr>
          <w:b/>
        </w:rPr>
        <w:tab/>
        <w:t>Name</w:t>
      </w:r>
    </w:p>
    <w:p w:rsidR="00B16C07" w:rsidRPr="00B16C07" w:rsidRDefault="00B16C07" w:rsidP="00B16C07"/>
    <w:p w:rsidR="00B16C07" w:rsidRPr="00B16C07" w:rsidRDefault="00B16C07" w:rsidP="00B16C07">
      <w:r w:rsidRPr="00B16C07">
        <w:t xml:space="preserve">This instrument is the </w:t>
      </w:r>
      <w:r w:rsidRPr="00B16C07">
        <w:rPr>
          <w:i/>
        </w:rPr>
        <w:t>Food Standards</w:t>
      </w:r>
      <w:r w:rsidRPr="00B16C07">
        <w:t xml:space="preserve"> </w:t>
      </w:r>
      <w:r w:rsidRPr="00B16C07">
        <w:rPr>
          <w:i/>
        </w:rPr>
        <w:t>(Proposal P1019 – Carbon Monoxide as a Processing Aid for Fish)</w:t>
      </w:r>
      <w:r w:rsidRPr="00B16C07">
        <w:rPr>
          <w:b/>
          <w:i/>
        </w:rPr>
        <w:t xml:space="preserve"> </w:t>
      </w:r>
      <w:r w:rsidRPr="00B16C07">
        <w:rPr>
          <w:i/>
        </w:rPr>
        <w:t>Variation</w:t>
      </w:r>
      <w:r w:rsidRPr="00B16C07">
        <w:t>.</w:t>
      </w:r>
    </w:p>
    <w:p w:rsidR="00B16C07" w:rsidRPr="00B16C07" w:rsidRDefault="00B16C07" w:rsidP="00B16C07"/>
    <w:p w:rsidR="00B16C07" w:rsidRPr="00B16C07" w:rsidRDefault="00B16C07" w:rsidP="00B16C07">
      <w:pPr>
        <w:rPr>
          <w:b/>
        </w:rPr>
      </w:pPr>
      <w:r w:rsidRPr="00B16C07">
        <w:rPr>
          <w:b/>
        </w:rPr>
        <w:t>2</w:t>
      </w:r>
      <w:r w:rsidRPr="00B16C07">
        <w:rPr>
          <w:b/>
        </w:rPr>
        <w:tab/>
        <w:t xml:space="preserve">Variation to Standards in the </w:t>
      </w:r>
      <w:r w:rsidRPr="00B16C07">
        <w:rPr>
          <w:b/>
          <w:i/>
        </w:rPr>
        <w:t>Australia New Zealand Food Standards Code</w:t>
      </w:r>
    </w:p>
    <w:p w:rsidR="00B16C07" w:rsidRPr="00B16C07" w:rsidRDefault="00B16C07" w:rsidP="00B16C07"/>
    <w:p w:rsidR="00B16C07" w:rsidRPr="00B16C07" w:rsidRDefault="00B16C07" w:rsidP="00B16C07">
      <w:r w:rsidRPr="00B16C07">
        <w:t xml:space="preserve">The Schedule varies a Standard in the </w:t>
      </w:r>
      <w:r w:rsidRPr="00B16C07">
        <w:rPr>
          <w:i/>
        </w:rPr>
        <w:t>Australia New Zealand Food Standards Code</w:t>
      </w:r>
      <w:r w:rsidRPr="00B16C07">
        <w:t>.</w:t>
      </w:r>
    </w:p>
    <w:p w:rsidR="00B16C07" w:rsidRPr="00B16C07" w:rsidRDefault="00B16C07" w:rsidP="00B16C07"/>
    <w:p w:rsidR="00B16C07" w:rsidRPr="00B16C07" w:rsidRDefault="00B16C07" w:rsidP="00B16C07">
      <w:pPr>
        <w:rPr>
          <w:b/>
        </w:rPr>
      </w:pPr>
      <w:r w:rsidRPr="00B16C07">
        <w:rPr>
          <w:b/>
        </w:rPr>
        <w:t>3</w:t>
      </w:r>
      <w:r w:rsidRPr="00B16C07">
        <w:rPr>
          <w:b/>
        </w:rPr>
        <w:tab/>
        <w:t>Commencement</w:t>
      </w:r>
    </w:p>
    <w:p w:rsidR="00B16C07" w:rsidRPr="00B16C07" w:rsidRDefault="00B16C07" w:rsidP="00B16C07"/>
    <w:p w:rsidR="00B16C07" w:rsidRPr="00B16C07" w:rsidRDefault="00B16C07" w:rsidP="00B16C07">
      <w:r w:rsidRPr="00B16C07">
        <w:t>These variations commence six months after the date of gazettal.</w:t>
      </w:r>
    </w:p>
    <w:p w:rsidR="00B16C07" w:rsidRPr="00B16C07" w:rsidRDefault="00B16C07" w:rsidP="00B16C07"/>
    <w:p w:rsidR="00B16C07" w:rsidRPr="00B16C07" w:rsidRDefault="00B16C07" w:rsidP="00B16C07">
      <w:pPr>
        <w:jc w:val="center"/>
        <w:rPr>
          <w:b/>
          <w:caps/>
        </w:rPr>
      </w:pPr>
      <w:r w:rsidRPr="00B16C07">
        <w:rPr>
          <w:b/>
          <w:caps/>
        </w:rPr>
        <w:t>SCHEDULE</w:t>
      </w:r>
    </w:p>
    <w:p w:rsidR="00B16C07" w:rsidRPr="00B16C07" w:rsidRDefault="00B16C07" w:rsidP="00B16C07"/>
    <w:p w:rsidR="00B16C07" w:rsidRPr="00B16C07" w:rsidRDefault="00B16C07" w:rsidP="00B16C07">
      <w:pPr>
        <w:rPr>
          <w:rFonts w:cs="Arial"/>
          <w:iCs/>
          <w:lang w:val="en-AU"/>
        </w:rPr>
      </w:pPr>
      <w:r w:rsidRPr="00B16C07">
        <w:rPr>
          <w:rFonts w:cs="Arial"/>
          <w:b/>
          <w:lang w:val="en-AU"/>
        </w:rPr>
        <w:t>[1]</w:t>
      </w:r>
      <w:r w:rsidRPr="00B16C07">
        <w:rPr>
          <w:rFonts w:cs="Arial"/>
          <w:b/>
          <w:lang w:val="en-AU"/>
        </w:rPr>
        <w:tab/>
      </w:r>
      <w:r w:rsidRPr="00B16C07">
        <w:rPr>
          <w:rFonts w:cs="Arial"/>
          <w:b/>
          <w:iCs/>
          <w:lang w:val="en-AU"/>
        </w:rPr>
        <w:t>Standard 1.3.3</w:t>
      </w:r>
      <w:r w:rsidRPr="00B16C07">
        <w:rPr>
          <w:rFonts w:cs="Arial"/>
          <w:iCs/>
          <w:lang w:val="en-AU"/>
        </w:rPr>
        <w:t xml:space="preserve"> is varied by </w:t>
      </w:r>
    </w:p>
    <w:p w:rsidR="00B16C07" w:rsidRPr="00B16C07" w:rsidRDefault="00B16C07" w:rsidP="00B16C07">
      <w:pPr>
        <w:rPr>
          <w:rFonts w:cs="Arial"/>
          <w:iCs/>
          <w:lang w:val="en-AU"/>
        </w:rPr>
      </w:pPr>
    </w:p>
    <w:p w:rsidR="00B16C07" w:rsidRPr="00B16C07" w:rsidRDefault="00B16C07" w:rsidP="00B16C07">
      <w:pPr>
        <w:rPr>
          <w:rFonts w:cs="Arial"/>
          <w:iCs/>
          <w:lang w:val="en-AU"/>
        </w:rPr>
      </w:pPr>
      <w:r w:rsidRPr="00B16C07">
        <w:rPr>
          <w:rFonts w:cs="Arial"/>
          <w:iCs/>
          <w:lang w:val="en-AU"/>
        </w:rPr>
        <w:t>[1.1]</w:t>
      </w:r>
      <w:r w:rsidRPr="00B16C07">
        <w:rPr>
          <w:rFonts w:cs="Arial"/>
          <w:iCs/>
          <w:lang w:val="en-AU"/>
        </w:rPr>
        <w:tab/>
        <w:t>omitting from clause 3 the words “The following” and substituting the words “Subject to clause 3A, the following”</w:t>
      </w:r>
    </w:p>
    <w:p w:rsidR="00B16C07" w:rsidRPr="00B16C07" w:rsidRDefault="00B16C07" w:rsidP="00B16C07"/>
    <w:p w:rsidR="00B16C07" w:rsidRPr="00B16C07" w:rsidRDefault="00B16C07" w:rsidP="00B16C07">
      <w:pPr>
        <w:rPr>
          <w:rFonts w:cs="Arial"/>
          <w:lang w:val="en-AU"/>
        </w:rPr>
      </w:pPr>
      <w:r w:rsidRPr="00B16C07">
        <w:rPr>
          <w:rFonts w:cs="Arial"/>
          <w:lang w:val="en-AU"/>
        </w:rPr>
        <w:t>[1.2]</w:t>
      </w:r>
      <w:r w:rsidRPr="00B16C07">
        <w:rPr>
          <w:rFonts w:cs="Arial"/>
          <w:lang w:val="en-AU"/>
        </w:rPr>
        <w:tab/>
        <w:t xml:space="preserve">inserting after clause 3 </w:t>
      </w:r>
    </w:p>
    <w:p w:rsidR="00B16C07" w:rsidRPr="00B16C07" w:rsidRDefault="00B16C07" w:rsidP="00B16C07">
      <w:pPr>
        <w:rPr>
          <w:rFonts w:cs="Arial"/>
          <w:lang w:val="en-AU"/>
        </w:rPr>
      </w:pPr>
    </w:p>
    <w:p w:rsidR="00B16C07" w:rsidRPr="00B16C07" w:rsidRDefault="00B16C07" w:rsidP="00B16C07">
      <w:pPr>
        <w:keepNext/>
        <w:rPr>
          <w:b/>
          <w:lang w:val="en-AU"/>
        </w:rPr>
      </w:pPr>
      <w:r w:rsidRPr="00B16C07">
        <w:rPr>
          <w:b/>
          <w:lang w:val="en-AU"/>
        </w:rPr>
        <w:t>“3A</w:t>
      </w:r>
      <w:r w:rsidRPr="00B16C07">
        <w:rPr>
          <w:b/>
          <w:lang w:val="en-AU"/>
        </w:rPr>
        <w:tab/>
        <w:t>Restriction on the use of carbon monoxide in the processing of fish</w:t>
      </w:r>
    </w:p>
    <w:p w:rsidR="00B16C07" w:rsidRPr="00B16C07" w:rsidRDefault="00B16C07" w:rsidP="00B16C07">
      <w:pPr>
        <w:rPr>
          <w:rFonts w:cs="Arial"/>
          <w:lang w:val="en-AU"/>
        </w:rPr>
      </w:pPr>
    </w:p>
    <w:p w:rsidR="00B16C07" w:rsidRPr="00B16C07" w:rsidRDefault="00B16C07" w:rsidP="00B16C07">
      <w:pPr>
        <w:rPr>
          <w:lang w:val="en-AU"/>
        </w:rPr>
      </w:pPr>
      <w:r w:rsidRPr="00B16C07">
        <w:rPr>
          <w:lang w:val="en-AU"/>
        </w:rPr>
        <w:t>(1)</w:t>
      </w:r>
      <w:r w:rsidRPr="00B16C07">
        <w:rPr>
          <w:lang w:val="en-AU"/>
        </w:rPr>
        <w:tab/>
        <w:t>Carbon monoxide must not be used in the processing of fish as a food where its use results in a change to or fixes the colour of the flesh of the fish.</w:t>
      </w:r>
    </w:p>
    <w:p w:rsidR="00B16C07" w:rsidRPr="00B16C07" w:rsidRDefault="00B16C07" w:rsidP="00B16C07">
      <w:pPr>
        <w:rPr>
          <w:rFonts w:cs="Arial"/>
          <w:lang w:val="en-AU"/>
        </w:rPr>
      </w:pPr>
      <w:r w:rsidRPr="00B16C07">
        <w:rPr>
          <w:rFonts w:cs="Arial"/>
          <w:lang w:val="en-AU"/>
        </w:rPr>
        <w:t xml:space="preserve"> </w:t>
      </w:r>
    </w:p>
    <w:p w:rsidR="00B16C07" w:rsidRPr="00B16C07" w:rsidRDefault="00B16C07" w:rsidP="00B16C07">
      <w:pPr>
        <w:rPr>
          <w:lang w:val="en-AU"/>
        </w:rPr>
      </w:pPr>
      <w:r w:rsidRPr="00B16C07">
        <w:rPr>
          <w:lang w:val="en-AU"/>
        </w:rPr>
        <w:t>(2)</w:t>
      </w:r>
      <w:r w:rsidRPr="00B16C07">
        <w:rPr>
          <w:lang w:val="en-AU"/>
        </w:rPr>
        <w:tab/>
        <w:t>To avoid doubt, subclause (1) does not apply to carbon monoxide that is naturally present or naturally occurring in smoke used in the processing of fish as food.</w:t>
      </w:r>
    </w:p>
    <w:p w:rsidR="00B16C07" w:rsidRPr="00B16C07" w:rsidRDefault="00B16C07" w:rsidP="00B16C07">
      <w:pPr>
        <w:rPr>
          <w:rFonts w:cs="Arial"/>
          <w:lang w:val="en-AU"/>
        </w:rPr>
      </w:pPr>
      <w:r w:rsidRPr="00B16C07">
        <w:rPr>
          <w:rFonts w:cs="Arial"/>
          <w:lang w:val="en-AU"/>
        </w:rPr>
        <w:t xml:space="preserve"> </w:t>
      </w:r>
    </w:p>
    <w:p w:rsidR="00B16C07" w:rsidRPr="00B16C07" w:rsidRDefault="00B16C07" w:rsidP="00B16C07">
      <w:pPr>
        <w:rPr>
          <w:lang w:val="en-AU"/>
        </w:rPr>
      </w:pPr>
      <w:r w:rsidRPr="00B16C07">
        <w:rPr>
          <w:lang w:val="en-AU"/>
        </w:rPr>
        <w:t>(3)</w:t>
      </w:r>
      <w:r w:rsidRPr="00B16C07">
        <w:rPr>
          <w:lang w:val="en-AU"/>
        </w:rPr>
        <w:tab/>
        <w:t>Fish that has been treated with carbon monoxide prior to the commencement of Item 1.2 of the Schedule to the Food Standards (Proposal P1019 – Carbon Monoxide as a Processing Aid for Fish) Variation shall not be taken to comply with subclause 3A(1) by virtue of subclause 1(2) of Standard 1.1.1.”</w:t>
      </w:r>
    </w:p>
    <w:p w:rsidR="00B16C07" w:rsidRPr="00B16C07" w:rsidRDefault="00B16C07" w:rsidP="00B16C07">
      <w:pPr>
        <w:rPr>
          <w:lang w:val="en-AU"/>
        </w:rPr>
      </w:pPr>
    </w:p>
    <w:p w:rsidR="00B16C07" w:rsidRPr="00B16C07" w:rsidRDefault="00B16C07" w:rsidP="00B16C07">
      <w:pPr>
        <w:rPr>
          <w:lang w:val="en-AU"/>
        </w:rPr>
      </w:pPr>
      <w:r w:rsidRPr="00B16C07">
        <w:rPr>
          <w:lang w:val="en-AU"/>
        </w:rPr>
        <w:t>[1.3]</w:t>
      </w:r>
      <w:r w:rsidRPr="00B16C07">
        <w:rPr>
          <w:lang w:val="en-AU"/>
        </w:rPr>
        <w:tab/>
        <w:t>updating the Table of Provisions to reflect these variations.</w:t>
      </w:r>
    </w:p>
    <w:p w:rsidR="00B16C07" w:rsidRPr="00B16C07" w:rsidRDefault="00B16C07" w:rsidP="00B16C07">
      <w:pPr>
        <w:rPr>
          <w:lang w:val="en-AU"/>
        </w:rPr>
      </w:pPr>
    </w:p>
    <w:p w:rsidR="00B16C07" w:rsidRPr="00B16C07" w:rsidRDefault="00B16C07" w:rsidP="00B16C07"/>
    <w:p w:rsidR="00161FA0" w:rsidRDefault="00161FA0" w:rsidP="00161FA0">
      <w:pPr>
        <w:rPr>
          <w:sz w:val="16"/>
        </w:rPr>
      </w:pPr>
    </w:p>
    <w:sectPr w:rsidR="00161FA0" w:rsidSect="001E3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C6" w:rsidRDefault="001C2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ED798E">
      <w:rPr>
        <w:noProof/>
      </w:rPr>
      <w:t>6</w:t>
    </w:r>
    <w:r w:rsidRPr="009D4E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C6" w:rsidRDefault="001C2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C6" w:rsidRDefault="001C2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C6" w:rsidRDefault="001C2D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C6" w:rsidRDefault="001C2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2DC6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5C36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16C07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D798E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60BDC-AD54-4613-9AF4-6592A00FD282}"/>
</file>

<file path=customXml/itemProps2.xml><?xml version="1.0" encoding="utf-8"?>
<ds:datastoreItem xmlns:ds="http://schemas.openxmlformats.org/officeDocument/2006/customXml" ds:itemID="{3F8FBE38-D140-4F20-BFDE-FA9FA445CE70}"/>
</file>

<file path=customXml/itemProps3.xml><?xml version="1.0" encoding="utf-8"?>
<ds:datastoreItem xmlns:ds="http://schemas.openxmlformats.org/officeDocument/2006/customXml" ds:itemID="{E56E0C21-BFA1-4A7C-907C-EEC09EE1A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889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5698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Gazette-144</dc:title>
  <dc:creator/>
  <cp:lastModifiedBy/>
  <cp:revision>1</cp:revision>
  <dcterms:created xsi:type="dcterms:W3CDTF">2013-12-03T23:54:00Z</dcterms:created>
  <dcterms:modified xsi:type="dcterms:W3CDTF">2013-12-03T23:56:00Z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