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bookmarkStart w:id="0" w:name="_GoBack"/>
            <w:bookmarkEnd w:id="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C36DA6" w14:paraId="05479DA8" w14:textId="77777777">
        <w:trPr>
          <w:cantSplit/>
        </w:trPr>
        <w:tc>
          <w:tcPr>
            <w:tcW w:w="4378" w:type="dxa"/>
            <w:gridSpan w:val="2"/>
            <w:tcBorders>
              <w:top w:val="single" w:sz="4" w:space="0" w:color="auto"/>
              <w:left w:val="nil"/>
              <w:bottom w:val="single" w:sz="4" w:space="0" w:color="auto"/>
              <w:right w:val="nil"/>
            </w:tcBorders>
          </w:tcPr>
          <w:p w14:paraId="23166A33" w14:textId="77777777" w:rsidR="0035359F" w:rsidRPr="00A21C32" w:rsidRDefault="0035359F" w:rsidP="0035359F">
            <w:pPr>
              <w:pStyle w:val="FSCtitle1"/>
            </w:pPr>
            <w:r w:rsidRPr="00C90C7D">
              <w:t xml:space="preserve">No. </w:t>
            </w:r>
            <w:r w:rsidRPr="00AB2E78">
              <w:t xml:space="preserve">FSC </w:t>
            </w:r>
            <w:r>
              <w:t>101</w:t>
            </w:r>
            <w:r w:rsidRPr="00810996">
              <w:t>,</w:t>
            </w:r>
            <w:r w:rsidRPr="00AB2E78">
              <w:t xml:space="preserve"> </w:t>
            </w:r>
            <w:r>
              <w:t>Monday</w:t>
            </w:r>
            <w:r w:rsidRPr="00043E6A">
              <w:t>,</w:t>
            </w:r>
            <w:r w:rsidRPr="004C3EBC">
              <w:t xml:space="preserve"> </w:t>
            </w:r>
            <w:r>
              <w:t>7</w:t>
            </w:r>
            <w:r w:rsidRPr="002F7890">
              <w:rPr>
                <w:color w:val="FF0000"/>
              </w:rPr>
              <w:t xml:space="preserve"> </w:t>
            </w:r>
            <w:r w:rsidRPr="00A21C32">
              <w:t>December 2015</w:t>
            </w:r>
          </w:p>
          <w:p w14:paraId="05479DA6" w14:textId="29E2FE55" w:rsidR="00C36DA6" w:rsidRPr="00C90C7D" w:rsidRDefault="00C36DA6" w:rsidP="00837770">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77777777" w:rsidR="00C36DA6" w:rsidRDefault="00C36DA6">
            <w:pPr>
              <w:pStyle w:val="Heading4"/>
              <w:jc w:val="center"/>
              <w:rPr>
                <w:sz w:val="32"/>
              </w:rPr>
            </w:pPr>
            <w:r>
              <w:rPr>
                <w:sz w:val="32"/>
              </w:rPr>
              <w:t xml:space="preserve">FOOD STANDARDS </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05479DAC" w14:textId="77777777" w:rsidR="000A6845" w:rsidRDefault="000A6845" w:rsidP="000A6845">
      <w:pPr>
        <w:rPr>
          <w:sz w:val="52"/>
        </w:rPr>
      </w:pPr>
    </w:p>
    <w:p w14:paraId="0C0C8B79" w14:textId="77777777" w:rsidR="0035359F" w:rsidRPr="00C90C7D" w:rsidRDefault="0035359F" w:rsidP="0035359F">
      <w:pPr>
        <w:jc w:val="center"/>
        <w:rPr>
          <w:b/>
          <w:bCs/>
          <w:sz w:val="32"/>
          <w:szCs w:val="32"/>
        </w:rPr>
      </w:pPr>
      <w:proofErr w:type="gramStart"/>
      <w:r>
        <w:rPr>
          <w:b/>
          <w:bCs/>
          <w:sz w:val="32"/>
          <w:szCs w:val="32"/>
        </w:rPr>
        <w:t>AMENDMENT NO.</w:t>
      </w:r>
      <w:proofErr w:type="gramEnd"/>
      <w:r>
        <w:rPr>
          <w:b/>
          <w:bCs/>
          <w:sz w:val="32"/>
          <w:szCs w:val="32"/>
        </w:rPr>
        <w:t xml:space="preserve"> 159</w:t>
      </w:r>
    </w:p>
    <w:p w14:paraId="584F5ED9" w14:textId="77777777" w:rsidR="0035359F" w:rsidRPr="00C90C7D" w:rsidRDefault="0035359F" w:rsidP="0035359F">
      <w:pPr>
        <w:jc w:val="center"/>
      </w:pPr>
      <w:r w:rsidRPr="00C90C7D">
        <w:t>The following instruments are separate instruments in the Federal Register of Legislative Instruments and are known collectively in the Food Standards Gazette as Amendment No. 1</w:t>
      </w:r>
      <w:r>
        <w:t>59</w:t>
      </w:r>
      <w:r w:rsidRPr="00C90C7D">
        <w:t>.</w:t>
      </w:r>
    </w:p>
    <w:p w14:paraId="77F68604" w14:textId="77777777" w:rsidR="0035359F" w:rsidRPr="00C90C7D" w:rsidRDefault="0035359F" w:rsidP="0035359F">
      <w:pPr>
        <w:jc w:val="center"/>
        <w:rPr>
          <w:b/>
          <w:bCs/>
          <w:sz w:val="32"/>
          <w:szCs w:val="32"/>
        </w:rPr>
      </w:pPr>
    </w:p>
    <w:p w14:paraId="478049D4" w14:textId="77777777" w:rsidR="0035359F" w:rsidRPr="00C90C7D" w:rsidRDefault="0035359F" w:rsidP="0035359F">
      <w:pPr>
        <w:jc w:val="center"/>
        <w:rPr>
          <w:b/>
          <w:bCs/>
          <w:sz w:val="32"/>
          <w:szCs w:val="32"/>
        </w:rPr>
      </w:pPr>
      <w:r w:rsidRPr="00C90C7D">
        <w:rPr>
          <w:b/>
          <w:bCs/>
          <w:sz w:val="32"/>
          <w:szCs w:val="32"/>
        </w:rPr>
        <w:t>TABLE OF CONTENTS</w:t>
      </w:r>
    </w:p>
    <w:p w14:paraId="1F9D25F4" w14:textId="77777777" w:rsidR="0035359F" w:rsidRPr="00C90C7D" w:rsidRDefault="0035359F" w:rsidP="0035359F">
      <w:pPr>
        <w:jc w:val="center"/>
        <w:rPr>
          <w:b/>
          <w:bCs/>
          <w:sz w:val="32"/>
          <w:szCs w:val="32"/>
        </w:rPr>
      </w:pPr>
    </w:p>
    <w:p w14:paraId="6AC5D69B" w14:textId="77777777" w:rsidR="0035359F" w:rsidRPr="00AA3F96" w:rsidRDefault="0035359F" w:rsidP="0035359F">
      <w:pPr>
        <w:tabs>
          <w:tab w:val="clear" w:pos="851"/>
        </w:tabs>
        <w:rPr>
          <w:b/>
          <w:color w:val="000000" w:themeColor="text1"/>
          <w:szCs w:val="24"/>
          <w:lang w:bidi="en-US"/>
        </w:rPr>
      </w:pPr>
      <w:r w:rsidRPr="00AA3F96">
        <w:rPr>
          <w:b/>
          <w:color w:val="000000" w:themeColor="text1"/>
          <w:szCs w:val="24"/>
          <w:lang w:bidi="en-US"/>
        </w:rPr>
        <w:t>Food Standards (Application A1106 – Food derived from Herbicide-tolerant &amp; Insect-protected Corn Line 4114) Variation</w:t>
      </w:r>
    </w:p>
    <w:p w14:paraId="42C6F7C3" w14:textId="77777777" w:rsidR="0035359F" w:rsidRPr="00AA3F96" w:rsidRDefault="0035359F" w:rsidP="0035359F">
      <w:pPr>
        <w:tabs>
          <w:tab w:val="clear" w:pos="851"/>
        </w:tabs>
        <w:rPr>
          <w:b/>
          <w:color w:val="000000" w:themeColor="text1"/>
          <w:szCs w:val="24"/>
          <w:lang w:bidi="en-US"/>
        </w:rPr>
      </w:pPr>
      <w:r w:rsidRPr="00AA3F96">
        <w:rPr>
          <w:rFonts w:cs="Arial"/>
          <w:b/>
          <w:i/>
          <w:lang w:bidi="en-US"/>
        </w:rPr>
        <w:t>Australia New Zealand Food Standards Code</w:t>
      </w:r>
      <w:r w:rsidRPr="00AA3F96">
        <w:rPr>
          <w:rFonts w:cs="Arial"/>
          <w:b/>
          <w:lang w:bidi="en-US"/>
        </w:rPr>
        <w:t xml:space="preserve"> –</w:t>
      </w:r>
      <w:r w:rsidRPr="00AA3F96">
        <w:rPr>
          <w:rFonts w:cs="Arial"/>
          <w:b/>
          <w:color w:val="000000"/>
          <w:lang w:bidi="en-US"/>
        </w:rPr>
        <w:t xml:space="preserve"> Transitional Variation</w:t>
      </w:r>
      <w:r w:rsidRPr="00AA3F96">
        <w:rPr>
          <w:rFonts w:cs="Arial"/>
          <w:b/>
          <w:lang w:bidi="en-US"/>
        </w:rPr>
        <w:t xml:space="preserve"> 2015 </w:t>
      </w:r>
      <w:r w:rsidRPr="00AA3F96">
        <w:rPr>
          <w:b/>
          <w:color w:val="000000" w:themeColor="text1"/>
          <w:szCs w:val="24"/>
          <w:lang w:bidi="en-US"/>
        </w:rPr>
        <w:t xml:space="preserve">(Application A1106 – Food derived from Herbicide-tolerant &amp; Insect-protected Corn Line 4114) </w:t>
      </w:r>
    </w:p>
    <w:p w14:paraId="661BCCA1" w14:textId="77777777" w:rsidR="0035359F" w:rsidRPr="009E3AEF" w:rsidRDefault="0035359F" w:rsidP="0035359F">
      <w:pPr>
        <w:tabs>
          <w:tab w:val="clear" w:pos="851"/>
        </w:tabs>
        <w:rPr>
          <w:b/>
          <w:lang w:bidi="en-US"/>
        </w:rPr>
      </w:pPr>
      <w:r w:rsidRPr="00AA3F96">
        <w:rPr>
          <w:rFonts w:cs="Arial"/>
          <w:b/>
          <w:lang w:bidi="en-US"/>
        </w:rPr>
        <w:t xml:space="preserve">Food Standards (Application </w:t>
      </w:r>
      <w:r w:rsidRPr="00AA3F96">
        <w:rPr>
          <w:b/>
          <w:szCs w:val="24"/>
          <w:lang w:bidi="en-US"/>
        </w:rPr>
        <w:t xml:space="preserve">A1107 – </w:t>
      </w:r>
      <w:proofErr w:type="spellStart"/>
      <w:r w:rsidRPr="00AA3F96">
        <w:rPr>
          <w:b/>
          <w:szCs w:val="24"/>
          <w:lang w:bidi="en-US"/>
        </w:rPr>
        <w:t>Asparaginase</w:t>
      </w:r>
      <w:proofErr w:type="spellEnd"/>
      <w:r w:rsidRPr="00AA3F96">
        <w:rPr>
          <w:b/>
          <w:szCs w:val="24"/>
          <w:lang w:bidi="en-US"/>
        </w:rPr>
        <w:t xml:space="preserve"> from </w:t>
      </w:r>
      <w:r w:rsidRPr="00AA3F96">
        <w:rPr>
          <w:b/>
          <w:i/>
          <w:szCs w:val="24"/>
          <w:lang w:bidi="en-US"/>
        </w:rPr>
        <w:t>Bacillus subtilis</w:t>
      </w:r>
      <w:r w:rsidRPr="00AA3F96">
        <w:rPr>
          <w:b/>
          <w:szCs w:val="24"/>
          <w:lang w:bidi="en-US"/>
        </w:rPr>
        <w:t xml:space="preserve"> as a Processing Aid (Enzyme)</w:t>
      </w:r>
      <w:r w:rsidRPr="00AA3F96">
        <w:rPr>
          <w:rFonts w:cs="Arial"/>
          <w:b/>
          <w:lang w:bidi="en-US"/>
        </w:rPr>
        <w:t>)</w:t>
      </w:r>
      <w:r w:rsidRPr="00AA3F96">
        <w:rPr>
          <w:b/>
          <w:lang w:bidi="en-US"/>
        </w:rPr>
        <w:t xml:space="preserve"> Variation</w:t>
      </w:r>
    </w:p>
    <w:p w14:paraId="53861FB1" w14:textId="77777777" w:rsidR="0035359F" w:rsidRPr="00D54DE7" w:rsidRDefault="0035359F" w:rsidP="0035359F">
      <w:pPr>
        <w:tabs>
          <w:tab w:val="clear" w:pos="851"/>
        </w:tabs>
        <w:rPr>
          <w:b/>
          <w:szCs w:val="24"/>
          <w:lang w:bidi="en-US"/>
        </w:rPr>
      </w:pPr>
      <w:r w:rsidRPr="00D54DE7">
        <w:rPr>
          <w:b/>
          <w:szCs w:val="24"/>
          <w:lang w:bidi="en-US"/>
        </w:rPr>
        <w:t>Food Standards (Proposal P1016– Hydrocyanic Acid in Apricot Kernels &amp; other Foods) Variation</w:t>
      </w:r>
    </w:p>
    <w:p w14:paraId="5B7AB605" w14:textId="77777777" w:rsidR="0035359F" w:rsidRPr="009E3AEF" w:rsidRDefault="0035359F" w:rsidP="0035359F">
      <w:pPr>
        <w:tabs>
          <w:tab w:val="clear" w:pos="851"/>
        </w:tabs>
        <w:rPr>
          <w:b/>
          <w:lang w:bidi="en-US"/>
        </w:rPr>
      </w:pPr>
      <w:r w:rsidRPr="00D54DE7">
        <w:rPr>
          <w:b/>
          <w:i/>
          <w:lang w:bidi="en-US"/>
        </w:rPr>
        <w:t>Australia New Zealand Food Standards Code</w:t>
      </w:r>
      <w:r w:rsidRPr="00D54DE7">
        <w:rPr>
          <w:b/>
          <w:lang w:bidi="en-US"/>
        </w:rPr>
        <w:t xml:space="preserve"> –</w:t>
      </w:r>
      <w:r w:rsidRPr="00D54DE7">
        <w:rPr>
          <w:b/>
          <w:color w:val="000000"/>
          <w:lang w:bidi="en-US"/>
        </w:rPr>
        <w:t xml:space="preserve"> Revocation and Transitional Variation</w:t>
      </w:r>
      <w:r w:rsidRPr="00D54DE7">
        <w:rPr>
          <w:b/>
          <w:lang w:bidi="en-US"/>
        </w:rPr>
        <w:t xml:space="preserve"> 2015 (Proposal P1016 </w:t>
      </w:r>
      <w:r w:rsidRPr="00D54DE7">
        <w:rPr>
          <w:b/>
          <w:szCs w:val="24"/>
          <w:lang w:bidi="en-US"/>
        </w:rPr>
        <w:t>– Hydrocyanic Acid in Apricot Kernels &amp; other Foods</w:t>
      </w:r>
      <w:r w:rsidRPr="00D54DE7">
        <w:rPr>
          <w:b/>
          <w:lang w:bidi="en-US"/>
        </w:rPr>
        <w:t>)</w:t>
      </w:r>
    </w:p>
    <w:p w14:paraId="0DA5CD2A" w14:textId="77777777" w:rsidR="0035359F" w:rsidRPr="00D54DE7" w:rsidRDefault="0035359F" w:rsidP="0035359F">
      <w:pPr>
        <w:rPr>
          <w:b/>
        </w:rPr>
      </w:pPr>
      <w:r w:rsidRPr="005E4E4E">
        <w:rPr>
          <w:b/>
        </w:rPr>
        <w:t xml:space="preserve">Food Standards (Proposal P1037– Amendments associated with Nutrition Content &amp; Health </w:t>
      </w:r>
      <w:r w:rsidRPr="00D54DE7">
        <w:rPr>
          <w:b/>
        </w:rPr>
        <w:t>Claims) Variation</w:t>
      </w:r>
    </w:p>
    <w:p w14:paraId="2CBC7497" w14:textId="77777777" w:rsidR="0035359F" w:rsidRPr="009E3AEF" w:rsidRDefault="0035359F" w:rsidP="0035359F">
      <w:pPr>
        <w:tabs>
          <w:tab w:val="clear" w:pos="851"/>
        </w:tabs>
        <w:rPr>
          <w:b/>
          <w:lang w:bidi="en-US"/>
        </w:rPr>
      </w:pPr>
      <w:r w:rsidRPr="00D54DE7">
        <w:rPr>
          <w:rFonts w:cs="Arial"/>
          <w:b/>
          <w:i/>
          <w:lang w:bidi="en-US"/>
        </w:rPr>
        <w:t>Australia New Zealand Food Standards Code</w:t>
      </w:r>
      <w:r w:rsidRPr="00D54DE7">
        <w:rPr>
          <w:rFonts w:cs="Arial"/>
          <w:b/>
          <w:lang w:bidi="en-US"/>
        </w:rPr>
        <w:t xml:space="preserve"> –</w:t>
      </w:r>
      <w:r w:rsidRPr="00D54DE7">
        <w:rPr>
          <w:rFonts w:cs="Arial"/>
          <w:b/>
          <w:color w:val="000000"/>
          <w:lang w:bidi="en-US"/>
        </w:rPr>
        <w:t xml:space="preserve"> Transitional Variation</w:t>
      </w:r>
      <w:r w:rsidRPr="00D54DE7">
        <w:rPr>
          <w:rFonts w:cs="Arial"/>
          <w:b/>
          <w:lang w:bidi="en-US"/>
        </w:rPr>
        <w:t xml:space="preserve"> 2015 (</w:t>
      </w:r>
      <w:r w:rsidRPr="00D54DE7">
        <w:rPr>
          <w:b/>
          <w:szCs w:val="24"/>
          <w:lang w:bidi="en-US"/>
        </w:rPr>
        <w:t>Proposal P1037 – Amendments associated with Nutrition Content &amp; Health Claims</w:t>
      </w:r>
      <w:r w:rsidRPr="00D54DE7">
        <w:rPr>
          <w:rFonts w:cs="Arial"/>
          <w:b/>
          <w:lang w:bidi="en-US"/>
        </w:rPr>
        <w:t>)</w:t>
      </w:r>
      <w:r w:rsidRPr="009E3AEF">
        <w:rPr>
          <w:b/>
          <w:lang w:bidi="en-US"/>
        </w:rPr>
        <w:t xml:space="preserve"> </w:t>
      </w:r>
    </w:p>
    <w:p w14:paraId="54D17E66" w14:textId="77777777" w:rsidR="0035359F" w:rsidRPr="00D27B6E" w:rsidRDefault="0035359F" w:rsidP="0035359F">
      <w:pPr>
        <w:rPr>
          <w:b/>
        </w:rPr>
      </w:pPr>
      <w:r w:rsidRPr="00AA3F96">
        <w:rPr>
          <w:b/>
        </w:rPr>
        <w:t>Food Standards (P1038 – Vitamin &amp; Mineral Claims &amp; Sodium Claims about Food containing Alcohol) Variation</w:t>
      </w:r>
    </w:p>
    <w:p w14:paraId="03EAFC14" w14:textId="77777777" w:rsidR="0035359F" w:rsidRPr="00A90B4F" w:rsidRDefault="0035359F" w:rsidP="0035359F">
      <w:pPr>
        <w:rPr>
          <w:b/>
        </w:rPr>
      </w:pPr>
      <w:r w:rsidRPr="00AA3F96">
        <w:rPr>
          <w:rFonts w:cs="Arial"/>
          <w:b/>
          <w:i/>
        </w:rPr>
        <w:t>Australia New Zealand Food Standards Code</w:t>
      </w:r>
      <w:r w:rsidRPr="00AA3F96">
        <w:rPr>
          <w:rFonts w:cs="Arial"/>
          <w:b/>
        </w:rPr>
        <w:t xml:space="preserve"> –</w:t>
      </w:r>
      <w:r w:rsidRPr="00AA3F96">
        <w:rPr>
          <w:rFonts w:cs="Arial"/>
          <w:b/>
          <w:color w:val="000000"/>
        </w:rPr>
        <w:t xml:space="preserve"> Transitional Variation</w:t>
      </w:r>
      <w:r w:rsidRPr="00AA3F96">
        <w:rPr>
          <w:rFonts w:cs="Arial"/>
          <w:b/>
        </w:rPr>
        <w:t xml:space="preserve"> 2015 (</w:t>
      </w:r>
      <w:r w:rsidRPr="00AA3F96">
        <w:rPr>
          <w:b/>
        </w:rPr>
        <w:t>P1038 – Vitamin &amp; Mineral Claims &amp; Sodium Claims about Food containing Alcohol</w:t>
      </w:r>
      <w:r w:rsidRPr="00AA3F96">
        <w:rPr>
          <w:rFonts w:cs="Arial"/>
          <w:b/>
        </w:rPr>
        <w:t>)</w:t>
      </w:r>
      <w:r w:rsidRPr="00A90B4F">
        <w:rPr>
          <w:b/>
        </w:rPr>
        <w:t xml:space="preserve"> </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05479DCA" w14:textId="77777777" w:rsidR="00A600E8" w:rsidRDefault="00A600E8" w:rsidP="001E3222"/>
    <w:p w14:paraId="05479DCB" w14:textId="77777777" w:rsidR="009D4307" w:rsidRDefault="009D4307" w:rsidP="001E3222"/>
    <w:p w14:paraId="05479DCC" w14:textId="77777777" w:rsidR="007F28E0" w:rsidRDefault="007F28E0"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77777777"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9D4307">
        <w:rPr>
          <w:sz w:val="16"/>
          <w:szCs w:val="16"/>
        </w:rPr>
        <w:t>a 2015</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77777777"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14:paraId="1A959838" w14:textId="2DCF000B" w:rsidR="00937DCE" w:rsidRPr="00937DCE" w:rsidRDefault="00161FA0" w:rsidP="0035359F">
      <w:pPr>
        <w:rPr>
          <w:sz w:val="22"/>
          <w:szCs w:val="24"/>
          <w:lang w:bidi="en-US"/>
        </w:rPr>
      </w:pPr>
      <w:r>
        <w:rPr>
          <w:sz w:val="16"/>
        </w:rPr>
        <w:br w:type="page"/>
      </w:r>
    </w:p>
    <w:p w14:paraId="2A153DC3" w14:textId="77777777" w:rsidR="0035359F" w:rsidRPr="0035359F" w:rsidRDefault="0035359F" w:rsidP="0035359F">
      <w:pPr>
        <w:tabs>
          <w:tab w:val="clear" w:pos="851"/>
        </w:tabs>
        <w:rPr>
          <w:sz w:val="22"/>
          <w:highlight w:val="yellow"/>
          <w:lang w:bidi="en-US"/>
        </w:rPr>
      </w:pPr>
      <w:r w:rsidRPr="0035359F">
        <w:rPr>
          <w:noProof/>
          <w:szCs w:val="24"/>
          <w:highlight w:val="yellow"/>
          <w:lang w:eastAsia="en-GB"/>
        </w:rPr>
        <w:lastRenderedPageBreak/>
        <w:drawing>
          <wp:inline distT="0" distB="0" distL="0" distR="0" wp14:anchorId="1459C68C" wp14:editId="5322A1A7">
            <wp:extent cx="2656936" cy="438061"/>
            <wp:effectExtent l="0" t="0" r="0" b="635"/>
            <wp:docPr id="20" name="Picture 20"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BEF2847" w14:textId="77777777" w:rsidR="0035359F" w:rsidRPr="0035359F" w:rsidRDefault="0035359F" w:rsidP="0035359F">
      <w:pPr>
        <w:pBdr>
          <w:bottom w:val="single" w:sz="4" w:space="1" w:color="auto"/>
        </w:pBdr>
        <w:jc w:val="center"/>
        <w:rPr>
          <w:rFonts w:eastAsiaTheme="minorHAnsi" w:cstheme="minorBidi"/>
          <w:b/>
          <w:bCs/>
          <w:color w:val="000000" w:themeColor="text1"/>
          <w:szCs w:val="24"/>
          <w:highlight w:val="yellow"/>
          <w:lang w:val="en-AU" w:eastAsia="en-GB"/>
        </w:rPr>
      </w:pPr>
    </w:p>
    <w:p w14:paraId="70E8D560" w14:textId="77777777" w:rsidR="0035359F" w:rsidRPr="0035359F" w:rsidRDefault="0035359F" w:rsidP="0035359F">
      <w:pPr>
        <w:pBdr>
          <w:bottom w:val="single" w:sz="4" w:space="1" w:color="auto"/>
        </w:pBdr>
        <w:tabs>
          <w:tab w:val="clear" w:pos="851"/>
        </w:tabs>
        <w:rPr>
          <w:b/>
          <w:color w:val="000000" w:themeColor="text1"/>
          <w:szCs w:val="24"/>
          <w:lang w:bidi="en-US"/>
        </w:rPr>
      </w:pPr>
      <w:r w:rsidRPr="0035359F">
        <w:rPr>
          <w:b/>
          <w:color w:val="000000" w:themeColor="text1"/>
          <w:szCs w:val="24"/>
          <w:lang w:bidi="en-US"/>
        </w:rPr>
        <w:t>Food Standards (Application A1106 – Food derived from Herbicide-tolerant &amp; Insect-protected Corn Line 4114) Variation</w:t>
      </w:r>
    </w:p>
    <w:p w14:paraId="2F4EBCD0" w14:textId="77777777" w:rsidR="0035359F" w:rsidRPr="0035359F" w:rsidRDefault="0035359F" w:rsidP="0035359F">
      <w:pPr>
        <w:pBdr>
          <w:bottom w:val="single" w:sz="4" w:space="1" w:color="auto"/>
        </w:pBdr>
        <w:tabs>
          <w:tab w:val="clear" w:pos="851"/>
        </w:tabs>
        <w:rPr>
          <w:b/>
          <w:color w:val="000000" w:themeColor="text1"/>
          <w:szCs w:val="24"/>
          <w:lang w:bidi="en-US"/>
        </w:rPr>
      </w:pPr>
    </w:p>
    <w:p w14:paraId="7AAE317B" w14:textId="77777777" w:rsidR="0035359F" w:rsidRPr="0035359F" w:rsidRDefault="0035359F" w:rsidP="0035359F">
      <w:pPr>
        <w:tabs>
          <w:tab w:val="clear" w:pos="851"/>
        </w:tabs>
        <w:rPr>
          <w:szCs w:val="24"/>
          <w:lang w:bidi="en-US"/>
        </w:rPr>
      </w:pPr>
    </w:p>
    <w:p w14:paraId="07AD2530"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The Standard commences on the date specified in clause 3 of this variation.</w:t>
      </w:r>
    </w:p>
    <w:p w14:paraId="18784C53" w14:textId="77777777" w:rsidR="0035359F" w:rsidRPr="0035359F" w:rsidRDefault="0035359F" w:rsidP="0035359F">
      <w:pPr>
        <w:tabs>
          <w:tab w:val="clear" w:pos="851"/>
        </w:tabs>
        <w:rPr>
          <w:szCs w:val="24"/>
          <w:lang w:bidi="en-US"/>
        </w:rPr>
      </w:pPr>
    </w:p>
    <w:p w14:paraId="5A14D43B" w14:textId="77777777" w:rsidR="0035359F" w:rsidRPr="0035359F" w:rsidRDefault="0035359F" w:rsidP="0035359F">
      <w:pPr>
        <w:tabs>
          <w:tab w:val="clear" w:pos="851"/>
        </w:tabs>
        <w:rPr>
          <w:szCs w:val="24"/>
          <w:lang w:bidi="en-US"/>
        </w:rPr>
      </w:pPr>
      <w:r w:rsidRPr="0035359F">
        <w:rPr>
          <w:szCs w:val="24"/>
          <w:lang w:bidi="en-US"/>
        </w:rPr>
        <w:t>30 November 2015</w:t>
      </w:r>
    </w:p>
    <w:p w14:paraId="6C1ED198"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72A077BB" wp14:editId="111E28A3">
            <wp:extent cx="1343025" cy="79057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55B9F37"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56F7E981"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7FC5E2AF" w14:textId="77777777" w:rsidR="0035359F" w:rsidRPr="0035359F" w:rsidRDefault="0035359F" w:rsidP="0035359F">
      <w:pPr>
        <w:tabs>
          <w:tab w:val="clear" w:pos="851"/>
        </w:tabs>
        <w:rPr>
          <w:szCs w:val="24"/>
          <w:lang w:bidi="en-US"/>
        </w:rPr>
      </w:pPr>
    </w:p>
    <w:p w14:paraId="65965832" w14:textId="77777777" w:rsidR="0035359F" w:rsidRPr="0035359F" w:rsidRDefault="0035359F" w:rsidP="0035359F">
      <w:pPr>
        <w:tabs>
          <w:tab w:val="clear" w:pos="851"/>
        </w:tabs>
        <w:rPr>
          <w:szCs w:val="24"/>
          <w:lang w:bidi="en-US"/>
        </w:rPr>
      </w:pPr>
    </w:p>
    <w:p w14:paraId="53C26355" w14:textId="77777777" w:rsidR="0035359F" w:rsidRPr="0035359F" w:rsidRDefault="0035359F" w:rsidP="0035359F">
      <w:pPr>
        <w:tabs>
          <w:tab w:val="clear" w:pos="851"/>
        </w:tabs>
        <w:rPr>
          <w:szCs w:val="24"/>
          <w:lang w:bidi="en-US"/>
        </w:rPr>
      </w:pPr>
    </w:p>
    <w:p w14:paraId="6369A6AB" w14:textId="77777777" w:rsidR="0035359F" w:rsidRPr="0035359F" w:rsidRDefault="0035359F" w:rsidP="0035359F">
      <w:pPr>
        <w:tabs>
          <w:tab w:val="clear" w:pos="851"/>
        </w:tabs>
        <w:rPr>
          <w:szCs w:val="24"/>
          <w:lang w:bidi="en-US"/>
        </w:rPr>
      </w:pPr>
    </w:p>
    <w:p w14:paraId="672BD273" w14:textId="77777777" w:rsidR="0035359F" w:rsidRPr="0035359F" w:rsidRDefault="0035359F" w:rsidP="0035359F">
      <w:pPr>
        <w:tabs>
          <w:tab w:val="clear" w:pos="851"/>
        </w:tabs>
        <w:rPr>
          <w:szCs w:val="24"/>
          <w:lang w:bidi="en-US"/>
        </w:rPr>
      </w:pPr>
    </w:p>
    <w:p w14:paraId="173567F0"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76E113B6"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33BE2FCB"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This means that this date is the gazettal date for the purposes of clause 3 of the variation. </w:t>
      </w:r>
    </w:p>
    <w:p w14:paraId="223C5032" w14:textId="77777777" w:rsidR="0035359F" w:rsidRPr="0035359F" w:rsidRDefault="0035359F" w:rsidP="0035359F">
      <w:pPr>
        <w:tabs>
          <w:tab w:val="clear" w:pos="851"/>
        </w:tabs>
        <w:rPr>
          <w:szCs w:val="24"/>
          <w:lang w:bidi="en-US"/>
        </w:rPr>
      </w:pPr>
    </w:p>
    <w:p w14:paraId="7EDD52A5" w14:textId="77777777" w:rsidR="0035359F" w:rsidRPr="0035359F" w:rsidRDefault="0035359F" w:rsidP="0035359F">
      <w:pPr>
        <w:tabs>
          <w:tab w:val="clear" w:pos="851"/>
        </w:tabs>
        <w:rPr>
          <w:szCs w:val="24"/>
          <w:lang w:bidi="en-US"/>
        </w:rPr>
      </w:pPr>
      <w:r w:rsidRPr="0035359F">
        <w:rPr>
          <w:szCs w:val="24"/>
          <w:lang w:bidi="en-US"/>
        </w:rPr>
        <w:br w:type="page"/>
      </w:r>
    </w:p>
    <w:p w14:paraId="0BB884E6" w14:textId="77777777" w:rsidR="0035359F" w:rsidRPr="0035359F" w:rsidRDefault="0035359F" w:rsidP="0035359F">
      <w:pPr>
        <w:keepNext/>
        <w:rPr>
          <w:b/>
          <w:lang w:bidi="en-US"/>
        </w:rPr>
      </w:pPr>
      <w:r w:rsidRPr="0035359F">
        <w:rPr>
          <w:b/>
          <w:lang w:bidi="en-US"/>
        </w:rPr>
        <w:lastRenderedPageBreak/>
        <w:t>1</w:t>
      </w:r>
      <w:r w:rsidRPr="0035359F">
        <w:rPr>
          <w:b/>
          <w:lang w:bidi="en-US"/>
        </w:rPr>
        <w:tab/>
        <w:t>Name</w:t>
      </w:r>
    </w:p>
    <w:p w14:paraId="40CF0FE5" w14:textId="77777777" w:rsidR="0035359F" w:rsidRPr="0035359F" w:rsidRDefault="0035359F" w:rsidP="0035359F">
      <w:pPr>
        <w:rPr>
          <w:lang w:bidi="en-US"/>
        </w:rPr>
      </w:pPr>
    </w:p>
    <w:p w14:paraId="62A1A1B3" w14:textId="77777777" w:rsidR="0035359F" w:rsidRPr="0035359F" w:rsidRDefault="0035359F" w:rsidP="0035359F">
      <w:pPr>
        <w:rPr>
          <w:lang w:bidi="en-US"/>
        </w:rPr>
      </w:pPr>
      <w:r w:rsidRPr="0035359F">
        <w:rPr>
          <w:lang w:bidi="en-US"/>
        </w:rPr>
        <w:t xml:space="preserve">This instrument is the </w:t>
      </w:r>
      <w:r w:rsidRPr="0035359F">
        <w:rPr>
          <w:i/>
          <w:lang w:bidi="en-US"/>
        </w:rPr>
        <w:t>Food Standards (Application A1106 – Food derived from Herbicide-tolerant and Insect-protected Corn Line 4114) Variation</w:t>
      </w:r>
      <w:r w:rsidRPr="0035359F">
        <w:rPr>
          <w:lang w:bidi="en-US"/>
        </w:rPr>
        <w:t>.</w:t>
      </w:r>
    </w:p>
    <w:p w14:paraId="6DC5443D" w14:textId="77777777" w:rsidR="0035359F" w:rsidRPr="0035359F" w:rsidRDefault="0035359F" w:rsidP="0035359F">
      <w:pPr>
        <w:rPr>
          <w:lang w:bidi="en-US"/>
        </w:rPr>
      </w:pPr>
    </w:p>
    <w:p w14:paraId="43D7CDCC" w14:textId="77777777" w:rsidR="0035359F" w:rsidRPr="0035359F" w:rsidRDefault="0035359F" w:rsidP="0035359F">
      <w:pPr>
        <w:keepNext/>
        <w:tabs>
          <w:tab w:val="clear" w:pos="851"/>
        </w:tabs>
        <w:ind w:left="851" w:hanging="851"/>
        <w:rPr>
          <w:b/>
          <w:lang w:bidi="en-US"/>
        </w:rPr>
      </w:pPr>
      <w:r w:rsidRPr="0035359F">
        <w:rPr>
          <w:b/>
          <w:lang w:bidi="en-US"/>
        </w:rPr>
        <w:t>2</w:t>
      </w:r>
      <w:r w:rsidRPr="0035359F">
        <w:rPr>
          <w:b/>
          <w:lang w:bidi="en-US"/>
        </w:rPr>
        <w:tab/>
        <w:t xml:space="preserve">Variation to a Standard in the </w:t>
      </w:r>
      <w:r w:rsidRPr="0035359F">
        <w:rPr>
          <w:b/>
          <w:i/>
          <w:lang w:bidi="en-US"/>
        </w:rPr>
        <w:t>Australia New Zealand Food Standards Code</w:t>
      </w:r>
    </w:p>
    <w:p w14:paraId="48FEEBB1" w14:textId="77777777" w:rsidR="0035359F" w:rsidRPr="0035359F" w:rsidRDefault="0035359F" w:rsidP="0035359F">
      <w:pPr>
        <w:rPr>
          <w:lang w:bidi="en-US"/>
        </w:rPr>
      </w:pPr>
    </w:p>
    <w:p w14:paraId="76A4C44F" w14:textId="77777777" w:rsidR="0035359F" w:rsidRPr="0035359F" w:rsidRDefault="0035359F" w:rsidP="0035359F">
      <w:pPr>
        <w:rPr>
          <w:lang w:bidi="en-US"/>
        </w:rPr>
      </w:pPr>
      <w:r w:rsidRPr="0035359F">
        <w:rPr>
          <w:lang w:bidi="en-US"/>
        </w:rPr>
        <w:t xml:space="preserve">The Schedule varies a Standard in the </w:t>
      </w:r>
      <w:r w:rsidRPr="0035359F">
        <w:rPr>
          <w:i/>
          <w:lang w:bidi="en-US"/>
        </w:rPr>
        <w:t>Australia New Zealand Food Standards Code</w:t>
      </w:r>
      <w:r w:rsidRPr="0035359F">
        <w:rPr>
          <w:lang w:bidi="en-US"/>
        </w:rPr>
        <w:t>.</w:t>
      </w:r>
    </w:p>
    <w:p w14:paraId="2A0BF0D4" w14:textId="77777777" w:rsidR="0035359F" w:rsidRPr="0035359F" w:rsidRDefault="0035359F" w:rsidP="0035359F">
      <w:pPr>
        <w:tabs>
          <w:tab w:val="clear" w:pos="851"/>
        </w:tabs>
        <w:rPr>
          <w:szCs w:val="24"/>
          <w:lang w:bidi="en-US"/>
        </w:rPr>
      </w:pPr>
    </w:p>
    <w:p w14:paraId="2722BEAC" w14:textId="77777777" w:rsidR="0035359F" w:rsidRPr="0035359F" w:rsidRDefault="0035359F" w:rsidP="0035359F">
      <w:pPr>
        <w:keepNext/>
        <w:rPr>
          <w:b/>
          <w:lang w:bidi="en-US"/>
        </w:rPr>
      </w:pPr>
      <w:r w:rsidRPr="0035359F">
        <w:rPr>
          <w:b/>
          <w:lang w:bidi="en-US"/>
        </w:rPr>
        <w:t>3</w:t>
      </w:r>
      <w:r w:rsidRPr="0035359F">
        <w:rPr>
          <w:b/>
          <w:lang w:bidi="en-US"/>
        </w:rPr>
        <w:tab/>
        <w:t>Commencement</w:t>
      </w:r>
    </w:p>
    <w:p w14:paraId="7AF99529" w14:textId="77777777" w:rsidR="0035359F" w:rsidRPr="0035359F" w:rsidRDefault="0035359F" w:rsidP="0035359F">
      <w:pPr>
        <w:rPr>
          <w:lang w:bidi="en-US"/>
        </w:rPr>
      </w:pPr>
    </w:p>
    <w:p w14:paraId="53DC4D70" w14:textId="77777777" w:rsidR="0035359F" w:rsidRPr="0035359F" w:rsidRDefault="0035359F" w:rsidP="0035359F">
      <w:pPr>
        <w:rPr>
          <w:lang w:bidi="en-US"/>
        </w:rPr>
      </w:pPr>
      <w:r w:rsidRPr="0035359F">
        <w:rPr>
          <w:lang w:bidi="en-US"/>
        </w:rPr>
        <w:t>The variation commences on the date of gazettal.</w:t>
      </w:r>
    </w:p>
    <w:p w14:paraId="4593B228" w14:textId="77777777" w:rsidR="0035359F" w:rsidRPr="0035359F" w:rsidRDefault="0035359F" w:rsidP="0035359F">
      <w:pPr>
        <w:jc w:val="center"/>
        <w:rPr>
          <w:b/>
          <w:caps/>
          <w:lang w:bidi="en-US"/>
        </w:rPr>
      </w:pPr>
    </w:p>
    <w:p w14:paraId="4E2674A8" w14:textId="77777777" w:rsidR="0035359F" w:rsidRPr="0035359F" w:rsidRDefault="0035359F" w:rsidP="0035359F">
      <w:pPr>
        <w:jc w:val="center"/>
        <w:rPr>
          <w:b/>
          <w:caps/>
          <w:lang w:bidi="en-US"/>
        </w:rPr>
      </w:pPr>
      <w:r w:rsidRPr="0035359F">
        <w:rPr>
          <w:b/>
          <w:caps/>
          <w:lang w:bidi="en-US"/>
        </w:rPr>
        <w:t>SCHEDULE</w:t>
      </w:r>
    </w:p>
    <w:p w14:paraId="34563FDA" w14:textId="77777777" w:rsidR="0035359F" w:rsidRPr="0035359F" w:rsidRDefault="0035359F" w:rsidP="0035359F">
      <w:pPr>
        <w:tabs>
          <w:tab w:val="clear" w:pos="851"/>
        </w:tabs>
        <w:rPr>
          <w:szCs w:val="24"/>
          <w:lang w:bidi="en-US"/>
        </w:rPr>
      </w:pPr>
    </w:p>
    <w:p w14:paraId="6BDC5A78" w14:textId="77777777" w:rsidR="0035359F" w:rsidRPr="0035359F" w:rsidRDefault="0035359F" w:rsidP="0035359F">
      <w:pPr>
        <w:tabs>
          <w:tab w:val="clear" w:pos="851"/>
        </w:tabs>
        <w:rPr>
          <w:iCs/>
          <w:szCs w:val="24"/>
          <w:lang w:bidi="en-US"/>
        </w:rPr>
      </w:pPr>
      <w:r w:rsidRPr="0035359F">
        <w:rPr>
          <w:b/>
          <w:bCs/>
          <w:szCs w:val="24"/>
          <w:lang w:bidi="en-US"/>
        </w:rPr>
        <w:t>[1]</w:t>
      </w:r>
      <w:r w:rsidRPr="0035359F">
        <w:rPr>
          <w:szCs w:val="24"/>
          <w:lang w:bidi="en-US"/>
        </w:rPr>
        <w:tab/>
      </w:r>
      <w:r w:rsidRPr="0035359F">
        <w:rPr>
          <w:b/>
          <w:bCs/>
          <w:iCs/>
          <w:szCs w:val="24"/>
          <w:lang w:bidi="en-US"/>
        </w:rPr>
        <w:t>Standard 1.5.2</w:t>
      </w:r>
      <w:r w:rsidRPr="0035359F">
        <w:rPr>
          <w:iCs/>
          <w:szCs w:val="24"/>
          <w:lang w:bidi="en-US"/>
        </w:rPr>
        <w:t xml:space="preserve"> is varied by </w:t>
      </w:r>
      <w:r w:rsidRPr="0035359F">
        <w:rPr>
          <w:szCs w:val="24"/>
          <w:lang w:bidi="en-US"/>
        </w:rPr>
        <w:t xml:space="preserve">inserting in Item numerical order in the Schedule </w:t>
      </w:r>
    </w:p>
    <w:p w14:paraId="7F87AA59" w14:textId="77777777" w:rsidR="0035359F" w:rsidRPr="0035359F" w:rsidRDefault="0035359F" w:rsidP="0035359F">
      <w:pPr>
        <w:tabs>
          <w:tab w:val="clear" w:pos="851"/>
        </w:tabs>
        <w:rPr>
          <w:szCs w:val="24"/>
          <w:lang w:bidi="en-US"/>
        </w:rPr>
      </w:pPr>
    </w:p>
    <w:p w14:paraId="129F02CF" w14:textId="77777777" w:rsidR="0035359F" w:rsidRPr="0035359F" w:rsidRDefault="0035359F" w:rsidP="0035359F">
      <w:pPr>
        <w:tabs>
          <w:tab w:val="clear" w:pos="851"/>
        </w:tabs>
        <w:rPr>
          <w:szCs w:val="24"/>
          <w:lang w:bidi="en-US"/>
        </w:rPr>
      </w:pPr>
      <w:r w:rsidRPr="0035359F">
        <w:rPr>
          <w:szCs w:val="24"/>
          <w:lang w:bidi="en-US"/>
        </w:rPr>
        <w:t>“</w:t>
      </w:r>
    </w:p>
    <w:tbl>
      <w:tblPr>
        <w:tblW w:w="90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0"/>
        <w:gridCol w:w="1480"/>
        <w:gridCol w:w="3606"/>
        <w:gridCol w:w="2529"/>
      </w:tblGrid>
      <w:tr w:rsidR="0035359F" w:rsidRPr="0035359F" w14:paraId="69943435" w14:textId="77777777" w:rsidTr="009D4E04">
        <w:trPr>
          <w:cantSplit/>
          <w:trHeight w:val="465"/>
        </w:trPr>
        <w:tc>
          <w:tcPr>
            <w:tcW w:w="1364" w:type="dxa"/>
          </w:tcPr>
          <w:p w14:paraId="793B7705" w14:textId="77777777" w:rsidR="0035359F" w:rsidRPr="0035359F" w:rsidRDefault="0035359F" w:rsidP="0035359F">
            <w:pPr>
              <w:tabs>
                <w:tab w:val="clear" w:pos="851"/>
              </w:tabs>
              <w:ind w:left="142" w:hanging="142"/>
              <w:rPr>
                <w:bCs/>
                <w:color w:val="000000" w:themeColor="text1"/>
                <w:sz w:val="18"/>
                <w:lang w:bidi="en-US"/>
              </w:rPr>
            </w:pPr>
          </w:p>
        </w:tc>
        <w:tc>
          <w:tcPr>
            <w:tcW w:w="1443" w:type="dxa"/>
          </w:tcPr>
          <w:p w14:paraId="7951E104" w14:textId="77777777" w:rsidR="0035359F" w:rsidRPr="0035359F" w:rsidRDefault="0035359F" w:rsidP="0035359F">
            <w:pPr>
              <w:tabs>
                <w:tab w:val="clear" w:pos="851"/>
              </w:tabs>
              <w:ind w:left="142" w:hanging="142"/>
              <w:rPr>
                <w:bCs/>
                <w:color w:val="000000" w:themeColor="text1"/>
                <w:sz w:val="18"/>
                <w:lang w:bidi="en-US"/>
              </w:rPr>
            </w:pPr>
            <w:r w:rsidRPr="0035359F">
              <w:rPr>
                <w:bCs/>
                <w:color w:val="000000" w:themeColor="text1"/>
                <w:sz w:val="18"/>
                <w:lang w:bidi="en-US"/>
              </w:rPr>
              <w:t>2.23</w:t>
            </w:r>
          </w:p>
        </w:tc>
        <w:tc>
          <w:tcPr>
            <w:tcW w:w="3516" w:type="dxa"/>
          </w:tcPr>
          <w:p w14:paraId="55324D5D" w14:textId="77777777" w:rsidR="0035359F" w:rsidRPr="0035359F" w:rsidRDefault="0035359F" w:rsidP="0035359F">
            <w:pPr>
              <w:tabs>
                <w:tab w:val="clear" w:pos="851"/>
              </w:tabs>
              <w:ind w:left="142" w:hanging="142"/>
              <w:rPr>
                <w:bCs/>
                <w:color w:val="000000" w:themeColor="text1"/>
                <w:sz w:val="18"/>
                <w:lang w:bidi="en-US"/>
              </w:rPr>
            </w:pPr>
            <w:r w:rsidRPr="0035359F">
              <w:rPr>
                <w:bCs/>
                <w:color w:val="000000" w:themeColor="text1"/>
                <w:sz w:val="18"/>
                <w:lang w:bidi="en-US"/>
              </w:rPr>
              <w:t>Food derived from herbicide-tolerant and insect-protected corn line 4114</w:t>
            </w:r>
          </w:p>
        </w:tc>
        <w:tc>
          <w:tcPr>
            <w:tcW w:w="2466" w:type="dxa"/>
          </w:tcPr>
          <w:p w14:paraId="05CECCD1" w14:textId="77777777" w:rsidR="0035359F" w:rsidRPr="0035359F" w:rsidRDefault="0035359F" w:rsidP="0035359F">
            <w:pPr>
              <w:tabs>
                <w:tab w:val="clear" w:pos="851"/>
              </w:tabs>
              <w:ind w:left="142" w:hanging="142"/>
              <w:rPr>
                <w:bCs/>
                <w:color w:val="000000" w:themeColor="text1"/>
                <w:sz w:val="18"/>
                <w:lang w:bidi="en-US"/>
              </w:rPr>
            </w:pPr>
          </w:p>
        </w:tc>
      </w:tr>
    </w:tbl>
    <w:p w14:paraId="75A3BDA0" w14:textId="77777777" w:rsidR="0035359F" w:rsidRPr="0035359F" w:rsidRDefault="0035359F" w:rsidP="0035359F">
      <w:pPr>
        <w:tabs>
          <w:tab w:val="clear" w:pos="851"/>
        </w:tabs>
        <w:jc w:val="right"/>
        <w:rPr>
          <w:color w:val="000000" w:themeColor="text1"/>
          <w:szCs w:val="24"/>
          <w:lang w:bidi="en-US"/>
        </w:rPr>
      </w:pPr>
      <w:r w:rsidRPr="0035359F">
        <w:rPr>
          <w:color w:val="000000" w:themeColor="text1"/>
          <w:szCs w:val="24"/>
          <w:lang w:bidi="en-US"/>
        </w:rPr>
        <w:t>”</w:t>
      </w:r>
    </w:p>
    <w:p w14:paraId="25AEA44E" w14:textId="77777777" w:rsidR="0035359F" w:rsidRPr="0035359F" w:rsidRDefault="0035359F" w:rsidP="0035359F">
      <w:pPr>
        <w:tabs>
          <w:tab w:val="clear" w:pos="851"/>
        </w:tabs>
        <w:rPr>
          <w:szCs w:val="24"/>
          <w:lang w:bidi="en-US"/>
        </w:rPr>
      </w:pPr>
    </w:p>
    <w:p w14:paraId="37E1FD82"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73C72E67" w14:textId="77777777" w:rsidR="0035359F" w:rsidRPr="0035359F" w:rsidRDefault="0035359F" w:rsidP="0035359F">
      <w:pPr>
        <w:tabs>
          <w:tab w:val="clear" w:pos="851"/>
        </w:tabs>
        <w:rPr>
          <w:noProof/>
          <w:color w:val="000000" w:themeColor="text1"/>
          <w:szCs w:val="24"/>
          <w:lang w:val="en-AU" w:eastAsia="en-AU" w:bidi="en-US"/>
        </w:rPr>
      </w:pPr>
      <w:r w:rsidRPr="0035359F">
        <w:rPr>
          <w:noProof/>
          <w:color w:val="000000" w:themeColor="text1"/>
          <w:szCs w:val="24"/>
          <w:lang w:eastAsia="en-GB"/>
        </w:rPr>
        <w:lastRenderedPageBreak/>
        <w:drawing>
          <wp:inline distT="0" distB="0" distL="0" distR="0" wp14:anchorId="4D09B7AD" wp14:editId="08D8461C">
            <wp:extent cx="2657475" cy="438150"/>
            <wp:effectExtent l="0" t="0" r="9525" b="0"/>
            <wp:docPr id="22" name="Picture 2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B4C1EE1" w14:textId="77777777" w:rsidR="0035359F" w:rsidRPr="0035359F" w:rsidRDefault="0035359F" w:rsidP="0035359F">
      <w:pPr>
        <w:widowControl/>
        <w:pBdr>
          <w:bottom w:val="single" w:sz="4" w:space="1" w:color="auto"/>
        </w:pBdr>
        <w:jc w:val="center"/>
        <w:rPr>
          <w:rFonts w:eastAsiaTheme="minorHAnsi" w:cstheme="minorBidi"/>
          <w:color w:val="000000" w:themeColor="text1"/>
          <w:lang w:eastAsia="en-GB"/>
        </w:rPr>
      </w:pPr>
    </w:p>
    <w:p w14:paraId="72496225" w14:textId="77777777" w:rsidR="0035359F" w:rsidRPr="0035359F" w:rsidRDefault="0035359F" w:rsidP="0035359F">
      <w:pPr>
        <w:pBdr>
          <w:bottom w:val="single" w:sz="4" w:space="1" w:color="auto"/>
        </w:pBdr>
        <w:tabs>
          <w:tab w:val="clear" w:pos="851"/>
        </w:tabs>
        <w:rPr>
          <w:b/>
          <w:color w:val="000000" w:themeColor="text1"/>
          <w:szCs w:val="24"/>
          <w:lang w:bidi="en-US"/>
        </w:rPr>
      </w:pPr>
      <w:r w:rsidRPr="0035359F">
        <w:rPr>
          <w:rFonts w:cs="Arial"/>
          <w:b/>
          <w:i/>
          <w:lang w:bidi="en-US"/>
        </w:rPr>
        <w:t>Australia New Zealand Food Standards Code</w:t>
      </w:r>
      <w:r w:rsidRPr="0035359F">
        <w:rPr>
          <w:rFonts w:cs="Arial"/>
          <w:b/>
          <w:lang w:bidi="en-US"/>
        </w:rPr>
        <w:t xml:space="preserve"> –</w:t>
      </w:r>
      <w:r w:rsidRPr="0035359F">
        <w:rPr>
          <w:rFonts w:cs="Arial"/>
          <w:b/>
          <w:color w:val="000000"/>
          <w:lang w:bidi="en-US"/>
        </w:rPr>
        <w:t xml:space="preserve"> Transitional Variation</w:t>
      </w:r>
      <w:r w:rsidRPr="0035359F">
        <w:rPr>
          <w:rFonts w:cs="Arial"/>
          <w:b/>
          <w:lang w:bidi="en-US"/>
        </w:rPr>
        <w:t xml:space="preserve"> 2015 </w:t>
      </w:r>
      <w:r w:rsidRPr="0035359F">
        <w:rPr>
          <w:b/>
          <w:color w:val="000000" w:themeColor="text1"/>
          <w:szCs w:val="24"/>
          <w:lang w:bidi="en-US"/>
        </w:rPr>
        <w:t xml:space="preserve">(Application A1106 – Food derived from Herbicide-tolerant &amp; Insect-protected Corn Line 4114) </w:t>
      </w:r>
    </w:p>
    <w:p w14:paraId="04471F6E" w14:textId="77777777" w:rsidR="0035359F" w:rsidRPr="0035359F" w:rsidRDefault="0035359F" w:rsidP="0035359F">
      <w:pPr>
        <w:pBdr>
          <w:bottom w:val="single" w:sz="4" w:space="1" w:color="auto"/>
        </w:pBdr>
        <w:tabs>
          <w:tab w:val="clear" w:pos="851"/>
        </w:tabs>
        <w:rPr>
          <w:b/>
          <w:color w:val="000000" w:themeColor="text1"/>
          <w:szCs w:val="24"/>
          <w:lang w:bidi="en-US"/>
        </w:rPr>
      </w:pPr>
    </w:p>
    <w:p w14:paraId="378D6759" w14:textId="77777777" w:rsidR="0035359F" w:rsidRPr="0035359F" w:rsidRDefault="0035359F" w:rsidP="0035359F">
      <w:pPr>
        <w:tabs>
          <w:tab w:val="clear" w:pos="851"/>
        </w:tabs>
        <w:rPr>
          <w:szCs w:val="24"/>
          <w:lang w:bidi="en-US"/>
        </w:rPr>
      </w:pPr>
    </w:p>
    <w:p w14:paraId="46C29780"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The Standard commences on the date specified in clause 3 of this variation.</w:t>
      </w:r>
    </w:p>
    <w:p w14:paraId="323ADEFF" w14:textId="77777777" w:rsidR="0035359F" w:rsidRPr="0035359F" w:rsidRDefault="0035359F" w:rsidP="0035359F">
      <w:pPr>
        <w:tabs>
          <w:tab w:val="clear" w:pos="851"/>
        </w:tabs>
        <w:rPr>
          <w:szCs w:val="24"/>
          <w:lang w:bidi="en-US"/>
        </w:rPr>
      </w:pPr>
    </w:p>
    <w:p w14:paraId="178999C8" w14:textId="77777777" w:rsidR="0035359F" w:rsidRPr="0035359F" w:rsidRDefault="0035359F" w:rsidP="0035359F">
      <w:pPr>
        <w:tabs>
          <w:tab w:val="clear" w:pos="851"/>
        </w:tabs>
        <w:rPr>
          <w:szCs w:val="24"/>
          <w:lang w:bidi="en-US"/>
        </w:rPr>
      </w:pPr>
      <w:r w:rsidRPr="0035359F">
        <w:rPr>
          <w:szCs w:val="24"/>
          <w:lang w:bidi="en-US"/>
        </w:rPr>
        <w:t>30 November 2015</w:t>
      </w:r>
    </w:p>
    <w:p w14:paraId="14DD4987"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6C0666FA" wp14:editId="4CA9779C">
            <wp:extent cx="1343025" cy="790575"/>
            <wp:effectExtent l="0" t="0" r="9525" b="9525"/>
            <wp:docPr id="23" name="Picture 2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85A788B"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11CF1E54"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51CB27F9" w14:textId="77777777" w:rsidR="0035359F" w:rsidRPr="0035359F" w:rsidRDefault="0035359F" w:rsidP="0035359F">
      <w:pPr>
        <w:tabs>
          <w:tab w:val="clear" w:pos="851"/>
        </w:tabs>
        <w:rPr>
          <w:szCs w:val="24"/>
          <w:lang w:bidi="en-US"/>
        </w:rPr>
      </w:pPr>
    </w:p>
    <w:p w14:paraId="79C962C8" w14:textId="77777777" w:rsidR="0035359F" w:rsidRPr="0035359F" w:rsidRDefault="0035359F" w:rsidP="0035359F">
      <w:pPr>
        <w:tabs>
          <w:tab w:val="clear" w:pos="851"/>
        </w:tabs>
        <w:rPr>
          <w:szCs w:val="24"/>
          <w:lang w:bidi="en-US"/>
        </w:rPr>
      </w:pPr>
    </w:p>
    <w:p w14:paraId="3DDF7F01" w14:textId="77777777" w:rsidR="0035359F" w:rsidRPr="0035359F" w:rsidRDefault="0035359F" w:rsidP="0035359F">
      <w:pPr>
        <w:tabs>
          <w:tab w:val="clear" w:pos="851"/>
        </w:tabs>
        <w:rPr>
          <w:szCs w:val="24"/>
          <w:lang w:bidi="en-US"/>
        </w:rPr>
      </w:pPr>
    </w:p>
    <w:p w14:paraId="421815DE" w14:textId="77777777" w:rsidR="0035359F" w:rsidRPr="0035359F" w:rsidRDefault="0035359F" w:rsidP="0035359F">
      <w:pPr>
        <w:tabs>
          <w:tab w:val="clear" w:pos="851"/>
        </w:tabs>
        <w:rPr>
          <w:szCs w:val="24"/>
          <w:lang w:bidi="en-US"/>
        </w:rPr>
      </w:pPr>
    </w:p>
    <w:p w14:paraId="310BAA95" w14:textId="77777777" w:rsidR="0035359F" w:rsidRPr="0035359F" w:rsidRDefault="0035359F" w:rsidP="0035359F">
      <w:pPr>
        <w:tabs>
          <w:tab w:val="clear" w:pos="851"/>
        </w:tabs>
        <w:rPr>
          <w:szCs w:val="24"/>
          <w:lang w:bidi="en-US"/>
        </w:rPr>
      </w:pPr>
    </w:p>
    <w:p w14:paraId="279BF42A" w14:textId="77777777" w:rsidR="0035359F" w:rsidRPr="0035359F" w:rsidRDefault="0035359F" w:rsidP="0035359F">
      <w:pPr>
        <w:tabs>
          <w:tab w:val="clear" w:pos="851"/>
        </w:tabs>
        <w:rPr>
          <w:szCs w:val="24"/>
          <w:lang w:bidi="en-US"/>
        </w:rPr>
      </w:pPr>
    </w:p>
    <w:p w14:paraId="24F2C786"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10DD3879"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11CC36CD"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w:t>
      </w:r>
    </w:p>
    <w:p w14:paraId="625F1CD4" w14:textId="77777777" w:rsidR="0035359F" w:rsidRPr="0035359F" w:rsidRDefault="0035359F" w:rsidP="0035359F">
      <w:pPr>
        <w:tabs>
          <w:tab w:val="clear" w:pos="851"/>
        </w:tabs>
        <w:rPr>
          <w:szCs w:val="24"/>
          <w:lang w:bidi="en-US"/>
        </w:rPr>
      </w:pPr>
    </w:p>
    <w:p w14:paraId="75E1E05B" w14:textId="77777777" w:rsidR="0035359F" w:rsidRPr="0035359F" w:rsidRDefault="0035359F" w:rsidP="0035359F">
      <w:pPr>
        <w:tabs>
          <w:tab w:val="clear" w:pos="851"/>
        </w:tabs>
        <w:rPr>
          <w:szCs w:val="24"/>
          <w:lang w:bidi="en-US"/>
        </w:rPr>
      </w:pPr>
      <w:r w:rsidRPr="0035359F">
        <w:rPr>
          <w:szCs w:val="24"/>
          <w:lang w:bidi="en-US"/>
        </w:rPr>
        <w:br w:type="page"/>
      </w:r>
    </w:p>
    <w:p w14:paraId="7569001C" w14:textId="77777777" w:rsidR="0035359F" w:rsidRPr="0035359F" w:rsidRDefault="0035359F" w:rsidP="0035359F">
      <w:pPr>
        <w:keepNext/>
        <w:rPr>
          <w:b/>
          <w:lang w:bidi="en-US"/>
        </w:rPr>
      </w:pPr>
      <w:r w:rsidRPr="0035359F">
        <w:rPr>
          <w:b/>
          <w:lang w:bidi="en-US"/>
        </w:rPr>
        <w:lastRenderedPageBreak/>
        <w:t>1</w:t>
      </w:r>
      <w:r w:rsidRPr="0035359F">
        <w:rPr>
          <w:b/>
          <w:lang w:bidi="en-US"/>
        </w:rPr>
        <w:tab/>
        <w:t>Name</w:t>
      </w:r>
    </w:p>
    <w:p w14:paraId="58363884" w14:textId="77777777" w:rsidR="0035359F" w:rsidRPr="0035359F" w:rsidRDefault="0035359F" w:rsidP="0035359F">
      <w:pPr>
        <w:rPr>
          <w:lang w:bidi="en-US"/>
        </w:rPr>
      </w:pPr>
    </w:p>
    <w:p w14:paraId="33231405" w14:textId="77777777" w:rsidR="0035359F" w:rsidRPr="0035359F" w:rsidRDefault="0035359F" w:rsidP="0035359F">
      <w:pPr>
        <w:rPr>
          <w:lang w:bidi="en-US"/>
        </w:rPr>
      </w:pPr>
      <w:r w:rsidRPr="0035359F">
        <w:rPr>
          <w:lang w:bidi="en-US"/>
        </w:rPr>
        <w:t xml:space="preserve">This instrument is the </w:t>
      </w:r>
      <w:r w:rsidRPr="0035359F">
        <w:rPr>
          <w:i/>
          <w:lang w:bidi="en-US"/>
        </w:rPr>
        <w:t xml:space="preserve">Australia New Zealand Food Standards Code </w:t>
      </w:r>
      <w:r w:rsidRPr="0035359F">
        <w:rPr>
          <w:rFonts w:cs="Arial"/>
          <w:i/>
          <w:lang w:bidi="en-US"/>
        </w:rPr>
        <w:t>–</w:t>
      </w:r>
      <w:r w:rsidRPr="0035359F">
        <w:rPr>
          <w:rFonts w:cs="Arial"/>
          <w:i/>
          <w:color w:val="000000"/>
          <w:lang w:bidi="en-US"/>
        </w:rPr>
        <w:t xml:space="preserve"> Transitional Variation</w:t>
      </w:r>
      <w:r w:rsidRPr="0035359F">
        <w:rPr>
          <w:rFonts w:cs="Arial"/>
          <w:i/>
          <w:lang w:bidi="en-US"/>
        </w:rPr>
        <w:t xml:space="preserve"> 2015</w:t>
      </w:r>
      <w:r w:rsidRPr="0035359F">
        <w:rPr>
          <w:rFonts w:cs="Arial"/>
          <w:b/>
          <w:lang w:bidi="en-US"/>
        </w:rPr>
        <w:t xml:space="preserve"> </w:t>
      </w:r>
      <w:r w:rsidRPr="0035359F">
        <w:rPr>
          <w:i/>
          <w:lang w:bidi="en-US"/>
        </w:rPr>
        <w:t>(Application A1106 – Food derived from Herbicide-tolerant and Insect-protected Corn Line 4114)</w:t>
      </w:r>
      <w:r w:rsidRPr="0035359F">
        <w:rPr>
          <w:lang w:bidi="en-US"/>
        </w:rPr>
        <w:t>.</w:t>
      </w:r>
    </w:p>
    <w:p w14:paraId="63C3C527" w14:textId="77777777" w:rsidR="0035359F" w:rsidRPr="0035359F" w:rsidRDefault="0035359F" w:rsidP="0035359F">
      <w:pPr>
        <w:rPr>
          <w:lang w:bidi="en-US"/>
        </w:rPr>
      </w:pPr>
    </w:p>
    <w:p w14:paraId="686F51FE" w14:textId="77777777" w:rsidR="0035359F" w:rsidRPr="0035359F" w:rsidRDefault="0035359F" w:rsidP="0035359F">
      <w:pPr>
        <w:keepNext/>
        <w:tabs>
          <w:tab w:val="clear" w:pos="851"/>
        </w:tabs>
        <w:ind w:left="851" w:hanging="851"/>
        <w:rPr>
          <w:b/>
          <w:lang w:bidi="en-US"/>
        </w:rPr>
      </w:pPr>
      <w:r w:rsidRPr="0035359F">
        <w:rPr>
          <w:b/>
          <w:lang w:bidi="en-US"/>
        </w:rPr>
        <w:t>2</w:t>
      </w:r>
      <w:r w:rsidRPr="0035359F">
        <w:rPr>
          <w:b/>
          <w:lang w:bidi="en-US"/>
        </w:rPr>
        <w:tab/>
        <w:t xml:space="preserve">Variation to a Standard in the </w:t>
      </w:r>
      <w:r w:rsidRPr="0035359F">
        <w:rPr>
          <w:b/>
          <w:i/>
          <w:lang w:bidi="en-US"/>
        </w:rPr>
        <w:t>Australia New Zealand Food Standards Code</w:t>
      </w:r>
    </w:p>
    <w:p w14:paraId="11A95B89" w14:textId="77777777" w:rsidR="0035359F" w:rsidRPr="0035359F" w:rsidRDefault="0035359F" w:rsidP="0035359F">
      <w:pPr>
        <w:rPr>
          <w:lang w:bidi="en-US"/>
        </w:rPr>
      </w:pPr>
    </w:p>
    <w:p w14:paraId="29295D94" w14:textId="77777777" w:rsidR="0035359F" w:rsidRPr="0035359F" w:rsidRDefault="0035359F" w:rsidP="0035359F">
      <w:pPr>
        <w:rPr>
          <w:lang w:bidi="en-US"/>
        </w:rPr>
      </w:pPr>
      <w:r w:rsidRPr="0035359F">
        <w:rPr>
          <w:lang w:bidi="en-US"/>
        </w:rPr>
        <w:t xml:space="preserve">The Schedule varies </w:t>
      </w:r>
      <w:r w:rsidRPr="0035359F">
        <w:rPr>
          <w:color w:val="000000" w:themeColor="text1"/>
          <w:lang w:bidi="en-US"/>
        </w:rPr>
        <w:t>Schedule 26 of</w:t>
      </w:r>
      <w:r w:rsidRPr="0035359F">
        <w:rPr>
          <w:lang w:bidi="en-US"/>
        </w:rPr>
        <w:t xml:space="preserve"> the </w:t>
      </w:r>
      <w:r w:rsidRPr="0035359F">
        <w:rPr>
          <w:i/>
          <w:lang w:bidi="en-US"/>
        </w:rPr>
        <w:t>Australia New Zealand Food Standards Code</w:t>
      </w:r>
      <w:r w:rsidRPr="0035359F">
        <w:rPr>
          <w:lang w:bidi="en-US"/>
        </w:rPr>
        <w:t>.</w:t>
      </w:r>
    </w:p>
    <w:p w14:paraId="32F7C332" w14:textId="77777777" w:rsidR="0035359F" w:rsidRPr="0035359F" w:rsidRDefault="0035359F" w:rsidP="0035359F">
      <w:pPr>
        <w:tabs>
          <w:tab w:val="clear" w:pos="851"/>
        </w:tabs>
        <w:rPr>
          <w:szCs w:val="24"/>
          <w:lang w:bidi="en-US"/>
        </w:rPr>
      </w:pPr>
    </w:p>
    <w:p w14:paraId="66081321" w14:textId="77777777" w:rsidR="0035359F" w:rsidRPr="0035359F" w:rsidRDefault="0035359F" w:rsidP="0035359F">
      <w:pPr>
        <w:keepNext/>
        <w:rPr>
          <w:b/>
          <w:lang w:bidi="en-US"/>
        </w:rPr>
      </w:pPr>
      <w:r w:rsidRPr="0035359F">
        <w:rPr>
          <w:b/>
          <w:lang w:bidi="en-US"/>
        </w:rPr>
        <w:t>3</w:t>
      </w:r>
      <w:r w:rsidRPr="0035359F">
        <w:rPr>
          <w:b/>
          <w:lang w:bidi="en-US"/>
        </w:rPr>
        <w:tab/>
        <w:t>Commencement</w:t>
      </w:r>
    </w:p>
    <w:p w14:paraId="5ED2BB25" w14:textId="77777777" w:rsidR="0035359F" w:rsidRPr="0035359F" w:rsidRDefault="0035359F" w:rsidP="0035359F">
      <w:pPr>
        <w:rPr>
          <w:lang w:bidi="en-US"/>
        </w:rPr>
      </w:pPr>
    </w:p>
    <w:p w14:paraId="55625255" w14:textId="77777777" w:rsidR="0035359F" w:rsidRPr="0035359F" w:rsidRDefault="0035359F" w:rsidP="0035359F">
      <w:pPr>
        <w:rPr>
          <w:lang w:bidi="en-US"/>
        </w:rPr>
      </w:pPr>
      <w:r w:rsidRPr="0035359F">
        <w:rPr>
          <w:lang w:bidi="en-US"/>
        </w:rPr>
        <w:t>The variation commences on 1 March 2016</w:t>
      </w:r>
      <w:r w:rsidRPr="0035359F">
        <w:rPr>
          <w:rFonts w:cs="Arial"/>
          <w:lang w:val="en-AU" w:eastAsia="en-AU" w:bidi="en-US"/>
        </w:rPr>
        <w:t xml:space="preserve"> immediately after the commencement of Standard 5.1.1 – Revocation and transitional provisions</w:t>
      </w:r>
      <w:r w:rsidRPr="0035359F">
        <w:rPr>
          <w:lang w:bidi="en-US"/>
        </w:rPr>
        <w:t xml:space="preserve"> – </w:t>
      </w:r>
      <w:r w:rsidRPr="0035359F">
        <w:rPr>
          <w:rFonts w:cs="Arial"/>
          <w:lang w:val="en-AU" w:eastAsia="en-AU" w:bidi="en-US"/>
        </w:rPr>
        <w:t>2014 Revision.</w:t>
      </w:r>
    </w:p>
    <w:p w14:paraId="37FD6331" w14:textId="77777777" w:rsidR="0035359F" w:rsidRPr="0035359F" w:rsidRDefault="0035359F" w:rsidP="0035359F">
      <w:pPr>
        <w:jc w:val="center"/>
        <w:rPr>
          <w:b/>
          <w:caps/>
          <w:lang w:bidi="en-US"/>
        </w:rPr>
      </w:pPr>
    </w:p>
    <w:p w14:paraId="0ED32040" w14:textId="77777777" w:rsidR="0035359F" w:rsidRPr="0035359F" w:rsidRDefault="0035359F" w:rsidP="0035359F">
      <w:pPr>
        <w:jc w:val="center"/>
        <w:rPr>
          <w:b/>
          <w:caps/>
          <w:lang w:bidi="en-US"/>
        </w:rPr>
      </w:pPr>
      <w:r w:rsidRPr="0035359F">
        <w:rPr>
          <w:b/>
          <w:caps/>
          <w:lang w:bidi="en-US"/>
        </w:rPr>
        <w:t>SCHEDULE</w:t>
      </w:r>
      <w:r w:rsidRPr="0035359F">
        <w:rPr>
          <w:b/>
          <w:caps/>
          <w:lang w:bidi="en-US"/>
        </w:rPr>
        <w:br/>
      </w:r>
    </w:p>
    <w:p w14:paraId="5488FBBC" w14:textId="77777777" w:rsidR="0035359F" w:rsidRPr="0035359F" w:rsidRDefault="0035359F" w:rsidP="0035359F">
      <w:pPr>
        <w:tabs>
          <w:tab w:val="clear" w:pos="851"/>
        </w:tabs>
        <w:rPr>
          <w:color w:val="000000" w:themeColor="text1"/>
          <w:szCs w:val="24"/>
          <w:lang w:bidi="en-US"/>
        </w:rPr>
      </w:pPr>
      <w:r w:rsidRPr="0035359F">
        <w:rPr>
          <w:b/>
          <w:color w:val="000000" w:themeColor="text1"/>
          <w:szCs w:val="24"/>
          <w:lang w:bidi="en-US"/>
        </w:rPr>
        <w:t>[1]</w:t>
      </w:r>
      <w:r w:rsidRPr="0035359F">
        <w:rPr>
          <w:color w:val="000000" w:themeColor="text1"/>
          <w:szCs w:val="24"/>
          <w:lang w:bidi="en-US"/>
        </w:rPr>
        <w:tab/>
        <w:t>The item ‘Corn’ in the Table to subsection S26</w:t>
      </w:r>
      <w:r w:rsidRPr="0035359F">
        <w:rPr>
          <w:szCs w:val="24"/>
          <w:lang w:bidi="en-US"/>
        </w:rPr>
        <w:t>—</w:t>
      </w:r>
      <w:r w:rsidRPr="0035359F">
        <w:rPr>
          <w:color w:val="000000" w:themeColor="text1"/>
          <w:szCs w:val="24"/>
          <w:lang w:bidi="en-US"/>
        </w:rPr>
        <w:t>3(4) of Schedule 26 is varied by inserting in the appropriate alphabetical position</w:t>
      </w:r>
    </w:p>
    <w:p w14:paraId="262E35E3" w14:textId="77777777" w:rsidR="0035359F" w:rsidRPr="0035359F" w:rsidRDefault="0035359F" w:rsidP="0035359F">
      <w:pPr>
        <w:tabs>
          <w:tab w:val="clear" w:pos="851"/>
        </w:tabs>
        <w:rPr>
          <w:color w:val="000000" w:themeColor="text1"/>
          <w:szCs w:val="24"/>
          <w:lang w:bidi="en-US"/>
        </w:rPr>
      </w:pPr>
    </w:p>
    <w:tbl>
      <w:tblPr>
        <w:tblStyle w:val="TableGrid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5359F" w:rsidRPr="0035359F" w14:paraId="23972EF7" w14:textId="77777777" w:rsidTr="009D4E04">
        <w:trPr>
          <w:cantSplit/>
        </w:trPr>
        <w:tc>
          <w:tcPr>
            <w:tcW w:w="903" w:type="dxa"/>
          </w:tcPr>
          <w:p w14:paraId="55D61018" w14:textId="77777777" w:rsidR="0035359F" w:rsidRPr="0035359F" w:rsidRDefault="0035359F" w:rsidP="0035359F">
            <w:pPr>
              <w:keepLines/>
              <w:widowControl/>
              <w:tabs>
                <w:tab w:val="clear" w:pos="851"/>
              </w:tabs>
              <w:spacing w:before="60"/>
              <w:rPr>
                <w:rFonts w:cs="Arial"/>
                <w:sz w:val="18"/>
                <w:szCs w:val="22"/>
                <w:lang w:val="en-AU" w:eastAsia="en-AU"/>
              </w:rPr>
            </w:pPr>
          </w:p>
        </w:tc>
        <w:tc>
          <w:tcPr>
            <w:tcW w:w="1190" w:type="dxa"/>
          </w:tcPr>
          <w:p w14:paraId="10343F44" w14:textId="77777777" w:rsidR="0035359F" w:rsidRPr="0035359F" w:rsidRDefault="0035359F" w:rsidP="0035359F">
            <w:pPr>
              <w:keepLines/>
              <w:widowControl/>
              <w:tabs>
                <w:tab w:val="clear" w:pos="851"/>
              </w:tabs>
              <w:spacing w:before="60"/>
              <w:rPr>
                <w:rFonts w:cs="Arial"/>
                <w:sz w:val="18"/>
                <w:szCs w:val="22"/>
                <w:lang w:val="en-AU" w:eastAsia="en-AU"/>
              </w:rPr>
            </w:pPr>
          </w:p>
        </w:tc>
        <w:tc>
          <w:tcPr>
            <w:tcW w:w="6979" w:type="dxa"/>
          </w:tcPr>
          <w:p w14:paraId="3F6BBF50" w14:textId="77777777" w:rsidR="0035359F" w:rsidRPr="0035359F" w:rsidRDefault="0035359F" w:rsidP="0035359F">
            <w:pPr>
              <w:keepLines/>
              <w:widowControl/>
              <w:tabs>
                <w:tab w:val="clear" w:pos="851"/>
              </w:tabs>
              <w:spacing w:before="60"/>
              <w:ind w:left="397" w:hanging="397"/>
              <w:rPr>
                <w:rFonts w:cs="Arial"/>
                <w:sz w:val="18"/>
                <w:szCs w:val="22"/>
                <w:lang w:val="en-AU" w:eastAsia="en-AU"/>
              </w:rPr>
            </w:pPr>
            <w:r w:rsidRPr="0035359F">
              <w:rPr>
                <w:rFonts w:cs="Arial"/>
                <w:sz w:val="18"/>
                <w:szCs w:val="22"/>
                <w:lang w:val="en-AU" w:eastAsia="en-AU"/>
              </w:rPr>
              <w:t xml:space="preserve">(w) </w:t>
            </w:r>
            <w:r w:rsidRPr="0035359F">
              <w:rPr>
                <w:rFonts w:cs="Arial"/>
                <w:sz w:val="18"/>
                <w:szCs w:val="22"/>
                <w:lang w:eastAsia="en-AU"/>
              </w:rPr>
              <w:tab/>
            </w:r>
            <w:r w:rsidRPr="0035359F">
              <w:rPr>
                <w:rFonts w:cs="Arial"/>
                <w:color w:val="000000" w:themeColor="text1"/>
                <w:sz w:val="18"/>
                <w:szCs w:val="22"/>
                <w:lang w:val="en-AU" w:eastAsia="en-AU"/>
              </w:rPr>
              <w:t>herbicide-tolerant and insect-protected corn line 4114</w:t>
            </w:r>
          </w:p>
        </w:tc>
      </w:tr>
    </w:tbl>
    <w:p w14:paraId="79F17778" w14:textId="77777777" w:rsidR="0035359F" w:rsidRPr="0035359F" w:rsidRDefault="0035359F" w:rsidP="0035359F">
      <w:pPr>
        <w:tabs>
          <w:tab w:val="clear" w:pos="851"/>
        </w:tabs>
        <w:rPr>
          <w:color w:val="000000" w:themeColor="text1"/>
          <w:szCs w:val="24"/>
          <w:lang w:bidi="en-US"/>
        </w:rPr>
      </w:pPr>
    </w:p>
    <w:p w14:paraId="3F812A35" w14:textId="77777777" w:rsidR="0035359F" w:rsidRPr="0035359F" w:rsidRDefault="0035359F" w:rsidP="0035359F">
      <w:pPr>
        <w:tabs>
          <w:tab w:val="clear" w:pos="851"/>
        </w:tabs>
        <w:rPr>
          <w:color w:val="000000" w:themeColor="text1"/>
          <w:sz w:val="22"/>
          <w:szCs w:val="24"/>
          <w:lang w:bidi="en-US"/>
        </w:rPr>
      </w:pPr>
    </w:p>
    <w:p w14:paraId="593D1795" w14:textId="77777777" w:rsidR="0035359F" w:rsidRPr="0035359F" w:rsidRDefault="0035359F" w:rsidP="0035359F">
      <w:pPr>
        <w:tabs>
          <w:tab w:val="clear" w:pos="851"/>
        </w:tabs>
        <w:rPr>
          <w:sz w:val="22"/>
          <w:szCs w:val="24"/>
          <w:lang w:bidi="en-US"/>
        </w:rPr>
      </w:pPr>
    </w:p>
    <w:p w14:paraId="17BE914A"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04D8756A" w14:textId="77777777" w:rsidR="0035359F" w:rsidRPr="0035359F" w:rsidRDefault="0035359F" w:rsidP="0035359F">
      <w:pPr>
        <w:tabs>
          <w:tab w:val="clear" w:pos="851"/>
        </w:tabs>
        <w:rPr>
          <w:noProof/>
          <w:szCs w:val="24"/>
          <w:highlight w:val="yellow"/>
          <w:lang w:val="en-AU" w:eastAsia="en-AU" w:bidi="en-US"/>
        </w:rPr>
      </w:pPr>
      <w:r w:rsidRPr="0035359F">
        <w:rPr>
          <w:noProof/>
          <w:szCs w:val="24"/>
          <w:highlight w:val="yellow"/>
          <w:lang w:eastAsia="en-GB"/>
        </w:rPr>
        <w:lastRenderedPageBreak/>
        <w:drawing>
          <wp:inline distT="0" distB="0" distL="0" distR="0" wp14:anchorId="1C5E8001" wp14:editId="70616227">
            <wp:extent cx="2657475" cy="438150"/>
            <wp:effectExtent l="0" t="0" r="9525" b="0"/>
            <wp:docPr id="2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1D1974" w14:textId="77777777" w:rsidR="0035359F" w:rsidRPr="0035359F" w:rsidRDefault="0035359F" w:rsidP="0035359F">
      <w:pPr>
        <w:pBdr>
          <w:bottom w:val="single" w:sz="4" w:space="1" w:color="auto"/>
        </w:pBdr>
        <w:jc w:val="center"/>
        <w:rPr>
          <w:highlight w:val="yellow"/>
        </w:rPr>
      </w:pPr>
    </w:p>
    <w:p w14:paraId="1A666EF4" w14:textId="77777777" w:rsidR="0035359F" w:rsidRPr="0035359F" w:rsidRDefault="0035359F" w:rsidP="0035359F">
      <w:pPr>
        <w:pBdr>
          <w:bottom w:val="single" w:sz="4" w:space="1" w:color="auto"/>
        </w:pBdr>
        <w:tabs>
          <w:tab w:val="clear" w:pos="851"/>
        </w:tabs>
        <w:rPr>
          <w:b/>
          <w:lang w:bidi="en-US"/>
        </w:rPr>
      </w:pPr>
      <w:r w:rsidRPr="0035359F">
        <w:rPr>
          <w:rFonts w:cs="Arial"/>
          <w:b/>
          <w:lang w:bidi="en-US"/>
        </w:rPr>
        <w:t xml:space="preserve">Food Standards (Application </w:t>
      </w:r>
      <w:r w:rsidRPr="0035359F">
        <w:rPr>
          <w:b/>
          <w:szCs w:val="24"/>
          <w:lang w:bidi="en-US"/>
        </w:rPr>
        <w:t xml:space="preserve">A1107 – </w:t>
      </w:r>
      <w:proofErr w:type="spellStart"/>
      <w:r w:rsidRPr="0035359F">
        <w:rPr>
          <w:b/>
          <w:szCs w:val="24"/>
          <w:lang w:bidi="en-US"/>
        </w:rPr>
        <w:t>Asparaginase</w:t>
      </w:r>
      <w:proofErr w:type="spellEnd"/>
      <w:r w:rsidRPr="0035359F">
        <w:rPr>
          <w:b/>
          <w:szCs w:val="24"/>
          <w:lang w:bidi="en-US"/>
        </w:rPr>
        <w:t xml:space="preserve"> from </w:t>
      </w:r>
      <w:r w:rsidRPr="0035359F">
        <w:rPr>
          <w:b/>
          <w:i/>
          <w:szCs w:val="24"/>
          <w:lang w:bidi="en-US"/>
        </w:rPr>
        <w:t>Bacillus subtilis</w:t>
      </w:r>
      <w:r w:rsidRPr="0035359F">
        <w:rPr>
          <w:b/>
          <w:szCs w:val="24"/>
          <w:lang w:bidi="en-US"/>
        </w:rPr>
        <w:t xml:space="preserve"> as a Processing Aid (Enzyme)</w:t>
      </w:r>
      <w:r w:rsidRPr="0035359F">
        <w:rPr>
          <w:rFonts w:cs="Arial"/>
          <w:b/>
          <w:lang w:bidi="en-US"/>
        </w:rPr>
        <w:t>)</w:t>
      </w:r>
      <w:r w:rsidRPr="0035359F">
        <w:rPr>
          <w:b/>
          <w:lang w:bidi="en-US"/>
        </w:rPr>
        <w:t xml:space="preserve"> Variation</w:t>
      </w:r>
    </w:p>
    <w:p w14:paraId="66BB4B33" w14:textId="77777777" w:rsidR="0035359F" w:rsidRPr="0035359F" w:rsidRDefault="0035359F" w:rsidP="0035359F">
      <w:pPr>
        <w:pBdr>
          <w:bottom w:val="single" w:sz="4" w:space="1" w:color="auto"/>
        </w:pBdr>
        <w:tabs>
          <w:tab w:val="clear" w:pos="851"/>
        </w:tabs>
        <w:rPr>
          <w:b/>
          <w:lang w:bidi="en-US"/>
        </w:rPr>
      </w:pPr>
    </w:p>
    <w:p w14:paraId="3A40C516" w14:textId="77777777" w:rsidR="0035359F" w:rsidRPr="0035359F" w:rsidRDefault="0035359F" w:rsidP="0035359F">
      <w:pPr>
        <w:tabs>
          <w:tab w:val="clear" w:pos="851"/>
        </w:tabs>
        <w:rPr>
          <w:szCs w:val="24"/>
          <w:lang w:bidi="en-US"/>
        </w:rPr>
      </w:pPr>
    </w:p>
    <w:p w14:paraId="61D5A37F"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The Standard commences on the date specified in clause 2 of the variation.</w:t>
      </w:r>
    </w:p>
    <w:p w14:paraId="5BEE3C6A" w14:textId="77777777" w:rsidR="0035359F" w:rsidRPr="0035359F" w:rsidRDefault="0035359F" w:rsidP="0035359F">
      <w:pPr>
        <w:tabs>
          <w:tab w:val="clear" w:pos="851"/>
        </w:tabs>
        <w:rPr>
          <w:szCs w:val="24"/>
          <w:lang w:bidi="en-US"/>
        </w:rPr>
      </w:pPr>
    </w:p>
    <w:p w14:paraId="5D90A352" w14:textId="77777777" w:rsidR="0035359F" w:rsidRPr="0035359F" w:rsidRDefault="0035359F" w:rsidP="0035359F">
      <w:pPr>
        <w:tabs>
          <w:tab w:val="clear" w:pos="851"/>
        </w:tabs>
        <w:rPr>
          <w:szCs w:val="24"/>
          <w:lang w:bidi="en-US"/>
        </w:rPr>
      </w:pPr>
      <w:r w:rsidRPr="0035359F">
        <w:rPr>
          <w:szCs w:val="24"/>
          <w:lang w:bidi="en-US"/>
        </w:rPr>
        <w:t>30 November 2015</w:t>
      </w:r>
    </w:p>
    <w:p w14:paraId="10D66173"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62FF706C" wp14:editId="7C88BB9E">
            <wp:extent cx="1343025" cy="790575"/>
            <wp:effectExtent l="0" t="0" r="9525" b="9525"/>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B653865"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45313656"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0BFE4B33" w14:textId="77777777" w:rsidR="0035359F" w:rsidRPr="0035359F" w:rsidRDefault="0035359F" w:rsidP="0035359F">
      <w:pPr>
        <w:tabs>
          <w:tab w:val="clear" w:pos="851"/>
        </w:tabs>
        <w:rPr>
          <w:szCs w:val="24"/>
          <w:lang w:bidi="en-US"/>
        </w:rPr>
      </w:pPr>
    </w:p>
    <w:p w14:paraId="3597A1B8" w14:textId="77777777" w:rsidR="0035359F" w:rsidRPr="0035359F" w:rsidRDefault="0035359F" w:rsidP="0035359F">
      <w:pPr>
        <w:tabs>
          <w:tab w:val="clear" w:pos="851"/>
        </w:tabs>
        <w:rPr>
          <w:szCs w:val="24"/>
          <w:lang w:bidi="en-US"/>
        </w:rPr>
      </w:pPr>
    </w:p>
    <w:p w14:paraId="1523E08B" w14:textId="77777777" w:rsidR="0035359F" w:rsidRPr="0035359F" w:rsidRDefault="0035359F" w:rsidP="0035359F">
      <w:pPr>
        <w:tabs>
          <w:tab w:val="clear" w:pos="851"/>
        </w:tabs>
        <w:rPr>
          <w:szCs w:val="24"/>
          <w:lang w:bidi="en-US"/>
        </w:rPr>
      </w:pPr>
    </w:p>
    <w:p w14:paraId="1C6A0007" w14:textId="77777777" w:rsidR="0035359F" w:rsidRPr="0035359F" w:rsidRDefault="0035359F" w:rsidP="0035359F">
      <w:pPr>
        <w:tabs>
          <w:tab w:val="clear" w:pos="851"/>
        </w:tabs>
        <w:rPr>
          <w:szCs w:val="24"/>
          <w:lang w:bidi="en-US"/>
        </w:rPr>
      </w:pPr>
    </w:p>
    <w:p w14:paraId="298FC39E" w14:textId="77777777" w:rsidR="0035359F" w:rsidRPr="0035359F" w:rsidRDefault="0035359F" w:rsidP="0035359F">
      <w:pPr>
        <w:tabs>
          <w:tab w:val="clear" w:pos="851"/>
        </w:tabs>
        <w:rPr>
          <w:szCs w:val="24"/>
          <w:lang w:bidi="en-US"/>
        </w:rPr>
      </w:pPr>
    </w:p>
    <w:p w14:paraId="0B504B49"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2264DC8E"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126DED6F"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w:t>
      </w:r>
    </w:p>
    <w:p w14:paraId="1E3A777E" w14:textId="77777777" w:rsidR="0035359F" w:rsidRPr="0035359F" w:rsidRDefault="0035359F" w:rsidP="0035359F">
      <w:pPr>
        <w:tabs>
          <w:tab w:val="clear" w:pos="851"/>
        </w:tabs>
        <w:rPr>
          <w:szCs w:val="24"/>
          <w:lang w:bidi="en-US"/>
        </w:rPr>
      </w:pPr>
    </w:p>
    <w:p w14:paraId="4406F125" w14:textId="77777777" w:rsidR="0035359F" w:rsidRPr="0035359F" w:rsidRDefault="0035359F" w:rsidP="0035359F">
      <w:pPr>
        <w:keepNext/>
        <w:keepLines/>
        <w:widowControl/>
        <w:tabs>
          <w:tab w:val="clear" w:pos="851"/>
        </w:tabs>
        <w:spacing w:before="360"/>
        <w:ind w:left="964" w:hanging="964"/>
        <w:rPr>
          <w:rFonts w:cs="Arial"/>
          <w:b/>
          <w:sz w:val="22"/>
          <w:szCs w:val="22"/>
          <w:lang w:val="en-AU" w:eastAsia="en-AU"/>
        </w:rPr>
      </w:pPr>
      <w:r w:rsidRPr="0035359F">
        <w:rPr>
          <w:rFonts w:cs="Arial"/>
          <w:b/>
          <w:sz w:val="22"/>
          <w:szCs w:val="22"/>
          <w:lang w:val="en-AU" w:eastAsia="en-AU"/>
        </w:rPr>
        <w:br w:type="page"/>
      </w:r>
    </w:p>
    <w:p w14:paraId="595DE026" w14:textId="77777777" w:rsidR="0035359F" w:rsidRPr="0035359F" w:rsidRDefault="0035359F" w:rsidP="0035359F">
      <w:pPr>
        <w:tabs>
          <w:tab w:val="clear" w:pos="851"/>
        </w:tabs>
        <w:rPr>
          <w:b/>
          <w:lang w:bidi="en-US"/>
        </w:rPr>
      </w:pPr>
      <w:r w:rsidRPr="0035359F">
        <w:rPr>
          <w:b/>
          <w:lang w:bidi="en-US"/>
        </w:rPr>
        <w:lastRenderedPageBreak/>
        <w:t>1</w:t>
      </w:r>
      <w:r w:rsidRPr="0035359F">
        <w:rPr>
          <w:b/>
          <w:lang w:bidi="en-US"/>
        </w:rPr>
        <w:tab/>
        <w:t>Name of instrument</w:t>
      </w:r>
    </w:p>
    <w:p w14:paraId="016CE521" w14:textId="77777777" w:rsidR="0035359F" w:rsidRPr="0035359F" w:rsidRDefault="0035359F" w:rsidP="0035359F">
      <w:pPr>
        <w:tabs>
          <w:tab w:val="clear" w:pos="851"/>
        </w:tabs>
        <w:rPr>
          <w:lang w:bidi="en-US"/>
        </w:rPr>
      </w:pPr>
    </w:p>
    <w:p w14:paraId="499ED5DD" w14:textId="77777777" w:rsidR="0035359F" w:rsidRPr="0035359F" w:rsidRDefault="0035359F" w:rsidP="0035359F">
      <w:pPr>
        <w:tabs>
          <w:tab w:val="clear" w:pos="851"/>
        </w:tabs>
        <w:rPr>
          <w:lang w:bidi="en-US"/>
        </w:rPr>
      </w:pPr>
      <w:r w:rsidRPr="0035359F">
        <w:rPr>
          <w:rFonts w:cs="Arial"/>
          <w:lang w:bidi="en-US"/>
        </w:rPr>
        <w:t xml:space="preserve">This instrument is the </w:t>
      </w:r>
      <w:r w:rsidRPr="0035359F">
        <w:rPr>
          <w:rFonts w:cs="Arial"/>
          <w:i/>
          <w:lang w:bidi="en-US"/>
        </w:rPr>
        <w:t xml:space="preserve">Food Standards (Application </w:t>
      </w:r>
      <w:r w:rsidRPr="0035359F">
        <w:rPr>
          <w:i/>
          <w:lang w:bidi="en-US"/>
        </w:rPr>
        <w:t xml:space="preserve">A1107 – </w:t>
      </w:r>
      <w:proofErr w:type="spellStart"/>
      <w:r w:rsidRPr="0035359F">
        <w:rPr>
          <w:i/>
          <w:lang w:bidi="en-US"/>
        </w:rPr>
        <w:t>Asparaginase</w:t>
      </w:r>
      <w:proofErr w:type="spellEnd"/>
      <w:r w:rsidRPr="0035359F">
        <w:rPr>
          <w:i/>
          <w:lang w:bidi="en-US"/>
        </w:rPr>
        <w:t xml:space="preserve"> from </w:t>
      </w:r>
      <w:r w:rsidRPr="0035359F">
        <w:rPr>
          <w:lang w:bidi="en-US"/>
        </w:rPr>
        <w:t>Bacillus subtilis</w:t>
      </w:r>
      <w:r w:rsidRPr="0035359F">
        <w:rPr>
          <w:i/>
          <w:lang w:bidi="en-US"/>
        </w:rPr>
        <w:t xml:space="preserve"> as a Processing Aid (Enzyme)</w:t>
      </w:r>
      <w:r w:rsidRPr="0035359F">
        <w:rPr>
          <w:rFonts w:cs="Arial"/>
          <w:i/>
          <w:lang w:bidi="en-US"/>
        </w:rPr>
        <w:t>)</w:t>
      </w:r>
      <w:r w:rsidRPr="0035359F">
        <w:rPr>
          <w:i/>
          <w:lang w:bidi="en-US"/>
        </w:rPr>
        <w:t xml:space="preserve"> Variation</w:t>
      </w:r>
      <w:r w:rsidRPr="0035359F">
        <w:rPr>
          <w:lang w:bidi="en-US"/>
        </w:rPr>
        <w:t>.</w:t>
      </w:r>
    </w:p>
    <w:p w14:paraId="6D7F65F0" w14:textId="77777777" w:rsidR="0035359F" w:rsidRPr="0035359F" w:rsidRDefault="0035359F" w:rsidP="0035359F">
      <w:pPr>
        <w:tabs>
          <w:tab w:val="clear" w:pos="851"/>
        </w:tabs>
        <w:rPr>
          <w:lang w:bidi="en-US"/>
        </w:rPr>
      </w:pPr>
    </w:p>
    <w:p w14:paraId="4B7687A5" w14:textId="77777777" w:rsidR="0035359F" w:rsidRPr="0035359F" w:rsidRDefault="0035359F" w:rsidP="0035359F">
      <w:pPr>
        <w:tabs>
          <w:tab w:val="clear" w:pos="851"/>
        </w:tabs>
        <w:rPr>
          <w:rFonts w:cs="Arial"/>
          <w:b/>
          <w:lang w:bidi="en-US"/>
        </w:rPr>
      </w:pPr>
      <w:r w:rsidRPr="0035359F">
        <w:rPr>
          <w:rFonts w:cs="Arial"/>
          <w:b/>
          <w:lang w:bidi="en-US"/>
        </w:rPr>
        <w:t>2</w:t>
      </w:r>
      <w:r w:rsidRPr="0035359F">
        <w:rPr>
          <w:rFonts w:cs="Arial"/>
          <w:b/>
          <w:lang w:bidi="en-US"/>
        </w:rPr>
        <w:tab/>
        <w:t>Commencement</w:t>
      </w:r>
    </w:p>
    <w:p w14:paraId="1D3EAE85" w14:textId="77777777" w:rsidR="0035359F" w:rsidRPr="0035359F" w:rsidRDefault="0035359F" w:rsidP="0035359F">
      <w:pPr>
        <w:tabs>
          <w:tab w:val="clear" w:pos="851"/>
        </w:tabs>
        <w:rPr>
          <w:rFonts w:cs="Arial"/>
          <w:b/>
          <w:lang w:bidi="en-US"/>
        </w:rPr>
      </w:pPr>
    </w:p>
    <w:p w14:paraId="08B9D52C" w14:textId="77777777" w:rsidR="0035359F" w:rsidRPr="0035359F" w:rsidRDefault="0035359F" w:rsidP="0035359F">
      <w:pPr>
        <w:tabs>
          <w:tab w:val="clear" w:pos="851"/>
        </w:tabs>
        <w:rPr>
          <w:rFonts w:cs="Arial"/>
          <w:lang w:bidi="en-US"/>
        </w:rPr>
      </w:pPr>
      <w:r w:rsidRPr="0035359F">
        <w:rPr>
          <w:rFonts w:cs="Arial"/>
          <w:lang w:bidi="en-US"/>
        </w:rPr>
        <w:t>This instrument commences on 1 March 2016 immediately after the commencement of Standard 5.1.1 – Revocation and transitional provisions – 2014 Revision.</w:t>
      </w:r>
    </w:p>
    <w:p w14:paraId="5C33BCF1" w14:textId="77777777" w:rsidR="0035359F" w:rsidRPr="0035359F" w:rsidRDefault="0035359F" w:rsidP="0035359F">
      <w:pPr>
        <w:tabs>
          <w:tab w:val="clear" w:pos="851"/>
        </w:tabs>
        <w:rPr>
          <w:rFonts w:cs="Arial"/>
          <w:lang w:bidi="en-US"/>
        </w:rPr>
      </w:pPr>
    </w:p>
    <w:p w14:paraId="47E46016" w14:textId="77777777" w:rsidR="0035359F" w:rsidRPr="0035359F" w:rsidRDefault="0035359F" w:rsidP="0035359F">
      <w:pPr>
        <w:tabs>
          <w:tab w:val="clear" w:pos="851"/>
        </w:tabs>
        <w:rPr>
          <w:rFonts w:cs="Arial"/>
          <w:b/>
          <w:lang w:bidi="en-US"/>
        </w:rPr>
      </w:pPr>
      <w:r w:rsidRPr="0035359F">
        <w:rPr>
          <w:rFonts w:cs="Arial"/>
          <w:b/>
          <w:lang w:bidi="en-US"/>
        </w:rPr>
        <w:t>3</w:t>
      </w:r>
      <w:r w:rsidRPr="0035359F">
        <w:rPr>
          <w:rFonts w:cs="Arial"/>
          <w:b/>
          <w:lang w:bidi="en-US"/>
        </w:rPr>
        <w:tab/>
        <w:t>Variation of Schedules</w:t>
      </w:r>
    </w:p>
    <w:p w14:paraId="1F471378" w14:textId="77777777" w:rsidR="0035359F" w:rsidRPr="0035359F" w:rsidRDefault="0035359F" w:rsidP="0035359F">
      <w:pPr>
        <w:tabs>
          <w:tab w:val="clear" w:pos="851"/>
        </w:tabs>
        <w:rPr>
          <w:rFonts w:cs="Arial"/>
          <w:b/>
          <w:lang w:bidi="en-US"/>
        </w:rPr>
      </w:pPr>
    </w:p>
    <w:p w14:paraId="04C2B684" w14:textId="77777777" w:rsidR="0035359F" w:rsidRPr="0035359F" w:rsidRDefault="0035359F" w:rsidP="0035359F">
      <w:pPr>
        <w:tabs>
          <w:tab w:val="clear" w:pos="851"/>
        </w:tabs>
        <w:rPr>
          <w:rFonts w:cs="Arial"/>
          <w:lang w:bidi="en-US"/>
        </w:rPr>
      </w:pPr>
      <w:r w:rsidRPr="0035359F">
        <w:rPr>
          <w:rFonts w:cs="Arial"/>
          <w:lang w:bidi="en-US"/>
        </w:rPr>
        <w:t xml:space="preserve">The Schedule varies a Schedule in the </w:t>
      </w:r>
      <w:r w:rsidRPr="0035359F">
        <w:rPr>
          <w:rFonts w:cs="Arial"/>
          <w:i/>
          <w:lang w:bidi="en-US"/>
        </w:rPr>
        <w:t>Australia New Zealand Food Standards Code</w:t>
      </w:r>
      <w:r w:rsidRPr="0035359F">
        <w:rPr>
          <w:rFonts w:cs="Arial"/>
          <w:lang w:bidi="en-US"/>
        </w:rPr>
        <w:t xml:space="preserve">. </w:t>
      </w:r>
    </w:p>
    <w:p w14:paraId="3CE0AA37" w14:textId="77777777" w:rsidR="0035359F" w:rsidRPr="0035359F" w:rsidRDefault="0035359F" w:rsidP="0035359F">
      <w:pPr>
        <w:keepNext/>
        <w:keepLines/>
        <w:widowControl/>
        <w:tabs>
          <w:tab w:val="clear" w:pos="851"/>
        </w:tabs>
        <w:ind w:left="2410" w:hanging="2410"/>
        <w:jc w:val="center"/>
        <w:rPr>
          <w:rFonts w:cs="Arial"/>
          <w:b/>
          <w:color w:val="000000" w:themeColor="text1"/>
          <w:lang w:val="en-AU" w:eastAsia="en-AU"/>
        </w:rPr>
      </w:pPr>
    </w:p>
    <w:p w14:paraId="11EEC5AB" w14:textId="77777777" w:rsidR="0035359F" w:rsidRPr="0035359F" w:rsidRDefault="0035359F" w:rsidP="0035359F">
      <w:pPr>
        <w:keepNext/>
        <w:keepLines/>
        <w:widowControl/>
        <w:tabs>
          <w:tab w:val="clear" w:pos="851"/>
        </w:tabs>
        <w:ind w:left="2410" w:hanging="2410"/>
        <w:jc w:val="center"/>
        <w:rPr>
          <w:rFonts w:cs="Arial"/>
          <w:b/>
          <w:color w:val="000000" w:themeColor="text1"/>
          <w:lang w:val="en-AU" w:eastAsia="en-AU"/>
        </w:rPr>
      </w:pPr>
      <w:r w:rsidRPr="0035359F">
        <w:rPr>
          <w:rFonts w:cs="Arial"/>
          <w:b/>
          <w:color w:val="000000" w:themeColor="text1"/>
          <w:lang w:val="en-AU" w:eastAsia="en-AU"/>
        </w:rPr>
        <w:t>Schedule</w:t>
      </w:r>
    </w:p>
    <w:p w14:paraId="1021E1C1" w14:textId="77777777" w:rsidR="0035359F" w:rsidRPr="0035359F" w:rsidRDefault="0035359F" w:rsidP="0035359F">
      <w:pPr>
        <w:tabs>
          <w:tab w:val="clear" w:pos="851"/>
        </w:tabs>
        <w:rPr>
          <w:lang w:val="en-AU" w:eastAsia="en-AU"/>
        </w:rPr>
      </w:pPr>
    </w:p>
    <w:p w14:paraId="7EDE582A" w14:textId="77777777" w:rsidR="0035359F" w:rsidRPr="0035359F" w:rsidRDefault="0035359F" w:rsidP="0035359F">
      <w:pPr>
        <w:tabs>
          <w:tab w:val="clear" w:pos="851"/>
        </w:tabs>
        <w:rPr>
          <w:b/>
          <w:lang w:val="en-AU" w:eastAsia="en-AU"/>
        </w:rPr>
      </w:pPr>
      <w:r w:rsidRPr="0035359F">
        <w:rPr>
          <w:b/>
          <w:lang w:val="en-AU" w:eastAsia="en-AU"/>
        </w:rPr>
        <w:t>[1]</w:t>
      </w:r>
      <w:r w:rsidRPr="0035359F">
        <w:rPr>
          <w:b/>
          <w:lang w:val="en-AU" w:eastAsia="en-AU"/>
        </w:rPr>
        <w:tab/>
        <w:t xml:space="preserve">Schedule 18 </w:t>
      </w:r>
      <w:r w:rsidRPr="0035359F">
        <w:rPr>
          <w:lang w:val="en-AU" w:eastAsia="en-AU"/>
        </w:rPr>
        <w:t xml:space="preserve">is varied by omitting from </w:t>
      </w:r>
      <w:r w:rsidRPr="0035359F">
        <w:rPr>
          <w:lang w:bidi="en-US"/>
        </w:rPr>
        <w:t>the table to section S18—4(5)</w:t>
      </w:r>
    </w:p>
    <w:p w14:paraId="32E94629" w14:textId="77777777" w:rsidR="0035359F" w:rsidRPr="0035359F" w:rsidRDefault="0035359F" w:rsidP="0035359F">
      <w:pPr>
        <w:tabs>
          <w:tab w:val="clear" w:pos="851"/>
        </w:tabs>
        <w:rPr>
          <w:szCs w:val="24"/>
          <w:lang w:val="en-AU" w:eastAsia="en-AU"/>
        </w:rPr>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35359F" w:rsidRPr="0035359F" w14:paraId="36937585" w14:textId="77777777" w:rsidTr="009D4E04">
        <w:trPr>
          <w:cantSplit/>
        </w:trPr>
        <w:tc>
          <w:tcPr>
            <w:tcW w:w="3369" w:type="dxa"/>
            <w:tcBorders>
              <w:top w:val="nil"/>
              <w:bottom w:val="nil"/>
            </w:tcBorders>
          </w:tcPr>
          <w:p w14:paraId="3A3552F5" w14:textId="77777777" w:rsidR="0035359F" w:rsidRPr="0035359F" w:rsidRDefault="0035359F" w:rsidP="0035359F">
            <w:pPr>
              <w:keepLines/>
              <w:widowControl/>
              <w:tabs>
                <w:tab w:val="clear" w:pos="851"/>
                <w:tab w:val="right" w:pos="3969"/>
              </w:tabs>
              <w:spacing w:before="60" w:after="60"/>
              <w:rPr>
                <w:rFonts w:cs="Arial"/>
                <w:sz w:val="18"/>
                <w:lang w:eastAsia="en-AU"/>
              </w:rPr>
            </w:pPr>
            <w:proofErr w:type="spellStart"/>
            <w:r w:rsidRPr="0035359F">
              <w:rPr>
                <w:rFonts w:cs="Arial"/>
                <w:sz w:val="18"/>
                <w:lang w:eastAsia="en-AU"/>
              </w:rPr>
              <w:t>Asparaginase</w:t>
            </w:r>
            <w:proofErr w:type="spellEnd"/>
            <w:r w:rsidRPr="0035359F">
              <w:rPr>
                <w:rFonts w:cs="Arial"/>
                <w:sz w:val="18"/>
                <w:lang w:eastAsia="en-AU"/>
              </w:rPr>
              <w:t xml:space="preserve"> (EC 3.5.1.1)</w:t>
            </w:r>
          </w:p>
        </w:tc>
        <w:tc>
          <w:tcPr>
            <w:tcW w:w="5703" w:type="dxa"/>
            <w:tcBorders>
              <w:top w:val="nil"/>
              <w:bottom w:val="nil"/>
            </w:tcBorders>
          </w:tcPr>
          <w:p w14:paraId="2ABC6675" w14:textId="77777777" w:rsidR="0035359F" w:rsidRPr="0035359F" w:rsidRDefault="0035359F" w:rsidP="0035359F">
            <w:pPr>
              <w:keepLines/>
              <w:widowControl/>
              <w:tabs>
                <w:tab w:val="clear" w:pos="851"/>
                <w:tab w:val="right" w:pos="3969"/>
              </w:tabs>
              <w:spacing w:before="60" w:after="60"/>
              <w:rPr>
                <w:rFonts w:cs="Arial"/>
                <w:i/>
                <w:sz w:val="18"/>
                <w:lang w:eastAsia="en-AU"/>
              </w:rPr>
            </w:pPr>
            <w:r w:rsidRPr="0035359F">
              <w:rPr>
                <w:rFonts w:cs="Arial"/>
                <w:i/>
                <w:sz w:val="18"/>
                <w:lang w:eastAsia="en-AU"/>
              </w:rPr>
              <w:t xml:space="preserve">Aspergillus </w:t>
            </w:r>
            <w:proofErr w:type="spellStart"/>
            <w:r w:rsidRPr="0035359F">
              <w:rPr>
                <w:rFonts w:cs="Arial"/>
                <w:i/>
                <w:sz w:val="18"/>
                <w:lang w:eastAsia="en-AU"/>
              </w:rPr>
              <w:t>niger</w:t>
            </w:r>
            <w:proofErr w:type="spellEnd"/>
            <w:r w:rsidRPr="0035359F">
              <w:rPr>
                <w:rFonts w:cs="Arial"/>
                <w:i/>
                <w:sz w:val="18"/>
                <w:lang w:eastAsia="en-AU"/>
              </w:rPr>
              <w:t xml:space="preserve"> </w:t>
            </w:r>
          </w:p>
          <w:p w14:paraId="18B36E19"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i/>
                <w:sz w:val="18"/>
                <w:lang w:eastAsia="en-AU"/>
              </w:rPr>
              <w:t xml:space="preserve">Aspergillus </w:t>
            </w:r>
            <w:proofErr w:type="spellStart"/>
            <w:r w:rsidRPr="0035359F">
              <w:rPr>
                <w:rFonts w:cs="Arial"/>
                <w:i/>
                <w:sz w:val="18"/>
                <w:lang w:eastAsia="en-AU"/>
              </w:rPr>
              <w:t>oryzae</w:t>
            </w:r>
            <w:proofErr w:type="spellEnd"/>
          </w:p>
        </w:tc>
      </w:tr>
    </w:tbl>
    <w:p w14:paraId="5210513F" w14:textId="77777777" w:rsidR="0035359F" w:rsidRPr="0035359F" w:rsidRDefault="0035359F" w:rsidP="0035359F">
      <w:pPr>
        <w:tabs>
          <w:tab w:val="clear" w:pos="851"/>
        </w:tabs>
        <w:rPr>
          <w:szCs w:val="24"/>
          <w:lang w:val="en-AU" w:eastAsia="en-AU"/>
        </w:rPr>
      </w:pPr>
    </w:p>
    <w:p w14:paraId="5709C73C" w14:textId="77777777" w:rsidR="0035359F" w:rsidRPr="0035359F" w:rsidRDefault="0035359F" w:rsidP="0035359F">
      <w:pPr>
        <w:rPr>
          <w:lang w:val="en-AU" w:eastAsia="en-AU"/>
        </w:rPr>
      </w:pPr>
      <w:r w:rsidRPr="0035359F">
        <w:rPr>
          <w:lang w:val="en-AU" w:eastAsia="en-AU"/>
        </w:rPr>
        <w:t>and inserting</w:t>
      </w:r>
    </w:p>
    <w:p w14:paraId="2D2D3179" w14:textId="77777777" w:rsidR="0035359F" w:rsidRPr="0035359F" w:rsidRDefault="0035359F" w:rsidP="0035359F">
      <w:pPr>
        <w:tabs>
          <w:tab w:val="clear" w:pos="851"/>
        </w:tabs>
        <w:rPr>
          <w:szCs w:val="24"/>
          <w:lang w:val="en-AU" w:eastAsia="en-AU"/>
        </w:rPr>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35359F" w:rsidRPr="0035359F" w14:paraId="42767962" w14:textId="77777777" w:rsidTr="009D4E04">
        <w:trPr>
          <w:cantSplit/>
        </w:trPr>
        <w:tc>
          <w:tcPr>
            <w:tcW w:w="3369" w:type="dxa"/>
            <w:tcBorders>
              <w:top w:val="nil"/>
              <w:bottom w:val="nil"/>
            </w:tcBorders>
          </w:tcPr>
          <w:p w14:paraId="39CFBF48" w14:textId="77777777" w:rsidR="0035359F" w:rsidRPr="0035359F" w:rsidRDefault="0035359F" w:rsidP="0035359F">
            <w:pPr>
              <w:keepLines/>
              <w:widowControl/>
              <w:tabs>
                <w:tab w:val="clear" w:pos="851"/>
                <w:tab w:val="right" w:pos="3969"/>
              </w:tabs>
              <w:spacing w:before="60" w:after="60"/>
              <w:rPr>
                <w:rFonts w:cs="Arial"/>
                <w:sz w:val="18"/>
                <w:lang w:eastAsia="en-AU"/>
              </w:rPr>
            </w:pPr>
            <w:proofErr w:type="spellStart"/>
            <w:r w:rsidRPr="0035359F">
              <w:rPr>
                <w:rFonts w:cs="Arial"/>
                <w:sz w:val="18"/>
                <w:lang w:eastAsia="en-AU"/>
              </w:rPr>
              <w:t>Asparaginase</w:t>
            </w:r>
            <w:proofErr w:type="spellEnd"/>
            <w:r w:rsidRPr="0035359F">
              <w:rPr>
                <w:rFonts w:cs="Arial"/>
                <w:sz w:val="18"/>
                <w:lang w:eastAsia="en-AU"/>
              </w:rPr>
              <w:t xml:space="preserve"> (EC 3.5.1.1)</w:t>
            </w:r>
          </w:p>
        </w:tc>
        <w:tc>
          <w:tcPr>
            <w:tcW w:w="5703" w:type="dxa"/>
            <w:tcBorders>
              <w:top w:val="nil"/>
              <w:bottom w:val="nil"/>
            </w:tcBorders>
          </w:tcPr>
          <w:p w14:paraId="71E9FC34" w14:textId="77777777" w:rsidR="0035359F" w:rsidRPr="0035359F" w:rsidRDefault="0035359F" w:rsidP="0035359F">
            <w:pPr>
              <w:keepLines/>
              <w:widowControl/>
              <w:tabs>
                <w:tab w:val="clear" w:pos="851"/>
                <w:tab w:val="right" w:pos="3969"/>
              </w:tabs>
              <w:spacing w:before="60" w:after="60"/>
              <w:rPr>
                <w:rFonts w:cs="Arial"/>
                <w:i/>
                <w:sz w:val="18"/>
                <w:lang w:eastAsia="en-AU"/>
              </w:rPr>
            </w:pPr>
            <w:r w:rsidRPr="0035359F">
              <w:rPr>
                <w:rFonts w:cs="Arial"/>
                <w:i/>
                <w:sz w:val="18"/>
                <w:lang w:eastAsia="en-AU"/>
              </w:rPr>
              <w:t xml:space="preserve">Aspergillus </w:t>
            </w:r>
            <w:proofErr w:type="spellStart"/>
            <w:r w:rsidRPr="0035359F">
              <w:rPr>
                <w:rFonts w:cs="Arial"/>
                <w:i/>
                <w:sz w:val="18"/>
                <w:lang w:eastAsia="en-AU"/>
              </w:rPr>
              <w:t>niger</w:t>
            </w:r>
            <w:proofErr w:type="spellEnd"/>
            <w:r w:rsidRPr="0035359F">
              <w:rPr>
                <w:rFonts w:cs="Arial"/>
                <w:i/>
                <w:sz w:val="18"/>
                <w:lang w:eastAsia="en-AU"/>
              </w:rPr>
              <w:t xml:space="preserve"> </w:t>
            </w:r>
          </w:p>
          <w:p w14:paraId="387D48EF" w14:textId="77777777" w:rsidR="0035359F" w:rsidRPr="0035359F" w:rsidRDefault="0035359F" w:rsidP="0035359F">
            <w:pPr>
              <w:keepLines/>
              <w:widowControl/>
              <w:tabs>
                <w:tab w:val="clear" w:pos="851"/>
                <w:tab w:val="right" w:pos="3969"/>
              </w:tabs>
              <w:spacing w:before="60" w:after="60"/>
              <w:rPr>
                <w:rFonts w:cs="Arial"/>
                <w:i/>
                <w:sz w:val="18"/>
                <w:lang w:eastAsia="en-AU"/>
              </w:rPr>
            </w:pPr>
            <w:r w:rsidRPr="0035359F">
              <w:rPr>
                <w:rFonts w:cs="Arial"/>
                <w:i/>
                <w:sz w:val="18"/>
                <w:lang w:eastAsia="en-AU"/>
              </w:rPr>
              <w:t xml:space="preserve">Aspergillus </w:t>
            </w:r>
            <w:proofErr w:type="spellStart"/>
            <w:r w:rsidRPr="0035359F">
              <w:rPr>
                <w:rFonts w:cs="Arial"/>
                <w:i/>
                <w:sz w:val="18"/>
                <w:lang w:eastAsia="en-AU"/>
              </w:rPr>
              <w:t>oryzae</w:t>
            </w:r>
            <w:proofErr w:type="spellEnd"/>
          </w:p>
          <w:p w14:paraId="3963BDD5"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i/>
                <w:sz w:val="18"/>
                <w:lang w:eastAsia="en-AU"/>
              </w:rPr>
              <w:t>Bacillus subtilis</w:t>
            </w:r>
            <w:r w:rsidRPr="0035359F">
              <w:rPr>
                <w:rFonts w:cs="Arial"/>
                <w:sz w:val="18"/>
                <w:lang w:eastAsia="en-AU"/>
              </w:rPr>
              <w:t xml:space="preserve">, containing the gene for </w:t>
            </w:r>
            <w:proofErr w:type="spellStart"/>
            <w:r w:rsidRPr="0035359F">
              <w:rPr>
                <w:rFonts w:cs="Arial"/>
                <w:sz w:val="18"/>
                <w:lang w:eastAsia="en-AU"/>
              </w:rPr>
              <w:t>asparaginase</w:t>
            </w:r>
            <w:proofErr w:type="spellEnd"/>
            <w:r w:rsidRPr="0035359F">
              <w:rPr>
                <w:rFonts w:cs="Arial"/>
                <w:sz w:val="18"/>
                <w:lang w:eastAsia="en-AU"/>
              </w:rPr>
              <w:t xml:space="preserve"> isolated from </w:t>
            </w:r>
            <w:proofErr w:type="spellStart"/>
            <w:r w:rsidRPr="0035359F">
              <w:rPr>
                <w:rFonts w:cs="Arial"/>
                <w:i/>
                <w:sz w:val="18"/>
                <w:lang w:eastAsia="en-AU"/>
              </w:rPr>
              <w:t>Pyrococcus</w:t>
            </w:r>
            <w:proofErr w:type="spellEnd"/>
            <w:r w:rsidRPr="0035359F">
              <w:rPr>
                <w:rFonts w:cs="Arial"/>
                <w:i/>
                <w:sz w:val="18"/>
                <w:lang w:eastAsia="en-AU"/>
              </w:rPr>
              <w:t xml:space="preserve"> </w:t>
            </w:r>
            <w:proofErr w:type="spellStart"/>
            <w:r w:rsidRPr="0035359F">
              <w:rPr>
                <w:rFonts w:cs="Arial"/>
                <w:i/>
                <w:sz w:val="18"/>
                <w:lang w:eastAsia="en-AU"/>
              </w:rPr>
              <w:t>furiosus</w:t>
            </w:r>
            <w:proofErr w:type="spellEnd"/>
          </w:p>
        </w:tc>
      </w:tr>
    </w:tbl>
    <w:p w14:paraId="561B78BF"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76F4108C" w14:textId="77777777" w:rsidR="0035359F" w:rsidRPr="0035359F" w:rsidRDefault="0035359F" w:rsidP="0035359F">
      <w:pPr>
        <w:tabs>
          <w:tab w:val="clear" w:pos="851"/>
        </w:tabs>
        <w:rPr>
          <w:noProof/>
          <w:szCs w:val="24"/>
          <w:highlight w:val="yellow"/>
          <w:lang w:eastAsia="en-AU" w:bidi="en-US"/>
        </w:rPr>
      </w:pPr>
      <w:r w:rsidRPr="0035359F">
        <w:rPr>
          <w:noProof/>
          <w:szCs w:val="24"/>
          <w:highlight w:val="yellow"/>
          <w:lang w:eastAsia="en-GB"/>
        </w:rPr>
        <w:lastRenderedPageBreak/>
        <w:drawing>
          <wp:inline distT="0" distB="0" distL="0" distR="0" wp14:anchorId="24929B2E" wp14:editId="2757F414">
            <wp:extent cx="2657475" cy="438150"/>
            <wp:effectExtent l="0" t="0" r="9525" b="0"/>
            <wp:docPr id="26" name="Picture 26"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C2BD0E9" w14:textId="77777777" w:rsidR="0035359F" w:rsidRPr="0035359F" w:rsidRDefault="0035359F" w:rsidP="0035359F">
      <w:pPr>
        <w:pBdr>
          <w:bottom w:val="single" w:sz="4" w:space="1" w:color="auto"/>
        </w:pBdr>
        <w:jc w:val="center"/>
        <w:rPr>
          <w:szCs w:val="24"/>
          <w:highlight w:val="yellow"/>
          <w:lang w:bidi="en-US"/>
        </w:rPr>
      </w:pPr>
    </w:p>
    <w:p w14:paraId="07FA2C7A" w14:textId="77777777" w:rsidR="0035359F" w:rsidRPr="0035359F" w:rsidRDefault="0035359F" w:rsidP="0035359F">
      <w:pPr>
        <w:pBdr>
          <w:bottom w:val="single" w:sz="4" w:space="1" w:color="auto"/>
        </w:pBdr>
        <w:tabs>
          <w:tab w:val="clear" w:pos="851"/>
        </w:tabs>
        <w:rPr>
          <w:b/>
          <w:szCs w:val="24"/>
          <w:lang w:bidi="en-US"/>
        </w:rPr>
      </w:pPr>
      <w:r w:rsidRPr="0035359F">
        <w:rPr>
          <w:b/>
          <w:szCs w:val="24"/>
          <w:lang w:bidi="en-US"/>
        </w:rPr>
        <w:t>Food Standards (Proposal P1016– Hydrocyanic Acid in Apricot Kernels &amp; other Foods) Variation</w:t>
      </w:r>
    </w:p>
    <w:p w14:paraId="2388EFC8" w14:textId="77777777" w:rsidR="0035359F" w:rsidRPr="0035359F" w:rsidRDefault="0035359F" w:rsidP="0035359F">
      <w:pPr>
        <w:pBdr>
          <w:bottom w:val="single" w:sz="4" w:space="1" w:color="auto"/>
        </w:pBdr>
        <w:tabs>
          <w:tab w:val="clear" w:pos="851"/>
        </w:tabs>
        <w:rPr>
          <w:b/>
          <w:szCs w:val="24"/>
          <w:lang w:bidi="en-US"/>
        </w:rPr>
      </w:pPr>
    </w:p>
    <w:p w14:paraId="57638C9E" w14:textId="77777777" w:rsidR="0035359F" w:rsidRPr="0035359F" w:rsidRDefault="0035359F" w:rsidP="0035359F">
      <w:pPr>
        <w:tabs>
          <w:tab w:val="clear" w:pos="851"/>
        </w:tabs>
        <w:rPr>
          <w:szCs w:val="24"/>
          <w:lang w:bidi="en-US"/>
        </w:rPr>
      </w:pPr>
    </w:p>
    <w:p w14:paraId="211675BF"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The variation commences on the date specified in clause 3 of this variation.</w:t>
      </w:r>
    </w:p>
    <w:p w14:paraId="75AFECE3" w14:textId="77777777" w:rsidR="0035359F" w:rsidRPr="0035359F" w:rsidRDefault="0035359F" w:rsidP="0035359F">
      <w:pPr>
        <w:tabs>
          <w:tab w:val="clear" w:pos="851"/>
        </w:tabs>
        <w:rPr>
          <w:szCs w:val="24"/>
          <w:lang w:bidi="en-US"/>
        </w:rPr>
      </w:pPr>
    </w:p>
    <w:p w14:paraId="791FABC2" w14:textId="77777777" w:rsidR="0035359F" w:rsidRPr="0035359F" w:rsidRDefault="0035359F" w:rsidP="0035359F">
      <w:pPr>
        <w:tabs>
          <w:tab w:val="clear" w:pos="851"/>
        </w:tabs>
        <w:rPr>
          <w:szCs w:val="24"/>
          <w:lang w:bidi="en-US"/>
        </w:rPr>
      </w:pPr>
      <w:r w:rsidRPr="0035359F">
        <w:rPr>
          <w:szCs w:val="24"/>
          <w:lang w:bidi="en-US"/>
        </w:rPr>
        <w:t>30 November 2015</w:t>
      </w:r>
    </w:p>
    <w:p w14:paraId="4F0D35E0"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743B57DD" wp14:editId="23A6A6C2">
            <wp:extent cx="1343025" cy="790575"/>
            <wp:effectExtent l="0" t="0" r="9525" b="9525"/>
            <wp:docPr id="27" name="Picture 2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8D8AAB7"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3B1A0E3D"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71A1193E" w14:textId="77777777" w:rsidR="0035359F" w:rsidRPr="0035359F" w:rsidRDefault="0035359F" w:rsidP="0035359F">
      <w:pPr>
        <w:tabs>
          <w:tab w:val="clear" w:pos="851"/>
        </w:tabs>
        <w:rPr>
          <w:szCs w:val="24"/>
          <w:lang w:bidi="en-US"/>
        </w:rPr>
      </w:pPr>
    </w:p>
    <w:p w14:paraId="4C524C9E" w14:textId="77777777" w:rsidR="0035359F" w:rsidRPr="0035359F" w:rsidRDefault="0035359F" w:rsidP="0035359F">
      <w:pPr>
        <w:tabs>
          <w:tab w:val="clear" w:pos="851"/>
        </w:tabs>
        <w:rPr>
          <w:szCs w:val="24"/>
          <w:lang w:bidi="en-US"/>
        </w:rPr>
      </w:pPr>
    </w:p>
    <w:p w14:paraId="0C523539" w14:textId="77777777" w:rsidR="0035359F" w:rsidRPr="0035359F" w:rsidRDefault="0035359F" w:rsidP="0035359F">
      <w:pPr>
        <w:tabs>
          <w:tab w:val="clear" w:pos="851"/>
        </w:tabs>
        <w:rPr>
          <w:szCs w:val="24"/>
          <w:lang w:bidi="en-US"/>
        </w:rPr>
      </w:pPr>
    </w:p>
    <w:p w14:paraId="48D08DCB" w14:textId="77777777" w:rsidR="0035359F" w:rsidRPr="0035359F" w:rsidRDefault="0035359F" w:rsidP="0035359F">
      <w:pPr>
        <w:tabs>
          <w:tab w:val="clear" w:pos="851"/>
        </w:tabs>
        <w:rPr>
          <w:szCs w:val="24"/>
          <w:lang w:bidi="en-US"/>
        </w:rPr>
      </w:pPr>
    </w:p>
    <w:p w14:paraId="03DC8688" w14:textId="77777777" w:rsidR="0035359F" w:rsidRPr="0035359F" w:rsidRDefault="0035359F" w:rsidP="0035359F">
      <w:pPr>
        <w:tabs>
          <w:tab w:val="clear" w:pos="851"/>
        </w:tabs>
        <w:rPr>
          <w:szCs w:val="24"/>
          <w:lang w:bidi="en-US"/>
        </w:rPr>
      </w:pPr>
    </w:p>
    <w:p w14:paraId="3E21C475"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307A870F"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679C1A05"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This means that this date is the gazettal date for the purposes of clause 3 of the variation. </w:t>
      </w:r>
    </w:p>
    <w:p w14:paraId="6A9F2E45" w14:textId="77777777" w:rsidR="0035359F" w:rsidRPr="0035359F" w:rsidRDefault="0035359F" w:rsidP="0035359F">
      <w:pPr>
        <w:tabs>
          <w:tab w:val="clear" w:pos="851"/>
        </w:tabs>
        <w:rPr>
          <w:szCs w:val="24"/>
          <w:highlight w:val="yellow"/>
          <w:lang w:bidi="en-US"/>
        </w:rPr>
      </w:pPr>
    </w:p>
    <w:p w14:paraId="77BF01F4" w14:textId="77777777" w:rsidR="0035359F" w:rsidRPr="0035359F" w:rsidRDefault="0035359F" w:rsidP="0035359F">
      <w:pPr>
        <w:tabs>
          <w:tab w:val="clear" w:pos="851"/>
        </w:tabs>
        <w:rPr>
          <w:szCs w:val="24"/>
          <w:highlight w:val="yellow"/>
          <w:lang w:bidi="en-US"/>
        </w:rPr>
      </w:pPr>
      <w:r w:rsidRPr="0035359F">
        <w:rPr>
          <w:szCs w:val="24"/>
          <w:highlight w:val="yellow"/>
          <w:lang w:bidi="en-US"/>
        </w:rPr>
        <w:br w:type="page"/>
      </w:r>
    </w:p>
    <w:p w14:paraId="75BAD543" w14:textId="77777777" w:rsidR="0035359F" w:rsidRPr="0035359F" w:rsidRDefault="0035359F" w:rsidP="0035359F">
      <w:pPr>
        <w:rPr>
          <w:b/>
          <w:szCs w:val="24"/>
          <w:lang w:bidi="en-US"/>
        </w:rPr>
      </w:pPr>
      <w:r w:rsidRPr="0035359F">
        <w:rPr>
          <w:b/>
          <w:szCs w:val="24"/>
          <w:lang w:bidi="en-US"/>
        </w:rPr>
        <w:lastRenderedPageBreak/>
        <w:t>1</w:t>
      </w:r>
      <w:r w:rsidRPr="0035359F">
        <w:rPr>
          <w:b/>
          <w:szCs w:val="24"/>
          <w:lang w:bidi="en-US"/>
        </w:rPr>
        <w:tab/>
        <w:t>Name</w:t>
      </w:r>
    </w:p>
    <w:p w14:paraId="1B9473A3" w14:textId="77777777" w:rsidR="0035359F" w:rsidRPr="0035359F" w:rsidRDefault="0035359F" w:rsidP="0035359F">
      <w:pPr>
        <w:rPr>
          <w:szCs w:val="24"/>
          <w:lang w:bidi="en-US"/>
        </w:rPr>
      </w:pPr>
    </w:p>
    <w:p w14:paraId="2924F747" w14:textId="77777777" w:rsidR="0035359F" w:rsidRPr="0035359F" w:rsidRDefault="0035359F" w:rsidP="0035359F">
      <w:pPr>
        <w:rPr>
          <w:szCs w:val="24"/>
          <w:lang w:bidi="en-US"/>
        </w:rPr>
      </w:pPr>
      <w:r w:rsidRPr="0035359F">
        <w:rPr>
          <w:szCs w:val="24"/>
          <w:lang w:bidi="en-US"/>
        </w:rPr>
        <w:t xml:space="preserve">This instrument is the </w:t>
      </w:r>
      <w:r w:rsidRPr="0035359F">
        <w:rPr>
          <w:i/>
          <w:szCs w:val="24"/>
          <w:lang w:bidi="en-US"/>
        </w:rPr>
        <w:t>Food Standards (Proposal P1016 – Hydrocyanic Acid in Apricot Kernels &amp; other Foods) Variation.</w:t>
      </w:r>
    </w:p>
    <w:p w14:paraId="0A2F2814" w14:textId="77777777" w:rsidR="0035359F" w:rsidRPr="0035359F" w:rsidRDefault="0035359F" w:rsidP="0035359F">
      <w:pPr>
        <w:rPr>
          <w:szCs w:val="24"/>
          <w:lang w:bidi="en-US"/>
        </w:rPr>
      </w:pPr>
    </w:p>
    <w:p w14:paraId="4E212D1B" w14:textId="77777777" w:rsidR="0035359F" w:rsidRPr="0035359F" w:rsidRDefault="0035359F" w:rsidP="0035359F">
      <w:pPr>
        <w:tabs>
          <w:tab w:val="clear" w:pos="851"/>
        </w:tabs>
        <w:ind w:left="851" w:hanging="851"/>
        <w:rPr>
          <w:b/>
          <w:szCs w:val="24"/>
          <w:lang w:bidi="en-US"/>
        </w:rPr>
      </w:pPr>
      <w:r w:rsidRPr="0035359F">
        <w:rPr>
          <w:b/>
          <w:szCs w:val="24"/>
          <w:lang w:bidi="en-US"/>
        </w:rPr>
        <w:t>2</w:t>
      </w:r>
      <w:r w:rsidRPr="0035359F">
        <w:rPr>
          <w:b/>
          <w:szCs w:val="24"/>
          <w:lang w:bidi="en-US"/>
        </w:rPr>
        <w:tab/>
        <w:t xml:space="preserve">Variation to Standards in the </w:t>
      </w:r>
      <w:r w:rsidRPr="0035359F">
        <w:rPr>
          <w:b/>
          <w:i/>
          <w:szCs w:val="24"/>
          <w:lang w:bidi="en-US"/>
        </w:rPr>
        <w:t>Australia New Zealand Food Standards Code</w:t>
      </w:r>
    </w:p>
    <w:p w14:paraId="69CC343B" w14:textId="77777777" w:rsidR="0035359F" w:rsidRPr="0035359F" w:rsidRDefault="0035359F" w:rsidP="0035359F">
      <w:pPr>
        <w:rPr>
          <w:szCs w:val="24"/>
          <w:lang w:bidi="en-US"/>
        </w:rPr>
      </w:pPr>
    </w:p>
    <w:p w14:paraId="59FCA9F4" w14:textId="77777777" w:rsidR="0035359F" w:rsidRPr="0035359F" w:rsidRDefault="0035359F" w:rsidP="0035359F">
      <w:pPr>
        <w:rPr>
          <w:szCs w:val="24"/>
          <w:lang w:bidi="en-US"/>
        </w:rPr>
      </w:pPr>
      <w:r w:rsidRPr="0035359F">
        <w:rPr>
          <w:szCs w:val="24"/>
          <w:lang w:bidi="en-US"/>
        </w:rPr>
        <w:t xml:space="preserve">The Schedule varies a Standard in the </w:t>
      </w:r>
      <w:r w:rsidRPr="0035359F">
        <w:rPr>
          <w:i/>
          <w:szCs w:val="24"/>
          <w:lang w:bidi="en-US"/>
        </w:rPr>
        <w:t>Australia New Zealand Food Standards Code</w:t>
      </w:r>
      <w:r w:rsidRPr="0035359F">
        <w:rPr>
          <w:szCs w:val="24"/>
          <w:lang w:bidi="en-US"/>
        </w:rPr>
        <w:t>.</w:t>
      </w:r>
    </w:p>
    <w:p w14:paraId="4D10CC68" w14:textId="77777777" w:rsidR="0035359F" w:rsidRPr="0035359F" w:rsidRDefault="0035359F" w:rsidP="0035359F">
      <w:pPr>
        <w:rPr>
          <w:szCs w:val="24"/>
          <w:lang w:bidi="en-US"/>
        </w:rPr>
      </w:pPr>
    </w:p>
    <w:p w14:paraId="187E98A9" w14:textId="77777777" w:rsidR="0035359F" w:rsidRPr="0035359F" w:rsidRDefault="0035359F" w:rsidP="0035359F">
      <w:pPr>
        <w:rPr>
          <w:b/>
          <w:szCs w:val="24"/>
          <w:lang w:bidi="en-US"/>
        </w:rPr>
      </w:pPr>
      <w:r w:rsidRPr="0035359F">
        <w:rPr>
          <w:b/>
          <w:szCs w:val="24"/>
          <w:lang w:bidi="en-US"/>
        </w:rPr>
        <w:t>3</w:t>
      </w:r>
      <w:r w:rsidRPr="0035359F">
        <w:rPr>
          <w:b/>
          <w:szCs w:val="24"/>
          <w:lang w:bidi="en-US"/>
        </w:rPr>
        <w:tab/>
        <w:t>Commencement</w:t>
      </w:r>
    </w:p>
    <w:p w14:paraId="4BB34DEE" w14:textId="77777777" w:rsidR="0035359F" w:rsidRPr="0035359F" w:rsidRDefault="0035359F" w:rsidP="0035359F">
      <w:pPr>
        <w:rPr>
          <w:szCs w:val="24"/>
          <w:lang w:bidi="en-US"/>
        </w:rPr>
      </w:pPr>
    </w:p>
    <w:p w14:paraId="38C188B1" w14:textId="77777777" w:rsidR="0035359F" w:rsidRPr="0035359F" w:rsidRDefault="0035359F" w:rsidP="0035359F">
      <w:pPr>
        <w:rPr>
          <w:szCs w:val="24"/>
          <w:lang w:bidi="en-US"/>
        </w:rPr>
      </w:pPr>
      <w:r w:rsidRPr="0035359F">
        <w:rPr>
          <w:szCs w:val="24"/>
          <w:lang w:bidi="en-US"/>
        </w:rPr>
        <w:t>The variation commences on the date of gazettal.</w:t>
      </w:r>
    </w:p>
    <w:p w14:paraId="73A5B0FC" w14:textId="77777777" w:rsidR="0035359F" w:rsidRPr="0035359F" w:rsidRDefault="0035359F" w:rsidP="0035359F">
      <w:pPr>
        <w:jc w:val="center"/>
        <w:rPr>
          <w:b/>
          <w:caps/>
          <w:szCs w:val="24"/>
          <w:lang w:bidi="en-US"/>
        </w:rPr>
      </w:pPr>
    </w:p>
    <w:p w14:paraId="3683A6B6" w14:textId="77777777" w:rsidR="0035359F" w:rsidRPr="0035359F" w:rsidRDefault="0035359F" w:rsidP="0035359F">
      <w:pPr>
        <w:jc w:val="center"/>
        <w:rPr>
          <w:b/>
          <w:caps/>
          <w:szCs w:val="24"/>
          <w:lang w:bidi="en-US"/>
        </w:rPr>
      </w:pPr>
      <w:r w:rsidRPr="0035359F">
        <w:rPr>
          <w:b/>
          <w:caps/>
          <w:szCs w:val="24"/>
          <w:lang w:bidi="en-US"/>
        </w:rPr>
        <w:t>SCHEDULE</w:t>
      </w:r>
    </w:p>
    <w:p w14:paraId="739F74FF" w14:textId="77777777" w:rsidR="0035359F" w:rsidRPr="0035359F" w:rsidRDefault="0035359F" w:rsidP="0035359F">
      <w:pPr>
        <w:tabs>
          <w:tab w:val="clear" w:pos="851"/>
        </w:tabs>
        <w:rPr>
          <w:szCs w:val="24"/>
          <w:lang w:bidi="en-US"/>
        </w:rPr>
      </w:pPr>
    </w:p>
    <w:p w14:paraId="47585585" w14:textId="77777777" w:rsidR="0035359F" w:rsidRPr="0035359F" w:rsidRDefault="0035359F" w:rsidP="0035359F">
      <w:pPr>
        <w:rPr>
          <w:bCs/>
          <w:szCs w:val="24"/>
          <w:lang w:bidi="en-US"/>
        </w:rPr>
      </w:pPr>
      <w:r w:rsidRPr="0035359F">
        <w:rPr>
          <w:b/>
          <w:bCs/>
          <w:szCs w:val="24"/>
          <w:lang w:bidi="en-US"/>
        </w:rPr>
        <w:t>[1]</w:t>
      </w:r>
      <w:r w:rsidRPr="0035359F">
        <w:rPr>
          <w:b/>
          <w:bCs/>
          <w:szCs w:val="24"/>
          <w:lang w:bidi="en-US"/>
        </w:rPr>
        <w:tab/>
        <w:t xml:space="preserve">Standard 1.4.4 </w:t>
      </w:r>
      <w:r w:rsidRPr="0035359F">
        <w:rPr>
          <w:bCs/>
          <w:szCs w:val="24"/>
          <w:lang w:bidi="en-US"/>
        </w:rPr>
        <w:t>is varied by –</w:t>
      </w:r>
    </w:p>
    <w:p w14:paraId="22D5A4F6" w14:textId="77777777" w:rsidR="0035359F" w:rsidRPr="0035359F" w:rsidRDefault="0035359F" w:rsidP="0035359F">
      <w:pPr>
        <w:rPr>
          <w:bCs/>
          <w:szCs w:val="24"/>
          <w:lang w:bidi="en-US"/>
        </w:rPr>
      </w:pPr>
    </w:p>
    <w:p w14:paraId="79263C71" w14:textId="77777777" w:rsidR="0035359F" w:rsidRPr="0035359F" w:rsidRDefault="0035359F" w:rsidP="0035359F">
      <w:pPr>
        <w:rPr>
          <w:bCs/>
          <w:szCs w:val="24"/>
          <w:lang w:bidi="en-US"/>
        </w:rPr>
      </w:pPr>
      <w:r w:rsidRPr="0035359F">
        <w:rPr>
          <w:bCs/>
          <w:szCs w:val="24"/>
          <w:lang w:bidi="en-US"/>
        </w:rPr>
        <w:t>[1.1]</w:t>
      </w:r>
      <w:r w:rsidRPr="0035359F">
        <w:rPr>
          <w:bCs/>
          <w:szCs w:val="24"/>
          <w:lang w:bidi="en-US"/>
        </w:rPr>
        <w:tab/>
      </w:r>
      <w:r w:rsidRPr="0035359F">
        <w:rPr>
          <w:szCs w:val="24"/>
          <w:lang w:bidi="en-US"/>
        </w:rPr>
        <w:t>inserting after clause 2 –</w:t>
      </w:r>
    </w:p>
    <w:p w14:paraId="4AE9BB67" w14:textId="77777777" w:rsidR="0035359F" w:rsidRPr="0035359F" w:rsidRDefault="0035359F" w:rsidP="0035359F">
      <w:pPr>
        <w:rPr>
          <w:szCs w:val="24"/>
          <w:lang w:bidi="en-US"/>
        </w:rPr>
      </w:pPr>
    </w:p>
    <w:p w14:paraId="03C73E1B" w14:textId="77777777" w:rsidR="0035359F" w:rsidRPr="0035359F" w:rsidRDefault="0035359F" w:rsidP="0035359F">
      <w:pPr>
        <w:rPr>
          <w:b/>
          <w:szCs w:val="24"/>
          <w:lang w:bidi="en-US"/>
        </w:rPr>
      </w:pPr>
      <w:r w:rsidRPr="0035359F">
        <w:rPr>
          <w:szCs w:val="24"/>
          <w:lang w:bidi="en-US"/>
        </w:rPr>
        <w:t>“</w:t>
      </w:r>
      <w:r w:rsidRPr="0035359F">
        <w:rPr>
          <w:b/>
          <w:szCs w:val="24"/>
          <w:lang w:bidi="en-US"/>
        </w:rPr>
        <w:t>3</w:t>
      </w:r>
      <w:r w:rsidRPr="0035359F">
        <w:rPr>
          <w:b/>
          <w:szCs w:val="24"/>
          <w:lang w:bidi="en-US"/>
        </w:rPr>
        <w:tab/>
        <w:t>Raw apricot kernels</w:t>
      </w:r>
    </w:p>
    <w:p w14:paraId="0DA64390" w14:textId="77777777" w:rsidR="0035359F" w:rsidRPr="0035359F" w:rsidRDefault="0035359F" w:rsidP="0035359F">
      <w:pPr>
        <w:rPr>
          <w:szCs w:val="24"/>
          <w:lang w:bidi="en-US"/>
        </w:rPr>
      </w:pPr>
    </w:p>
    <w:p w14:paraId="3E7AB62B" w14:textId="77777777" w:rsidR="0035359F" w:rsidRPr="0035359F" w:rsidRDefault="0035359F" w:rsidP="0035359F">
      <w:pPr>
        <w:tabs>
          <w:tab w:val="left" w:pos="1134"/>
        </w:tabs>
        <w:rPr>
          <w:lang w:bidi="en-US"/>
        </w:rPr>
      </w:pPr>
      <w:r w:rsidRPr="0035359F">
        <w:rPr>
          <w:lang w:bidi="en-US"/>
        </w:rPr>
        <w:t>(1)</w:t>
      </w:r>
      <w:r w:rsidRPr="0035359F">
        <w:rPr>
          <w:lang w:bidi="en-US"/>
        </w:rPr>
        <w:tab/>
        <w:t>Raw apricot kernels must not be sold in a retail sale.</w:t>
      </w:r>
    </w:p>
    <w:p w14:paraId="04AB54B5" w14:textId="77777777" w:rsidR="0035359F" w:rsidRPr="0035359F" w:rsidRDefault="0035359F" w:rsidP="0035359F">
      <w:pPr>
        <w:tabs>
          <w:tab w:val="left" w:pos="1134"/>
        </w:tabs>
        <w:rPr>
          <w:lang w:bidi="en-US"/>
        </w:rPr>
      </w:pPr>
    </w:p>
    <w:p w14:paraId="3BDD695D" w14:textId="77777777" w:rsidR="0035359F" w:rsidRPr="0035359F" w:rsidRDefault="0035359F" w:rsidP="0035359F">
      <w:pPr>
        <w:tabs>
          <w:tab w:val="left" w:pos="1134"/>
        </w:tabs>
        <w:rPr>
          <w:lang w:bidi="en-US"/>
        </w:rPr>
      </w:pPr>
      <w:r w:rsidRPr="0035359F">
        <w:rPr>
          <w:lang w:bidi="en-US"/>
        </w:rPr>
        <w:t>(2)</w:t>
      </w:r>
      <w:r w:rsidRPr="0035359F">
        <w:rPr>
          <w:lang w:bidi="en-US"/>
        </w:rPr>
        <w:tab/>
        <w:t>Raw apricot kernels must not be used as an ingredient in a food</w:t>
      </w:r>
      <w:r w:rsidRPr="0035359F" w:rsidDel="00994649">
        <w:rPr>
          <w:lang w:bidi="en-US"/>
        </w:rPr>
        <w:t xml:space="preserve"> </w:t>
      </w:r>
      <w:r w:rsidRPr="0035359F">
        <w:rPr>
          <w:lang w:bidi="en-US"/>
        </w:rPr>
        <w:t>unless the kernels have been or will be subject to processing or a treatment that renders them safe for human consumption.</w:t>
      </w:r>
    </w:p>
    <w:p w14:paraId="381FE4CF" w14:textId="77777777" w:rsidR="0035359F" w:rsidRPr="0035359F" w:rsidRDefault="0035359F" w:rsidP="0035359F">
      <w:pPr>
        <w:tabs>
          <w:tab w:val="left" w:pos="1134"/>
        </w:tabs>
        <w:rPr>
          <w:lang w:bidi="en-US"/>
        </w:rPr>
      </w:pPr>
    </w:p>
    <w:p w14:paraId="3A99B2BD" w14:textId="77777777" w:rsidR="0035359F" w:rsidRPr="0035359F" w:rsidRDefault="0035359F" w:rsidP="0035359F">
      <w:pPr>
        <w:tabs>
          <w:tab w:val="left" w:pos="1134"/>
        </w:tabs>
        <w:rPr>
          <w:lang w:bidi="en-US"/>
        </w:rPr>
      </w:pPr>
      <w:r w:rsidRPr="0035359F">
        <w:rPr>
          <w:lang w:bidi="en-US"/>
        </w:rPr>
        <w:t>(3)</w:t>
      </w:r>
      <w:r w:rsidRPr="0035359F">
        <w:rPr>
          <w:lang w:bidi="en-US"/>
        </w:rPr>
        <w:tab/>
        <w:t>To avoid doubt, nothing in this clause prevents the sale of apricots containing their raw apricot kernels or the use of such apricots as an ingredient in a food.</w:t>
      </w:r>
    </w:p>
    <w:p w14:paraId="356AD8D3" w14:textId="77777777" w:rsidR="0035359F" w:rsidRPr="0035359F" w:rsidRDefault="0035359F" w:rsidP="0035359F">
      <w:pPr>
        <w:tabs>
          <w:tab w:val="left" w:pos="1134"/>
        </w:tabs>
        <w:rPr>
          <w:szCs w:val="24"/>
          <w:lang w:bidi="en-US"/>
        </w:rPr>
      </w:pPr>
    </w:p>
    <w:p w14:paraId="5F0CDA29" w14:textId="77777777" w:rsidR="0035359F" w:rsidRPr="0035359F" w:rsidRDefault="0035359F" w:rsidP="0035359F">
      <w:pPr>
        <w:tabs>
          <w:tab w:val="left" w:pos="1134"/>
        </w:tabs>
        <w:rPr>
          <w:szCs w:val="24"/>
          <w:lang w:bidi="en-US"/>
        </w:rPr>
      </w:pPr>
      <w:r w:rsidRPr="0035359F">
        <w:rPr>
          <w:szCs w:val="24"/>
          <w:lang w:bidi="en-US"/>
        </w:rPr>
        <w:t>(4)</w:t>
      </w:r>
      <w:r w:rsidRPr="0035359F">
        <w:rPr>
          <w:szCs w:val="24"/>
          <w:lang w:bidi="en-US"/>
        </w:rPr>
        <w:tab/>
        <w:t xml:space="preserve">Nothing in this clause affects the operation of clause 4 of Standard 1.4.1.  </w:t>
      </w:r>
    </w:p>
    <w:p w14:paraId="0B1A49FD" w14:textId="77777777" w:rsidR="0035359F" w:rsidRPr="0035359F" w:rsidRDefault="0035359F" w:rsidP="0035359F">
      <w:pPr>
        <w:tabs>
          <w:tab w:val="left" w:pos="1134"/>
        </w:tabs>
        <w:rPr>
          <w:szCs w:val="24"/>
          <w:lang w:bidi="en-US"/>
        </w:rPr>
      </w:pPr>
    </w:p>
    <w:p w14:paraId="0A952264" w14:textId="77777777" w:rsidR="0035359F" w:rsidRPr="0035359F" w:rsidRDefault="0035359F" w:rsidP="0035359F">
      <w:pPr>
        <w:tabs>
          <w:tab w:val="left" w:pos="1134"/>
        </w:tabs>
        <w:rPr>
          <w:szCs w:val="24"/>
          <w:lang w:bidi="en-US"/>
        </w:rPr>
      </w:pPr>
      <w:r w:rsidRPr="0035359F">
        <w:rPr>
          <w:szCs w:val="24"/>
          <w:lang w:bidi="en-US"/>
        </w:rPr>
        <w:t>(5)</w:t>
      </w:r>
      <w:r w:rsidRPr="0035359F">
        <w:rPr>
          <w:szCs w:val="24"/>
          <w:lang w:bidi="en-US"/>
        </w:rPr>
        <w:tab/>
        <w:t xml:space="preserve">For the purposes of this clause – </w:t>
      </w:r>
    </w:p>
    <w:p w14:paraId="165501A4" w14:textId="77777777" w:rsidR="0035359F" w:rsidRPr="0035359F" w:rsidRDefault="0035359F" w:rsidP="0035359F">
      <w:pPr>
        <w:tabs>
          <w:tab w:val="clear" w:pos="851"/>
        </w:tabs>
        <w:rPr>
          <w:b/>
          <w:szCs w:val="24"/>
          <w:lang w:bidi="en-US"/>
        </w:rPr>
      </w:pPr>
    </w:p>
    <w:p w14:paraId="562CA39A" w14:textId="77777777" w:rsidR="0035359F" w:rsidRPr="0035359F" w:rsidRDefault="0035359F" w:rsidP="0035359F">
      <w:pPr>
        <w:tabs>
          <w:tab w:val="clear" w:pos="851"/>
        </w:tabs>
        <w:ind w:left="1701" w:hanging="851"/>
        <w:rPr>
          <w:szCs w:val="24"/>
          <w:lang w:bidi="en-US"/>
        </w:rPr>
      </w:pPr>
      <w:r w:rsidRPr="0035359F">
        <w:rPr>
          <w:b/>
          <w:szCs w:val="24"/>
          <w:lang w:bidi="en-US"/>
        </w:rPr>
        <w:t>raw apricot kernels</w:t>
      </w:r>
      <w:r w:rsidRPr="0035359F">
        <w:rPr>
          <w:szCs w:val="24"/>
          <w:lang w:bidi="en-US"/>
        </w:rPr>
        <w:t xml:space="preserve"> means </w:t>
      </w:r>
      <w:r w:rsidRPr="0035359F">
        <w:rPr>
          <w:bCs/>
          <w:szCs w:val="24"/>
          <w:lang w:bidi="en-US"/>
        </w:rPr>
        <w:t xml:space="preserve">the nut found within the hard shell or stone of </w:t>
      </w:r>
      <w:proofErr w:type="spellStart"/>
      <w:r w:rsidRPr="0035359F">
        <w:rPr>
          <w:i/>
          <w:szCs w:val="24"/>
          <w:lang w:bidi="en-US"/>
        </w:rPr>
        <w:t>Prunus</w:t>
      </w:r>
      <w:proofErr w:type="spellEnd"/>
      <w:r w:rsidRPr="0035359F">
        <w:rPr>
          <w:i/>
          <w:szCs w:val="24"/>
          <w:lang w:bidi="en-US"/>
        </w:rPr>
        <w:t xml:space="preserve"> </w:t>
      </w:r>
      <w:proofErr w:type="spellStart"/>
      <w:r w:rsidRPr="0035359F">
        <w:rPr>
          <w:i/>
          <w:szCs w:val="24"/>
          <w:lang w:bidi="en-US"/>
        </w:rPr>
        <w:t>armeniaca</w:t>
      </w:r>
      <w:proofErr w:type="spellEnd"/>
      <w:r w:rsidRPr="0035359F">
        <w:rPr>
          <w:szCs w:val="24"/>
          <w:lang w:bidi="en-US"/>
        </w:rPr>
        <w:t xml:space="preserve"> and includes hulled, </w:t>
      </w:r>
      <w:proofErr w:type="spellStart"/>
      <w:r w:rsidRPr="0035359F">
        <w:rPr>
          <w:szCs w:val="24"/>
          <w:lang w:bidi="en-US"/>
        </w:rPr>
        <w:t>de</w:t>
      </w:r>
      <w:r w:rsidRPr="0035359F">
        <w:rPr>
          <w:szCs w:val="24"/>
          <w:lang w:eastAsia="en-GB" w:bidi="en-US"/>
        </w:rPr>
        <w:t>hulled</w:t>
      </w:r>
      <w:proofErr w:type="spellEnd"/>
      <w:r w:rsidRPr="0035359F">
        <w:rPr>
          <w:szCs w:val="24"/>
          <w:lang w:eastAsia="en-GB" w:bidi="en-US"/>
        </w:rPr>
        <w:t>, blanched, ground, milled, cracked, chopped or whole kernels</w:t>
      </w:r>
      <w:r w:rsidRPr="0035359F">
        <w:rPr>
          <w:szCs w:val="24"/>
          <w:lang w:bidi="en-US"/>
        </w:rPr>
        <w:t>.</w:t>
      </w:r>
    </w:p>
    <w:p w14:paraId="098D3F8A" w14:textId="77777777" w:rsidR="0035359F" w:rsidRPr="0035359F" w:rsidRDefault="0035359F" w:rsidP="0035359F">
      <w:pPr>
        <w:tabs>
          <w:tab w:val="clear" w:pos="851"/>
        </w:tabs>
        <w:rPr>
          <w:szCs w:val="24"/>
          <w:lang w:bidi="en-US"/>
        </w:rPr>
      </w:pPr>
    </w:p>
    <w:p w14:paraId="0ACB3687" w14:textId="77777777" w:rsidR="0035359F" w:rsidRPr="0035359F" w:rsidRDefault="0035359F" w:rsidP="0035359F">
      <w:pPr>
        <w:rPr>
          <w:szCs w:val="24"/>
          <w:lang w:bidi="en-US"/>
        </w:rPr>
      </w:pPr>
      <w:r w:rsidRPr="0035359F">
        <w:rPr>
          <w:szCs w:val="24"/>
          <w:lang w:bidi="en-US"/>
        </w:rPr>
        <w:t>(6)</w:t>
      </w:r>
      <w:r w:rsidRPr="0035359F">
        <w:rPr>
          <w:szCs w:val="24"/>
          <w:lang w:bidi="en-US"/>
        </w:rPr>
        <w:tab/>
      </w:r>
      <w:proofErr w:type="spellStart"/>
      <w:r w:rsidRPr="0035359F">
        <w:rPr>
          <w:szCs w:val="24"/>
          <w:lang w:bidi="en-US"/>
        </w:rPr>
        <w:t>Subclause</w:t>
      </w:r>
      <w:proofErr w:type="spellEnd"/>
      <w:r w:rsidRPr="0035359F">
        <w:rPr>
          <w:szCs w:val="24"/>
          <w:lang w:bidi="en-US"/>
        </w:rPr>
        <w:t xml:space="preserve"> 1(2) of Standard 1.1.1 does not apply in relation to any variation made by Food Standards (Proposal P1016 – Hydrocyanic Acid in Apricot Kernels &amp; other Foods) Variation.”</w:t>
      </w:r>
    </w:p>
    <w:p w14:paraId="30F77EA9" w14:textId="77777777" w:rsidR="0035359F" w:rsidRPr="0035359F" w:rsidRDefault="0035359F" w:rsidP="0035359F">
      <w:pPr>
        <w:jc w:val="right"/>
        <w:rPr>
          <w:szCs w:val="24"/>
          <w:lang w:bidi="en-US"/>
        </w:rPr>
      </w:pPr>
    </w:p>
    <w:p w14:paraId="21C2D3EA" w14:textId="77777777" w:rsidR="0035359F" w:rsidRPr="0035359F" w:rsidRDefault="0035359F" w:rsidP="0035359F">
      <w:pPr>
        <w:rPr>
          <w:szCs w:val="24"/>
          <w:lang w:bidi="en-US"/>
        </w:rPr>
      </w:pPr>
      <w:r w:rsidRPr="0035359F">
        <w:rPr>
          <w:szCs w:val="24"/>
          <w:lang w:bidi="en-US"/>
        </w:rPr>
        <w:t>[1.2]</w:t>
      </w:r>
      <w:r w:rsidRPr="0035359F">
        <w:rPr>
          <w:szCs w:val="24"/>
          <w:lang w:bidi="en-US"/>
        </w:rPr>
        <w:tab/>
        <w:t>updating the Table of Provisions to reflect these variations.</w:t>
      </w:r>
    </w:p>
    <w:p w14:paraId="4A488C87" w14:textId="77777777" w:rsidR="0035359F" w:rsidRPr="0035359F" w:rsidRDefault="0035359F" w:rsidP="0035359F"/>
    <w:p w14:paraId="5C43ECAF"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34DBE704" w14:textId="77777777" w:rsidR="0035359F" w:rsidRPr="0035359F" w:rsidRDefault="0035359F" w:rsidP="0035359F">
      <w:pPr>
        <w:tabs>
          <w:tab w:val="clear" w:pos="851"/>
        </w:tabs>
        <w:rPr>
          <w:noProof/>
          <w:szCs w:val="24"/>
          <w:highlight w:val="yellow"/>
          <w:lang w:eastAsia="en-AU" w:bidi="en-US"/>
        </w:rPr>
      </w:pPr>
      <w:r w:rsidRPr="0035359F">
        <w:rPr>
          <w:noProof/>
          <w:szCs w:val="24"/>
          <w:highlight w:val="yellow"/>
          <w:lang w:eastAsia="en-GB"/>
        </w:rPr>
        <w:lastRenderedPageBreak/>
        <w:drawing>
          <wp:inline distT="0" distB="0" distL="0" distR="0" wp14:anchorId="4B58227D" wp14:editId="0F2FF03A">
            <wp:extent cx="2657475" cy="438150"/>
            <wp:effectExtent l="0" t="0" r="9525" b="0"/>
            <wp:docPr id="28" name="Picture 28"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33A5E70" w14:textId="77777777" w:rsidR="0035359F" w:rsidRPr="0035359F" w:rsidRDefault="0035359F" w:rsidP="0035359F">
      <w:pPr>
        <w:tabs>
          <w:tab w:val="clear" w:pos="851"/>
        </w:tabs>
        <w:rPr>
          <w:szCs w:val="24"/>
          <w:highlight w:val="yellow"/>
          <w:lang w:bidi="en-US"/>
        </w:rPr>
      </w:pPr>
    </w:p>
    <w:p w14:paraId="2145F4A9" w14:textId="77777777" w:rsidR="0035359F" w:rsidRPr="0035359F" w:rsidRDefault="0035359F" w:rsidP="0035359F">
      <w:pPr>
        <w:pBdr>
          <w:bottom w:val="single" w:sz="4" w:space="1" w:color="auto"/>
        </w:pBdr>
        <w:tabs>
          <w:tab w:val="clear" w:pos="851"/>
        </w:tabs>
        <w:rPr>
          <w:b/>
          <w:lang w:bidi="en-US"/>
        </w:rPr>
      </w:pPr>
      <w:r w:rsidRPr="0035359F">
        <w:rPr>
          <w:b/>
          <w:i/>
          <w:lang w:bidi="en-US"/>
        </w:rPr>
        <w:t>Australia New Zealand Food Standards Code</w:t>
      </w:r>
      <w:r w:rsidRPr="0035359F">
        <w:rPr>
          <w:b/>
          <w:lang w:bidi="en-US"/>
        </w:rPr>
        <w:t xml:space="preserve"> –</w:t>
      </w:r>
      <w:r w:rsidRPr="0035359F">
        <w:rPr>
          <w:b/>
          <w:color w:val="000000"/>
          <w:lang w:bidi="en-US"/>
        </w:rPr>
        <w:t xml:space="preserve"> Revocation and Transitional Variation</w:t>
      </w:r>
      <w:r w:rsidRPr="0035359F">
        <w:rPr>
          <w:b/>
          <w:lang w:bidi="en-US"/>
        </w:rPr>
        <w:t xml:space="preserve"> 2015 (Proposal P1016 </w:t>
      </w:r>
      <w:r w:rsidRPr="0035359F">
        <w:rPr>
          <w:b/>
          <w:szCs w:val="24"/>
          <w:lang w:bidi="en-US"/>
        </w:rPr>
        <w:t>– Hydrocyanic Acid in Apricot Kernels &amp; other Foods</w:t>
      </w:r>
      <w:r w:rsidRPr="0035359F">
        <w:rPr>
          <w:b/>
          <w:lang w:bidi="en-US"/>
        </w:rPr>
        <w:t>)</w:t>
      </w:r>
    </w:p>
    <w:p w14:paraId="13C7C88B" w14:textId="77777777" w:rsidR="0035359F" w:rsidRPr="0035359F" w:rsidRDefault="0035359F" w:rsidP="0035359F">
      <w:pPr>
        <w:pBdr>
          <w:bottom w:val="single" w:sz="4" w:space="1" w:color="auto"/>
        </w:pBdr>
        <w:tabs>
          <w:tab w:val="clear" w:pos="851"/>
        </w:tabs>
        <w:rPr>
          <w:b/>
          <w:lang w:bidi="en-US"/>
        </w:rPr>
      </w:pPr>
    </w:p>
    <w:p w14:paraId="72654B78" w14:textId="77777777" w:rsidR="0035359F" w:rsidRPr="0035359F" w:rsidRDefault="0035359F" w:rsidP="0035359F">
      <w:pPr>
        <w:tabs>
          <w:tab w:val="clear" w:pos="851"/>
        </w:tabs>
        <w:rPr>
          <w:szCs w:val="24"/>
          <w:lang w:bidi="en-US"/>
        </w:rPr>
      </w:pPr>
    </w:p>
    <w:p w14:paraId="330D25AB"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The variation commences on the date specified in clause 2 of this variation.</w:t>
      </w:r>
    </w:p>
    <w:p w14:paraId="1A6ADA54" w14:textId="77777777" w:rsidR="0035359F" w:rsidRPr="0035359F" w:rsidRDefault="0035359F" w:rsidP="0035359F">
      <w:pPr>
        <w:tabs>
          <w:tab w:val="clear" w:pos="851"/>
        </w:tabs>
        <w:rPr>
          <w:szCs w:val="24"/>
          <w:lang w:bidi="en-US"/>
        </w:rPr>
      </w:pPr>
    </w:p>
    <w:p w14:paraId="10468DC1" w14:textId="77777777" w:rsidR="0035359F" w:rsidRPr="0035359F" w:rsidRDefault="0035359F" w:rsidP="0035359F">
      <w:pPr>
        <w:tabs>
          <w:tab w:val="clear" w:pos="851"/>
        </w:tabs>
        <w:rPr>
          <w:szCs w:val="24"/>
          <w:lang w:bidi="en-US"/>
        </w:rPr>
      </w:pPr>
      <w:r w:rsidRPr="0035359F">
        <w:rPr>
          <w:szCs w:val="24"/>
          <w:lang w:bidi="en-US"/>
        </w:rPr>
        <w:t>30 November 2015</w:t>
      </w:r>
    </w:p>
    <w:p w14:paraId="7DB8D24B"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3D1F9A3E" wp14:editId="006D06B5">
            <wp:extent cx="1343025" cy="790575"/>
            <wp:effectExtent l="0" t="0" r="9525" b="9525"/>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6687564"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606C579D"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376A1D85" w14:textId="77777777" w:rsidR="0035359F" w:rsidRPr="0035359F" w:rsidRDefault="0035359F" w:rsidP="0035359F">
      <w:pPr>
        <w:tabs>
          <w:tab w:val="clear" w:pos="851"/>
        </w:tabs>
        <w:rPr>
          <w:szCs w:val="24"/>
          <w:lang w:bidi="en-US"/>
        </w:rPr>
      </w:pPr>
    </w:p>
    <w:p w14:paraId="7CFB37FA" w14:textId="77777777" w:rsidR="0035359F" w:rsidRPr="0035359F" w:rsidRDefault="0035359F" w:rsidP="0035359F">
      <w:pPr>
        <w:tabs>
          <w:tab w:val="clear" w:pos="851"/>
        </w:tabs>
        <w:rPr>
          <w:szCs w:val="24"/>
          <w:lang w:bidi="en-US"/>
        </w:rPr>
      </w:pPr>
    </w:p>
    <w:p w14:paraId="4C9F68A8" w14:textId="77777777" w:rsidR="0035359F" w:rsidRPr="0035359F" w:rsidRDefault="0035359F" w:rsidP="0035359F">
      <w:pPr>
        <w:tabs>
          <w:tab w:val="clear" w:pos="851"/>
        </w:tabs>
        <w:rPr>
          <w:szCs w:val="24"/>
          <w:lang w:bidi="en-US"/>
        </w:rPr>
      </w:pPr>
    </w:p>
    <w:p w14:paraId="1A7ED205" w14:textId="77777777" w:rsidR="0035359F" w:rsidRPr="0035359F" w:rsidRDefault="0035359F" w:rsidP="0035359F">
      <w:pPr>
        <w:tabs>
          <w:tab w:val="clear" w:pos="851"/>
        </w:tabs>
        <w:rPr>
          <w:szCs w:val="24"/>
          <w:lang w:bidi="en-US"/>
        </w:rPr>
      </w:pPr>
    </w:p>
    <w:p w14:paraId="0E4BCD41" w14:textId="77777777" w:rsidR="0035359F" w:rsidRPr="0035359F" w:rsidRDefault="0035359F" w:rsidP="0035359F">
      <w:pPr>
        <w:tabs>
          <w:tab w:val="clear" w:pos="851"/>
        </w:tabs>
        <w:rPr>
          <w:szCs w:val="24"/>
          <w:lang w:bidi="en-US"/>
        </w:rPr>
      </w:pPr>
    </w:p>
    <w:p w14:paraId="0D0DFC60"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6C97A678"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10DA4142"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w:t>
      </w:r>
    </w:p>
    <w:p w14:paraId="2006379A" w14:textId="77777777" w:rsidR="0035359F" w:rsidRPr="0035359F" w:rsidRDefault="0035359F" w:rsidP="0035359F">
      <w:pPr>
        <w:widowControl/>
        <w:tabs>
          <w:tab w:val="clear" w:pos="851"/>
        </w:tabs>
        <w:rPr>
          <w:szCs w:val="24"/>
          <w:lang w:bidi="en-US"/>
        </w:rPr>
      </w:pPr>
      <w:r w:rsidRPr="0035359F">
        <w:rPr>
          <w:szCs w:val="24"/>
          <w:lang w:bidi="en-US"/>
        </w:rPr>
        <w:t xml:space="preserve"> </w:t>
      </w:r>
      <w:r w:rsidRPr="0035359F">
        <w:rPr>
          <w:szCs w:val="24"/>
          <w:lang w:bidi="en-US"/>
        </w:rPr>
        <w:br w:type="page"/>
      </w:r>
    </w:p>
    <w:p w14:paraId="298FD262" w14:textId="77777777" w:rsidR="0035359F" w:rsidRPr="0035359F" w:rsidRDefault="0035359F" w:rsidP="0035359F">
      <w:pPr>
        <w:keepNext/>
        <w:keepLines/>
        <w:widowControl/>
        <w:tabs>
          <w:tab w:val="clear" w:pos="851"/>
        </w:tabs>
        <w:spacing w:before="120" w:after="120"/>
        <w:ind w:left="567" w:hanging="567"/>
        <w:rPr>
          <w:rFonts w:cs="Arial"/>
          <w:b/>
          <w:lang w:eastAsia="en-AU"/>
        </w:rPr>
      </w:pPr>
      <w:r w:rsidRPr="0035359F">
        <w:rPr>
          <w:rFonts w:cs="Arial"/>
          <w:b/>
          <w:lang w:eastAsia="en-AU"/>
        </w:rPr>
        <w:lastRenderedPageBreak/>
        <w:t>1</w:t>
      </w:r>
      <w:r w:rsidRPr="0035359F">
        <w:rPr>
          <w:rFonts w:cs="Arial"/>
          <w:b/>
          <w:lang w:eastAsia="en-AU"/>
        </w:rPr>
        <w:tab/>
        <w:t>Name of instrument</w:t>
      </w:r>
    </w:p>
    <w:p w14:paraId="0D86BF5D" w14:textId="77777777" w:rsidR="0035359F" w:rsidRPr="0035359F" w:rsidRDefault="0035359F" w:rsidP="0035359F">
      <w:pPr>
        <w:keepLines/>
        <w:widowControl/>
        <w:tabs>
          <w:tab w:val="clear" w:pos="851"/>
        </w:tabs>
        <w:spacing w:before="120" w:after="120" w:line="260" w:lineRule="exact"/>
        <w:rPr>
          <w:rFonts w:cs="Arial"/>
          <w:lang w:eastAsia="en-AU"/>
        </w:rPr>
      </w:pPr>
      <w:r w:rsidRPr="0035359F">
        <w:rPr>
          <w:rFonts w:cs="Arial"/>
          <w:lang w:eastAsia="en-AU"/>
        </w:rPr>
        <w:t xml:space="preserve">This instrument is the </w:t>
      </w:r>
      <w:r w:rsidRPr="0035359F">
        <w:rPr>
          <w:rFonts w:cs="Arial"/>
          <w:i/>
          <w:lang w:eastAsia="en-AU"/>
        </w:rPr>
        <w:t>Australia New Zealand</w:t>
      </w:r>
      <w:r w:rsidRPr="0035359F">
        <w:rPr>
          <w:rFonts w:cs="Arial"/>
          <w:lang w:eastAsia="en-AU"/>
        </w:rPr>
        <w:t xml:space="preserve"> </w:t>
      </w:r>
      <w:r w:rsidRPr="0035359F">
        <w:rPr>
          <w:rFonts w:cs="Arial"/>
          <w:i/>
          <w:lang w:eastAsia="en-AU"/>
        </w:rPr>
        <w:t xml:space="preserve">Food Standards Code </w:t>
      </w:r>
      <w:r w:rsidRPr="0035359F">
        <w:rPr>
          <w:rFonts w:cs="Arial"/>
          <w:i/>
          <w:color w:val="000000"/>
          <w:lang w:eastAsia="en-AU"/>
        </w:rPr>
        <w:t>— Revocation and Transitional Variation</w:t>
      </w:r>
      <w:r w:rsidRPr="0035359F">
        <w:rPr>
          <w:rFonts w:cs="Arial"/>
          <w:i/>
          <w:lang w:eastAsia="en-AU"/>
        </w:rPr>
        <w:t xml:space="preserve"> 2015 (</w:t>
      </w:r>
      <w:r w:rsidRPr="0035359F">
        <w:rPr>
          <w:rFonts w:cs="Arial"/>
          <w:i/>
          <w:szCs w:val="24"/>
          <w:lang w:eastAsia="en-AU"/>
        </w:rPr>
        <w:t>Proposal P1016– Hydrocyanic Acid in Apricot Kernels &amp; Other Foods</w:t>
      </w:r>
      <w:r w:rsidRPr="0035359F">
        <w:rPr>
          <w:rFonts w:cs="Arial"/>
          <w:i/>
          <w:lang w:eastAsia="en-AU"/>
        </w:rPr>
        <w:t>)</w:t>
      </w:r>
      <w:r w:rsidRPr="0035359F">
        <w:rPr>
          <w:rFonts w:cs="Arial"/>
          <w:lang w:eastAsia="en-AU"/>
        </w:rPr>
        <w:t>.</w:t>
      </w:r>
    </w:p>
    <w:p w14:paraId="05680A63" w14:textId="77777777" w:rsidR="0035359F" w:rsidRPr="0035359F" w:rsidRDefault="0035359F" w:rsidP="0035359F">
      <w:pPr>
        <w:keepNext/>
        <w:keepLines/>
        <w:widowControl/>
        <w:tabs>
          <w:tab w:val="clear" w:pos="851"/>
        </w:tabs>
        <w:spacing w:before="120" w:after="120"/>
        <w:ind w:left="567" w:hanging="567"/>
        <w:rPr>
          <w:rFonts w:cs="Arial"/>
          <w:b/>
          <w:lang w:eastAsia="en-AU"/>
        </w:rPr>
      </w:pPr>
      <w:r w:rsidRPr="0035359F">
        <w:rPr>
          <w:rFonts w:cs="Arial"/>
          <w:b/>
          <w:lang w:eastAsia="en-AU"/>
        </w:rPr>
        <w:t>2</w:t>
      </w:r>
      <w:r w:rsidRPr="0035359F">
        <w:rPr>
          <w:rFonts w:cs="Arial"/>
          <w:b/>
          <w:lang w:eastAsia="en-AU"/>
        </w:rPr>
        <w:tab/>
        <w:t>Commencement</w:t>
      </w:r>
    </w:p>
    <w:p w14:paraId="036322E7" w14:textId="77777777" w:rsidR="0035359F" w:rsidRPr="0035359F" w:rsidRDefault="0035359F" w:rsidP="0035359F">
      <w:pPr>
        <w:keepLines/>
        <w:widowControl/>
        <w:tabs>
          <w:tab w:val="clear" w:pos="851"/>
        </w:tabs>
        <w:spacing w:before="120" w:after="120" w:line="260" w:lineRule="exact"/>
        <w:rPr>
          <w:rFonts w:cs="Arial"/>
          <w:lang w:eastAsia="en-AU"/>
        </w:rPr>
      </w:pPr>
      <w:r w:rsidRPr="0035359F">
        <w:rPr>
          <w:rFonts w:cs="Arial"/>
          <w:lang w:eastAsia="en-AU"/>
        </w:rPr>
        <w:t>This instrument commences on 1 March 2016 immediately after the commencement of Standard 5.1.1 – Revocation and transitional provisions —2014 Revision.</w:t>
      </w:r>
    </w:p>
    <w:p w14:paraId="0D3EAE78" w14:textId="77777777" w:rsidR="0035359F" w:rsidRPr="0035359F" w:rsidRDefault="0035359F" w:rsidP="0035359F">
      <w:pPr>
        <w:keepNext/>
        <w:keepLines/>
        <w:widowControl/>
        <w:tabs>
          <w:tab w:val="clear" w:pos="851"/>
        </w:tabs>
        <w:spacing w:before="120" w:after="120"/>
        <w:ind w:left="567" w:hanging="567"/>
        <w:rPr>
          <w:rFonts w:cs="Arial"/>
          <w:b/>
          <w:sz w:val="26"/>
          <w:lang w:eastAsia="en-AU"/>
        </w:rPr>
      </w:pPr>
      <w:r w:rsidRPr="0035359F">
        <w:rPr>
          <w:rFonts w:cs="Arial"/>
          <w:b/>
          <w:lang w:eastAsia="en-AU"/>
        </w:rPr>
        <w:t>3</w:t>
      </w:r>
      <w:r w:rsidRPr="0035359F">
        <w:rPr>
          <w:rFonts w:cs="Arial"/>
          <w:b/>
          <w:lang w:eastAsia="en-AU"/>
        </w:rPr>
        <w:tab/>
        <w:t xml:space="preserve">Schedule </w:t>
      </w:r>
    </w:p>
    <w:p w14:paraId="38B7EE10" w14:textId="77777777" w:rsidR="0035359F" w:rsidRPr="0035359F" w:rsidRDefault="0035359F" w:rsidP="0035359F">
      <w:pPr>
        <w:keepLines/>
        <w:widowControl/>
        <w:tabs>
          <w:tab w:val="clear" w:pos="851"/>
        </w:tabs>
        <w:jc w:val="both"/>
        <w:rPr>
          <w:rFonts w:cs="Arial"/>
          <w:lang w:val="en-AU" w:eastAsia="en-AU"/>
        </w:rPr>
      </w:pPr>
      <w:r w:rsidRPr="0035359F">
        <w:rPr>
          <w:rFonts w:cs="Arial"/>
          <w:lang w:val="en-AU" w:eastAsia="en-AU"/>
        </w:rPr>
        <w:t xml:space="preserve">The Schedule varies Standards in the </w:t>
      </w:r>
      <w:r w:rsidRPr="0035359F">
        <w:rPr>
          <w:rFonts w:cs="Arial"/>
          <w:i/>
          <w:lang w:val="en-AU" w:eastAsia="en-AU"/>
        </w:rPr>
        <w:t>Australia New Zealand Food Standards Code</w:t>
      </w:r>
      <w:r w:rsidRPr="0035359F">
        <w:rPr>
          <w:rFonts w:cs="Arial"/>
          <w:lang w:val="en-AU" w:eastAsia="en-AU"/>
        </w:rPr>
        <w:t>.</w:t>
      </w:r>
    </w:p>
    <w:p w14:paraId="0334A5B2" w14:textId="77777777" w:rsidR="0035359F" w:rsidRPr="0035359F" w:rsidRDefault="0035359F" w:rsidP="0035359F">
      <w:pPr>
        <w:keepNext/>
        <w:keepLines/>
        <w:widowControl/>
        <w:tabs>
          <w:tab w:val="clear" w:pos="851"/>
        </w:tabs>
        <w:spacing w:before="240"/>
        <w:ind w:left="2410" w:hanging="2410"/>
        <w:jc w:val="center"/>
        <w:rPr>
          <w:rFonts w:ascii="Arial Bold" w:hAnsi="Arial Bold" w:cs="Arial"/>
          <w:b/>
          <w:caps/>
          <w:sz w:val="22"/>
          <w:szCs w:val="22"/>
          <w:lang w:eastAsia="en-AU"/>
        </w:rPr>
      </w:pPr>
      <w:r w:rsidRPr="0035359F">
        <w:rPr>
          <w:rFonts w:ascii="Arial Bold" w:hAnsi="Arial Bold" w:cs="Arial"/>
          <w:b/>
          <w:caps/>
          <w:sz w:val="22"/>
          <w:szCs w:val="22"/>
          <w:lang w:eastAsia="en-AU"/>
        </w:rPr>
        <w:t>Schedule</w:t>
      </w:r>
    </w:p>
    <w:p w14:paraId="15C554E4" w14:textId="77777777" w:rsidR="0035359F" w:rsidRPr="0035359F" w:rsidRDefault="0035359F" w:rsidP="0035359F">
      <w:pPr>
        <w:tabs>
          <w:tab w:val="clear" w:pos="851"/>
          <w:tab w:val="left" w:pos="1134"/>
        </w:tabs>
        <w:spacing w:before="120" w:after="120"/>
        <w:ind w:left="1701" w:hanging="1701"/>
        <w:rPr>
          <w:rFonts w:cs="Arial"/>
          <w:iCs/>
          <w:szCs w:val="22"/>
          <w:lang w:eastAsia="en-AU"/>
        </w:rPr>
      </w:pPr>
      <w:r w:rsidRPr="0035359F">
        <w:rPr>
          <w:rFonts w:cs="Arial"/>
          <w:b/>
          <w:iCs/>
          <w:szCs w:val="22"/>
          <w:lang w:eastAsia="en-AU"/>
        </w:rPr>
        <w:t>[1]</w:t>
      </w:r>
      <w:r w:rsidRPr="0035359F">
        <w:rPr>
          <w:rFonts w:cs="Arial"/>
          <w:b/>
          <w:iCs/>
          <w:szCs w:val="22"/>
          <w:lang w:eastAsia="en-AU"/>
        </w:rPr>
        <w:tab/>
        <w:t>Standard 1.1.1</w:t>
      </w:r>
      <w:r w:rsidRPr="0035359F">
        <w:rPr>
          <w:rFonts w:cs="Arial"/>
          <w:iCs/>
          <w:szCs w:val="22"/>
          <w:lang w:eastAsia="en-AU"/>
        </w:rPr>
        <w:t xml:space="preserve"> is varied by </w:t>
      </w:r>
    </w:p>
    <w:p w14:paraId="4E565D49" w14:textId="77777777" w:rsidR="0035359F" w:rsidRPr="0035359F" w:rsidRDefault="0035359F" w:rsidP="0035359F">
      <w:pPr>
        <w:tabs>
          <w:tab w:val="clear" w:pos="851"/>
          <w:tab w:val="left" w:pos="1134"/>
        </w:tabs>
        <w:spacing w:before="120" w:after="120"/>
        <w:ind w:left="1701" w:hanging="1701"/>
        <w:rPr>
          <w:rFonts w:cs="Arial"/>
          <w:lang w:bidi="en-US"/>
        </w:rPr>
      </w:pPr>
      <w:r w:rsidRPr="0035359F">
        <w:rPr>
          <w:rFonts w:cs="Arial"/>
          <w:lang w:bidi="en-US"/>
        </w:rPr>
        <w:t>[1.1]</w:t>
      </w:r>
      <w:r w:rsidRPr="0035359F">
        <w:rPr>
          <w:rFonts w:cs="Arial"/>
          <w:lang w:bidi="en-US"/>
        </w:rPr>
        <w:tab/>
        <w:t xml:space="preserve">omitting paragraph </w:t>
      </w:r>
      <w:r w:rsidRPr="0035359F">
        <w:rPr>
          <w:rFonts w:cs="Arial"/>
          <w:lang w:eastAsia="en-AU"/>
        </w:rPr>
        <w:t>1.1.1—10(5)(e), and substituting</w:t>
      </w:r>
    </w:p>
    <w:p w14:paraId="62459BAC" w14:textId="77777777" w:rsidR="0035359F" w:rsidRPr="0035359F" w:rsidRDefault="0035359F" w:rsidP="0035359F">
      <w:pPr>
        <w:tabs>
          <w:tab w:val="clear" w:pos="851"/>
          <w:tab w:val="left" w:pos="1701"/>
        </w:tabs>
        <w:spacing w:before="60" w:after="60"/>
        <w:rPr>
          <w:rFonts w:cs="Arial"/>
          <w:iCs/>
          <w:szCs w:val="22"/>
          <w:lang w:eastAsia="en-AU"/>
        </w:rPr>
      </w:pPr>
      <w:r w:rsidRPr="0035359F">
        <w:rPr>
          <w:rFonts w:cs="Arial"/>
          <w:iCs/>
          <w:szCs w:val="22"/>
          <w:lang w:eastAsia="en-AU"/>
        </w:rPr>
        <w:tab/>
        <w:t>“(e)</w:t>
      </w:r>
      <w:r w:rsidRPr="0035359F">
        <w:rPr>
          <w:rFonts w:cs="Arial"/>
          <w:iCs/>
          <w:szCs w:val="22"/>
          <w:lang w:eastAsia="en-AU"/>
        </w:rPr>
        <w:tab/>
        <w:t>kava or any substance derived from kava;</w:t>
      </w:r>
    </w:p>
    <w:p w14:paraId="237213BE" w14:textId="77777777" w:rsidR="0035359F" w:rsidRPr="0035359F" w:rsidRDefault="0035359F" w:rsidP="0035359F">
      <w:pPr>
        <w:tabs>
          <w:tab w:val="clear" w:pos="851"/>
          <w:tab w:val="left" w:pos="1701"/>
        </w:tabs>
        <w:spacing w:before="60" w:after="60"/>
        <w:rPr>
          <w:rFonts w:cs="Arial"/>
          <w:iCs/>
          <w:szCs w:val="22"/>
          <w:lang w:eastAsia="en-AU"/>
        </w:rPr>
      </w:pPr>
      <w:r w:rsidRPr="0035359F">
        <w:rPr>
          <w:rFonts w:cs="Arial"/>
          <w:iCs/>
          <w:szCs w:val="22"/>
          <w:lang w:eastAsia="en-AU"/>
        </w:rPr>
        <w:tab/>
        <w:t>(f)</w:t>
      </w:r>
      <w:r w:rsidRPr="0035359F">
        <w:rPr>
          <w:rFonts w:cs="Arial"/>
          <w:iCs/>
          <w:szCs w:val="22"/>
          <w:lang w:eastAsia="en-AU"/>
        </w:rPr>
        <w:tab/>
        <w:t>if the food is for retail sale – raw apricot kernels.”</w:t>
      </w:r>
    </w:p>
    <w:p w14:paraId="6A6C15F8" w14:textId="77777777" w:rsidR="0035359F" w:rsidRPr="0035359F" w:rsidRDefault="0035359F" w:rsidP="0035359F">
      <w:pPr>
        <w:tabs>
          <w:tab w:val="clear" w:pos="851"/>
          <w:tab w:val="left" w:pos="1134"/>
        </w:tabs>
        <w:spacing w:before="120" w:after="120"/>
        <w:ind w:left="1701" w:hanging="1701"/>
        <w:rPr>
          <w:rFonts w:cs="Arial"/>
          <w:lang w:bidi="en-US"/>
        </w:rPr>
      </w:pPr>
      <w:r w:rsidRPr="0035359F">
        <w:rPr>
          <w:rFonts w:cs="Arial"/>
          <w:lang w:bidi="en-US"/>
        </w:rPr>
        <w:t>[1.2]</w:t>
      </w:r>
      <w:r w:rsidRPr="0035359F">
        <w:rPr>
          <w:rFonts w:cs="Arial"/>
          <w:lang w:bidi="en-US"/>
        </w:rPr>
        <w:tab/>
        <w:t xml:space="preserve">omitting paragraph </w:t>
      </w:r>
      <w:r w:rsidRPr="0035359F">
        <w:rPr>
          <w:rFonts w:cs="Arial"/>
          <w:lang w:eastAsia="en-AU"/>
        </w:rPr>
        <w:t>1.1.1—10(6)(</w:t>
      </w:r>
      <w:proofErr w:type="spellStart"/>
      <w:r w:rsidRPr="0035359F">
        <w:rPr>
          <w:rFonts w:cs="Arial"/>
          <w:lang w:eastAsia="en-AU"/>
        </w:rPr>
        <w:t>i</w:t>
      </w:r>
      <w:proofErr w:type="spellEnd"/>
      <w:r w:rsidRPr="0035359F">
        <w:rPr>
          <w:rFonts w:cs="Arial"/>
          <w:lang w:eastAsia="en-AU"/>
        </w:rPr>
        <w:t>), and substituting</w:t>
      </w:r>
    </w:p>
    <w:p w14:paraId="4F93C2E7" w14:textId="77777777" w:rsidR="0035359F" w:rsidRPr="0035359F" w:rsidRDefault="0035359F" w:rsidP="0035359F">
      <w:pPr>
        <w:tabs>
          <w:tab w:val="clear" w:pos="851"/>
          <w:tab w:val="left" w:pos="1701"/>
        </w:tabs>
        <w:spacing w:before="60" w:after="60"/>
        <w:ind w:left="2268" w:hanging="2268"/>
        <w:rPr>
          <w:rFonts w:cs="Arial"/>
          <w:iCs/>
          <w:szCs w:val="22"/>
          <w:lang w:eastAsia="en-AU"/>
        </w:rPr>
      </w:pPr>
      <w:r w:rsidRPr="0035359F">
        <w:rPr>
          <w:rFonts w:cs="Arial"/>
          <w:iCs/>
          <w:szCs w:val="22"/>
          <w:lang w:eastAsia="en-AU"/>
        </w:rPr>
        <w:tab/>
        <w:t>“(</w:t>
      </w:r>
      <w:proofErr w:type="spellStart"/>
      <w:r w:rsidRPr="0035359F">
        <w:rPr>
          <w:rFonts w:cs="Arial"/>
          <w:iCs/>
          <w:szCs w:val="22"/>
          <w:lang w:eastAsia="en-AU"/>
        </w:rPr>
        <w:t>i</w:t>
      </w:r>
      <w:proofErr w:type="spellEnd"/>
      <w:r w:rsidRPr="0035359F">
        <w:rPr>
          <w:rFonts w:cs="Arial"/>
          <w:iCs/>
          <w:szCs w:val="22"/>
          <w:lang w:eastAsia="en-AU"/>
        </w:rPr>
        <w:t>)</w:t>
      </w:r>
      <w:r w:rsidRPr="0035359F">
        <w:rPr>
          <w:rFonts w:cs="Arial"/>
          <w:iCs/>
          <w:szCs w:val="22"/>
          <w:lang w:eastAsia="en-AU"/>
        </w:rPr>
        <w:tab/>
        <w:t>kava or any substance derived from kava;</w:t>
      </w:r>
    </w:p>
    <w:p w14:paraId="72A902C3" w14:textId="77777777" w:rsidR="0035359F" w:rsidRPr="0035359F" w:rsidRDefault="0035359F" w:rsidP="0035359F">
      <w:pPr>
        <w:tabs>
          <w:tab w:val="clear" w:pos="851"/>
          <w:tab w:val="left" w:pos="1701"/>
        </w:tabs>
        <w:spacing w:before="60" w:after="60"/>
        <w:ind w:left="2268" w:hanging="2268"/>
        <w:rPr>
          <w:rFonts w:cs="Arial"/>
          <w:iCs/>
          <w:szCs w:val="22"/>
          <w:lang w:eastAsia="en-AU"/>
        </w:rPr>
      </w:pPr>
      <w:r w:rsidRPr="0035359F">
        <w:rPr>
          <w:rFonts w:cs="Arial"/>
          <w:iCs/>
          <w:szCs w:val="22"/>
          <w:lang w:eastAsia="en-AU"/>
        </w:rPr>
        <w:tab/>
        <w:t>(j)</w:t>
      </w:r>
      <w:r w:rsidRPr="0035359F">
        <w:rPr>
          <w:rFonts w:cs="Arial"/>
          <w:iCs/>
          <w:szCs w:val="22"/>
          <w:lang w:eastAsia="en-AU"/>
        </w:rPr>
        <w:tab/>
        <w:t>raw apricot kernels.”</w:t>
      </w:r>
    </w:p>
    <w:p w14:paraId="58DBF3CA" w14:textId="77777777" w:rsidR="0035359F" w:rsidRPr="0035359F" w:rsidRDefault="0035359F" w:rsidP="0035359F">
      <w:pPr>
        <w:tabs>
          <w:tab w:val="clear" w:pos="851"/>
          <w:tab w:val="left" w:pos="1134"/>
        </w:tabs>
        <w:spacing w:before="120" w:after="120"/>
        <w:ind w:left="1701" w:hanging="1701"/>
        <w:rPr>
          <w:rFonts w:cs="Arial"/>
          <w:lang w:eastAsia="en-AU"/>
        </w:rPr>
      </w:pPr>
      <w:r w:rsidRPr="0035359F">
        <w:rPr>
          <w:rFonts w:cs="Arial"/>
          <w:lang w:bidi="en-US"/>
        </w:rPr>
        <w:t>[1.3]</w:t>
      </w:r>
      <w:r w:rsidRPr="0035359F">
        <w:rPr>
          <w:rFonts w:cs="Arial"/>
          <w:lang w:bidi="en-US"/>
        </w:rPr>
        <w:tab/>
        <w:t xml:space="preserve">inserting after Note 3 following subsection </w:t>
      </w:r>
      <w:r w:rsidRPr="0035359F">
        <w:rPr>
          <w:rFonts w:cs="Arial"/>
          <w:lang w:eastAsia="en-AU"/>
        </w:rPr>
        <w:t>1.1.1—10(6)</w:t>
      </w:r>
    </w:p>
    <w:p w14:paraId="09247D74" w14:textId="77777777" w:rsidR="0035359F" w:rsidRPr="0035359F" w:rsidRDefault="0035359F" w:rsidP="0035359F">
      <w:pPr>
        <w:tabs>
          <w:tab w:val="clear" w:pos="851"/>
          <w:tab w:val="left" w:pos="1701"/>
        </w:tabs>
        <w:spacing w:before="60" w:after="60"/>
        <w:ind w:left="2268" w:hanging="2268"/>
        <w:rPr>
          <w:rFonts w:cs="Arial"/>
          <w:sz w:val="16"/>
          <w:szCs w:val="18"/>
          <w:lang w:eastAsia="en-AU"/>
        </w:rPr>
      </w:pPr>
      <w:r w:rsidRPr="0035359F">
        <w:rPr>
          <w:rFonts w:cs="Arial"/>
          <w:sz w:val="16"/>
          <w:szCs w:val="18"/>
          <w:lang w:eastAsia="en-AU"/>
        </w:rPr>
        <w:tab/>
        <w:t>“</w:t>
      </w:r>
      <w:r w:rsidRPr="0035359F">
        <w:rPr>
          <w:rFonts w:cs="Arial"/>
          <w:b/>
          <w:i/>
          <w:sz w:val="16"/>
          <w:szCs w:val="18"/>
          <w:lang w:eastAsia="en-AU"/>
        </w:rPr>
        <w:t>Note 4</w:t>
      </w:r>
      <w:r w:rsidRPr="0035359F">
        <w:rPr>
          <w:rFonts w:cs="Arial"/>
          <w:sz w:val="16"/>
          <w:szCs w:val="18"/>
          <w:lang w:eastAsia="en-AU"/>
        </w:rPr>
        <w:tab/>
        <w:t>Relevant permissions for raw apricot kernels are contained in Standard 1.4.4.”</w:t>
      </w:r>
    </w:p>
    <w:p w14:paraId="57ED8249" w14:textId="77777777" w:rsidR="0035359F" w:rsidRPr="0035359F" w:rsidRDefault="0035359F" w:rsidP="0035359F">
      <w:pPr>
        <w:tabs>
          <w:tab w:val="clear" w:pos="851"/>
          <w:tab w:val="left" w:pos="1134"/>
        </w:tabs>
        <w:spacing w:before="120" w:after="120"/>
        <w:ind w:left="1701" w:hanging="1701"/>
        <w:rPr>
          <w:rFonts w:cs="Arial"/>
          <w:iCs/>
          <w:lang w:eastAsia="en-AU"/>
        </w:rPr>
      </w:pPr>
      <w:r w:rsidRPr="0035359F">
        <w:rPr>
          <w:rFonts w:cs="Arial"/>
          <w:b/>
          <w:iCs/>
          <w:szCs w:val="22"/>
          <w:lang w:eastAsia="en-AU"/>
        </w:rPr>
        <w:t>[2]</w:t>
      </w:r>
      <w:r w:rsidRPr="0035359F">
        <w:rPr>
          <w:rFonts w:cs="Arial"/>
          <w:b/>
          <w:iCs/>
          <w:szCs w:val="22"/>
          <w:lang w:eastAsia="en-AU"/>
        </w:rPr>
        <w:tab/>
        <w:t>Standard 1.1.2</w:t>
      </w:r>
      <w:r w:rsidRPr="0035359F">
        <w:rPr>
          <w:rFonts w:cs="Arial"/>
          <w:iCs/>
          <w:szCs w:val="22"/>
          <w:lang w:eastAsia="en-AU"/>
        </w:rPr>
        <w:t xml:space="preserve"> is varied by i</w:t>
      </w:r>
      <w:r w:rsidRPr="0035359F">
        <w:rPr>
          <w:rFonts w:cs="Arial"/>
          <w:iCs/>
          <w:lang w:eastAsia="en-AU"/>
        </w:rPr>
        <w:t>nserting in subsection 1.1.2—3(2) in appropriate alphabetical position</w:t>
      </w:r>
    </w:p>
    <w:p w14:paraId="4DAC1EBC" w14:textId="77777777" w:rsidR="0035359F" w:rsidRPr="0035359F" w:rsidRDefault="0035359F" w:rsidP="0035359F">
      <w:pPr>
        <w:tabs>
          <w:tab w:val="clear" w:pos="851"/>
          <w:tab w:val="left" w:pos="1134"/>
        </w:tabs>
        <w:spacing w:before="120" w:after="120"/>
        <w:ind w:left="1701"/>
        <w:rPr>
          <w:rFonts w:cs="Arial"/>
          <w:iCs/>
          <w:szCs w:val="22"/>
          <w:lang w:eastAsia="en-AU"/>
        </w:rPr>
      </w:pPr>
      <w:r w:rsidRPr="0035359F">
        <w:rPr>
          <w:rFonts w:cs="Arial"/>
          <w:iCs/>
          <w:szCs w:val="22"/>
          <w:lang w:eastAsia="en-AU"/>
        </w:rPr>
        <w:t>“</w:t>
      </w:r>
      <w:r w:rsidRPr="0035359F">
        <w:rPr>
          <w:rFonts w:cs="Arial"/>
          <w:b/>
          <w:i/>
          <w:iCs/>
          <w:szCs w:val="22"/>
          <w:lang w:eastAsia="en-AU"/>
        </w:rPr>
        <w:t>raw apricot</w:t>
      </w:r>
      <w:r w:rsidRPr="0035359F">
        <w:rPr>
          <w:rFonts w:cs="Arial"/>
          <w:iCs/>
          <w:szCs w:val="22"/>
          <w:lang w:eastAsia="en-AU"/>
        </w:rPr>
        <w:t xml:space="preserve"> </w:t>
      </w:r>
      <w:r w:rsidRPr="0035359F">
        <w:rPr>
          <w:rFonts w:cs="Arial"/>
          <w:b/>
          <w:i/>
          <w:iCs/>
          <w:szCs w:val="22"/>
          <w:lang w:eastAsia="en-AU"/>
        </w:rPr>
        <w:t>kernels</w:t>
      </w:r>
      <w:r w:rsidRPr="0035359F">
        <w:rPr>
          <w:rFonts w:cs="Arial"/>
          <w:iCs/>
          <w:szCs w:val="22"/>
          <w:lang w:eastAsia="en-AU"/>
        </w:rPr>
        <w:t xml:space="preserve"> means </w:t>
      </w:r>
      <w:r w:rsidRPr="0035359F">
        <w:rPr>
          <w:rFonts w:cs="Arial"/>
          <w:bCs/>
          <w:iCs/>
          <w:szCs w:val="22"/>
          <w:lang w:eastAsia="en-AU"/>
        </w:rPr>
        <w:t xml:space="preserve">the nut found within the hard shell or stone of </w:t>
      </w:r>
      <w:proofErr w:type="spellStart"/>
      <w:r w:rsidRPr="0035359F">
        <w:rPr>
          <w:rFonts w:cs="Arial"/>
          <w:i/>
          <w:iCs/>
          <w:szCs w:val="22"/>
          <w:lang w:eastAsia="en-AU"/>
        </w:rPr>
        <w:t>Prunus</w:t>
      </w:r>
      <w:proofErr w:type="spellEnd"/>
      <w:r w:rsidRPr="0035359F">
        <w:rPr>
          <w:rFonts w:cs="Arial"/>
          <w:i/>
          <w:iCs/>
          <w:szCs w:val="22"/>
          <w:lang w:eastAsia="en-AU"/>
        </w:rPr>
        <w:t xml:space="preserve"> </w:t>
      </w:r>
      <w:proofErr w:type="spellStart"/>
      <w:r w:rsidRPr="0035359F">
        <w:rPr>
          <w:rFonts w:cs="Arial"/>
          <w:i/>
          <w:iCs/>
          <w:szCs w:val="22"/>
          <w:lang w:eastAsia="en-AU"/>
        </w:rPr>
        <w:t>armeniaca</w:t>
      </w:r>
      <w:proofErr w:type="spellEnd"/>
      <w:r w:rsidRPr="0035359F">
        <w:rPr>
          <w:rFonts w:cs="Arial"/>
          <w:iCs/>
          <w:szCs w:val="22"/>
          <w:lang w:eastAsia="en-AU"/>
        </w:rPr>
        <w:t xml:space="preserve"> and includes hulled, </w:t>
      </w:r>
      <w:proofErr w:type="spellStart"/>
      <w:r w:rsidRPr="0035359F">
        <w:rPr>
          <w:rFonts w:cs="Arial"/>
          <w:iCs/>
          <w:szCs w:val="22"/>
          <w:lang w:eastAsia="en-AU"/>
        </w:rPr>
        <w:t>de</w:t>
      </w:r>
      <w:r w:rsidRPr="0035359F">
        <w:rPr>
          <w:rFonts w:cs="Arial"/>
          <w:iCs/>
          <w:szCs w:val="22"/>
          <w:lang w:eastAsia="en-GB"/>
        </w:rPr>
        <w:t>hulled</w:t>
      </w:r>
      <w:proofErr w:type="spellEnd"/>
      <w:r w:rsidRPr="0035359F">
        <w:rPr>
          <w:rFonts w:cs="Arial"/>
          <w:iCs/>
          <w:szCs w:val="22"/>
          <w:lang w:eastAsia="en-GB"/>
        </w:rPr>
        <w:t>, blanched, ground, milled, cracked, chopped or whole kernels</w:t>
      </w:r>
      <w:r w:rsidRPr="0035359F">
        <w:rPr>
          <w:rFonts w:cs="Arial"/>
          <w:iCs/>
          <w:szCs w:val="22"/>
          <w:lang w:eastAsia="en-AU"/>
        </w:rPr>
        <w:t>.”</w:t>
      </w:r>
    </w:p>
    <w:p w14:paraId="5F23E192" w14:textId="77777777" w:rsidR="0035359F" w:rsidRPr="0035359F" w:rsidRDefault="0035359F" w:rsidP="0035359F">
      <w:pPr>
        <w:tabs>
          <w:tab w:val="clear" w:pos="851"/>
          <w:tab w:val="left" w:pos="1134"/>
        </w:tabs>
        <w:spacing w:before="120" w:after="120"/>
        <w:ind w:left="1701" w:hanging="1701"/>
        <w:rPr>
          <w:rFonts w:cs="Arial"/>
          <w:lang w:bidi="en-US"/>
        </w:rPr>
      </w:pPr>
      <w:r w:rsidRPr="0035359F">
        <w:rPr>
          <w:rFonts w:cs="Arial"/>
          <w:lang w:bidi="en-US"/>
        </w:rPr>
        <w:t>[3]</w:t>
      </w:r>
      <w:r w:rsidRPr="0035359F">
        <w:rPr>
          <w:rFonts w:cs="Arial"/>
          <w:lang w:bidi="en-US"/>
        </w:rPr>
        <w:tab/>
      </w:r>
      <w:r w:rsidRPr="0035359F">
        <w:rPr>
          <w:b/>
          <w:lang w:bidi="en-US"/>
        </w:rPr>
        <w:t>Standard 1.4.4</w:t>
      </w:r>
      <w:r w:rsidRPr="0035359F">
        <w:rPr>
          <w:lang w:bidi="en-US"/>
        </w:rPr>
        <w:t xml:space="preserve"> is varied by i</w:t>
      </w:r>
      <w:r w:rsidRPr="0035359F">
        <w:rPr>
          <w:rFonts w:cs="Arial"/>
          <w:lang w:eastAsia="en-AU"/>
        </w:rPr>
        <w:t>nsert</w:t>
      </w:r>
      <w:r w:rsidRPr="0035359F">
        <w:rPr>
          <w:lang w:bidi="en-US"/>
        </w:rPr>
        <w:t>ing</w:t>
      </w:r>
      <w:r w:rsidRPr="0035359F">
        <w:rPr>
          <w:rFonts w:cs="Arial"/>
          <w:lang w:eastAsia="en-AU"/>
        </w:rPr>
        <w:t xml:space="preserve"> </w:t>
      </w:r>
      <w:r w:rsidRPr="0035359F">
        <w:rPr>
          <w:rFonts w:cs="Arial"/>
          <w:lang w:bidi="en-US"/>
        </w:rPr>
        <w:t>after section 1.4.4—4</w:t>
      </w:r>
    </w:p>
    <w:p w14:paraId="7E917E9E" w14:textId="77777777" w:rsidR="0035359F" w:rsidRPr="0035359F" w:rsidRDefault="0035359F" w:rsidP="0035359F">
      <w:pPr>
        <w:keepNext/>
        <w:tabs>
          <w:tab w:val="clear" w:pos="851"/>
        </w:tabs>
        <w:spacing w:before="240" w:after="120"/>
        <w:ind w:left="1701" w:hanging="1701"/>
        <w:outlineLvl w:val="4"/>
        <w:rPr>
          <w:b/>
          <w:bCs/>
          <w:kern w:val="32"/>
          <w:sz w:val="22"/>
          <w:szCs w:val="24"/>
          <w:lang w:eastAsia="en-AU"/>
        </w:rPr>
      </w:pPr>
      <w:bookmarkStart w:id="1" w:name="_Toc400032072"/>
      <w:bookmarkStart w:id="2" w:name="_Toc371505481"/>
      <w:bookmarkStart w:id="3" w:name="_Ref337020646"/>
      <w:r w:rsidRPr="0035359F">
        <w:rPr>
          <w:bCs/>
          <w:kern w:val="32"/>
          <w:sz w:val="22"/>
          <w:szCs w:val="24"/>
          <w:lang w:eastAsia="en-AU"/>
        </w:rPr>
        <w:t>“</w:t>
      </w:r>
      <w:r w:rsidRPr="0035359F">
        <w:rPr>
          <w:b/>
          <w:bCs/>
          <w:kern w:val="32"/>
          <w:sz w:val="22"/>
          <w:szCs w:val="24"/>
          <w:lang w:eastAsia="en-AU"/>
        </w:rPr>
        <w:t>1.4.4—5</w:t>
      </w:r>
      <w:r w:rsidRPr="0035359F">
        <w:rPr>
          <w:b/>
          <w:bCs/>
          <w:kern w:val="32"/>
          <w:sz w:val="22"/>
          <w:szCs w:val="24"/>
          <w:lang w:eastAsia="en-AU"/>
        </w:rPr>
        <w:tab/>
        <w:t xml:space="preserve">Exception relating to </w:t>
      </w:r>
      <w:bookmarkEnd w:id="1"/>
      <w:bookmarkEnd w:id="2"/>
      <w:bookmarkEnd w:id="3"/>
      <w:r w:rsidRPr="0035359F">
        <w:rPr>
          <w:b/>
          <w:bCs/>
          <w:kern w:val="32"/>
          <w:sz w:val="22"/>
          <w:szCs w:val="24"/>
          <w:lang w:eastAsia="en-AU"/>
        </w:rPr>
        <w:t>raw apricot kernels</w:t>
      </w:r>
    </w:p>
    <w:p w14:paraId="2EB378C6" w14:textId="77777777" w:rsidR="0035359F" w:rsidRPr="0035359F" w:rsidRDefault="0035359F" w:rsidP="0035359F">
      <w:pPr>
        <w:tabs>
          <w:tab w:val="clear" w:pos="851"/>
          <w:tab w:val="left" w:pos="1134"/>
        </w:tabs>
        <w:spacing w:before="120" w:after="120"/>
        <w:ind w:left="1701" w:hanging="1701"/>
        <w:rPr>
          <w:rFonts w:cs="Arial"/>
          <w:iCs/>
          <w:szCs w:val="22"/>
          <w:lang w:eastAsia="en-AU"/>
        </w:rPr>
      </w:pPr>
      <w:r w:rsidRPr="0035359F">
        <w:rPr>
          <w:rFonts w:cs="Arial"/>
          <w:iCs/>
          <w:szCs w:val="22"/>
          <w:lang w:eastAsia="en-AU"/>
        </w:rPr>
        <w:tab/>
      </w:r>
      <w:r w:rsidRPr="0035359F">
        <w:rPr>
          <w:rFonts w:cs="Arial"/>
          <w:iCs/>
          <w:szCs w:val="22"/>
          <w:lang w:eastAsia="en-AU"/>
        </w:rPr>
        <w:tab/>
        <w:t>Raw apricot kernels may be used as an ingredient in a food for sale if the kernels have been or will be subject to processing or a treatment that renders them safe for human consumption.”</w:t>
      </w:r>
    </w:p>
    <w:p w14:paraId="362D03B2" w14:textId="77777777" w:rsidR="0035359F" w:rsidRPr="0035359F" w:rsidRDefault="0035359F" w:rsidP="0035359F">
      <w:pPr>
        <w:widowControl/>
        <w:tabs>
          <w:tab w:val="clear" w:pos="851"/>
        </w:tabs>
        <w:rPr>
          <w:noProof/>
          <w:szCs w:val="24"/>
          <w:lang w:eastAsia="en-AU" w:bidi="en-US"/>
        </w:rPr>
      </w:pPr>
    </w:p>
    <w:p w14:paraId="77F38D3E" w14:textId="77777777" w:rsidR="0035359F" w:rsidRPr="0035359F" w:rsidRDefault="0035359F" w:rsidP="0035359F">
      <w:pPr>
        <w:tabs>
          <w:tab w:val="clear" w:pos="851"/>
        </w:tabs>
        <w:rPr>
          <w:rFonts w:eastAsiaTheme="minorHAnsi" w:cstheme="minorBidi"/>
          <w:sz w:val="22"/>
          <w:szCs w:val="22"/>
        </w:rPr>
      </w:pPr>
      <w:r w:rsidRPr="0035359F">
        <w:rPr>
          <w:rFonts w:eastAsiaTheme="minorHAnsi" w:cstheme="minorBidi"/>
          <w:sz w:val="22"/>
          <w:szCs w:val="22"/>
        </w:rPr>
        <w:br w:type="page"/>
      </w:r>
    </w:p>
    <w:p w14:paraId="557E6B99" w14:textId="77777777" w:rsidR="0035359F" w:rsidRPr="0035359F" w:rsidRDefault="0035359F" w:rsidP="0035359F">
      <w:pPr>
        <w:rPr>
          <w:noProof/>
          <w:highlight w:val="yellow"/>
          <w:lang w:val="en-AU" w:eastAsia="en-AU"/>
        </w:rPr>
      </w:pPr>
      <w:r w:rsidRPr="0035359F">
        <w:rPr>
          <w:noProof/>
          <w:highlight w:val="yellow"/>
          <w:lang w:eastAsia="en-GB"/>
        </w:rPr>
        <w:lastRenderedPageBreak/>
        <w:drawing>
          <wp:inline distT="0" distB="0" distL="0" distR="0" wp14:anchorId="71A6FA7C" wp14:editId="2DE451BF">
            <wp:extent cx="2657475" cy="438150"/>
            <wp:effectExtent l="0" t="0" r="9525" b="0"/>
            <wp:docPr id="3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DF2B1F5" w14:textId="77777777" w:rsidR="0035359F" w:rsidRPr="0035359F" w:rsidRDefault="0035359F" w:rsidP="0035359F">
      <w:pPr>
        <w:pBdr>
          <w:bottom w:val="single" w:sz="4" w:space="1" w:color="auto"/>
        </w:pBdr>
        <w:jc w:val="center"/>
        <w:rPr>
          <w:highlight w:val="yellow"/>
        </w:rPr>
      </w:pPr>
    </w:p>
    <w:p w14:paraId="12A1FAFE" w14:textId="77777777" w:rsidR="0035359F" w:rsidRPr="0035359F" w:rsidRDefault="0035359F" w:rsidP="0035359F">
      <w:pPr>
        <w:pBdr>
          <w:bottom w:val="single" w:sz="4" w:space="1" w:color="auto"/>
        </w:pBdr>
        <w:rPr>
          <w:b/>
        </w:rPr>
      </w:pPr>
      <w:r w:rsidRPr="0035359F">
        <w:rPr>
          <w:b/>
        </w:rPr>
        <w:t>Food Standards (Proposal P1037– Amendments associated with Nutrition Content &amp; Health Claims) Variation</w:t>
      </w:r>
    </w:p>
    <w:p w14:paraId="6B26A6D5" w14:textId="77777777" w:rsidR="0035359F" w:rsidRPr="0035359F" w:rsidRDefault="0035359F" w:rsidP="0035359F">
      <w:pPr>
        <w:pBdr>
          <w:bottom w:val="single" w:sz="4" w:space="1" w:color="auto"/>
        </w:pBdr>
        <w:rPr>
          <w:b/>
        </w:rPr>
      </w:pPr>
    </w:p>
    <w:p w14:paraId="44DB1AF0" w14:textId="77777777" w:rsidR="0035359F" w:rsidRPr="0035359F" w:rsidRDefault="0035359F" w:rsidP="0035359F"/>
    <w:p w14:paraId="24A52FB2" w14:textId="77777777" w:rsidR="0035359F" w:rsidRPr="0035359F" w:rsidRDefault="0035359F" w:rsidP="0035359F">
      <w:r w:rsidRPr="0035359F">
        <w:t xml:space="preserve">The Board of Food Standards Australia New Zealand gives notice of the making of this variation under section 92 of the </w:t>
      </w:r>
      <w:r w:rsidRPr="0035359F">
        <w:rPr>
          <w:i/>
        </w:rPr>
        <w:t>Food Standards Australia New Zealand Act 1991</w:t>
      </w:r>
      <w:r w:rsidRPr="0035359F">
        <w:t>.  This variation commences on the date specified in clause 3 of this variation.</w:t>
      </w:r>
    </w:p>
    <w:p w14:paraId="70239694" w14:textId="77777777" w:rsidR="0035359F" w:rsidRPr="0035359F" w:rsidRDefault="0035359F" w:rsidP="0035359F"/>
    <w:p w14:paraId="2054A095" w14:textId="77777777" w:rsidR="0035359F" w:rsidRPr="0035359F" w:rsidRDefault="0035359F" w:rsidP="0035359F">
      <w:pPr>
        <w:tabs>
          <w:tab w:val="clear" w:pos="851"/>
        </w:tabs>
        <w:rPr>
          <w:szCs w:val="24"/>
          <w:lang w:bidi="en-US"/>
        </w:rPr>
      </w:pPr>
      <w:r w:rsidRPr="0035359F">
        <w:rPr>
          <w:szCs w:val="24"/>
          <w:lang w:bidi="en-US"/>
        </w:rPr>
        <w:t>30 November 2015</w:t>
      </w:r>
    </w:p>
    <w:p w14:paraId="69A12E7F"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2B20E494" wp14:editId="27EDD397">
            <wp:extent cx="1343025" cy="790575"/>
            <wp:effectExtent l="0" t="0" r="9525" b="9525"/>
            <wp:docPr id="31" name="Picture 3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6781AB15"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748D2283"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6571EC48" w14:textId="77777777" w:rsidR="0035359F" w:rsidRPr="0035359F" w:rsidRDefault="0035359F" w:rsidP="0035359F"/>
    <w:p w14:paraId="5E826730" w14:textId="77777777" w:rsidR="0035359F" w:rsidRPr="0035359F" w:rsidRDefault="0035359F" w:rsidP="0035359F"/>
    <w:p w14:paraId="4BBD7EE5" w14:textId="77777777" w:rsidR="0035359F" w:rsidRPr="0035359F" w:rsidRDefault="0035359F" w:rsidP="0035359F"/>
    <w:p w14:paraId="3FB9E498" w14:textId="77777777" w:rsidR="0035359F" w:rsidRPr="0035359F" w:rsidRDefault="0035359F" w:rsidP="0035359F"/>
    <w:p w14:paraId="5983670C" w14:textId="77777777" w:rsidR="0035359F" w:rsidRPr="0035359F" w:rsidRDefault="0035359F" w:rsidP="0035359F"/>
    <w:p w14:paraId="21150A4F"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3F392F19"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0FD0A6FB"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This means that this date is the gazettal date for the purposes of clause 3 of the variation. </w:t>
      </w:r>
    </w:p>
    <w:p w14:paraId="52A296F1" w14:textId="77777777" w:rsidR="0035359F" w:rsidRPr="0035359F" w:rsidRDefault="0035359F" w:rsidP="0035359F"/>
    <w:p w14:paraId="42857863" w14:textId="77777777" w:rsidR="0035359F" w:rsidRPr="0035359F" w:rsidRDefault="0035359F" w:rsidP="0035359F">
      <w:pPr>
        <w:widowControl/>
        <w:tabs>
          <w:tab w:val="clear" w:pos="851"/>
        </w:tabs>
      </w:pPr>
      <w:r w:rsidRPr="0035359F">
        <w:br w:type="page"/>
      </w:r>
    </w:p>
    <w:p w14:paraId="156849D4" w14:textId="77777777" w:rsidR="0035359F" w:rsidRPr="0035359F" w:rsidRDefault="0035359F" w:rsidP="0035359F">
      <w:pPr>
        <w:rPr>
          <w:b/>
        </w:rPr>
      </w:pPr>
      <w:r w:rsidRPr="0035359F">
        <w:rPr>
          <w:b/>
        </w:rPr>
        <w:lastRenderedPageBreak/>
        <w:t>1</w:t>
      </w:r>
      <w:r w:rsidRPr="0035359F">
        <w:rPr>
          <w:b/>
        </w:rPr>
        <w:tab/>
        <w:t>Name</w:t>
      </w:r>
    </w:p>
    <w:p w14:paraId="5CE51804" w14:textId="77777777" w:rsidR="0035359F" w:rsidRPr="0035359F" w:rsidRDefault="0035359F" w:rsidP="0035359F"/>
    <w:p w14:paraId="5BD72EAA" w14:textId="77777777" w:rsidR="0035359F" w:rsidRPr="0035359F" w:rsidRDefault="0035359F" w:rsidP="0035359F">
      <w:r w:rsidRPr="0035359F">
        <w:t xml:space="preserve">This instrument is the </w:t>
      </w:r>
      <w:r w:rsidRPr="0035359F">
        <w:rPr>
          <w:i/>
        </w:rPr>
        <w:t>Food Standards (Proposal P1037 – Amendments associated with Nutrition Content &amp; Health Claims) Variation</w:t>
      </w:r>
      <w:r w:rsidRPr="0035359F">
        <w:t>.</w:t>
      </w:r>
    </w:p>
    <w:p w14:paraId="69260819" w14:textId="77777777" w:rsidR="0035359F" w:rsidRPr="0035359F" w:rsidRDefault="0035359F" w:rsidP="0035359F"/>
    <w:p w14:paraId="731186D6" w14:textId="77777777" w:rsidR="0035359F" w:rsidRPr="0035359F" w:rsidRDefault="0035359F" w:rsidP="0035359F">
      <w:pPr>
        <w:tabs>
          <w:tab w:val="clear" w:pos="851"/>
        </w:tabs>
        <w:ind w:left="851" w:hanging="851"/>
        <w:rPr>
          <w:b/>
        </w:rPr>
      </w:pPr>
      <w:r w:rsidRPr="0035359F">
        <w:rPr>
          <w:b/>
        </w:rPr>
        <w:t>2</w:t>
      </w:r>
      <w:r w:rsidRPr="0035359F">
        <w:rPr>
          <w:b/>
        </w:rPr>
        <w:tab/>
        <w:t xml:space="preserve">Variation to Standards in the </w:t>
      </w:r>
      <w:r w:rsidRPr="0035359F">
        <w:rPr>
          <w:b/>
          <w:i/>
        </w:rPr>
        <w:t>Australia New Zealand Food Standards Code</w:t>
      </w:r>
    </w:p>
    <w:p w14:paraId="026EC532" w14:textId="77777777" w:rsidR="0035359F" w:rsidRPr="0035359F" w:rsidRDefault="0035359F" w:rsidP="0035359F"/>
    <w:p w14:paraId="6E8FAF9B" w14:textId="77777777" w:rsidR="0035359F" w:rsidRPr="0035359F" w:rsidRDefault="0035359F" w:rsidP="0035359F">
      <w:r w:rsidRPr="0035359F">
        <w:t xml:space="preserve">The Schedule varies the Standards in the </w:t>
      </w:r>
      <w:r w:rsidRPr="0035359F">
        <w:rPr>
          <w:i/>
        </w:rPr>
        <w:t>Australia New Zealand Food Standards Code</w:t>
      </w:r>
      <w:r w:rsidRPr="0035359F">
        <w:t>.</w:t>
      </w:r>
    </w:p>
    <w:p w14:paraId="1950C01B" w14:textId="77777777" w:rsidR="0035359F" w:rsidRPr="0035359F" w:rsidRDefault="0035359F" w:rsidP="0035359F"/>
    <w:p w14:paraId="49E67A57" w14:textId="77777777" w:rsidR="0035359F" w:rsidRPr="0035359F" w:rsidRDefault="0035359F" w:rsidP="0035359F">
      <w:pPr>
        <w:rPr>
          <w:b/>
        </w:rPr>
      </w:pPr>
      <w:r w:rsidRPr="0035359F">
        <w:rPr>
          <w:b/>
        </w:rPr>
        <w:t>3</w:t>
      </w:r>
      <w:r w:rsidRPr="0035359F">
        <w:rPr>
          <w:b/>
        </w:rPr>
        <w:tab/>
        <w:t>Commencement</w:t>
      </w:r>
    </w:p>
    <w:p w14:paraId="29F02DBB" w14:textId="77777777" w:rsidR="0035359F" w:rsidRPr="0035359F" w:rsidRDefault="0035359F" w:rsidP="0035359F"/>
    <w:p w14:paraId="7E171567" w14:textId="77777777" w:rsidR="0035359F" w:rsidRPr="0035359F" w:rsidRDefault="0035359F" w:rsidP="0035359F">
      <w:r w:rsidRPr="0035359F">
        <w:t>The variation commences on the date of gazettal.</w:t>
      </w:r>
    </w:p>
    <w:p w14:paraId="569D12A4" w14:textId="77777777" w:rsidR="0035359F" w:rsidRPr="0035359F" w:rsidRDefault="0035359F" w:rsidP="0035359F">
      <w:pPr>
        <w:jc w:val="center"/>
        <w:rPr>
          <w:b/>
          <w:caps/>
        </w:rPr>
      </w:pPr>
    </w:p>
    <w:p w14:paraId="62E111F1" w14:textId="77777777" w:rsidR="0035359F" w:rsidRPr="0035359F" w:rsidRDefault="0035359F" w:rsidP="0035359F">
      <w:pPr>
        <w:jc w:val="center"/>
        <w:rPr>
          <w:b/>
          <w:caps/>
        </w:rPr>
      </w:pPr>
      <w:r w:rsidRPr="0035359F">
        <w:rPr>
          <w:b/>
          <w:caps/>
        </w:rPr>
        <w:t>SCHEDULE</w:t>
      </w:r>
    </w:p>
    <w:p w14:paraId="6F7A27C2" w14:textId="77777777" w:rsidR="0035359F" w:rsidRPr="0035359F" w:rsidRDefault="0035359F" w:rsidP="0035359F"/>
    <w:p w14:paraId="3C543C2E" w14:textId="77777777" w:rsidR="0035359F" w:rsidRPr="0035359F" w:rsidRDefault="0035359F" w:rsidP="0035359F">
      <w:pPr>
        <w:rPr>
          <w:iCs/>
          <w:sz w:val="22"/>
          <w:szCs w:val="24"/>
          <w:lang w:bidi="en-US"/>
        </w:rPr>
      </w:pPr>
      <w:r w:rsidRPr="0035359F">
        <w:rPr>
          <w:b/>
          <w:bCs/>
          <w:lang w:bidi="en-US"/>
        </w:rPr>
        <w:t>[1]</w:t>
      </w:r>
      <w:r w:rsidRPr="0035359F">
        <w:rPr>
          <w:lang w:bidi="en-US"/>
        </w:rPr>
        <w:tab/>
      </w:r>
      <w:r w:rsidRPr="0035359F">
        <w:rPr>
          <w:b/>
          <w:bCs/>
          <w:iCs/>
          <w:lang w:bidi="en-US"/>
        </w:rPr>
        <w:t>Standard 1.1.1</w:t>
      </w:r>
      <w:r w:rsidRPr="0035359F">
        <w:rPr>
          <w:iCs/>
          <w:lang w:bidi="en-US"/>
        </w:rPr>
        <w:t xml:space="preserve"> is varied by –</w:t>
      </w:r>
    </w:p>
    <w:p w14:paraId="0695908C" w14:textId="77777777" w:rsidR="0035359F" w:rsidRPr="0035359F" w:rsidRDefault="0035359F" w:rsidP="0035359F">
      <w:pPr>
        <w:ind w:left="567" w:hanging="567"/>
        <w:rPr>
          <w:highlight w:val="yellow"/>
          <w:lang w:bidi="en-US"/>
        </w:rPr>
      </w:pPr>
    </w:p>
    <w:p w14:paraId="32D70A8D" w14:textId="77777777" w:rsidR="0035359F" w:rsidRPr="0035359F" w:rsidRDefault="0035359F" w:rsidP="0035359F">
      <w:pPr>
        <w:rPr>
          <w:iCs/>
          <w:lang w:bidi="en-US"/>
        </w:rPr>
      </w:pPr>
      <w:r w:rsidRPr="0035359F">
        <w:rPr>
          <w:iCs/>
          <w:lang w:bidi="en-US"/>
        </w:rPr>
        <w:t>[1.1]</w:t>
      </w:r>
      <w:r w:rsidRPr="0035359F">
        <w:rPr>
          <w:iCs/>
          <w:lang w:bidi="en-US"/>
        </w:rPr>
        <w:tab/>
        <w:t>inserting after clause 1 –</w:t>
      </w:r>
    </w:p>
    <w:p w14:paraId="7EBC85D5" w14:textId="77777777" w:rsidR="0035359F" w:rsidRPr="0035359F" w:rsidRDefault="0035359F" w:rsidP="0035359F">
      <w:pPr>
        <w:rPr>
          <w:iCs/>
          <w:lang w:bidi="en-US"/>
        </w:rPr>
      </w:pPr>
    </w:p>
    <w:p w14:paraId="21672894" w14:textId="77777777" w:rsidR="0035359F" w:rsidRPr="0035359F" w:rsidRDefault="0035359F" w:rsidP="0035359F">
      <w:pPr>
        <w:keepNext/>
        <w:rPr>
          <w:b/>
          <w:lang w:bidi="en-US"/>
        </w:rPr>
      </w:pPr>
      <w:r w:rsidRPr="0035359F">
        <w:rPr>
          <w:lang w:bidi="en-US"/>
        </w:rPr>
        <w:t>“</w:t>
      </w:r>
      <w:r w:rsidRPr="0035359F">
        <w:rPr>
          <w:b/>
          <w:lang w:bidi="en-US"/>
        </w:rPr>
        <w:t>1A</w:t>
      </w:r>
      <w:r w:rsidRPr="0035359F">
        <w:rPr>
          <w:b/>
          <w:lang w:bidi="en-US"/>
        </w:rPr>
        <w:tab/>
        <w:t>Application of the Code to prescribed variations</w:t>
      </w:r>
    </w:p>
    <w:p w14:paraId="0D8C7456" w14:textId="77777777" w:rsidR="0035359F" w:rsidRPr="0035359F" w:rsidRDefault="0035359F" w:rsidP="0035359F">
      <w:pPr>
        <w:ind w:left="567" w:hanging="567"/>
        <w:rPr>
          <w:lang w:bidi="en-US"/>
        </w:rPr>
      </w:pPr>
    </w:p>
    <w:p w14:paraId="6057AE0E" w14:textId="77777777" w:rsidR="0035359F" w:rsidRPr="0035359F" w:rsidRDefault="0035359F" w:rsidP="0035359F">
      <w:pPr>
        <w:rPr>
          <w:lang w:bidi="en-US"/>
        </w:rPr>
      </w:pPr>
      <w:r w:rsidRPr="0035359F">
        <w:rPr>
          <w:lang w:bidi="en-US"/>
        </w:rPr>
        <w:t>(1)</w:t>
      </w:r>
      <w:r w:rsidRPr="0035359F">
        <w:rPr>
          <w:lang w:bidi="en-US"/>
        </w:rPr>
        <w:tab/>
        <w:t>For the purposes of this clause –</w:t>
      </w:r>
    </w:p>
    <w:p w14:paraId="1EBD2C60" w14:textId="77777777" w:rsidR="0035359F" w:rsidRPr="0035359F" w:rsidRDefault="0035359F" w:rsidP="0035359F">
      <w:pPr>
        <w:rPr>
          <w:b/>
          <w:lang w:bidi="en-US"/>
        </w:rPr>
      </w:pPr>
    </w:p>
    <w:p w14:paraId="5A5C17D2" w14:textId="77777777" w:rsidR="0035359F" w:rsidRPr="0035359F" w:rsidRDefault="0035359F" w:rsidP="0035359F">
      <w:pPr>
        <w:ind w:left="1701" w:hanging="850"/>
        <w:rPr>
          <w:lang w:bidi="en-US"/>
        </w:rPr>
      </w:pPr>
      <w:r w:rsidRPr="0035359F">
        <w:rPr>
          <w:b/>
          <w:lang w:bidi="en-US"/>
        </w:rPr>
        <w:t>prescribed variations</w:t>
      </w:r>
      <w:r w:rsidRPr="0035359F">
        <w:rPr>
          <w:lang w:bidi="en-US"/>
        </w:rPr>
        <w:t xml:space="preserve"> means the variations to the Code made by the Variation other than the variations made by items 1.2, 2.3 and 3.1 of the Schedule to the Variation.</w:t>
      </w:r>
    </w:p>
    <w:p w14:paraId="1A0AAEEE" w14:textId="77777777" w:rsidR="0035359F" w:rsidRPr="0035359F" w:rsidRDefault="0035359F" w:rsidP="0035359F">
      <w:pPr>
        <w:ind w:left="1701" w:hanging="850"/>
        <w:rPr>
          <w:b/>
          <w:lang w:bidi="en-US"/>
        </w:rPr>
      </w:pPr>
    </w:p>
    <w:p w14:paraId="26E5998F" w14:textId="77777777" w:rsidR="0035359F" w:rsidRPr="0035359F" w:rsidRDefault="0035359F" w:rsidP="0035359F">
      <w:pPr>
        <w:ind w:left="1701" w:hanging="850"/>
        <w:rPr>
          <w:lang w:bidi="en-US"/>
        </w:rPr>
      </w:pPr>
      <w:r w:rsidRPr="0035359F">
        <w:rPr>
          <w:b/>
          <w:lang w:bidi="en-US"/>
        </w:rPr>
        <w:t>transitional period</w:t>
      </w:r>
      <w:r w:rsidRPr="0035359F">
        <w:rPr>
          <w:lang w:bidi="en-US"/>
        </w:rPr>
        <w:t xml:space="preserve"> means the period of time that commences on the date that the Variation commenced and ends on 18 January 2017.</w:t>
      </w:r>
    </w:p>
    <w:p w14:paraId="5140C629" w14:textId="77777777" w:rsidR="0035359F" w:rsidRPr="0035359F" w:rsidRDefault="0035359F" w:rsidP="0035359F">
      <w:pPr>
        <w:ind w:left="567" w:hanging="567"/>
        <w:rPr>
          <w:lang w:bidi="en-US"/>
        </w:rPr>
      </w:pPr>
    </w:p>
    <w:p w14:paraId="3CFEEA1D" w14:textId="77777777" w:rsidR="0035359F" w:rsidRPr="0035359F" w:rsidRDefault="0035359F" w:rsidP="0035359F">
      <w:pPr>
        <w:ind w:left="1701" w:hanging="850"/>
        <w:rPr>
          <w:sz w:val="22"/>
          <w:szCs w:val="24"/>
          <w:lang w:bidi="en-US"/>
        </w:rPr>
      </w:pPr>
      <w:r w:rsidRPr="0035359F">
        <w:rPr>
          <w:b/>
          <w:lang w:bidi="en-US"/>
        </w:rPr>
        <w:t>the Variation</w:t>
      </w:r>
      <w:r w:rsidRPr="0035359F">
        <w:rPr>
          <w:lang w:bidi="en-US"/>
        </w:rPr>
        <w:t xml:space="preserve"> means the </w:t>
      </w:r>
      <w:r w:rsidRPr="0035359F">
        <w:rPr>
          <w:i/>
          <w:lang w:bidi="en-US"/>
        </w:rPr>
        <w:t>Food Standards (Proposal P1037 – Amendments associated with Nutrition Content &amp; Health Claims) Variation.</w:t>
      </w:r>
    </w:p>
    <w:p w14:paraId="1A681E7F" w14:textId="77777777" w:rsidR="0035359F" w:rsidRPr="0035359F" w:rsidRDefault="0035359F" w:rsidP="0035359F">
      <w:pPr>
        <w:ind w:left="567" w:hanging="567"/>
        <w:rPr>
          <w:lang w:bidi="en-US"/>
        </w:rPr>
      </w:pPr>
    </w:p>
    <w:p w14:paraId="2766BE50" w14:textId="77777777" w:rsidR="0035359F" w:rsidRPr="0035359F" w:rsidRDefault="0035359F" w:rsidP="0035359F">
      <w:pPr>
        <w:rPr>
          <w:lang w:bidi="en-US"/>
        </w:rPr>
      </w:pPr>
      <w:r w:rsidRPr="0035359F">
        <w:rPr>
          <w:lang w:bidi="en-US"/>
        </w:rPr>
        <w:t>(2)</w:t>
      </w:r>
      <w:r w:rsidRPr="0035359F">
        <w:rPr>
          <w:lang w:bidi="en-US"/>
        </w:rPr>
        <w:tab/>
      </w:r>
      <w:proofErr w:type="spellStart"/>
      <w:r w:rsidRPr="0035359F">
        <w:rPr>
          <w:lang w:bidi="en-US"/>
        </w:rPr>
        <w:t>Subclause</w:t>
      </w:r>
      <w:proofErr w:type="spellEnd"/>
      <w:r w:rsidRPr="0035359F">
        <w:rPr>
          <w:lang w:bidi="en-US"/>
        </w:rPr>
        <w:t xml:space="preserve"> 1(2) of this Standard does not apply to the prescribed variations.</w:t>
      </w:r>
    </w:p>
    <w:p w14:paraId="2B9FC42D" w14:textId="77777777" w:rsidR="0035359F" w:rsidRPr="0035359F" w:rsidRDefault="0035359F" w:rsidP="0035359F">
      <w:pPr>
        <w:rPr>
          <w:lang w:bidi="en-US"/>
        </w:rPr>
      </w:pPr>
    </w:p>
    <w:p w14:paraId="2B35C645" w14:textId="77777777" w:rsidR="0035359F" w:rsidRPr="0035359F" w:rsidRDefault="0035359F" w:rsidP="0035359F">
      <w:pPr>
        <w:rPr>
          <w:lang w:bidi="en-US"/>
        </w:rPr>
      </w:pPr>
      <w:r w:rsidRPr="0035359F">
        <w:rPr>
          <w:lang w:bidi="en-US"/>
        </w:rPr>
        <w:t>(3)</w:t>
      </w:r>
      <w:r w:rsidRPr="0035359F">
        <w:rPr>
          <w:lang w:bidi="en-US"/>
        </w:rPr>
        <w:tab/>
        <w:t xml:space="preserve">During the transition period, </w:t>
      </w:r>
      <w:r w:rsidRPr="0035359F">
        <w:rPr>
          <w:rFonts w:eastAsiaTheme="majorEastAsia" w:cstheme="minorBidi"/>
          <w:lang w:bidi="en-US"/>
        </w:rPr>
        <w:t>a food product</w:t>
      </w:r>
      <w:r w:rsidRPr="0035359F">
        <w:rPr>
          <w:lang w:bidi="en-US"/>
        </w:rPr>
        <w:t xml:space="preserve"> may comply with either – </w:t>
      </w:r>
    </w:p>
    <w:p w14:paraId="49040953" w14:textId="77777777" w:rsidR="0035359F" w:rsidRPr="0035359F" w:rsidRDefault="0035359F" w:rsidP="0035359F">
      <w:pPr>
        <w:ind w:left="567" w:hanging="567"/>
        <w:rPr>
          <w:lang w:bidi="en-US"/>
        </w:rPr>
      </w:pPr>
    </w:p>
    <w:p w14:paraId="3AE6A133" w14:textId="77777777" w:rsidR="0035359F" w:rsidRPr="0035359F" w:rsidRDefault="0035359F" w:rsidP="0035359F">
      <w:pPr>
        <w:tabs>
          <w:tab w:val="clear" w:pos="851"/>
        </w:tabs>
        <w:ind w:left="1702" w:hanging="851"/>
        <w:rPr>
          <w:lang w:bidi="en-US"/>
        </w:rPr>
      </w:pPr>
      <w:r w:rsidRPr="0035359F">
        <w:rPr>
          <w:lang w:bidi="en-US"/>
        </w:rPr>
        <w:t>(a)</w:t>
      </w:r>
      <w:r w:rsidRPr="0035359F">
        <w:rPr>
          <w:lang w:bidi="en-US"/>
        </w:rPr>
        <w:tab/>
        <w:t>the Code as in force without the prescribed variations; or</w:t>
      </w:r>
    </w:p>
    <w:p w14:paraId="3CC2F885" w14:textId="77777777" w:rsidR="0035359F" w:rsidRPr="0035359F" w:rsidRDefault="0035359F" w:rsidP="0035359F">
      <w:pPr>
        <w:tabs>
          <w:tab w:val="clear" w:pos="851"/>
        </w:tabs>
        <w:ind w:left="1702" w:hanging="851"/>
        <w:rPr>
          <w:lang w:bidi="en-US"/>
        </w:rPr>
      </w:pPr>
      <w:r w:rsidRPr="0035359F">
        <w:rPr>
          <w:lang w:bidi="en-US"/>
        </w:rPr>
        <w:t>(b)</w:t>
      </w:r>
      <w:r w:rsidRPr="0035359F">
        <w:rPr>
          <w:lang w:bidi="en-US"/>
        </w:rPr>
        <w:tab/>
        <w:t>the Code as amended by the prescribed variations,</w:t>
      </w:r>
    </w:p>
    <w:p w14:paraId="1EC4DBBD" w14:textId="77777777" w:rsidR="0035359F" w:rsidRPr="0035359F" w:rsidRDefault="0035359F" w:rsidP="0035359F">
      <w:pPr>
        <w:tabs>
          <w:tab w:val="clear" w:pos="851"/>
        </w:tabs>
        <w:rPr>
          <w:szCs w:val="24"/>
          <w:lang w:bidi="en-US"/>
        </w:rPr>
      </w:pPr>
    </w:p>
    <w:p w14:paraId="012E97D6" w14:textId="77777777" w:rsidR="0035359F" w:rsidRPr="0035359F" w:rsidRDefault="0035359F" w:rsidP="0035359F">
      <w:pPr>
        <w:rPr>
          <w:lang w:bidi="en-US"/>
        </w:rPr>
      </w:pPr>
      <w:r w:rsidRPr="0035359F">
        <w:rPr>
          <w:lang w:bidi="en-US"/>
        </w:rPr>
        <w:t>but not a combination of both.</w:t>
      </w:r>
    </w:p>
    <w:p w14:paraId="7383ACBA" w14:textId="77777777" w:rsidR="0035359F" w:rsidRPr="0035359F" w:rsidRDefault="0035359F" w:rsidP="0035359F">
      <w:pPr>
        <w:ind w:left="567" w:hanging="567"/>
        <w:rPr>
          <w:lang w:bidi="en-US"/>
        </w:rPr>
      </w:pPr>
    </w:p>
    <w:p w14:paraId="1D86606C" w14:textId="77777777" w:rsidR="0035359F" w:rsidRPr="0035359F" w:rsidRDefault="0035359F" w:rsidP="0035359F">
      <w:pPr>
        <w:rPr>
          <w:iCs/>
          <w:lang w:bidi="en-US"/>
        </w:rPr>
      </w:pPr>
      <w:r w:rsidRPr="0035359F">
        <w:rPr>
          <w:lang w:bidi="en-US"/>
        </w:rPr>
        <w:t>(4)</w:t>
      </w:r>
      <w:r w:rsidRPr="0035359F">
        <w:rPr>
          <w:lang w:bidi="en-US"/>
        </w:rPr>
        <w:tab/>
        <w:t>A food product is taken to comply with the Code as amended by the prescribed variations for a period of 12 months commencing on 18 January 2017 if the food product otherwise complied with this Code before that date.</w:t>
      </w:r>
      <w:r w:rsidRPr="0035359F">
        <w:rPr>
          <w:iCs/>
          <w:lang w:bidi="en-US"/>
        </w:rPr>
        <w:t>”</w:t>
      </w:r>
    </w:p>
    <w:p w14:paraId="472DD00C" w14:textId="77777777" w:rsidR="0035359F" w:rsidRPr="0035359F" w:rsidRDefault="0035359F" w:rsidP="0035359F">
      <w:pPr>
        <w:ind w:left="567" w:hanging="567"/>
        <w:rPr>
          <w:highlight w:val="yellow"/>
        </w:rPr>
      </w:pPr>
    </w:p>
    <w:p w14:paraId="43933AC5" w14:textId="77777777" w:rsidR="0035359F" w:rsidRPr="0035359F" w:rsidRDefault="0035359F" w:rsidP="0035359F">
      <w:pPr>
        <w:rPr>
          <w:iCs/>
          <w:lang w:bidi="en-US"/>
        </w:rPr>
      </w:pPr>
      <w:r w:rsidRPr="0035359F">
        <w:rPr>
          <w:iCs/>
          <w:lang w:bidi="en-US"/>
        </w:rPr>
        <w:t>[1.2]</w:t>
      </w:r>
      <w:r w:rsidRPr="0035359F">
        <w:rPr>
          <w:iCs/>
          <w:lang w:bidi="en-US"/>
        </w:rPr>
        <w:tab/>
        <w:t>inserting after clause 2 –</w:t>
      </w:r>
    </w:p>
    <w:p w14:paraId="02426C50" w14:textId="77777777" w:rsidR="0035359F" w:rsidRPr="0035359F" w:rsidRDefault="0035359F" w:rsidP="0035359F">
      <w:pPr>
        <w:rPr>
          <w:iCs/>
          <w:lang w:bidi="en-US"/>
        </w:rPr>
      </w:pPr>
    </w:p>
    <w:p w14:paraId="4941FD3F" w14:textId="77777777" w:rsidR="0035359F" w:rsidRPr="0035359F" w:rsidRDefault="0035359F" w:rsidP="0035359F">
      <w:pPr>
        <w:rPr>
          <w:iCs/>
          <w:lang w:bidi="en-US"/>
        </w:rPr>
      </w:pPr>
      <w:r w:rsidRPr="0035359F">
        <w:rPr>
          <w:iCs/>
          <w:lang w:bidi="en-US"/>
        </w:rPr>
        <w:t>“</w:t>
      </w:r>
      <w:r w:rsidRPr="0035359F">
        <w:rPr>
          <w:b/>
          <w:iCs/>
          <w:lang w:bidi="en-US"/>
        </w:rPr>
        <w:t>2A</w:t>
      </w:r>
      <w:r w:rsidRPr="0035359F">
        <w:rPr>
          <w:b/>
          <w:iCs/>
          <w:lang w:bidi="en-US"/>
        </w:rPr>
        <w:tab/>
        <w:t>Permitted Health Star Rating symbols</w:t>
      </w:r>
    </w:p>
    <w:p w14:paraId="039D3EF9" w14:textId="77777777" w:rsidR="0035359F" w:rsidRPr="0035359F" w:rsidRDefault="0035359F" w:rsidP="0035359F">
      <w:pPr>
        <w:rPr>
          <w:iCs/>
          <w:lang w:bidi="en-US"/>
        </w:rPr>
      </w:pPr>
    </w:p>
    <w:p w14:paraId="42857BD9" w14:textId="77777777" w:rsidR="0035359F" w:rsidRPr="0035359F" w:rsidRDefault="0035359F" w:rsidP="0035359F">
      <w:r w:rsidRPr="0035359F">
        <w:t>(1)</w:t>
      </w:r>
      <w:r w:rsidRPr="0035359F">
        <w:tab/>
        <w:t xml:space="preserve">In this Code, </w:t>
      </w:r>
      <w:r w:rsidRPr="0035359F">
        <w:rPr>
          <w:b/>
        </w:rPr>
        <w:t>a Permitted</w:t>
      </w:r>
      <w:r w:rsidRPr="0035359F">
        <w:rPr>
          <w:rFonts w:eastAsiaTheme="minorHAnsi"/>
          <w:b/>
        </w:rPr>
        <w:t xml:space="preserve"> Health Star Rating </w:t>
      </w:r>
      <w:r w:rsidRPr="0035359F">
        <w:rPr>
          <w:b/>
        </w:rPr>
        <w:t>symbol</w:t>
      </w:r>
      <w:r w:rsidRPr="0035359F">
        <w:t xml:space="preserve"> means an image subject to any of the following</w:t>
      </w:r>
      <w:r w:rsidRPr="0035359F">
        <w:rPr>
          <w:lang w:eastAsia="en-GB"/>
        </w:rPr>
        <w:t xml:space="preserve"> – </w:t>
      </w:r>
    </w:p>
    <w:p w14:paraId="15ECFFD0" w14:textId="77777777" w:rsidR="0035359F" w:rsidRPr="0035359F" w:rsidRDefault="0035359F" w:rsidP="0035359F">
      <w:pPr>
        <w:rPr>
          <w:rFonts w:cs="Arial"/>
        </w:rPr>
      </w:pPr>
    </w:p>
    <w:p w14:paraId="401E8915" w14:textId="77777777" w:rsidR="0035359F" w:rsidRPr="0035359F" w:rsidRDefault="0035359F" w:rsidP="0035359F">
      <w:pPr>
        <w:tabs>
          <w:tab w:val="clear" w:pos="851"/>
        </w:tabs>
        <w:ind w:left="1702" w:hanging="851"/>
        <w:rPr>
          <w:lang w:eastAsia="en-GB"/>
        </w:rPr>
      </w:pPr>
      <w:r w:rsidRPr="0035359F">
        <w:t>(a)</w:t>
      </w:r>
      <w:r w:rsidRPr="0035359F">
        <w:tab/>
        <w:t>an Australian Trade Mark numbered 1641445, 1641446 or 1641447</w:t>
      </w:r>
      <w:r w:rsidRPr="0035359F">
        <w:rPr>
          <w:lang w:eastAsia="en-GB"/>
        </w:rPr>
        <w:t>;</w:t>
      </w:r>
    </w:p>
    <w:p w14:paraId="6E7DBF25" w14:textId="77777777" w:rsidR="0035359F" w:rsidRPr="0035359F" w:rsidRDefault="0035359F" w:rsidP="0035359F">
      <w:pPr>
        <w:tabs>
          <w:tab w:val="clear" w:pos="851"/>
        </w:tabs>
        <w:ind w:left="1702" w:hanging="851"/>
        <w:rPr>
          <w:lang w:eastAsia="en-GB"/>
        </w:rPr>
      </w:pPr>
      <w:r w:rsidRPr="0035359F">
        <w:t>(b)</w:t>
      </w:r>
      <w:r w:rsidRPr="0035359F">
        <w:tab/>
        <w:t xml:space="preserve">a New Zealand Trade Mark numbered </w:t>
      </w:r>
      <w:r w:rsidRPr="0035359F">
        <w:rPr>
          <w:lang w:bidi="en-US"/>
        </w:rPr>
        <w:t>1018807, 1018808 or 1018809.</w:t>
      </w:r>
      <w:r w:rsidRPr="0035359F">
        <w:rPr>
          <w:lang w:eastAsia="en-GB"/>
        </w:rPr>
        <w:t xml:space="preserve"> </w:t>
      </w:r>
    </w:p>
    <w:p w14:paraId="691AEA72" w14:textId="77777777" w:rsidR="0035359F" w:rsidRPr="0035359F" w:rsidRDefault="0035359F" w:rsidP="0035359F">
      <w:pPr>
        <w:rPr>
          <w:lang w:eastAsia="en-GB"/>
        </w:rPr>
      </w:pPr>
    </w:p>
    <w:p w14:paraId="48A108EE" w14:textId="77777777" w:rsidR="0035359F" w:rsidRPr="0035359F" w:rsidRDefault="0035359F" w:rsidP="0035359F">
      <w:pPr>
        <w:rPr>
          <w:lang w:eastAsia="en-GB"/>
        </w:rPr>
      </w:pPr>
      <w:r w:rsidRPr="0035359F">
        <w:rPr>
          <w:lang w:eastAsia="en-GB"/>
        </w:rPr>
        <w:t>(2)</w:t>
      </w:r>
      <w:r w:rsidRPr="0035359F">
        <w:rPr>
          <w:lang w:eastAsia="en-GB"/>
        </w:rPr>
        <w:tab/>
        <w:t xml:space="preserve">To avoid doubt, an image mentioned in </w:t>
      </w:r>
      <w:proofErr w:type="spellStart"/>
      <w:r w:rsidRPr="0035359F">
        <w:rPr>
          <w:lang w:eastAsia="en-GB"/>
        </w:rPr>
        <w:t>subclause</w:t>
      </w:r>
      <w:proofErr w:type="spellEnd"/>
      <w:r w:rsidRPr="0035359F">
        <w:rPr>
          <w:lang w:eastAsia="en-GB"/>
        </w:rPr>
        <w:t xml:space="preserve"> (1) does not cease to be a Permitted </w:t>
      </w:r>
      <w:r w:rsidRPr="0035359F">
        <w:rPr>
          <w:rFonts w:eastAsiaTheme="minorHAnsi"/>
          <w:lang w:eastAsia="en-GB"/>
        </w:rPr>
        <w:t xml:space="preserve">Health Star Rating </w:t>
      </w:r>
      <w:r w:rsidRPr="0035359F">
        <w:rPr>
          <w:lang w:eastAsia="en-GB"/>
        </w:rPr>
        <w:t xml:space="preserve">symbol </w:t>
      </w:r>
      <w:r w:rsidRPr="0035359F">
        <w:rPr>
          <w:noProof/>
          <w:lang w:eastAsia="en-GB"/>
        </w:rPr>
        <w:t xml:space="preserve">by </w:t>
      </w:r>
      <w:r w:rsidRPr="0035359F">
        <w:rPr>
          <w:lang w:eastAsia="en-GB"/>
        </w:rPr>
        <w:t xml:space="preserve">reason only of the image indicating – </w:t>
      </w:r>
    </w:p>
    <w:p w14:paraId="64E0736B" w14:textId="77777777" w:rsidR="0035359F" w:rsidRPr="0035359F" w:rsidRDefault="0035359F" w:rsidP="0035359F">
      <w:pPr>
        <w:rPr>
          <w:lang w:eastAsia="en-GB"/>
        </w:rPr>
      </w:pPr>
    </w:p>
    <w:p w14:paraId="11B8AB5D" w14:textId="77777777" w:rsidR="0035359F" w:rsidRPr="0035359F" w:rsidRDefault="0035359F" w:rsidP="0035359F">
      <w:pPr>
        <w:tabs>
          <w:tab w:val="clear" w:pos="851"/>
        </w:tabs>
        <w:ind w:left="1702" w:hanging="851"/>
        <w:rPr>
          <w:lang w:eastAsia="en-GB"/>
        </w:rPr>
      </w:pPr>
      <w:r w:rsidRPr="0035359F">
        <w:rPr>
          <w:lang w:eastAsia="en-GB"/>
        </w:rPr>
        <w:t>(a)</w:t>
      </w:r>
      <w:r w:rsidRPr="0035359F">
        <w:rPr>
          <w:lang w:eastAsia="en-GB"/>
        </w:rPr>
        <w:tab/>
        <w:t>energy or nutrient content on a per 100 g, per 100 ml or per pack basis; or</w:t>
      </w:r>
    </w:p>
    <w:p w14:paraId="7492B9F1" w14:textId="77777777" w:rsidR="0035359F" w:rsidRPr="0035359F" w:rsidRDefault="0035359F" w:rsidP="0035359F">
      <w:pPr>
        <w:tabs>
          <w:tab w:val="clear" w:pos="851"/>
        </w:tabs>
        <w:ind w:left="1702" w:hanging="851"/>
        <w:rPr>
          <w:lang w:eastAsia="en-GB"/>
        </w:rPr>
      </w:pPr>
      <w:r w:rsidRPr="0035359F">
        <w:rPr>
          <w:lang w:eastAsia="en-GB"/>
        </w:rPr>
        <w:t>(b)</w:t>
      </w:r>
      <w:r w:rsidRPr="0035359F">
        <w:rPr>
          <w:lang w:eastAsia="en-GB"/>
        </w:rPr>
        <w:tab/>
        <w:t>energy or nutrient content on a per serving or per reference portion basis; or</w:t>
      </w:r>
      <w:r w:rsidRPr="0035359F">
        <w:rPr>
          <w:lang w:eastAsia="en-GB"/>
        </w:rPr>
        <w:br w:type="page"/>
      </w:r>
    </w:p>
    <w:p w14:paraId="3BF4445E" w14:textId="77777777" w:rsidR="0035359F" w:rsidRPr="0035359F" w:rsidRDefault="0035359F" w:rsidP="0035359F">
      <w:pPr>
        <w:tabs>
          <w:tab w:val="clear" w:pos="851"/>
        </w:tabs>
        <w:ind w:left="1702" w:hanging="851"/>
        <w:rPr>
          <w:lang w:eastAsia="en-GB"/>
        </w:rPr>
      </w:pPr>
      <w:r w:rsidRPr="0035359F">
        <w:rPr>
          <w:lang w:eastAsia="en-GB"/>
        </w:rPr>
        <w:lastRenderedPageBreak/>
        <w:t>(c)</w:t>
      </w:r>
      <w:r w:rsidRPr="0035359F">
        <w:rPr>
          <w:lang w:eastAsia="en-GB"/>
        </w:rPr>
        <w:tab/>
        <w:t>energy or nutrient content at zero or amounts greater than zero; or</w:t>
      </w:r>
    </w:p>
    <w:p w14:paraId="24EFA0B1" w14:textId="77777777" w:rsidR="0035359F" w:rsidRPr="0035359F" w:rsidRDefault="0035359F" w:rsidP="0035359F">
      <w:pPr>
        <w:tabs>
          <w:tab w:val="clear" w:pos="851"/>
        </w:tabs>
        <w:ind w:left="1702" w:hanging="851"/>
        <w:rPr>
          <w:rFonts w:cs="Arial"/>
          <w:lang w:eastAsia="en-GB"/>
        </w:rPr>
      </w:pPr>
      <w:r w:rsidRPr="0035359F">
        <w:rPr>
          <w:lang w:eastAsia="en-GB"/>
        </w:rPr>
        <w:t>(d)</w:t>
      </w:r>
      <w:r w:rsidRPr="0035359F">
        <w:rPr>
          <w:lang w:eastAsia="en-GB"/>
        </w:rPr>
        <w:tab/>
        <w:t>energy content on a percentage daily intake basis in addition to an amount shown in kilojoules.</w:t>
      </w:r>
      <w:r w:rsidRPr="0035359F">
        <w:rPr>
          <w:rFonts w:cs="Arial"/>
          <w:lang w:eastAsia="en-GB"/>
        </w:rPr>
        <w:t>”</w:t>
      </w:r>
    </w:p>
    <w:p w14:paraId="17F47846" w14:textId="77777777" w:rsidR="0035359F" w:rsidRPr="0035359F" w:rsidRDefault="0035359F" w:rsidP="0035359F">
      <w:pPr>
        <w:ind w:left="567" w:hanging="567"/>
        <w:rPr>
          <w:lang w:bidi="en-US"/>
        </w:rPr>
      </w:pPr>
    </w:p>
    <w:p w14:paraId="18B6E455" w14:textId="77777777" w:rsidR="0035359F" w:rsidRPr="0035359F" w:rsidRDefault="0035359F" w:rsidP="0035359F">
      <w:pPr>
        <w:rPr>
          <w:rFonts w:eastAsiaTheme="minorHAnsi"/>
        </w:rPr>
      </w:pPr>
      <w:r w:rsidRPr="0035359F">
        <w:rPr>
          <w:rFonts w:eastAsiaTheme="minorHAnsi"/>
        </w:rPr>
        <w:t>[1.3]</w:t>
      </w:r>
      <w:r w:rsidRPr="0035359F">
        <w:tab/>
        <w:t>updating the Table of Provisions to reflect these variations.</w:t>
      </w:r>
    </w:p>
    <w:p w14:paraId="3B624E9F" w14:textId="77777777" w:rsidR="0035359F" w:rsidRPr="0035359F" w:rsidRDefault="0035359F" w:rsidP="0035359F">
      <w:pPr>
        <w:ind w:left="567" w:hanging="567"/>
        <w:rPr>
          <w:lang w:bidi="en-US"/>
        </w:rPr>
      </w:pPr>
      <w:r w:rsidRPr="0035359F">
        <w:rPr>
          <w:lang w:bidi="en-US"/>
        </w:rPr>
        <w:t xml:space="preserve"> </w:t>
      </w:r>
    </w:p>
    <w:p w14:paraId="456EF703" w14:textId="77777777" w:rsidR="0035359F" w:rsidRPr="0035359F" w:rsidRDefault="0035359F" w:rsidP="0035359F">
      <w:pPr>
        <w:rPr>
          <w:iCs/>
          <w:lang w:bidi="en-US"/>
        </w:rPr>
      </w:pPr>
      <w:r w:rsidRPr="0035359F">
        <w:rPr>
          <w:b/>
          <w:bCs/>
          <w:lang w:bidi="en-US"/>
        </w:rPr>
        <w:t>[2]</w:t>
      </w:r>
      <w:r w:rsidRPr="0035359F">
        <w:rPr>
          <w:lang w:bidi="en-US"/>
        </w:rPr>
        <w:tab/>
      </w:r>
      <w:r w:rsidRPr="0035359F">
        <w:rPr>
          <w:b/>
          <w:bCs/>
          <w:iCs/>
          <w:lang w:bidi="en-US"/>
        </w:rPr>
        <w:t>Standard 1.2.7</w:t>
      </w:r>
      <w:r w:rsidRPr="0035359F">
        <w:rPr>
          <w:iCs/>
          <w:lang w:bidi="en-US"/>
        </w:rPr>
        <w:t xml:space="preserve"> is varied by –</w:t>
      </w:r>
    </w:p>
    <w:p w14:paraId="4D071258" w14:textId="77777777" w:rsidR="0035359F" w:rsidRPr="0035359F" w:rsidRDefault="0035359F" w:rsidP="0035359F">
      <w:pPr>
        <w:rPr>
          <w:iCs/>
          <w:lang w:bidi="en-US"/>
        </w:rPr>
      </w:pPr>
    </w:p>
    <w:p w14:paraId="23579529" w14:textId="77777777" w:rsidR="0035359F" w:rsidRPr="0035359F" w:rsidRDefault="0035359F" w:rsidP="0035359F">
      <w:pPr>
        <w:rPr>
          <w:iCs/>
          <w:lang w:bidi="en-US"/>
        </w:rPr>
      </w:pPr>
      <w:r w:rsidRPr="0035359F">
        <w:rPr>
          <w:iCs/>
          <w:lang w:bidi="en-US"/>
        </w:rPr>
        <w:t>[2.1]</w:t>
      </w:r>
      <w:r w:rsidRPr="0035359F">
        <w:rPr>
          <w:iCs/>
          <w:lang w:bidi="en-US"/>
        </w:rPr>
        <w:tab/>
        <w:t>inserting after clause 1 –</w:t>
      </w:r>
    </w:p>
    <w:p w14:paraId="7201FB8A" w14:textId="77777777" w:rsidR="0035359F" w:rsidRPr="0035359F" w:rsidRDefault="0035359F" w:rsidP="0035359F">
      <w:pPr>
        <w:rPr>
          <w:iCs/>
          <w:lang w:bidi="en-US"/>
        </w:rPr>
      </w:pPr>
    </w:p>
    <w:p w14:paraId="511BDF6F" w14:textId="77777777" w:rsidR="0035359F" w:rsidRPr="0035359F" w:rsidRDefault="0035359F" w:rsidP="0035359F">
      <w:pPr>
        <w:rPr>
          <w:iCs/>
          <w:lang w:bidi="en-US"/>
        </w:rPr>
      </w:pPr>
      <w:r w:rsidRPr="0035359F">
        <w:rPr>
          <w:iCs/>
          <w:lang w:bidi="en-US"/>
        </w:rPr>
        <w:t>“</w:t>
      </w:r>
    </w:p>
    <w:p w14:paraId="35577A5E" w14:textId="77777777" w:rsidR="0035359F" w:rsidRPr="0035359F" w:rsidRDefault="0035359F" w:rsidP="0035359F">
      <w:pPr>
        <w:pBdr>
          <w:top w:val="single" w:sz="6" w:space="0" w:color="auto"/>
          <w:left w:val="single" w:sz="6" w:space="0" w:color="auto"/>
          <w:bottom w:val="single" w:sz="6" w:space="0" w:color="auto"/>
          <w:right w:val="single" w:sz="6" w:space="0" w:color="auto"/>
        </w:pBdr>
        <w:tabs>
          <w:tab w:val="clear" w:pos="851"/>
        </w:tabs>
        <w:rPr>
          <w:rFonts w:eastAsiaTheme="minorHAnsi" w:cstheme="minorBidi"/>
          <w:b/>
          <w:lang w:bidi="en-US"/>
        </w:rPr>
      </w:pPr>
      <w:r w:rsidRPr="0035359F">
        <w:rPr>
          <w:rFonts w:eastAsiaTheme="minorHAnsi" w:cstheme="minorBidi"/>
          <w:b/>
          <w:lang w:bidi="en-US"/>
        </w:rPr>
        <w:t>Editorial note:</w:t>
      </w:r>
    </w:p>
    <w:p w14:paraId="77FE4834" w14:textId="77777777" w:rsidR="0035359F" w:rsidRPr="0035359F" w:rsidRDefault="0035359F" w:rsidP="0035359F">
      <w:pPr>
        <w:pBdr>
          <w:top w:val="single" w:sz="6" w:space="0" w:color="auto"/>
          <w:left w:val="single" w:sz="6" w:space="0" w:color="auto"/>
          <w:bottom w:val="single" w:sz="6" w:space="0" w:color="auto"/>
          <w:right w:val="single" w:sz="6" w:space="0" w:color="auto"/>
        </w:pBdr>
        <w:rPr>
          <w:rFonts w:eastAsiaTheme="minorHAnsi"/>
          <w:lang w:bidi="en-US"/>
        </w:rPr>
      </w:pPr>
    </w:p>
    <w:p w14:paraId="7124EDD8" w14:textId="77777777" w:rsidR="0035359F" w:rsidRPr="0035359F" w:rsidRDefault="0035359F" w:rsidP="0035359F">
      <w:pPr>
        <w:pBdr>
          <w:top w:val="single" w:sz="6" w:space="0" w:color="auto"/>
          <w:left w:val="single" w:sz="6" w:space="0" w:color="auto"/>
          <w:bottom w:val="single" w:sz="6" w:space="0" w:color="auto"/>
          <w:right w:val="single" w:sz="6" w:space="0" w:color="auto"/>
        </w:pBdr>
        <w:rPr>
          <w:rFonts w:eastAsiaTheme="minorHAnsi"/>
          <w:lang w:bidi="en-US"/>
        </w:rPr>
      </w:pPr>
      <w:r w:rsidRPr="0035359F">
        <w:rPr>
          <w:rFonts w:eastAsiaTheme="minorHAnsi"/>
          <w:lang w:bidi="en-US"/>
        </w:rPr>
        <w:t xml:space="preserve">Standard 1.2.8 </w:t>
      </w:r>
      <w:r w:rsidRPr="0035359F">
        <w:rPr>
          <w:lang w:bidi="en-US"/>
        </w:rPr>
        <w:t>may prescribe additional labelling requirements for claims regulated in Standard 1.2.7</w:t>
      </w:r>
      <w:r w:rsidRPr="0035359F">
        <w:rPr>
          <w:rFonts w:eastAsiaTheme="minorHAnsi"/>
          <w:lang w:bidi="en-US"/>
        </w:rPr>
        <w:t>.</w:t>
      </w:r>
    </w:p>
    <w:p w14:paraId="30C57A85" w14:textId="77777777" w:rsidR="0035359F" w:rsidRPr="0035359F" w:rsidRDefault="0035359F" w:rsidP="0035359F">
      <w:pPr>
        <w:tabs>
          <w:tab w:val="clear" w:pos="851"/>
        </w:tabs>
        <w:jc w:val="right"/>
        <w:rPr>
          <w:rFonts w:eastAsiaTheme="minorHAnsi"/>
          <w:lang w:bidi="en-US"/>
        </w:rPr>
      </w:pPr>
      <w:r w:rsidRPr="0035359F">
        <w:rPr>
          <w:rFonts w:eastAsiaTheme="minorHAnsi"/>
          <w:sz w:val="22"/>
          <w:szCs w:val="24"/>
          <w:lang w:bidi="en-US"/>
        </w:rPr>
        <w:t>”</w:t>
      </w:r>
    </w:p>
    <w:p w14:paraId="22FA0E52" w14:textId="77777777" w:rsidR="0035359F" w:rsidRPr="0035359F" w:rsidRDefault="0035359F" w:rsidP="0035359F">
      <w:pPr>
        <w:rPr>
          <w:lang w:bidi="en-US"/>
        </w:rPr>
      </w:pPr>
      <w:r w:rsidRPr="0035359F">
        <w:rPr>
          <w:lang w:bidi="en-US"/>
        </w:rPr>
        <w:t xml:space="preserve">[2.2] </w:t>
      </w:r>
      <w:r w:rsidRPr="0035359F">
        <w:rPr>
          <w:lang w:bidi="en-US"/>
        </w:rPr>
        <w:tab/>
        <w:t>omitting paragraph 5(c) and substituting –</w:t>
      </w:r>
    </w:p>
    <w:p w14:paraId="6E0416A2" w14:textId="77777777" w:rsidR="0035359F" w:rsidRPr="0035359F" w:rsidRDefault="0035359F" w:rsidP="0035359F">
      <w:pPr>
        <w:ind w:left="567" w:hanging="567"/>
        <w:rPr>
          <w:lang w:bidi="en-US"/>
        </w:rPr>
      </w:pPr>
    </w:p>
    <w:p w14:paraId="2DE5438F" w14:textId="77777777" w:rsidR="0035359F" w:rsidRPr="0035359F" w:rsidRDefault="0035359F" w:rsidP="0035359F">
      <w:pPr>
        <w:tabs>
          <w:tab w:val="clear" w:pos="851"/>
        </w:tabs>
        <w:ind w:left="1702" w:hanging="851"/>
        <w:rPr>
          <w:rFonts w:eastAsiaTheme="minorHAnsi"/>
        </w:rPr>
      </w:pPr>
      <w:r w:rsidRPr="0035359F">
        <w:rPr>
          <w:rFonts w:eastAsiaTheme="minorHAnsi"/>
        </w:rPr>
        <w:t>“(c)</w:t>
      </w:r>
      <w:r w:rsidRPr="0035359F">
        <w:rPr>
          <w:rFonts w:eastAsiaTheme="minorHAnsi"/>
        </w:rPr>
        <w:tab/>
        <w:t>a declaration that is required by the Act; or</w:t>
      </w:r>
    </w:p>
    <w:p w14:paraId="4F5D7E6B" w14:textId="77777777" w:rsidR="0035359F" w:rsidRPr="0035359F" w:rsidRDefault="0035359F" w:rsidP="0035359F">
      <w:pPr>
        <w:tabs>
          <w:tab w:val="clear" w:pos="851"/>
        </w:tabs>
        <w:ind w:left="1702" w:hanging="851"/>
        <w:rPr>
          <w:rFonts w:eastAsiaTheme="minorHAnsi"/>
        </w:rPr>
      </w:pPr>
      <w:r w:rsidRPr="0035359F">
        <w:rPr>
          <w:rFonts w:eastAsiaTheme="minorHAnsi"/>
        </w:rPr>
        <w:t>(d)</w:t>
      </w:r>
      <w:r w:rsidRPr="0035359F">
        <w:rPr>
          <w:rFonts w:eastAsiaTheme="minorHAnsi"/>
        </w:rPr>
        <w:tab/>
        <w:t>a Permitted Health Star Rating symbol.”</w:t>
      </w:r>
    </w:p>
    <w:p w14:paraId="50C7B4EC" w14:textId="77777777" w:rsidR="0035359F" w:rsidRPr="0035359F" w:rsidRDefault="0035359F" w:rsidP="0035359F">
      <w:pPr>
        <w:tabs>
          <w:tab w:val="clear" w:pos="851"/>
        </w:tabs>
        <w:ind w:left="1702" w:hanging="851"/>
        <w:rPr>
          <w:iCs/>
          <w:lang w:bidi="en-US"/>
        </w:rPr>
      </w:pPr>
    </w:p>
    <w:p w14:paraId="1874AAB6" w14:textId="77777777" w:rsidR="0035359F" w:rsidRPr="0035359F" w:rsidRDefault="0035359F" w:rsidP="0035359F">
      <w:pPr>
        <w:rPr>
          <w:lang w:bidi="en-US"/>
        </w:rPr>
      </w:pPr>
      <w:r w:rsidRPr="0035359F">
        <w:rPr>
          <w:lang w:bidi="en-US"/>
        </w:rPr>
        <w:t>[2.3]</w:t>
      </w:r>
      <w:r w:rsidRPr="0035359F">
        <w:rPr>
          <w:lang w:bidi="en-US"/>
        </w:rPr>
        <w:tab/>
        <w:t>omitting “subparagraph” from paragraph 18(1)(b) and substituting “paragraph”</w:t>
      </w:r>
    </w:p>
    <w:p w14:paraId="4EC5CDF3" w14:textId="77777777" w:rsidR="0035359F" w:rsidRPr="0035359F" w:rsidRDefault="0035359F" w:rsidP="0035359F">
      <w:pPr>
        <w:rPr>
          <w:lang w:bidi="en-US"/>
        </w:rPr>
      </w:pPr>
    </w:p>
    <w:p w14:paraId="157AC835" w14:textId="77777777" w:rsidR="0035359F" w:rsidRPr="0035359F" w:rsidRDefault="0035359F" w:rsidP="0035359F">
      <w:pPr>
        <w:rPr>
          <w:lang w:bidi="en-US"/>
        </w:rPr>
      </w:pPr>
      <w:r w:rsidRPr="0035359F">
        <w:rPr>
          <w:lang w:bidi="en-US"/>
        </w:rPr>
        <w:t>[2.4]</w:t>
      </w:r>
      <w:r w:rsidRPr="0035359F">
        <w:rPr>
          <w:lang w:bidi="en-US"/>
        </w:rPr>
        <w:tab/>
        <w:t>omitting from the entry for Lactose in Schedule 1 “</w:t>
      </w:r>
      <w:r w:rsidRPr="0035359F">
        <w:rPr>
          <w:rFonts w:eastAsiaTheme="minorHAnsi"/>
          <w:bCs/>
          <w:lang w:eastAsia="en-AU"/>
        </w:rPr>
        <w:t>The nutrition information panel indicates the lactose and galactose content.”</w:t>
      </w:r>
    </w:p>
    <w:p w14:paraId="225F666F" w14:textId="77777777" w:rsidR="0035359F" w:rsidRPr="0035359F" w:rsidRDefault="0035359F" w:rsidP="0035359F">
      <w:pPr>
        <w:rPr>
          <w:iCs/>
          <w:highlight w:val="yellow"/>
          <w:lang w:bidi="en-US"/>
        </w:rPr>
      </w:pPr>
    </w:p>
    <w:p w14:paraId="40E9673F" w14:textId="77777777" w:rsidR="0035359F" w:rsidRPr="0035359F" w:rsidRDefault="0035359F" w:rsidP="0035359F">
      <w:pPr>
        <w:rPr>
          <w:iCs/>
          <w:lang w:bidi="en-US"/>
        </w:rPr>
      </w:pPr>
      <w:r w:rsidRPr="0035359F">
        <w:rPr>
          <w:iCs/>
          <w:lang w:bidi="en-US"/>
        </w:rPr>
        <w:t>[2.5]</w:t>
      </w:r>
      <w:r w:rsidRPr="0035359F">
        <w:rPr>
          <w:iCs/>
          <w:lang w:bidi="en-US"/>
        </w:rPr>
        <w:tab/>
        <w:t>omitting from the entry for Salt or sodium in Schedule 1 “</w:t>
      </w:r>
      <w:r w:rsidRPr="0035359F">
        <w:rPr>
          <w:rFonts w:eastAsiaTheme="minorHAnsi"/>
          <w:bCs/>
          <w:lang w:eastAsia="en-AU"/>
        </w:rPr>
        <w:t>The nutrition information panel indicates the potassium content.”</w:t>
      </w:r>
    </w:p>
    <w:p w14:paraId="552ABB32" w14:textId="77777777" w:rsidR="0035359F" w:rsidRPr="0035359F" w:rsidRDefault="0035359F" w:rsidP="0035359F">
      <w:pPr>
        <w:rPr>
          <w:iCs/>
          <w:highlight w:val="yellow"/>
          <w:lang w:bidi="en-US"/>
        </w:rPr>
      </w:pPr>
    </w:p>
    <w:p w14:paraId="635C48CD" w14:textId="77777777" w:rsidR="0035359F" w:rsidRPr="0035359F" w:rsidRDefault="0035359F" w:rsidP="0035359F">
      <w:pPr>
        <w:rPr>
          <w:iCs/>
          <w:lang w:bidi="en-US"/>
        </w:rPr>
      </w:pPr>
      <w:r w:rsidRPr="0035359F">
        <w:rPr>
          <w:iCs/>
          <w:lang w:bidi="en-US"/>
        </w:rPr>
        <w:t>[2.6]</w:t>
      </w:r>
      <w:r w:rsidRPr="0035359F">
        <w:rPr>
          <w:iCs/>
          <w:lang w:bidi="en-US"/>
        </w:rPr>
        <w:tab/>
        <w:t xml:space="preserve">omitting from Schedule 1 </w:t>
      </w:r>
    </w:p>
    <w:p w14:paraId="6661BFEE" w14:textId="77777777" w:rsidR="0035359F" w:rsidRPr="0035359F" w:rsidRDefault="0035359F" w:rsidP="0035359F">
      <w:pPr>
        <w:rPr>
          <w:iCs/>
          <w:lang w:bidi="en-US"/>
        </w:rPr>
      </w:pPr>
    </w:p>
    <w:p w14:paraId="4F0CF709" w14:textId="77777777" w:rsidR="0035359F" w:rsidRPr="0035359F" w:rsidRDefault="0035359F" w:rsidP="0035359F">
      <w:pPr>
        <w:keepNext/>
        <w:rPr>
          <w:iCs/>
          <w:lang w:bidi="en-US"/>
        </w:rPr>
      </w:pPr>
      <w:r w:rsidRPr="0035359F">
        <w:rPr>
          <w:iCs/>
          <w:lang w:bidi="en-US"/>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35359F" w:rsidRPr="0035359F" w14:paraId="581E76CD" w14:textId="77777777" w:rsidTr="009D4E04">
        <w:trPr>
          <w:cantSplit/>
        </w:trPr>
        <w:tc>
          <w:tcPr>
            <w:tcW w:w="1668" w:type="dxa"/>
            <w:vMerge w:val="restart"/>
            <w:tcBorders>
              <w:bottom w:val="nil"/>
            </w:tcBorders>
          </w:tcPr>
          <w:p w14:paraId="3F6DEB7D"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t>Omega-3 fatty acids</w:t>
            </w:r>
          </w:p>
        </w:tc>
        <w:tc>
          <w:tcPr>
            <w:tcW w:w="2268" w:type="dxa"/>
            <w:vMerge w:val="restart"/>
          </w:tcPr>
          <w:p w14:paraId="76EFDE5E"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meets the conditions for a nutrition content claim about omega fatty acids; and</w:t>
            </w:r>
          </w:p>
          <w:p w14:paraId="6B32B2AF"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food contains no less than –</w:t>
            </w:r>
          </w:p>
          <w:p w14:paraId="12FDCB0E" w14:textId="77777777" w:rsidR="0035359F" w:rsidRPr="0035359F" w:rsidRDefault="0035359F" w:rsidP="0035359F">
            <w:pPr>
              <w:tabs>
                <w:tab w:val="clear" w:pos="851"/>
              </w:tabs>
              <w:ind w:left="142" w:hanging="142"/>
              <w:rPr>
                <w:rFonts w:eastAsiaTheme="minorHAnsi" w:cstheme="minorBidi"/>
                <w:bCs/>
                <w:sz w:val="18"/>
                <w:lang w:eastAsia="en-AU"/>
              </w:rPr>
            </w:pPr>
          </w:p>
          <w:p w14:paraId="2D6385B8"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w:t>
            </w:r>
            <w:proofErr w:type="spellStart"/>
            <w:r w:rsidRPr="0035359F">
              <w:rPr>
                <w:rFonts w:eastAsiaTheme="minorHAnsi" w:cstheme="minorBidi"/>
                <w:bCs/>
                <w:sz w:val="18"/>
                <w:lang w:eastAsia="en-AU"/>
              </w:rPr>
              <w:t>i</w:t>
            </w:r>
            <w:proofErr w:type="spellEnd"/>
            <w:r w:rsidRPr="0035359F">
              <w:rPr>
                <w:rFonts w:eastAsiaTheme="minorHAnsi" w:cstheme="minorBidi"/>
                <w:bCs/>
                <w:sz w:val="18"/>
                <w:lang w:eastAsia="en-AU"/>
              </w:rPr>
              <w:t>)</w:t>
            </w:r>
            <w:r w:rsidRPr="0035359F">
              <w:rPr>
                <w:rFonts w:eastAsiaTheme="minorHAnsi" w:cstheme="minorBidi"/>
                <w:bCs/>
                <w:sz w:val="18"/>
                <w:lang w:eastAsia="en-AU"/>
              </w:rPr>
              <w:tab/>
              <w:t>200 mg alpha-linolenic acid per serving; or</w:t>
            </w:r>
          </w:p>
          <w:p w14:paraId="5E0DAF12"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(ii)</w:t>
            </w:r>
            <w:r w:rsidRPr="0035359F">
              <w:rPr>
                <w:rFonts w:eastAsiaTheme="minorHAnsi" w:cstheme="minorBidi"/>
                <w:bCs/>
                <w:sz w:val="18"/>
                <w:lang w:eastAsia="en-AU"/>
              </w:rPr>
              <w:tab/>
              <w:t xml:space="preserve">30 mg total eicosapentaenoic acid and docosahexaenoic acid per serving; and </w:t>
            </w:r>
          </w:p>
          <w:p w14:paraId="4E022D77" w14:textId="77777777" w:rsidR="0035359F" w:rsidRPr="0035359F" w:rsidRDefault="0035359F" w:rsidP="0035359F">
            <w:pPr>
              <w:tabs>
                <w:tab w:val="clear" w:pos="851"/>
              </w:tabs>
              <w:ind w:left="142" w:hanging="142"/>
              <w:rPr>
                <w:rFonts w:eastAsiaTheme="minorHAnsi" w:cstheme="minorBidi"/>
                <w:bCs/>
                <w:sz w:val="18"/>
                <w:lang w:eastAsia="en-AU"/>
              </w:rPr>
            </w:pPr>
          </w:p>
          <w:p w14:paraId="44970599"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(c)</w:t>
            </w:r>
            <w:r w:rsidRPr="0035359F">
              <w:rPr>
                <w:rFonts w:eastAsiaTheme="minorHAnsi" w:cstheme="minorBidi"/>
                <w:bCs/>
                <w:sz w:val="18"/>
                <w:lang w:eastAsia="en-AU"/>
              </w:rPr>
              <w:tab/>
              <w:t>other than for fish or fish products with no added saturated fatty acids, the food contains –</w:t>
            </w:r>
          </w:p>
          <w:p w14:paraId="70BE907A" w14:textId="77777777" w:rsidR="0035359F" w:rsidRPr="0035359F" w:rsidRDefault="0035359F" w:rsidP="0035359F">
            <w:pPr>
              <w:tabs>
                <w:tab w:val="clear" w:pos="851"/>
              </w:tabs>
              <w:ind w:left="142" w:hanging="142"/>
              <w:rPr>
                <w:rFonts w:eastAsiaTheme="minorHAnsi" w:cstheme="minorBidi"/>
                <w:bCs/>
                <w:sz w:val="18"/>
                <w:lang w:eastAsia="en-AU"/>
              </w:rPr>
            </w:pPr>
          </w:p>
          <w:p w14:paraId="59B9869D"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w:t>
            </w:r>
            <w:proofErr w:type="spellStart"/>
            <w:r w:rsidRPr="0035359F">
              <w:rPr>
                <w:rFonts w:eastAsiaTheme="minorHAnsi" w:cstheme="minorBidi"/>
                <w:bCs/>
                <w:sz w:val="18"/>
                <w:lang w:eastAsia="en-AU"/>
              </w:rPr>
              <w:t>i</w:t>
            </w:r>
            <w:proofErr w:type="spellEnd"/>
            <w:r w:rsidRPr="0035359F">
              <w:rPr>
                <w:rFonts w:eastAsiaTheme="minorHAnsi" w:cstheme="minorBidi"/>
                <w:bCs/>
                <w:sz w:val="18"/>
                <w:lang w:eastAsia="en-AU"/>
              </w:rPr>
              <w:t>)</w:t>
            </w:r>
            <w:r w:rsidRPr="0035359F">
              <w:rPr>
                <w:rFonts w:eastAsiaTheme="minorHAnsi" w:cstheme="minorBidi"/>
                <w:bCs/>
                <w:sz w:val="18"/>
                <w:lang w:eastAsia="en-AU"/>
              </w:rPr>
              <w:tab/>
              <w:t>as a proportion of the total fatty acid content, no more than 28% saturated fatty acids and trans fatty acids; or</w:t>
            </w:r>
          </w:p>
          <w:p w14:paraId="3D6E1D43" w14:textId="77777777" w:rsidR="0035359F" w:rsidRPr="0035359F" w:rsidRDefault="0035359F" w:rsidP="0035359F">
            <w:pPr>
              <w:tabs>
                <w:tab w:val="clear" w:pos="851"/>
              </w:tabs>
              <w:ind w:left="568" w:hanging="284"/>
              <w:rPr>
                <w:rFonts w:eastAsiaTheme="minorHAnsi" w:cstheme="minorBidi"/>
                <w:bCs/>
                <w:sz w:val="18"/>
                <w:lang w:eastAsia="en-AU"/>
              </w:rPr>
            </w:pPr>
          </w:p>
          <w:p w14:paraId="44656037"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lastRenderedPageBreak/>
              <w:t>(ii)</w:t>
            </w:r>
            <w:r w:rsidRPr="0035359F">
              <w:rPr>
                <w:rFonts w:eastAsiaTheme="minorHAnsi" w:cstheme="minorBidi"/>
                <w:bCs/>
                <w:sz w:val="18"/>
                <w:lang w:eastAsia="en-AU"/>
              </w:rPr>
              <w:tab/>
              <w:t>no more saturated fatty acids and trans fatty acids than 5 g per     100 g; and</w:t>
            </w:r>
          </w:p>
        </w:tc>
        <w:tc>
          <w:tcPr>
            <w:tcW w:w="2126" w:type="dxa"/>
            <w:tcBorders>
              <w:bottom w:val="single" w:sz="4" w:space="0" w:color="auto"/>
            </w:tcBorders>
          </w:tcPr>
          <w:p w14:paraId="002905C3"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lastRenderedPageBreak/>
              <w:t>Good Source</w:t>
            </w:r>
          </w:p>
        </w:tc>
        <w:tc>
          <w:tcPr>
            <w:tcW w:w="3010" w:type="dxa"/>
            <w:tcBorders>
              <w:bottom w:val="single" w:sz="4" w:space="0" w:color="auto"/>
            </w:tcBorders>
          </w:tcPr>
          <w:p w14:paraId="40CEACE8"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contains no less than 60 mg total eicosapentaenoic acid and docosahexaenoic acid per serving; and</w:t>
            </w:r>
          </w:p>
          <w:p w14:paraId="53CC1A6C"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food may contain less than 200 mg alpha-linolenic acid per serving.</w:t>
            </w:r>
          </w:p>
        </w:tc>
      </w:tr>
      <w:tr w:rsidR="0035359F" w:rsidRPr="0035359F" w14:paraId="380CB44C" w14:textId="77777777" w:rsidTr="009D4E04">
        <w:tc>
          <w:tcPr>
            <w:tcW w:w="1668" w:type="dxa"/>
            <w:vMerge/>
            <w:tcBorders>
              <w:left w:val="single" w:sz="4" w:space="0" w:color="auto"/>
              <w:bottom w:val="nil"/>
              <w:right w:val="single" w:sz="4" w:space="0" w:color="auto"/>
            </w:tcBorders>
          </w:tcPr>
          <w:p w14:paraId="23C080F3" w14:textId="77777777" w:rsidR="0035359F" w:rsidRPr="0035359F" w:rsidRDefault="0035359F" w:rsidP="0035359F">
            <w:pPr>
              <w:tabs>
                <w:tab w:val="clear" w:pos="851"/>
              </w:tabs>
              <w:ind w:left="142" w:hanging="142"/>
              <w:rPr>
                <w:rFonts w:eastAsiaTheme="minorHAnsi" w:cstheme="minorBidi"/>
                <w:bCs/>
                <w:sz w:val="18"/>
                <w:highlight w:val="yellow"/>
                <w:lang w:eastAsia="en-AU"/>
              </w:rPr>
            </w:pPr>
          </w:p>
        </w:tc>
        <w:tc>
          <w:tcPr>
            <w:tcW w:w="2268" w:type="dxa"/>
            <w:vMerge/>
            <w:tcBorders>
              <w:left w:val="single" w:sz="4" w:space="0" w:color="auto"/>
              <w:bottom w:val="nil"/>
              <w:right w:val="single" w:sz="4" w:space="0" w:color="auto"/>
            </w:tcBorders>
          </w:tcPr>
          <w:p w14:paraId="2B1FA207" w14:textId="77777777" w:rsidR="0035359F" w:rsidRPr="0035359F" w:rsidRDefault="0035359F" w:rsidP="0035359F">
            <w:pPr>
              <w:tabs>
                <w:tab w:val="clear" w:pos="851"/>
              </w:tabs>
              <w:ind w:left="142" w:hanging="142"/>
              <w:rPr>
                <w:rFonts w:eastAsiaTheme="minorHAnsi" w:cstheme="minorBidi"/>
                <w:bCs/>
                <w:sz w:val="18"/>
                <w:highlight w:val="yellow"/>
                <w:lang w:eastAsia="en-AU"/>
              </w:rPr>
            </w:pPr>
          </w:p>
        </w:tc>
        <w:tc>
          <w:tcPr>
            <w:tcW w:w="2126" w:type="dxa"/>
            <w:tcBorders>
              <w:top w:val="single" w:sz="4" w:space="0" w:color="auto"/>
              <w:left w:val="single" w:sz="4" w:space="0" w:color="auto"/>
              <w:bottom w:val="nil"/>
              <w:right w:val="single" w:sz="4" w:space="0" w:color="auto"/>
            </w:tcBorders>
          </w:tcPr>
          <w:p w14:paraId="77979F69"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t>Increased</w:t>
            </w:r>
          </w:p>
        </w:tc>
        <w:tc>
          <w:tcPr>
            <w:tcW w:w="3010" w:type="dxa"/>
            <w:tcBorders>
              <w:top w:val="single" w:sz="4" w:space="0" w:color="auto"/>
              <w:left w:val="single" w:sz="4" w:space="0" w:color="auto"/>
              <w:bottom w:val="nil"/>
              <w:right w:val="single" w:sz="4" w:space="0" w:color="auto"/>
            </w:tcBorders>
          </w:tcPr>
          <w:p w14:paraId="0ECB7A2E"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contains at least 25% more omega-3 fatty acids than in the same quantity of reference food; and</w:t>
            </w:r>
          </w:p>
          <w:p w14:paraId="2F1AF3EE"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reference food meets the general claim conditions for a nutrition content claim about omega-3 fatty acids.</w:t>
            </w:r>
          </w:p>
        </w:tc>
      </w:tr>
      <w:tr w:rsidR="0035359F" w:rsidRPr="0035359F" w14:paraId="0F347B04" w14:textId="77777777" w:rsidTr="009D4E04">
        <w:tc>
          <w:tcPr>
            <w:tcW w:w="1668" w:type="dxa"/>
            <w:tcBorders>
              <w:top w:val="nil"/>
              <w:left w:val="single" w:sz="4" w:space="0" w:color="auto"/>
              <w:bottom w:val="single" w:sz="4" w:space="0" w:color="auto"/>
              <w:right w:val="single" w:sz="4" w:space="0" w:color="auto"/>
            </w:tcBorders>
          </w:tcPr>
          <w:p w14:paraId="5A6DA259" w14:textId="77777777" w:rsidR="0035359F" w:rsidRPr="0035359F" w:rsidRDefault="0035359F" w:rsidP="0035359F">
            <w:pPr>
              <w:tabs>
                <w:tab w:val="clear" w:pos="851"/>
              </w:tabs>
              <w:ind w:left="142" w:hanging="142"/>
              <w:rPr>
                <w:rFonts w:eastAsiaTheme="minorHAnsi" w:cstheme="minorBidi"/>
                <w:bCs/>
                <w:sz w:val="18"/>
                <w:highlight w:val="yellow"/>
                <w:lang w:eastAsia="en-AU"/>
              </w:rPr>
            </w:pPr>
          </w:p>
        </w:tc>
        <w:tc>
          <w:tcPr>
            <w:tcW w:w="2268" w:type="dxa"/>
            <w:tcBorders>
              <w:top w:val="nil"/>
              <w:left w:val="single" w:sz="4" w:space="0" w:color="auto"/>
              <w:bottom w:val="single" w:sz="4" w:space="0" w:color="auto"/>
              <w:right w:val="single" w:sz="4" w:space="0" w:color="auto"/>
            </w:tcBorders>
          </w:tcPr>
          <w:p w14:paraId="3AFA08E6"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(d)</w:t>
            </w:r>
            <w:r w:rsidRPr="0035359F">
              <w:rPr>
                <w:rFonts w:eastAsiaTheme="minorHAnsi" w:cstheme="minorBidi"/>
                <w:bCs/>
                <w:sz w:val="18"/>
                <w:lang w:eastAsia="en-AU"/>
              </w:rPr>
              <w:tab/>
              <w:t>the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14:paraId="25342DDB" w14:textId="77777777" w:rsidR="0035359F" w:rsidRPr="0035359F" w:rsidRDefault="0035359F" w:rsidP="0035359F">
            <w:pPr>
              <w:tabs>
                <w:tab w:val="clear" w:pos="851"/>
              </w:tabs>
              <w:ind w:left="142" w:hanging="142"/>
              <w:rPr>
                <w:rFonts w:eastAsiaTheme="minorHAnsi" w:cstheme="minorBidi"/>
                <w:bCs/>
                <w:sz w:val="18"/>
                <w:highlight w:val="yellow"/>
                <w:lang w:eastAsia="en-AU"/>
              </w:rPr>
            </w:pPr>
          </w:p>
        </w:tc>
        <w:tc>
          <w:tcPr>
            <w:tcW w:w="3010" w:type="dxa"/>
            <w:tcBorders>
              <w:top w:val="nil"/>
              <w:left w:val="single" w:sz="4" w:space="0" w:color="auto"/>
              <w:bottom w:val="single" w:sz="4" w:space="0" w:color="auto"/>
              <w:right w:val="single" w:sz="4" w:space="0" w:color="auto"/>
            </w:tcBorders>
          </w:tcPr>
          <w:p w14:paraId="5DCFFD47" w14:textId="77777777" w:rsidR="0035359F" w:rsidRPr="0035359F" w:rsidRDefault="0035359F" w:rsidP="0035359F">
            <w:pPr>
              <w:tabs>
                <w:tab w:val="clear" w:pos="851"/>
              </w:tabs>
              <w:ind w:left="284" w:hanging="284"/>
              <w:rPr>
                <w:rFonts w:eastAsiaTheme="minorHAnsi" w:cstheme="minorBidi"/>
                <w:bCs/>
                <w:sz w:val="18"/>
                <w:highlight w:val="yellow"/>
                <w:lang w:eastAsia="en-AU"/>
              </w:rPr>
            </w:pPr>
          </w:p>
        </w:tc>
      </w:tr>
    </w:tbl>
    <w:p w14:paraId="6B600358" w14:textId="77777777" w:rsidR="0035359F" w:rsidRPr="0035359F" w:rsidRDefault="0035359F" w:rsidP="0035359F">
      <w:pPr>
        <w:jc w:val="right"/>
        <w:rPr>
          <w:iCs/>
          <w:lang w:bidi="en-US"/>
        </w:rPr>
      </w:pPr>
      <w:r w:rsidRPr="0035359F">
        <w:rPr>
          <w:iCs/>
          <w:lang w:bidi="en-US"/>
        </w:rPr>
        <w:t>”</w:t>
      </w:r>
    </w:p>
    <w:p w14:paraId="5D6D3E54" w14:textId="77777777" w:rsidR="0035359F" w:rsidRPr="0035359F" w:rsidRDefault="0035359F" w:rsidP="0035359F">
      <w:pPr>
        <w:jc w:val="right"/>
        <w:rPr>
          <w:iCs/>
          <w:highlight w:val="yellow"/>
          <w:lang w:bidi="en-US"/>
        </w:rPr>
      </w:pPr>
    </w:p>
    <w:p w14:paraId="42FD03FE" w14:textId="77777777" w:rsidR="0035359F" w:rsidRPr="0035359F" w:rsidRDefault="0035359F" w:rsidP="0035359F">
      <w:pPr>
        <w:rPr>
          <w:iCs/>
          <w:lang w:bidi="en-US"/>
        </w:rPr>
      </w:pPr>
      <w:r w:rsidRPr="0035359F">
        <w:rPr>
          <w:iCs/>
          <w:lang w:bidi="en-US"/>
        </w:rPr>
        <w:t>and substituting –</w:t>
      </w:r>
    </w:p>
    <w:p w14:paraId="7F8EFB31" w14:textId="77777777" w:rsidR="0035359F" w:rsidRPr="0035359F" w:rsidRDefault="0035359F" w:rsidP="0035359F">
      <w:pPr>
        <w:rPr>
          <w:iCs/>
          <w:lang w:bidi="en-US"/>
        </w:rPr>
      </w:pPr>
    </w:p>
    <w:p w14:paraId="2B47716D" w14:textId="77777777" w:rsidR="0035359F" w:rsidRPr="0035359F" w:rsidRDefault="0035359F" w:rsidP="0035359F">
      <w:pPr>
        <w:rPr>
          <w:iCs/>
          <w:lang w:bidi="en-US"/>
        </w:rPr>
      </w:pPr>
      <w:r w:rsidRPr="0035359F">
        <w:rPr>
          <w:iCs/>
          <w:lang w:bidi="en-US"/>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35359F" w:rsidRPr="0035359F" w14:paraId="76B44BF8" w14:textId="77777777" w:rsidTr="009D4E04">
        <w:trPr>
          <w:cantSplit/>
        </w:trPr>
        <w:tc>
          <w:tcPr>
            <w:tcW w:w="1668" w:type="dxa"/>
            <w:vMerge w:val="restart"/>
          </w:tcPr>
          <w:p w14:paraId="6ED7285A"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t>Omega-3 fatty acids</w:t>
            </w:r>
          </w:p>
        </w:tc>
        <w:tc>
          <w:tcPr>
            <w:tcW w:w="2268" w:type="dxa"/>
            <w:vMerge w:val="restart"/>
          </w:tcPr>
          <w:p w14:paraId="4F340905"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meets the conditions for a nutrition content claim about omega fatty acids; and</w:t>
            </w:r>
          </w:p>
          <w:p w14:paraId="1A4AD61E"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food contains no less than –</w:t>
            </w:r>
          </w:p>
          <w:p w14:paraId="4404F372" w14:textId="77777777" w:rsidR="0035359F" w:rsidRPr="0035359F" w:rsidRDefault="0035359F" w:rsidP="0035359F">
            <w:pPr>
              <w:tabs>
                <w:tab w:val="clear" w:pos="851"/>
              </w:tabs>
              <w:ind w:left="142" w:hanging="142"/>
              <w:rPr>
                <w:rFonts w:eastAsiaTheme="minorHAnsi" w:cstheme="minorBidi"/>
                <w:bCs/>
                <w:sz w:val="18"/>
                <w:lang w:eastAsia="en-AU"/>
              </w:rPr>
            </w:pPr>
          </w:p>
          <w:p w14:paraId="0CFC3F3F"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w:t>
            </w:r>
            <w:proofErr w:type="spellStart"/>
            <w:r w:rsidRPr="0035359F">
              <w:rPr>
                <w:rFonts w:eastAsiaTheme="minorHAnsi" w:cstheme="minorBidi"/>
                <w:bCs/>
                <w:sz w:val="18"/>
                <w:lang w:eastAsia="en-AU"/>
              </w:rPr>
              <w:t>i</w:t>
            </w:r>
            <w:proofErr w:type="spellEnd"/>
            <w:r w:rsidRPr="0035359F">
              <w:rPr>
                <w:rFonts w:eastAsiaTheme="minorHAnsi" w:cstheme="minorBidi"/>
                <w:bCs/>
                <w:sz w:val="18"/>
                <w:lang w:eastAsia="en-AU"/>
              </w:rPr>
              <w:t>)</w:t>
            </w:r>
            <w:r w:rsidRPr="0035359F">
              <w:rPr>
                <w:rFonts w:eastAsiaTheme="minorHAnsi" w:cstheme="minorBidi"/>
                <w:bCs/>
                <w:sz w:val="18"/>
                <w:lang w:eastAsia="en-AU"/>
              </w:rPr>
              <w:tab/>
              <w:t>200 mg alpha-linolenic acid per serving; or</w:t>
            </w:r>
          </w:p>
          <w:p w14:paraId="44131DC4"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(ii)</w:t>
            </w:r>
            <w:r w:rsidRPr="0035359F">
              <w:rPr>
                <w:rFonts w:eastAsiaTheme="minorHAnsi" w:cstheme="minorBidi"/>
                <w:bCs/>
                <w:sz w:val="18"/>
                <w:lang w:eastAsia="en-AU"/>
              </w:rPr>
              <w:tab/>
              <w:t xml:space="preserve">30 mg total eicosapentaenoic acid and docosahexaenoic acid per serving; and </w:t>
            </w:r>
          </w:p>
          <w:p w14:paraId="2C69C5CA" w14:textId="77777777" w:rsidR="0035359F" w:rsidRPr="0035359F" w:rsidRDefault="0035359F" w:rsidP="0035359F">
            <w:pPr>
              <w:tabs>
                <w:tab w:val="clear" w:pos="851"/>
              </w:tabs>
              <w:rPr>
                <w:rFonts w:eastAsiaTheme="minorHAnsi" w:cstheme="minorBidi"/>
                <w:bCs/>
                <w:sz w:val="18"/>
                <w:lang w:eastAsia="en-AU"/>
              </w:rPr>
            </w:pPr>
          </w:p>
          <w:p w14:paraId="70D5AB33"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(c)</w:t>
            </w:r>
            <w:r w:rsidRPr="0035359F">
              <w:rPr>
                <w:rFonts w:eastAsiaTheme="minorHAnsi" w:cstheme="minorBidi"/>
                <w:bCs/>
                <w:sz w:val="18"/>
                <w:lang w:eastAsia="en-AU"/>
              </w:rPr>
              <w:tab/>
              <w:t>other than for fish or fish products with no added saturated fatty acids, the food contains –</w:t>
            </w:r>
          </w:p>
          <w:p w14:paraId="5015B50B" w14:textId="77777777" w:rsidR="0035359F" w:rsidRPr="0035359F" w:rsidRDefault="0035359F" w:rsidP="0035359F">
            <w:pPr>
              <w:tabs>
                <w:tab w:val="clear" w:pos="851"/>
              </w:tabs>
              <w:ind w:left="142" w:hanging="142"/>
              <w:rPr>
                <w:rFonts w:eastAsiaTheme="minorHAnsi" w:cstheme="minorBidi"/>
                <w:bCs/>
                <w:sz w:val="18"/>
                <w:lang w:eastAsia="en-AU"/>
              </w:rPr>
            </w:pPr>
          </w:p>
          <w:p w14:paraId="6BCF4807"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w:t>
            </w:r>
            <w:proofErr w:type="spellStart"/>
            <w:r w:rsidRPr="0035359F">
              <w:rPr>
                <w:rFonts w:eastAsiaTheme="minorHAnsi" w:cstheme="minorBidi"/>
                <w:bCs/>
                <w:sz w:val="18"/>
                <w:lang w:eastAsia="en-AU"/>
              </w:rPr>
              <w:t>i</w:t>
            </w:r>
            <w:proofErr w:type="spellEnd"/>
            <w:r w:rsidRPr="0035359F">
              <w:rPr>
                <w:rFonts w:eastAsiaTheme="minorHAnsi" w:cstheme="minorBidi"/>
                <w:bCs/>
                <w:sz w:val="18"/>
                <w:lang w:eastAsia="en-AU"/>
              </w:rPr>
              <w:t>)</w:t>
            </w:r>
            <w:r w:rsidRPr="0035359F">
              <w:rPr>
                <w:rFonts w:eastAsiaTheme="minorHAnsi" w:cstheme="minorBidi"/>
                <w:bCs/>
                <w:sz w:val="18"/>
                <w:lang w:eastAsia="en-AU"/>
              </w:rPr>
              <w:tab/>
              <w:t>as a proportion of the total fatty acid content, no more than 28% saturated fatty acids and trans fatty acids; or</w:t>
            </w:r>
          </w:p>
          <w:p w14:paraId="0A0B1701" w14:textId="77777777" w:rsidR="0035359F" w:rsidRPr="0035359F" w:rsidRDefault="0035359F" w:rsidP="0035359F">
            <w:pPr>
              <w:tabs>
                <w:tab w:val="clear" w:pos="851"/>
              </w:tabs>
              <w:ind w:left="568" w:hanging="284"/>
              <w:rPr>
                <w:rFonts w:eastAsiaTheme="minorHAnsi" w:cstheme="minorBidi"/>
                <w:bCs/>
                <w:sz w:val="18"/>
                <w:lang w:eastAsia="en-AU"/>
              </w:rPr>
            </w:pPr>
            <w:r w:rsidRPr="0035359F">
              <w:rPr>
                <w:rFonts w:eastAsiaTheme="minorHAnsi" w:cstheme="minorBidi"/>
                <w:bCs/>
                <w:sz w:val="18"/>
                <w:lang w:eastAsia="en-AU"/>
              </w:rPr>
              <w:t>(ii)</w:t>
            </w:r>
            <w:r w:rsidRPr="0035359F">
              <w:rPr>
                <w:rFonts w:eastAsiaTheme="minorHAnsi" w:cstheme="minorBidi"/>
                <w:bCs/>
                <w:sz w:val="18"/>
                <w:lang w:eastAsia="en-AU"/>
              </w:rPr>
              <w:tab/>
              <w:t>no more saturated fatty acids and trans fatty acids than 5 g per     100 g.</w:t>
            </w:r>
          </w:p>
          <w:p w14:paraId="667E2866" w14:textId="77777777" w:rsidR="0035359F" w:rsidRPr="0035359F" w:rsidRDefault="0035359F" w:rsidP="0035359F">
            <w:pPr>
              <w:tabs>
                <w:tab w:val="clear" w:pos="851"/>
              </w:tabs>
              <w:rPr>
                <w:rFonts w:eastAsiaTheme="minorHAnsi" w:cstheme="minorBidi"/>
                <w:bCs/>
                <w:sz w:val="18"/>
                <w:lang w:eastAsia="en-AU"/>
              </w:rPr>
            </w:pPr>
          </w:p>
        </w:tc>
        <w:tc>
          <w:tcPr>
            <w:tcW w:w="2126" w:type="dxa"/>
          </w:tcPr>
          <w:p w14:paraId="10E0C340"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t>Good Source</w:t>
            </w:r>
          </w:p>
        </w:tc>
        <w:tc>
          <w:tcPr>
            <w:tcW w:w="3010" w:type="dxa"/>
          </w:tcPr>
          <w:p w14:paraId="19AF1AD6"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contains no less than 60 mg total eicosapentaenoic acid and docosahexaenoic acid per serving; and</w:t>
            </w:r>
          </w:p>
          <w:p w14:paraId="6DA53A23"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food may contain less than 200 mg alpha-linolenic acid per serving.</w:t>
            </w:r>
          </w:p>
        </w:tc>
      </w:tr>
      <w:tr w:rsidR="0035359F" w:rsidRPr="0035359F" w14:paraId="2A3EBF8E" w14:textId="77777777" w:rsidTr="009D4E04">
        <w:tc>
          <w:tcPr>
            <w:tcW w:w="1668" w:type="dxa"/>
            <w:vMerge/>
          </w:tcPr>
          <w:p w14:paraId="7DD361A6" w14:textId="77777777" w:rsidR="0035359F" w:rsidRPr="0035359F" w:rsidRDefault="0035359F" w:rsidP="0035359F">
            <w:pPr>
              <w:tabs>
                <w:tab w:val="clear" w:pos="851"/>
              </w:tabs>
              <w:ind w:left="142" w:hanging="142"/>
              <w:rPr>
                <w:rFonts w:eastAsiaTheme="minorHAnsi" w:cstheme="minorBidi"/>
                <w:bCs/>
                <w:sz w:val="18"/>
                <w:lang w:eastAsia="en-AU"/>
              </w:rPr>
            </w:pPr>
          </w:p>
        </w:tc>
        <w:tc>
          <w:tcPr>
            <w:tcW w:w="2268" w:type="dxa"/>
            <w:vMerge/>
          </w:tcPr>
          <w:p w14:paraId="3156278C" w14:textId="77777777" w:rsidR="0035359F" w:rsidRPr="0035359F" w:rsidRDefault="0035359F" w:rsidP="0035359F">
            <w:pPr>
              <w:tabs>
                <w:tab w:val="clear" w:pos="851"/>
              </w:tabs>
              <w:ind w:left="142" w:hanging="142"/>
              <w:rPr>
                <w:rFonts w:eastAsiaTheme="minorHAnsi" w:cstheme="minorBidi"/>
                <w:bCs/>
                <w:sz w:val="18"/>
                <w:lang w:eastAsia="en-AU"/>
              </w:rPr>
            </w:pPr>
          </w:p>
        </w:tc>
        <w:tc>
          <w:tcPr>
            <w:tcW w:w="2126" w:type="dxa"/>
          </w:tcPr>
          <w:p w14:paraId="513804A5" w14:textId="77777777" w:rsidR="0035359F" w:rsidRPr="0035359F" w:rsidRDefault="0035359F" w:rsidP="0035359F">
            <w:pPr>
              <w:tabs>
                <w:tab w:val="clear" w:pos="851"/>
              </w:tabs>
              <w:ind w:left="142" w:hanging="142"/>
              <w:rPr>
                <w:rFonts w:eastAsiaTheme="minorHAnsi"/>
                <w:bCs/>
                <w:sz w:val="18"/>
                <w:lang w:eastAsia="en-AU"/>
              </w:rPr>
            </w:pPr>
            <w:r w:rsidRPr="0035359F">
              <w:rPr>
                <w:rFonts w:eastAsiaTheme="minorHAnsi"/>
                <w:bCs/>
                <w:sz w:val="18"/>
                <w:lang w:eastAsia="en-AU"/>
              </w:rPr>
              <w:t>Increased</w:t>
            </w:r>
          </w:p>
        </w:tc>
        <w:tc>
          <w:tcPr>
            <w:tcW w:w="3010" w:type="dxa"/>
          </w:tcPr>
          <w:p w14:paraId="6D16FF29"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(a)</w:t>
            </w:r>
            <w:r w:rsidRPr="0035359F">
              <w:rPr>
                <w:rFonts w:eastAsiaTheme="minorHAnsi" w:cstheme="minorBidi"/>
                <w:bCs/>
                <w:sz w:val="18"/>
                <w:lang w:eastAsia="en-AU"/>
              </w:rPr>
              <w:tab/>
              <w:t>the food contains at least 25% more omega-3 fatty acids than in the same quantity of reference food; and</w:t>
            </w:r>
          </w:p>
          <w:p w14:paraId="2647C434" w14:textId="77777777" w:rsidR="0035359F" w:rsidRPr="0035359F" w:rsidRDefault="0035359F" w:rsidP="0035359F">
            <w:pPr>
              <w:tabs>
                <w:tab w:val="clear" w:pos="851"/>
              </w:tabs>
              <w:ind w:left="284" w:hanging="284"/>
              <w:rPr>
                <w:rFonts w:eastAsiaTheme="minorHAnsi" w:cstheme="minorBidi"/>
                <w:bCs/>
                <w:sz w:val="18"/>
                <w:lang w:eastAsia="en-AU"/>
              </w:rPr>
            </w:pPr>
            <w:r w:rsidRPr="0035359F">
              <w:rPr>
                <w:rFonts w:eastAsiaTheme="minorHAnsi" w:cstheme="minorBidi"/>
                <w:bCs/>
                <w:sz w:val="18"/>
                <w:lang w:eastAsia="en-AU"/>
              </w:rPr>
              <w:t>(b)</w:t>
            </w:r>
            <w:r w:rsidRPr="0035359F">
              <w:rPr>
                <w:rFonts w:eastAsiaTheme="minorHAnsi" w:cstheme="minorBidi"/>
                <w:bCs/>
                <w:sz w:val="18"/>
                <w:lang w:eastAsia="en-AU"/>
              </w:rPr>
              <w:tab/>
              <w:t>the reference food meets the general claim conditions for a nutrition content claim about omega-3 fatty acids.</w:t>
            </w:r>
          </w:p>
        </w:tc>
      </w:tr>
    </w:tbl>
    <w:p w14:paraId="44477B0F" w14:textId="77777777" w:rsidR="0035359F" w:rsidRPr="0035359F" w:rsidRDefault="0035359F" w:rsidP="0035359F">
      <w:pPr>
        <w:jc w:val="right"/>
        <w:rPr>
          <w:iCs/>
          <w:lang w:bidi="en-US"/>
        </w:rPr>
      </w:pPr>
      <w:r w:rsidRPr="0035359F">
        <w:rPr>
          <w:iCs/>
          <w:lang w:bidi="en-US"/>
        </w:rPr>
        <w:t>”</w:t>
      </w:r>
    </w:p>
    <w:p w14:paraId="0548CB70" w14:textId="77777777" w:rsidR="0035359F" w:rsidRPr="0035359F" w:rsidRDefault="0035359F" w:rsidP="0035359F">
      <w:pPr>
        <w:rPr>
          <w:lang w:bidi="en-US"/>
        </w:rPr>
      </w:pPr>
    </w:p>
    <w:p w14:paraId="54B14B1F" w14:textId="77777777" w:rsidR="0035359F" w:rsidRPr="0035359F" w:rsidRDefault="0035359F" w:rsidP="0035359F">
      <w:pPr>
        <w:rPr>
          <w:lang w:bidi="en-US"/>
        </w:rPr>
      </w:pPr>
      <w:r w:rsidRPr="0035359F">
        <w:rPr>
          <w:lang w:bidi="en-US"/>
        </w:rPr>
        <w:t>[2.7]</w:t>
      </w:r>
      <w:r w:rsidRPr="0035359F">
        <w:rPr>
          <w:lang w:bidi="en-US"/>
        </w:rPr>
        <w:tab/>
        <w:t xml:space="preserve">omitting “the content of energy and each nutrient” from </w:t>
      </w:r>
      <w:proofErr w:type="spellStart"/>
      <w:r w:rsidRPr="0035359F">
        <w:rPr>
          <w:lang w:bidi="en-US"/>
        </w:rPr>
        <w:t>subitems</w:t>
      </w:r>
      <w:proofErr w:type="spellEnd"/>
      <w:r w:rsidRPr="0035359F">
        <w:rPr>
          <w:lang w:bidi="en-US"/>
        </w:rPr>
        <w:t xml:space="preserve"> 2(1) and 3(1) of Schedule 5 and substituting “the average energy content and the average quantity of each nutrient listed in that Table that is”</w:t>
      </w:r>
    </w:p>
    <w:p w14:paraId="309BD062" w14:textId="77777777" w:rsidR="0035359F" w:rsidRPr="0035359F" w:rsidRDefault="0035359F" w:rsidP="0035359F">
      <w:pPr>
        <w:rPr>
          <w:lang w:bidi="en-US"/>
        </w:rPr>
      </w:pPr>
    </w:p>
    <w:p w14:paraId="64961D8F" w14:textId="77777777" w:rsidR="0035359F" w:rsidRPr="0035359F" w:rsidRDefault="0035359F" w:rsidP="0035359F">
      <w:pPr>
        <w:rPr>
          <w:lang w:bidi="en-US"/>
        </w:rPr>
      </w:pPr>
      <w:r w:rsidRPr="0035359F">
        <w:rPr>
          <w:lang w:bidi="en-US"/>
        </w:rPr>
        <w:t xml:space="preserve">[2.8] </w:t>
      </w:r>
      <w:r w:rsidRPr="0035359F">
        <w:rPr>
          <w:lang w:bidi="en-US"/>
        </w:rPr>
        <w:tab/>
        <w:t>omitting “sources” from paragraph 4(6)(c) of Schedule 5</w:t>
      </w:r>
      <w:r w:rsidRPr="0035359F">
        <w:rPr>
          <w:lang w:bidi="en-US"/>
        </w:rPr>
        <w:br w:type="page"/>
      </w:r>
    </w:p>
    <w:p w14:paraId="6DF8EE9B" w14:textId="77777777" w:rsidR="0035359F" w:rsidRPr="0035359F" w:rsidRDefault="0035359F" w:rsidP="0035359F">
      <w:pPr>
        <w:rPr>
          <w:lang w:bidi="en-US"/>
        </w:rPr>
      </w:pPr>
      <w:r w:rsidRPr="0035359F">
        <w:rPr>
          <w:lang w:bidi="en-US"/>
        </w:rPr>
        <w:lastRenderedPageBreak/>
        <w:t xml:space="preserve">[2.9] </w:t>
      </w:r>
      <w:r w:rsidRPr="0035359F">
        <w:rPr>
          <w:lang w:bidi="en-US"/>
        </w:rPr>
        <w:tab/>
        <w:t xml:space="preserve">omitting “sources” from </w:t>
      </w:r>
      <w:proofErr w:type="spellStart"/>
      <w:r w:rsidRPr="0035359F">
        <w:rPr>
          <w:lang w:bidi="en-US"/>
        </w:rPr>
        <w:t>subitem</w:t>
      </w:r>
      <w:proofErr w:type="spellEnd"/>
      <w:r w:rsidRPr="0035359F">
        <w:rPr>
          <w:lang w:bidi="en-US"/>
        </w:rPr>
        <w:t xml:space="preserve"> 4(8) of Schedule 5 </w:t>
      </w:r>
    </w:p>
    <w:p w14:paraId="01E6B396" w14:textId="77777777" w:rsidR="0035359F" w:rsidRPr="0035359F" w:rsidRDefault="0035359F" w:rsidP="0035359F">
      <w:pPr>
        <w:rPr>
          <w:lang w:bidi="en-US"/>
        </w:rPr>
      </w:pPr>
    </w:p>
    <w:p w14:paraId="0A843DF7" w14:textId="77777777" w:rsidR="0035359F" w:rsidRPr="0035359F" w:rsidRDefault="0035359F" w:rsidP="0035359F">
      <w:pPr>
        <w:rPr>
          <w:lang w:bidi="en-US"/>
        </w:rPr>
      </w:pPr>
      <w:r w:rsidRPr="0035359F">
        <w:rPr>
          <w:lang w:bidi="en-US"/>
        </w:rPr>
        <w:t xml:space="preserve">[2.10] </w:t>
      </w:r>
      <w:r w:rsidRPr="0035359F">
        <w:rPr>
          <w:lang w:bidi="en-US"/>
        </w:rPr>
        <w:tab/>
        <w:t xml:space="preserve">omitting “total” wherever appearing in Tables 1 and 2 of Schedule 5 </w:t>
      </w:r>
    </w:p>
    <w:p w14:paraId="0E49D041" w14:textId="77777777" w:rsidR="0035359F" w:rsidRPr="0035359F" w:rsidRDefault="0035359F" w:rsidP="0035359F">
      <w:pPr>
        <w:rPr>
          <w:lang w:bidi="en-US"/>
        </w:rPr>
      </w:pPr>
    </w:p>
    <w:p w14:paraId="40C6F577" w14:textId="77777777" w:rsidR="0035359F" w:rsidRPr="0035359F" w:rsidRDefault="0035359F" w:rsidP="0035359F">
      <w:pPr>
        <w:rPr>
          <w:lang w:bidi="en-US"/>
        </w:rPr>
      </w:pPr>
      <w:r w:rsidRPr="0035359F">
        <w:rPr>
          <w:lang w:bidi="en-US"/>
        </w:rPr>
        <w:t xml:space="preserve">[2.11] </w:t>
      </w:r>
      <w:r w:rsidRPr="0035359F">
        <w:rPr>
          <w:lang w:bidi="en-US"/>
        </w:rPr>
        <w:tab/>
        <w:t xml:space="preserve">omitting “Average saturated fatty acids” wherever appearing in Tables 1 and 2 of Schedule 5 and substituting “Average quantity of saturated fatty acids” </w:t>
      </w:r>
    </w:p>
    <w:p w14:paraId="2BC3B91A" w14:textId="77777777" w:rsidR="0035359F" w:rsidRPr="0035359F" w:rsidRDefault="0035359F" w:rsidP="0035359F">
      <w:pPr>
        <w:rPr>
          <w:lang w:bidi="en-US"/>
        </w:rPr>
      </w:pPr>
    </w:p>
    <w:p w14:paraId="0EA0D4AB" w14:textId="77777777" w:rsidR="0035359F" w:rsidRPr="0035359F" w:rsidRDefault="0035359F" w:rsidP="0035359F">
      <w:pPr>
        <w:rPr>
          <w:lang w:bidi="en-US"/>
        </w:rPr>
      </w:pPr>
      <w:r w:rsidRPr="0035359F">
        <w:rPr>
          <w:lang w:bidi="en-US"/>
        </w:rPr>
        <w:t>[2.12]</w:t>
      </w:r>
      <w:r w:rsidRPr="0035359F">
        <w:rPr>
          <w:lang w:bidi="en-US"/>
        </w:rPr>
        <w:tab/>
        <w:t>omitting “Average sodium” wherever appearing in Tables 1 and 2 of Schedule 5 and substituting “Average quantity of sodium”</w:t>
      </w:r>
    </w:p>
    <w:p w14:paraId="4B0B5CC4" w14:textId="77777777" w:rsidR="0035359F" w:rsidRPr="0035359F" w:rsidRDefault="0035359F" w:rsidP="0035359F">
      <w:pPr>
        <w:rPr>
          <w:lang w:bidi="en-US"/>
        </w:rPr>
      </w:pPr>
    </w:p>
    <w:p w14:paraId="0DF2B155" w14:textId="77777777" w:rsidR="0035359F" w:rsidRPr="0035359F" w:rsidRDefault="0035359F" w:rsidP="0035359F">
      <w:pPr>
        <w:rPr>
          <w:lang w:bidi="en-US"/>
        </w:rPr>
      </w:pPr>
      <w:r w:rsidRPr="0035359F">
        <w:rPr>
          <w:lang w:bidi="en-US"/>
        </w:rPr>
        <w:t>[2.13]</w:t>
      </w:r>
      <w:r w:rsidRPr="0035359F">
        <w:rPr>
          <w:lang w:bidi="en-US"/>
        </w:rPr>
        <w:tab/>
        <w:t xml:space="preserve">omitting </w:t>
      </w:r>
      <w:proofErr w:type="spellStart"/>
      <w:r w:rsidRPr="0035359F">
        <w:rPr>
          <w:lang w:bidi="en-US"/>
        </w:rPr>
        <w:t>subitem</w:t>
      </w:r>
      <w:proofErr w:type="spellEnd"/>
      <w:r w:rsidRPr="0035359F">
        <w:rPr>
          <w:lang w:bidi="en-US"/>
        </w:rPr>
        <w:t xml:space="preserve"> 5(1) of Schedule 5 and substituting –</w:t>
      </w:r>
    </w:p>
    <w:p w14:paraId="3289D376" w14:textId="77777777" w:rsidR="0035359F" w:rsidRPr="0035359F" w:rsidRDefault="0035359F" w:rsidP="0035359F">
      <w:pPr>
        <w:rPr>
          <w:lang w:bidi="en-US"/>
        </w:rPr>
      </w:pPr>
    </w:p>
    <w:p w14:paraId="6C821794" w14:textId="77777777" w:rsidR="0035359F" w:rsidRPr="0035359F" w:rsidRDefault="0035359F" w:rsidP="0035359F">
      <w:pPr>
        <w:rPr>
          <w:rFonts w:eastAsiaTheme="minorHAnsi"/>
        </w:rPr>
      </w:pPr>
      <w:r w:rsidRPr="0035359F">
        <w:t>“(1)</w:t>
      </w:r>
      <w:r w:rsidRPr="0035359F">
        <w:tab/>
      </w:r>
      <w:r w:rsidRPr="0035359F">
        <w:rPr>
          <w:rFonts w:eastAsiaTheme="minorHAnsi"/>
        </w:rPr>
        <w:t>Use Table 4 to determine the ‘P points’ scored, depending on the average quantity of protein in 100 g or 100 mL of the food product (based on the units used in the nutrition information panel).  A maximum of five points can be awarded.”</w:t>
      </w:r>
    </w:p>
    <w:p w14:paraId="55CF6E11" w14:textId="77777777" w:rsidR="0035359F" w:rsidRPr="0035359F" w:rsidRDefault="0035359F" w:rsidP="0035359F">
      <w:pPr>
        <w:ind w:left="567" w:hanging="567"/>
        <w:rPr>
          <w:rFonts w:eastAsiaTheme="minorHAnsi"/>
        </w:rPr>
      </w:pPr>
    </w:p>
    <w:p w14:paraId="11BE7232" w14:textId="77777777" w:rsidR="0035359F" w:rsidRPr="0035359F" w:rsidRDefault="0035359F" w:rsidP="0035359F">
      <w:pPr>
        <w:rPr>
          <w:lang w:bidi="en-US"/>
        </w:rPr>
      </w:pPr>
      <w:r w:rsidRPr="0035359F">
        <w:rPr>
          <w:lang w:bidi="en-US"/>
        </w:rPr>
        <w:t>[2.14]</w:t>
      </w:r>
      <w:r w:rsidRPr="0035359F">
        <w:rPr>
          <w:lang w:bidi="en-US"/>
        </w:rPr>
        <w:tab/>
        <w:t xml:space="preserve">omitting </w:t>
      </w:r>
      <w:proofErr w:type="spellStart"/>
      <w:r w:rsidRPr="0035359F">
        <w:rPr>
          <w:lang w:bidi="en-US"/>
        </w:rPr>
        <w:t>subitem</w:t>
      </w:r>
      <w:proofErr w:type="spellEnd"/>
      <w:r w:rsidRPr="0035359F">
        <w:rPr>
          <w:lang w:bidi="en-US"/>
        </w:rPr>
        <w:t xml:space="preserve"> 6(1) of Schedule 5 and substituting –</w:t>
      </w:r>
    </w:p>
    <w:p w14:paraId="522FB0D8" w14:textId="77777777" w:rsidR="0035359F" w:rsidRPr="0035359F" w:rsidRDefault="0035359F" w:rsidP="0035359F">
      <w:pPr>
        <w:ind w:left="567" w:hanging="567"/>
        <w:rPr>
          <w:lang w:bidi="en-US"/>
        </w:rPr>
      </w:pPr>
    </w:p>
    <w:p w14:paraId="0AA02FA8" w14:textId="77777777" w:rsidR="0035359F" w:rsidRPr="0035359F" w:rsidRDefault="0035359F" w:rsidP="0035359F">
      <w:pPr>
        <w:rPr>
          <w:rFonts w:eastAsiaTheme="minorHAnsi"/>
        </w:rPr>
      </w:pPr>
      <w:r w:rsidRPr="0035359F">
        <w:t>“(1)</w:t>
      </w:r>
      <w:r w:rsidRPr="0035359F">
        <w:tab/>
      </w:r>
      <w:r w:rsidRPr="0035359F">
        <w:rPr>
          <w:rFonts w:eastAsiaTheme="minorHAnsi"/>
        </w:rPr>
        <w:t>Use Table 5 to determine the ‘F points’ scored, depending on the average quantity of dietary fibre in 100 g or 100 mL of the food product (based on the units used in the nutrition information panel).  A maximum of five points can be awarded.”</w:t>
      </w:r>
    </w:p>
    <w:p w14:paraId="3E50E3B3" w14:textId="77777777" w:rsidR="0035359F" w:rsidRPr="0035359F" w:rsidRDefault="0035359F" w:rsidP="0035359F">
      <w:pPr>
        <w:ind w:left="567" w:hanging="567"/>
      </w:pPr>
      <w:r w:rsidRPr="0035359F">
        <w:rPr>
          <w:rFonts w:eastAsiaTheme="minorHAnsi"/>
        </w:rPr>
        <w:t xml:space="preserve"> </w:t>
      </w:r>
    </w:p>
    <w:p w14:paraId="403C0F30" w14:textId="77777777" w:rsidR="0035359F" w:rsidRPr="0035359F" w:rsidRDefault="0035359F" w:rsidP="0035359F">
      <w:pPr>
        <w:ind w:left="567" w:hanging="567"/>
        <w:rPr>
          <w:iCs/>
          <w:lang w:bidi="en-US"/>
        </w:rPr>
      </w:pPr>
      <w:r w:rsidRPr="0035359F">
        <w:rPr>
          <w:b/>
          <w:bCs/>
          <w:lang w:bidi="en-US"/>
        </w:rPr>
        <w:t>[3]</w:t>
      </w:r>
      <w:r w:rsidRPr="0035359F">
        <w:rPr>
          <w:lang w:bidi="en-US"/>
        </w:rPr>
        <w:tab/>
      </w:r>
      <w:r w:rsidRPr="0035359F">
        <w:rPr>
          <w:b/>
          <w:bCs/>
          <w:iCs/>
          <w:lang w:bidi="en-US"/>
        </w:rPr>
        <w:t>Standard 1.2.8</w:t>
      </w:r>
      <w:r w:rsidRPr="0035359F">
        <w:rPr>
          <w:iCs/>
          <w:lang w:bidi="en-US"/>
        </w:rPr>
        <w:t xml:space="preserve"> is varied by</w:t>
      </w:r>
    </w:p>
    <w:p w14:paraId="5B1F7103" w14:textId="77777777" w:rsidR="0035359F" w:rsidRPr="0035359F" w:rsidRDefault="0035359F" w:rsidP="0035359F">
      <w:pPr>
        <w:ind w:left="567" w:hanging="567"/>
        <w:rPr>
          <w:iCs/>
          <w:lang w:bidi="en-US"/>
        </w:rPr>
      </w:pPr>
    </w:p>
    <w:p w14:paraId="603F725B" w14:textId="77777777" w:rsidR="0035359F" w:rsidRPr="0035359F" w:rsidRDefault="0035359F" w:rsidP="0035359F">
      <w:pPr>
        <w:rPr>
          <w:lang w:bidi="en-US"/>
        </w:rPr>
      </w:pPr>
      <w:r w:rsidRPr="0035359F">
        <w:rPr>
          <w:lang w:bidi="en-US"/>
        </w:rPr>
        <w:t>[3.1]</w:t>
      </w:r>
      <w:r w:rsidRPr="0035359F">
        <w:rPr>
          <w:lang w:bidi="en-US"/>
        </w:rPr>
        <w:tab/>
        <w:t>omitting paragraph 4(1)(d) and substituting –</w:t>
      </w:r>
    </w:p>
    <w:p w14:paraId="7D12E6F8" w14:textId="77777777" w:rsidR="0035359F" w:rsidRPr="0035359F" w:rsidRDefault="0035359F" w:rsidP="0035359F">
      <w:pPr>
        <w:rPr>
          <w:iCs/>
          <w:lang w:bidi="en-US"/>
        </w:rPr>
      </w:pPr>
    </w:p>
    <w:p w14:paraId="5933B719" w14:textId="77777777" w:rsidR="0035359F" w:rsidRPr="0035359F" w:rsidRDefault="0035359F" w:rsidP="0035359F">
      <w:pPr>
        <w:tabs>
          <w:tab w:val="clear" w:pos="851"/>
        </w:tabs>
        <w:ind w:left="1702" w:hanging="851"/>
        <w:rPr>
          <w:rFonts w:eastAsiaTheme="minorHAnsi"/>
        </w:rPr>
      </w:pPr>
      <w:r w:rsidRPr="0035359F">
        <w:rPr>
          <w:rFonts w:eastAsiaTheme="minorHAnsi"/>
        </w:rPr>
        <w:t>“(d)</w:t>
      </w:r>
      <w:r w:rsidRPr="0035359F">
        <w:rPr>
          <w:rFonts w:eastAsiaTheme="minorHAnsi"/>
        </w:rPr>
        <w:tab/>
        <w:t>an endorsement; or</w:t>
      </w:r>
    </w:p>
    <w:p w14:paraId="30040F6D" w14:textId="77777777" w:rsidR="0035359F" w:rsidRPr="0035359F" w:rsidRDefault="0035359F" w:rsidP="0035359F">
      <w:pPr>
        <w:tabs>
          <w:tab w:val="clear" w:pos="851"/>
        </w:tabs>
        <w:ind w:left="1702" w:hanging="851"/>
        <w:rPr>
          <w:rFonts w:eastAsiaTheme="minorHAnsi"/>
        </w:rPr>
      </w:pPr>
      <w:r w:rsidRPr="0035359F">
        <w:rPr>
          <w:rFonts w:eastAsiaTheme="minorHAnsi"/>
        </w:rPr>
        <w:t>(e)</w:t>
      </w:r>
      <w:r w:rsidRPr="0035359F">
        <w:rPr>
          <w:rFonts w:eastAsiaTheme="minorHAnsi"/>
        </w:rPr>
        <w:tab/>
        <w:t>a permitted Health Star Rating symbol.”</w:t>
      </w:r>
    </w:p>
    <w:p w14:paraId="26D09E2B" w14:textId="77777777" w:rsidR="0035359F" w:rsidRPr="0035359F" w:rsidRDefault="0035359F" w:rsidP="0035359F">
      <w:pPr>
        <w:rPr>
          <w:iCs/>
          <w:lang w:bidi="en-US"/>
        </w:rPr>
      </w:pPr>
      <w:r w:rsidRPr="0035359F">
        <w:rPr>
          <w:iCs/>
          <w:lang w:bidi="en-US"/>
        </w:rPr>
        <w:t xml:space="preserve"> </w:t>
      </w:r>
    </w:p>
    <w:p w14:paraId="2C509BBC" w14:textId="77777777" w:rsidR="0035359F" w:rsidRPr="0035359F" w:rsidRDefault="0035359F" w:rsidP="0035359F">
      <w:pPr>
        <w:rPr>
          <w:iCs/>
          <w:lang w:bidi="en-US"/>
        </w:rPr>
      </w:pPr>
      <w:r w:rsidRPr="0035359F">
        <w:rPr>
          <w:iCs/>
          <w:lang w:bidi="en-US"/>
        </w:rPr>
        <w:t>[3.2]</w:t>
      </w:r>
      <w:r w:rsidRPr="0035359F">
        <w:rPr>
          <w:iCs/>
          <w:lang w:bidi="en-US"/>
        </w:rPr>
        <w:tab/>
        <w:t xml:space="preserve">omitting “clause 8” from </w:t>
      </w:r>
      <w:proofErr w:type="spellStart"/>
      <w:r w:rsidRPr="0035359F">
        <w:rPr>
          <w:lang w:bidi="en-US"/>
        </w:rPr>
        <w:t>subclause</w:t>
      </w:r>
      <w:proofErr w:type="spellEnd"/>
      <w:r w:rsidRPr="0035359F">
        <w:rPr>
          <w:lang w:bidi="en-US"/>
        </w:rPr>
        <w:t xml:space="preserve"> 4(4) and substituting “clauses 8 and 8A” </w:t>
      </w:r>
    </w:p>
    <w:p w14:paraId="2B73330C" w14:textId="77777777" w:rsidR="0035359F" w:rsidRPr="0035359F" w:rsidRDefault="0035359F" w:rsidP="0035359F">
      <w:pPr>
        <w:rPr>
          <w:highlight w:val="yellow"/>
          <w:lang w:bidi="en-US"/>
        </w:rPr>
      </w:pPr>
    </w:p>
    <w:p w14:paraId="7D7A0C3A" w14:textId="77777777" w:rsidR="0035359F" w:rsidRPr="0035359F" w:rsidRDefault="0035359F" w:rsidP="0035359F">
      <w:r w:rsidRPr="0035359F">
        <w:t>[3.3]</w:t>
      </w:r>
      <w:r w:rsidRPr="0035359F">
        <w:tab/>
        <w:t>omitting “saturated fat” from paragraph 5(1)(e) and substituting “saturated fatty acids”</w:t>
      </w:r>
    </w:p>
    <w:p w14:paraId="4E34081A" w14:textId="77777777" w:rsidR="0035359F" w:rsidRPr="0035359F" w:rsidRDefault="0035359F" w:rsidP="0035359F"/>
    <w:p w14:paraId="3D27B107" w14:textId="77777777" w:rsidR="0035359F" w:rsidRPr="0035359F" w:rsidRDefault="0035359F" w:rsidP="0035359F">
      <w:r w:rsidRPr="0035359F">
        <w:t>[3.4]</w:t>
      </w:r>
      <w:r w:rsidRPr="0035359F">
        <w:tab/>
        <w:t xml:space="preserve">inserting after </w:t>
      </w:r>
      <w:proofErr w:type="spellStart"/>
      <w:r w:rsidRPr="0035359F">
        <w:t>subclause</w:t>
      </w:r>
      <w:proofErr w:type="spellEnd"/>
      <w:r w:rsidRPr="0035359F">
        <w:t xml:space="preserve"> 5(4) –</w:t>
      </w:r>
    </w:p>
    <w:p w14:paraId="36BF1C61" w14:textId="77777777" w:rsidR="0035359F" w:rsidRPr="0035359F" w:rsidRDefault="0035359F" w:rsidP="0035359F"/>
    <w:p w14:paraId="5CB08FFA" w14:textId="77777777" w:rsidR="0035359F" w:rsidRPr="0035359F" w:rsidRDefault="0035359F" w:rsidP="0035359F">
      <w:r w:rsidRPr="0035359F">
        <w:t>“(4A)</w:t>
      </w:r>
      <w:r w:rsidRPr="0035359F">
        <w:tab/>
        <w:t xml:space="preserve">The nutrition information panel must include a declaration of the average quantity of galactose in accordance with </w:t>
      </w:r>
      <w:proofErr w:type="spellStart"/>
      <w:r w:rsidRPr="0035359F">
        <w:t>subclause</w:t>
      </w:r>
      <w:proofErr w:type="spellEnd"/>
      <w:r w:rsidRPr="0035359F">
        <w:t xml:space="preserve"> (7), where a claim requiring nutrition information is made about or based on lactose.</w:t>
      </w:r>
    </w:p>
    <w:p w14:paraId="7C904262" w14:textId="77777777" w:rsidR="0035359F" w:rsidRPr="0035359F" w:rsidRDefault="0035359F" w:rsidP="0035359F"/>
    <w:p w14:paraId="454F9E44" w14:textId="77777777" w:rsidR="0035359F" w:rsidRPr="0035359F" w:rsidRDefault="0035359F" w:rsidP="0035359F">
      <w:r w:rsidRPr="0035359F">
        <w:t>(4B)</w:t>
      </w:r>
      <w:r w:rsidRPr="0035359F">
        <w:tab/>
        <w:t xml:space="preserve">The nutrition information panel must include a declaration of the average quantity of potassium in accordance with </w:t>
      </w:r>
      <w:proofErr w:type="spellStart"/>
      <w:r w:rsidRPr="0035359F">
        <w:t>subclause</w:t>
      </w:r>
      <w:proofErr w:type="spellEnd"/>
      <w:r w:rsidRPr="0035359F">
        <w:t xml:space="preserve"> (7), where a claim requiring nutrition information is made about or based on salt or sodium.</w:t>
      </w:r>
    </w:p>
    <w:p w14:paraId="1A776980" w14:textId="77777777" w:rsidR="0035359F" w:rsidRPr="0035359F" w:rsidRDefault="0035359F" w:rsidP="0035359F"/>
    <w:p w14:paraId="72172252" w14:textId="77777777" w:rsidR="0035359F" w:rsidRPr="0035359F" w:rsidRDefault="0035359F" w:rsidP="0035359F">
      <w:r w:rsidRPr="0035359F">
        <w:t>(4C)</w:t>
      </w:r>
      <w:r w:rsidRPr="0035359F">
        <w:tab/>
        <w:t xml:space="preserve">The nutrition information panel must include a declaration of the following in accordance with </w:t>
      </w:r>
      <w:proofErr w:type="spellStart"/>
      <w:r w:rsidRPr="0035359F">
        <w:t>subclause</w:t>
      </w:r>
      <w:proofErr w:type="spellEnd"/>
      <w:r w:rsidRPr="0035359F">
        <w:t xml:space="preserve"> (7), where a claim requiring nutrition information is made about or based on omega-3 fatty acids –</w:t>
      </w:r>
    </w:p>
    <w:p w14:paraId="7C8CA749" w14:textId="77777777" w:rsidR="0035359F" w:rsidRPr="0035359F" w:rsidRDefault="0035359F" w:rsidP="0035359F">
      <w:pPr>
        <w:tabs>
          <w:tab w:val="clear" w:pos="851"/>
        </w:tabs>
        <w:ind w:left="1701" w:hanging="850"/>
      </w:pPr>
    </w:p>
    <w:p w14:paraId="3AFA9355" w14:textId="77777777" w:rsidR="0035359F" w:rsidRPr="0035359F" w:rsidRDefault="0035359F" w:rsidP="0035359F">
      <w:pPr>
        <w:tabs>
          <w:tab w:val="clear" w:pos="851"/>
        </w:tabs>
        <w:ind w:left="1702" w:hanging="851"/>
      </w:pPr>
      <w:r w:rsidRPr="0035359F">
        <w:t>(a)</w:t>
      </w:r>
      <w:r w:rsidRPr="0035359F">
        <w:tab/>
        <w:t>the average quantity of each type of omega-3 fatty acids (</w:t>
      </w:r>
      <w:r w:rsidRPr="0035359F">
        <w:rPr>
          <w:rFonts w:eastAsiaTheme="minorHAnsi"/>
          <w:lang w:eastAsia="en-AU"/>
        </w:rPr>
        <w:t>that is, alpha</w:t>
      </w:r>
      <w:r w:rsidRPr="0035359F">
        <w:rPr>
          <w:rFonts w:eastAsiaTheme="minorHAnsi"/>
          <w:lang w:eastAsia="en-AU"/>
        </w:rPr>
        <w:noBreakHyphen/>
        <w:t xml:space="preserve">linolenic acid, docosahexaenoic acid, eicosapentaenoic acid or a combination of these); </w:t>
      </w:r>
      <w:r w:rsidRPr="0035359F">
        <w:t>and</w:t>
      </w:r>
    </w:p>
    <w:p w14:paraId="39F2E870" w14:textId="77777777" w:rsidR="0035359F" w:rsidRPr="0035359F" w:rsidRDefault="0035359F" w:rsidP="0035359F">
      <w:pPr>
        <w:tabs>
          <w:tab w:val="clear" w:pos="851"/>
        </w:tabs>
        <w:ind w:left="1702" w:hanging="851"/>
      </w:pPr>
      <w:r w:rsidRPr="0035359F">
        <w:t>(b)</w:t>
      </w:r>
      <w:r w:rsidRPr="0035359F">
        <w:tab/>
        <w:t>the average quantity of the total of omega-3 fatty acids.”</w:t>
      </w:r>
    </w:p>
    <w:p w14:paraId="36CBF23F" w14:textId="77777777" w:rsidR="0035359F" w:rsidRPr="0035359F" w:rsidRDefault="0035359F" w:rsidP="0035359F"/>
    <w:p w14:paraId="49192165" w14:textId="77777777" w:rsidR="0035359F" w:rsidRPr="0035359F" w:rsidRDefault="0035359F" w:rsidP="0035359F">
      <w:r w:rsidRPr="0035359F">
        <w:t>[3.5]</w:t>
      </w:r>
      <w:r w:rsidRPr="0035359F">
        <w:tab/>
        <w:t xml:space="preserve">omitting </w:t>
      </w:r>
      <w:r w:rsidRPr="0035359F">
        <w:rPr>
          <w:iCs/>
          <w:lang w:bidi="en-US"/>
        </w:rPr>
        <w:t>“</w:t>
      </w:r>
      <w:proofErr w:type="spellStart"/>
      <w:r w:rsidRPr="0035359F">
        <w:rPr>
          <w:iCs/>
          <w:lang w:bidi="en-US"/>
        </w:rPr>
        <w:t>subclause</w:t>
      </w:r>
      <w:proofErr w:type="spellEnd"/>
      <w:r w:rsidRPr="0035359F">
        <w:rPr>
          <w:iCs/>
          <w:lang w:bidi="en-US"/>
        </w:rPr>
        <w:t xml:space="preserve"> (4) and </w:t>
      </w:r>
      <w:proofErr w:type="spellStart"/>
      <w:r w:rsidRPr="0035359F">
        <w:rPr>
          <w:iCs/>
          <w:lang w:bidi="en-US"/>
        </w:rPr>
        <w:t>subclause</w:t>
      </w:r>
      <w:proofErr w:type="spellEnd"/>
      <w:r w:rsidRPr="0035359F">
        <w:rPr>
          <w:iCs/>
          <w:lang w:bidi="en-US"/>
        </w:rPr>
        <w:t xml:space="preserve"> (5)” from </w:t>
      </w:r>
      <w:proofErr w:type="spellStart"/>
      <w:r w:rsidRPr="0035359F">
        <w:rPr>
          <w:lang w:bidi="en-US"/>
        </w:rPr>
        <w:t>subclause</w:t>
      </w:r>
      <w:proofErr w:type="spellEnd"/>
      <w:r w:rsidRPr="0035359F">
        <w:rPr>
          <w:lang w:bidi="en-US"/>
        </w:rPr>
        <w:t xml:space="preserve"> 5(7) and substituting “</w:t>
      </w:r>
      <w:proofErr w:type="spellStart"/>
      <w:r w:rsidRPr="0035359F">
        <w:rPr>
          <w:lang w:bidi="en-US"/>
        </w:rPr>
        <w:t>subclauses</w:t>
      </w:r>
      <w:proofErr w:type="spellEnd"/>
      <w:r w:rsidRPr="0035359F">
        <w:rPr>
          <w:lang w:bidi="en-US"/>
        </w:rPr>
        <w:t xml:space="preserve"> (4), (4A), (4B), (4C) and (5)”</w:t>
      </w:r>
    </w:p>
    <w:p w14:paraId="6422F69B" w14:textId="77777777" w:rsidR="0035359F" w:rsidRPr="0035359F" w:rsidRDefault="0035359F" w:rsidP="0035359F">
      <w:r w:rsidRPr="0035359F">
        <w:t xml:space="preserve"> </w:t>
      </w:r>
    </w:p>
    <w:p w14:paraId="2C5B8D20" w14:textId="77777777" w:rsidR="0035359F" w:rsidRPr="0035359F" w:rsidRDefault="0035359F" w:rsidP="0035359F">
      <w:r w:rsidRPr="0035359F">
        <w:t>[3.6]</w:t>
      </w:r>
      <w:r w:rsidRPr="0035359F">
        <w:tab/>
        <w:t xml:space="preserve">omitting the Table to </w:t>
      </w:r>
      <w:proofErr w:type="spellStart"/>
      <w:r w:rsidRPr="0035359F">
        <w:t>subclause</w:t>
      </w:r>
      <w:proofErr w:type="spellEnd"/>
      <w:r w:rsidRPr="0035359F">
        <w:t xml:space="preserve"> 8(3) and substituting –</w:t>
      </w:r>
    </w:p>
    <w:p w14:paraId="4F41BEEB" w14:textId="77777777" w:rsidR="0035359F" w:rsidRPr="0035359F" w:rsidRDefault="0035359F" w:rsidP="0035359F"/>
    <w:p w14:paraId="2846235A" w14:textId="77777777" w:rsidR="0035359F" w:rsidRPr="0035359F" w:rsidRDefault="0035359F" w:rsidP="0035359F">
      <w:pPr>
        <w:tabs>
          <w:tab w:val="clear" w:pos="851"/>
        </w:tabs>
        <w:jc w:val="center"/>
      </w:pPr>
      <w:r w:rsidRPr="0035359F">
        <w:br w:type="page"/>
      </w:r>
    </w:p>
    <w:p w14:paraId="25C6EF57" w14:textId="77777777" w:rsidR="0035359F" w:rsidRPr="0035359F" w:rsidRDefault="0035359F" w:rsidP="0035359F">
      <w:pPr>
        <w:tabs>
          <w:tab w:val="clear" w:pos="851"/>
        </w:tabs>
        <w:jc w:val="center"/>
        <w:rPr>
          <w:b/>
        </w:rPr>
      </w:pPr>
      <w:r w:rsidRPr="0035359F">
        <w:lastRenderedPageBreak/>
        <w:t>“</w:t>
      </w:r>
      <w:r w:rsidRPr="0035359F">
        <w:rPr>
          <w:b/>
        </w:rPr>
        <w:t xml:space="preserve">Table to </w:t>
      </w:r>
      <w:proofErr w:type="spellStart"/>
      <w:r w:rsidRPr="0035359F">
        <w:rPr>
          <w:b/>
        </w:rPr>
        <w:t>subclause</w:t>
      </w:r>
      <w:proofErr w:type="spellEnd"/>
      <w:r w:rsidRPr="0035359F">
        <w:rPr>
          <w:b/>
        </w:rPr>
        <w:t xml:space="preserve"> 8(3)</w:t>
      </w:r>
    </w:p>
    <w:p w14:paraId="5BD8A68F" w14:textId="77777777" w:rsidR="0035359F" w:rsidRPr="0035359F" w:rsidRDefault="0035359F" w:rsidP="0035359F"/>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35359F" w:rsidRPr="0035359F" w14:paraId="6CB570D6" w14:textId="77777777" w:rsidTr="009D4E04">
        <w:trPr>
          <w:cantSplit/>
          <w:tblHeader/>
        </w:trPr>
        <w:tc>
          <w:tcPr>
            <w:tcW w:w="4618" w:type="dxa"/>
          </w:tcPr>
          <w:p w14:paraId="217AA081" w14:textId="77777777" w:rsidR="0035359F" w:rsidRPr="0035359F" w:rsidRDefault="0035359F" w:rsidP="0035359F">
            <w:pPr>
              <w:tabs>
                <w:tab w:val="clear" w:pos="851"/>
              </w:tabs>
              <w:spacing w:after="120"/>
              <w:jc w:val="center"/>
              <w:rPr>
                <w:b/>
                <w:bCs/>
                <w:sz w:val="18"/>
              </w:rPr>
            </w:pPr>
            <w:r w:rsidRPr="0035359F">
              <w:rPr>
                <w:b/>
                <w:bCs/>
                <w:sz w:val="18"/>
              </w:rPr>
              <w:t>Column 1</w:t>
            </w:r>
          </w:p>
        </w:tc>
        <w:tc>
          <w:tcPr>
            <w:tcW w:w="4618" w:type="dxa"/>
          </w:tcPr>
          <w:p w14:paraId="786C458F" w14:textId="77777777" w:rsidR="0035359F" w:rsidRPr="0035359F" w:rsidRDefault="0035359F" w:rsidP="0035359F">
            <w:pPr>
              <w:tabs>
                <w:tab w:val="clear" w:pos="851"/>
              </w:tabs>
              <w:spacing w:after="120"/>
              <w:jc w:val="center"/>
              <w:rPr>
                <w:b/>
                <w:bCs/>
                <w:sz w:val="18"/>
              </w:rPr>
            </w:pPr>
            <w:r w:rsidRPr="0035359F">
              <w:rPr>
                <w:b/>
                <w:bCs/>
                <w:sz w:val="18"/>
              </w:rPr>
              <w:t>Column 2</w:t>
            </w:r>
          </w:p>
        </w:tc>
      </w:tr>
      <w:tr w:rsidR="0035359F" w:rsidRPr="0035359F" w14:paraId="6C473880" w14:textId="77777777" w:rsidTr="009D4E04">
        <w:trPr>
          <w:tblHeader/>
        </w:trPr>
        <w:tc>
          <w:tcPr>
            <w:tcW w:w="4618" w:type="dxa"/>
          </w:tcPr>
          <w:p w14:paraId="07B6C58B" w14:textId="77777777" w:rsidR="0035359F" w:rsidRPr="0035359F" w:rsidRDefault="0035359F" w:rsidP="0035359F">
            <w:pPr>
              <w:tabs>
                <w:tab w:val="clear" w:pos="851"/>
              </w:tabs>
              <w:spacing w:after="120"/>
              <w:jc w:val="center"/>
              <w:rPr>
                <w:b/>
                <w:bCs/>
                <w:sz w:val="18"/>
              </w:rPr>
            </w:pPr>
            <w:r w:rsidRPr="0035359F">
              <w:rPr>
                <w:b/>
                <w:bCs/>
                <w:sz w:val="18"/>
              </w:rPr>
              <w:t>Claim is about</w:t>
            </w:r>
          </w:p>
        </w:tc>
        <w:tc>
          <w:tcPr>
            <w:tcW w:w="4618" w:type="dxa"/>
          </w:tcPr>
          <w:p w14:paraId="09C52C75" w14:textId="77777777" w:rsidR="0035359F" w:rsidRPr="0035359F" w:rsidRDefault="0035359F" w:rsidP="0035359F">
            <w:pPr>
              <w:tabs>
                <w:tab w:val="clear" w:pos="851"/>
              </w:tabs>
              <w:spacing w:after="120"/>
              <w:jc w:val="center"/>
              <w:rPr>
                <w:b/>
                <w:bCs/>
                <w:sz w:val="18"/>
              </w:rPr>
            </w:pPr>
            <w:r w:rsidRPr="0035359F">
              <w:rPr>
                <w:b/>
                <w:bCs/>
                <w:sz w:val="18"/>
              </w:rPr>
              <w:t>Label must include</w:t>
            </w:r>
          </w:p>
        </w:tc>
      </w:tr>
      <w:tr w:rsidR="0035359F" w:rsidRPr="0035359F" w14:paraId="16477CCC" w14:textId="77777777" w:rsidTr="009D4E04">
        <w:trPr>
          <w:cantSplit/>
        </w:trPr>
        <w:tc>
          <w:tcPr>
            <w:tcW w:w="4618" w:type="dxa"/>
          </w:tcPr>
          <w:p w14:paraId="034F88F4" w14:textId="77777777" w:rsidR="0035359F" w:rsidRPr="0035359F" w:rsidRDefault="0035359F" w:rsidP="0035359F">
            <w:pPr>
              <w:tabs>
                <w:tab w:val="clear" w:pos="851"/>
              </w:tabs>
              <w:ind w:left="142" w:hanging="142"/>
              <w:rPr>
                <w:bCs/>
                <w:sz w:val="18"/>
              </w:rPr>
            </w:pPr>
            <w:r w:rsidRPr="0035359F">
              <w:rPr>
                <w:bCs/>
                <w:sz w:val="18"/>
              </w:rPr>
              <w:t>Any nutrient or biologically active substance (other than a vitamin or mineral with a RDI)</w:t>
            </w:r>
          </w:p>
        </w:tc>
        <w:tc>
          <w:tcPr>
            <w:tcW w:w="4618" w:type="dxa"/>
          </w:tcPr>
          <w:p w14:paraId="1D45B543" w14:textId="77777777" w:rsidR="0035359F" w:rsidRPr="0035359F" w:rsidRDefault="0035359F" w:rsidP="0035359F">
            <w:pPr>
              <w:tabs>
                <w:tab w:val="clear" w:pos="851"/>
              </w:tabs>
              <w:ind w:left="142" w:hanging="142"/>
              <w:rPr>
                <w:bCs/>
                <w:sz w:val="18"/>
              </w:rPr>
            </w:pPr>
            <w:r w:rsidRPr="0035359F">
              <w:rPr>
                <w:bCs/>
                <w:sz w:val="18"/>
              </w:rPr>
              <w:t>Average quantity of the nutrient or biologically active substance present per serving of the food</w:t>
            </w:r>
          </w:p>
        </w:tc>
      </w:tr>
      <w:tr w:rsidR="0035359F" w:rsidRPr="0035359F" w14:paraId="30E6659D" w14:textId="77777777" w:rsidTr="009D4E04">
        <w:trPr>
          <w:cantSplit/>
        </w:trPr>
        <w:tc>
          <w:tcPr>
            <w:tcW w:w="4618" w:type="dxa"/>
          </w:tcPr>
          <w:p w14:paraId="4F8B6417" w14:textId="77777777" w:rsidR="0035359F" w:rsidRPr="0035359F" w:rsidRDefault="0035359F" w:rsidP="0035359F">
            <w:pPr>
              <w:tabs>
                <w:tab w:val="clear" w:pos="851"/>
              </w:tabs>
              <w:ind w:left="142" w:hanging="142"/>
              <w:rPr>
                <w:bCs/>
                <w:sz w:val="18"/>
              </w:rPr>
            </w:pPr>
            <w:r w:rsidRPr="0035359F">
              <w:rPr>
                <w:bCs/>
                <w:sz w:val="18"/>
              </w:rPr>
              <w:t>Any vitamin or mineral with a RDI</w:t>
            </w:r>
          </w:p>
        </w:tc>
        <w:tc>
          <w:tcPr>
            <w:tcW w:w="4618" w:type="dxa"/>
          </w:tcPr>
          <w:p w14:paraId="318BB939" w14:textId="77777777" w:rsidR="0035359F" w:rsidRPr="0035359F" w:rsidRDefault="0035359F" w:rsidP="0035359F">
            <w:pPr>
              <w:tabs>
                <w:tab w:val="clear" w:pos="851"/>
              </w:tabs>
              <w:ind w:left="284" w:hanging="284"/>
              <w:rPr>
                <w:bCs/>
                <w:sz w:val="18"/>
              </w:rPr>
            </w:pPr>
            <w:r w:rsidRPr="0035359F">
              <w:rPr>
                <w:bCs/>
                <w:sz w:val="18"/>
              </w:rPr>
              <w:t xml:space="preserve">(a) </w:t>
            </w:r>
            <w:r w:rsidRPr="0035359F">
              <w:rPr>
                <w:bCs/>
                <w:sz w:val="18"/>
              </w:rPr>
              <w:tab/>
              <w:t>Average quantity of the vitamin or mineral present per serving of the food; and</w:t>
            </w:r>
          </w:p>
          <w:p w14:paraId="584D84A4" w14:textId="77777777" w:rsidR="0035359F" w:rsidRPr="0035359F" w:rsidRDefault="0035359F" w:rsidP="0035359F">
            <w:pPr>
              <w:tabs>
                <w:tab w:val="clear" w:pos="851"/>
              </w:tabs>
              <w:ind w:left="284" w:hanging="284"/>
              <w:rPr>
                <w:bCs/>
                <w:sz w:val="18"/>
              </w:rPr>
            </w:pPr>
            <w:r w:rsidRPr="0035359F">
              <w:rPr>
                <w:bCs/>
                <w:sz w:val="18"/>
              </w:rPr>
              <w:t xml:space="preserve">(b) </w:t>
            </w:r>
            <w:r w:rsidRPr="0035359F">
              <w:rPr>
                <w:bCs/>
                <w:sz w:val="18"/>
              </w:rPr>
              <w:tab/>
              <w:t>Percentage of the RDI for the vitamin or mineral contributed by one serving of the food, and calculated in accordance with clause 7A</w:t>
            </w:r>
          </w:p>
        </w:tc>
      </w:tr>
      <w:tr w:rsidR="0035359F" w:rsidRPr="0035359F" w14:paraId="4EAB460B" w14:textId="77777777" w:rsidTr="009D4E04">
        <w:trPr>
          <w:cantSplit/>
        </w:trPr>
        <w:tc>
          <w:tcPr>
            <w:tcW w:w="4618" w:type="dxa"/>
          </w:tcPr>
          <w:p w14:paraId="11D5104E" w14:textId="77777777" w:rsidR="0035359F" w:rsidRPr="0035359F" w:rsidRDefault="0035359F" w:rsidP="0035359F">
            <w:pPr>
              <w:tabs>
                <w:tab w:val="clear" w:pos="851"/>
              </w:tabs>
              <w:ind w:left="142" w:hanging="142"/>
              <w:rPr>
                <w:bCs/>
                <w:sz w:val="18"/>
              </w:rPr>
            </w:pPr>
            <w:r w:rsidRPr="0035359F">
              <w:rPr>
                <w:bCs/>
                <w:sz w:val="18"/>
              </w:rPr>
              <w:t>Polyunsaturated fatty acids or monounsaturated fatty acids in a food standardised in Standard 2.4.1 or 2.4.2</w:t>
            </w:r>
          </w:p>
        </w:tc>
        <w:tc>
          <w:tcPr>
            <w:tcW w:w="4618" w:type="dxa"/>
          </w:tcPr>
          <w:p w14:paraId="35DF32C3" w14:textId="77777777" w:rsidR="0035359F" w:rsidRPr="0035359F" w:rsidRDefault="0035359F" w:rsidP="0035359F">
            <w:pPr>
              <w:tabs>
                <w:tab w:val="clear" w:pos="851"/>
              </w:tabs>
              <w:ind w:left="142" w:hanging="142"/>
              <w:rPr>
                <w:bCs/>
                <w:sz w:val="18"/>
              </w:rPr>
            </w:pPr>
            <w:r w:rsidRPr="0035359F">
              <w:rPr>
                <w:bCs/>
                <w:sz w:val="18"/>
              </w:rPr>
              <w:t>Minimum, maximum or average quantity of saturated fatty acids, trans fatty acids, polyunsaturated fatty acids and monounsaturated fatty acids content per serving of the food</w:t>
            </w:r>
          </w:p>
        </w:tc>
      </w:tr>
      <w:tr w:rsidR="0035359F" w:rsidRPr="0035359F" w14:paraId="6E9A8458" w14:textId="77777777" w:rsidTr="009D4E04">
        <w:trPr>
          <w:cantSplit/>
        </w:trPr>
        <w:tc>
          <w:tcPr>
            <w:tcW w:w="4618" w:type="dxa"/>
          </w:tcPr>
          <w:p w14:paraId="1BAB00B8" w14:textId="77777777" w:rsidR="0035359F" w:rsidRPr="0035359F" w:rsidRDefault="0035359F" w:rsidP="0035359F">
            <w:pPr>
              <w:tabs>
                <w:tab w:val="clear" w:pos="851"/>
              </w:tabs>
              <w:ind w:left="142" w:hanging="142"/>
              <w:rPr>
                <w:bCs/>
                <w:sz w:val="18"/>
                <w:szCs w:val="18"/>
              </w:rPr>
            </w:pPr>
            <w:r w:rsidRPr="0035359F">
              <w:rPr>
                <w:bCs/>
                <w:sz w:val="18"/>
                <w:szCs w:val="18"/>
              </w:rPr>
              <w:t>Polyunsaturated fatty acids or monounsaturated fatty acids in a food that is not a food standardised in Standard 2.4.1 or 2.4.2</w:t>
            </w:r>
          </w:p>
        </w:tc>
        <w:tc>
          <w:tcPr>
            <w:tcW w:w="4618" w:type="dxa"/>
          </w:tcPr>
          <w:p w14:paraId="0A475BD4" w14:textId="77777777" w:rsidR="0035359F" w:rsidRPr="0035359F" w:rsidRDefault="0035359F" w:rsidP="0035359F">
            <w:pPr>
              <w:tabs>
                <w:tab w:val="clear" w:pos="851"/>
              </w:tabs>
              <w:ind w:left="142" w:hanging="142"/>
              <w:rPr>
                <w:bCs/>
                <w:sz w:val="18"/>
              </w:rPr>
            </w:pPr>
            <w:r w:rsidRPr="0035359F">
              <w:rPr>
                <w:bCs/>
                <w:sz w:val="18"/>
              </w:rPr>
              <w:t>Average quantity of saturated fatty acids, trans fatty acids, polyunsaturated fatty acids and monounsaturated fatty acids content per serving of the food</w:t>
            </w:r>
          </w:p>
        </w:tc>
      </w:tr>
      <w:tr w:rsidR="0035359F" w:rsidRPr="0035359F" w14:paraId="4361288C" w14:textId="77777777" w:rsidTr="009D4E04">
        <w:tc>
          <w:tcPr>
            <w:tcW w:w="4618" w:type="dxa"/>
          </w:tcPr>
          <w:p w14:paraId="38D403E1" w14:textId="77777777" w:rsidR="0035359F" w:rsidRPr="0035359F" w:rsidRDefault="0035359F" w:rsidP="0035359F">
            <w:pPr>
              <w:tabs>
                <w:tab w:val="clear" w:pos="851"/>
              </w:tabs>
              <w:ind w:left="142" w:hanging="142"/>
              <w:rPr>
                <w:bCs/>
                <w:sz w:val="18"/>
              </w:rPr>
            </w:pPr>
            <w:r w:rsidRPr="0035359F">
              <w:rPr>
                <w:bCs/>
                <w:iCs/>
                <w:sz w:val="18"/>
                <w:szCs w:val="18"/>
                <w:lang w:val="en-NZ"/>
              </w:rPr>
              <w:t>Cholesterol, saturated fatty acids, trans fatty acids, omega-6 or omega-9 fatty acids</w:t>
            </w:r>
          </w:p>
        </w:tc>
        <w:tc>
          <w:tcPr>
            <w:tcW w:w="4618" w:type="dxa"/>
          </w:tcPr>
          <w:p w14:paraId="38A59565" w14:textId="77777777" w:rsidR="0035359F" w:rsidRPr="0035359F" w:rsidRDefault="0035359F" w:rsidP="0035359F">
            <w:pPr>
              <w:tabs>
                <w:tab w:val="clear" w:pos="851"/>
              </w:tabs>
              <w:ind w:left="142" w:hanging="142"/>
              <w:rPr>
                <w:bCs/>
                <w:sz w:val="18"/>
              </w:rPr>
            </w:pPr>
            <w:r w:rsidRPr="0035359F">
              <w:rPr>
                <w:bCs/>
                <w:sz w:val="18"/>
              </w:rPr>
              <w:t>Average quantity of saturated fatty acids, trans fatty acids, polyunsaturated fatty acids and monounsaturated fatty acids content per serving of the food</w:t>
            </w:r>
          </w:p>
        </w:tc>
      </w:tr>
      <w:tr w:rsidR="0035359F" w:rsidRPr="0035359F" w14:paraId="220F1D11" w14:textId="77777777" w:rsidTr="009D4E04">
        <w:tc>
          <w:tcPr>
            <w:tcW w:w="4618" w:type="dxa"/>
          </w:tcPr>
          <w:p w14:paraId="015D4912" w14:textId="77777777" w:rsidR="0035359F" w:rsidRPr="0035359F" w:rsidRDefault="0035359F" w:rsidP="0035359F">
            <w:pPr>
              <w:tabs>
                <w:tab w:val="clear" w:pos="851"/>
              </w:tabs>
              <w:ind w:left="142" w:hanging="142"/>
              <w:rPr>
                <w:bCs/>
                <w:sz w:val="18"/>
              </w:rPr>
            </w:pPr>
            <w:r w:rsidRPr="0035359F">
              <w:rPr>
                <w:bCs/>
                <w:sz w:val="18"/>
              </w:rPr>
              <w:t>Dietary fibre, sugars or any other carbohydrate</w:t>
            </w:r>
          </w:p>
        </w:tc>
        <w:tc>
          <w:tcPr>
            <w:tcW w:w="4618" w:type="dxa"/>
          </w:tcPr>
          <w:p w14:paraId="72C8F294" w14:textId="77777777" w:rsidR="0035359F" w:rsidRPr="0035359F" w:rsidRDefault="0035359F" w:rsidP="0035359F">
            <w:pPr>
              <w:tabs>
                <w:tab w:val="clear" w:pos="851"/>
              </w:tabs>
              <w:ind w:left="142" w:hanging="142"/>
              <w:rPr>
                <w:bCs/>
                <w:sz w:val="18"/>
              </w:rPr>
            </w:pPr>
            <w:r w:rsidRPr="0035359F">
              <w:rPr>
                <w:bCs/>
                <w:sz w:val="18"/>
              </w:rPr>
              <w:t>Average energy content per serving of the food and average quantity of carbohydrate, sugars and dietary fibre (calculated in accordance with clause 18) present per serving of the food</w:t>
            </w:r>
          </w:p>
        </w:tc>
      </w:tr>
      <w:tr w:rsidR="0035359F" w:rsidRPr="0035359F" w14:paraId="74F50A80" w14:textId="77777777" w:rsidTr="009D4E04">
        <w:tc>
          <w:tcPr>
            <w:tcW w:w="4618" w:type="dxa"/>
          </w:tcPr>
          <w:p w14:paraId="38DAD970" w14:textId="77777777" w:rsidR="0035359F" w:rsidRPr="0035359F" w:rsidRDefault="0035359F" w:rsidP="0035359F">
            <w:pPr>
              <w:tabs>
                <w:tab w:val="clear" w:pos="851"/>
              </w:tabs>
              <w:ind w:left="142" w:hanging="142"/>
              <w:rPr>
                <w:bCs/>
                <w:sz w:val="18"/>
              </w:rPr>
            </w:pPr>
            <w:r w:rsidRPr="0035359F">
              <w:rPr>
                <w:bCs/>
                <w:sz w:val="18"/>
              </w:rPr>
              <w:t>Energy</w:t>
            </w:r>
          </w:p>
        </w:tc>
        <w:tc>
          <w:tcPr>
            <w:tcW w:w="4618" w:type="dxa"/>
          </w:tcPr>
          <w:p w14:paraId="3ED4635F" w14:textId="77777777" w:rsidR="0035359F" w:rsidRPr="0035359F" w:rsidRDefault="0035359F" w:rsidP="0035359F">
            <w:pPr>
              <w:tabs>
                <w:tab w:val="clear" w:pos="851"/>
              </w:tabs>
              <w:ind w:left="142" w:hanging="142"/>
              <w:rPr>
                <w:bCs/>
                <w:sz w:val="18"/>
              </w:rPr>
            </w:pPr>
            <w:r w:rsidRPr="0035359F">
              <w:rPr>
                <w:bCs/>
                <w:sz w:val="18"/>
              </w:rPr>
              <w:t>Average energy content per serving of the food</w:t>
            </w:r>
          </w:p>
        </w:tc>
      </w:tr>
      <w:tr w:rsidR="0035359F" w:rsidRPr="0035359F" w14:paraId="4D3EE6BA" w14:textId="77777777" w:rsidTr="009D4E04">
        <w:tc>
          <w:tcPr>
            <w:tcW w:w="4618" w:type="dxa"/>
            <w:tcBorders>
              <w:bottom w:val="single" w:sz="4" w:space="0" w:color="auto"/>
            </w:tcBorders>
          </w:tcPr>
          <w:p w14:paraId="77A0CC47" w14:textId="77777777" w:rsidR="0035359F" w:rsidRPr="0035359F" w:rsidRDefault="0035359F" w:rsidP="0035359F">
            <w:pPr>
              <w:tabs>
                <w:tab w:val="clear" w:pos="851"/>
              </w:tabs>
              <w:ind w:left="142" w:hanging="142"/>
              <w:rPr>
                <w:bCs/>
                <w:sz w:val="18"/>
              </w:rPr>
            </w:pPr>
            <w:r w:rsidRPr="0035359F">
              <w:rPr>
                <w:bCs/>
                <w:sz w:val="18"/>
              </w:rPr>
              <w:t>Fat-free</w:t>
            </w:r>
          </w:p>
        </w:tc>
        <w:tc>
          <w:tcPr>
            <w:tcW w:w="4618" w:type="dxa"/>
            <w:tcBorders>
              <w:bottom w:val="single" w:sz="4" w:space="0" w:color="auto"/>
            </w:tcBorders>
          </w:tcPr>
          <w:p w14:paraId="6EC9C2B1" w14:textId="77777777" w:rsidR="0035359F" w:rsidRPr="0035359F" w:rsidRDefault="0035359F" w:rsidP="0035359F">
            <w:pPr>
              <w:tabs>
                <w:tab w:val="clear" w:pos="851"/>
              </w:tabs>
              <w:ind w:left="142" w:hanging="142"/>
              <w:rPr>
                <w:bCs/>
                <w:sz w:val="18"/>
              </w:rPr>
            </w:pPr>
            <w:r w:rsidRPr="0035359F">
              <w:rPr>
                <w:bCs/>
                <w:sz w:val="18"/>
              </w:rPr>
              <w:t>Average energy content per serving of the food</w:t>
            </w:r>
          </w:p>
        </w:tc>
      </w:tr>
      <w:tr w:rsidR="0035359F" w:rsidRPr="0035359F" w14:paraId="7CAAE432" w14:textId="77777777" w:rsidTr="009D4E04">
        <w:trPr>
          <w:cantSplit/>
        </w:trPr>
        <w:tc>
          <w:tcPr>
            <w:tcW w:w="4618" w:type="dxa"/>
            <w:tcBorders>
              <w:top w:val="single" w:sz="4" w:space="0" w:color="auto"/>
              <w:left w:val="single" w:sz="4" w:space="0" w:color="auto"/>
              <w:bottom w:val="single" w:sz="4" w:space="0" w:color="auto"/>
              <w:right w:val="single" w:sz="4" w:space="0" w:color="auto"/>
            </w:tcBorders>
          </w:tcPr>
          <w:p w14:paraId="0126531A" w14:textId="77777777" w:rsidR="0035359F" w:rsidRPr="0035359F" w:rsidRDefault="0035359F" w:rsidP="0035359F">
            <w:pPr>
              <w:tabs>
                <w:tab w:val="clear" w:pos="851"/>
              </w:tabs>
              <w:ind w:left="142" w:hanging="142"/>
              <w:rPr>
                <w:bCs/>
                <w:sz w:val="18"/>
              </w:rPr>
            </w:pPr>
            <w:r w:rsidRPr="0035359F">
              <w:rPr>
                <w:bCs/>
                <w:sz w:val="18"/>
              </w:rPr>
              <w:t>Omega-3 fatty acids</w:t>
            </w:r>
          </w:p>
        </w:tc>
        <w:tc>
          <w:tcPr>
            <w:tcW w:w="4618" w:type="dxa"/>
            <w:tcBorders>
              <w:top w:val="single" w:sz="4" w:space="0" w:color="auto"/>
              <w:left w:val="single" w:sz="4" w:space="0" w:color="auto"/>
              <w:bottom w:val="single" w:sz="4" w:space="0" w:color="auto"/>
              <w:right w:val="single" w:sz="4" w:space="0" w:color="auto"/>
            </w:tcBorders>
          </w:tcPr>
          <w:p w14:paraId="364EC4A4" w14:textId="77777777" w:rsidR="0035359F" w:rsidRPr="0035359F" w:rsidRDefault="0035359F" w:rsidP="0035359F">
            <w:pPr>
              <w:tabs>
                <w:tab w:val="clear" w:pos="851"/>
              </w:tabs>
              <w:ind w:left="284" w:hanging="284"/>
              <w:rPr>
                <w:bCs/>
                <w:sz w:val="18"/>
                <w:szCs w:val="18"/>
              </w:rPr>
            </w:pPr>
            <w:r w:rsidRPr="0035359F">
              <w:rPr>
                <w:bCs/>
                <w:sz w:val="18"/>
              </w:rPr>
              <w:t xml:space="preserve">(a) </w:t>
            </w:r>
            <w:r w:rsidRPr="0035359F">
              <w:rPr>
                <w:bCs/>
                <w:sz w:val="18"/>
              </w:rPr>
              <w:tab/>
            </w:r>
            <w:r w:rsidRPr="0035359F">
              <w:rPr>
                <w:sz w:val="18"/>
                <w:szCs w:val="18"/>
              </w:rPr>
              <w:t>Average quantity of saturated fatty acids, trans fatty acids, polyunsaturated fatty acids and monounsaturated fatty acids content per serving of the food</w:t>
            </w:r>
            <w:r w:rsidRPr="0035359F">
              <w:rPr>
                <w:bCs/>
                <w:sz w:val="18"/>
                <w:szCs w:val="18"/>
              </w:rPr>
              <w:t>; and</w:t>
            </w:r>
          </w:p>
          <w:p w14:paraId="06DAAA43" w14:textId="77777777" w:rsidR="0035359F" w:rsidRPr="0035359F" w:rsidRDefault="0035359F" w:rsidP="0035359F">
            <w:pPr>
              <w:tabs>
                <w:tab w:val="clear" w:pos="851"/>
              </w:tabs>
              <w:ind w:left="284" w:hanging="284"/>
              <w:rPr>
                <w:bCs/>
                <w:sz w:val="18"/>
                <w:szCs w:val="18"/>
              </w:rPr>
            </w:pPr>
            <w:r w:rsidRPr="0035359F">
              <w:rPr>
                <w:bCs/>
                <w:sz w:val="18"/>
              </w:rPr>
              <w:t>(b)</w:t>
            </w:r>
            <w:r w:rsidRPr="0035359F">
              <w:rPr>
                <w:bCs/>
                <w:sz w:val="18"/>
              </w:rPr>
              <w:tab/>
            </w:r>
            <w:r w:rsidRPr="0035359F">
              <w:rPr>
                <w:sz w:val="18"/>
                <w:szCs w:val="18"/>
              </w:rPr>
              <w:t xml:space="preserve">the average quantity of each type of omega-3 fatty acids </w:t>
            </w:r>
            <w:r w:rsidRPr="0035359F">
              <w:rPr>
                <w:bCs/>
                <w:sz w:val="18"/>
                <w:szCs w:val="18"/>
              </w:rPr>
              <w:t>per serving of the food</w:t>
            </w:r>
            <w:r w:rsidRPr="0035359F">
              <w:rPr>
                <w:sz w:val="18"/>
                <w:szCs w:val="18"/>
              </w:rPr>
              <w:t xml:space="preserve"> (</w:t>
            </w:r>
            <w:r w:rsidRPr="0035359F">
              <w:rPr>
                <w:rFonts w:eastAsiaTheme="minorHAnsi" w:cstheme="minorBidi"/>
                <w:bCs/>
                <w:sz w:val="18"/>
                <w:szCs w:val="18"/>
                <w:lang w:eastAsia="en-AU"/>
              </w:rPr>
              <w:t>that is, alpha</w:t>
            </w:r>
            <w:r w:rsidRPr="0035359F">
              <w:rPr>
                <w:rFonts w:eastAsiaTheme="minorHAnsi" w:cstheme="minorBidi"/>
                <w:bCs/>
                <w:sz w:val="18"/>
                <w:szCs w:val="18"/>
                <w:lang w:eastAsia="en-AU"/>
              </w:rPr>
              <w:noBreakHyphen/>
              <w:t>linolenic acid, docosahexaenoic acid, eicosapentaenoic acid or a combination of these)</w:t>
            </w:r>
            <w:r w:rsidRPr="0035359F">
              <w:rPr>
                <w:bCs/>
                <w:sz w:val="18"/>
                <w:szCs w:val="18"/>
              </w:rPr>
              <w:t>; and</w:t>
            </w:r>
          </w:p>
          <w:p w14:paraId="0DC293C0" w14:textId="77777777" w:rsidR="0035359F" w:rsidRPr="0035359F" w:rsidRDefault="0035359F" w:rsidP="0035359F">
            <w:pPr>
              <w:tabs>
                <w:tab w:val="clear" w:pos="851"/>
              </w:tabs>
              <w:ind w:left="284" w:hanging="284"/>
              <w:rPr>
                <w:bCs/>
                <w:sz w:val="18"/>
              </w:rPr>
            </w:pPr>
            <w:r w:rsidRPr="0035359F">
              <w:rPr>
                <w:bCs/>
                <w:sz w:val="18"/>
                <w:szCs w:val="18"/>
              </w:rPr>
              <w:t>(c)</w:t>
            </w:r>
            <w:r w:rsidRPr="0035359F">
              <w:rPr>
                <w:bCs/>
                <w:sz w:val="18"/>
              </w:rPr>
              <w:t xml:space="preserve"> </w:t>
            </w:r>
            <w:r w:rsidRPr="0035359F">
              <w:rPr>
                <w:bCs/>
                <w:sz w:val="18"/>
              </w:rPr>
              <w:tab/>
            </w:r>
            <w:r w:rsidRPr="0035359F">
              <w:rPr>
                <w:sz w:val="18"/>
                <w:szCs w:val="18"/>
              </w:rPr>
              <w:t>the average quantity of the total of omega-3 fatty acids per serving of the food</w:t>
            </w:r>
          </w:p>
        </w:tc>
      </w:tr>
      <w:tr w:rsidR="0035359F" w:rsidRPr="0035359F" w14:paraId="7B4E6759" w14:textId="77777777" w:rsidTr="009D4E04">
        <w:tc>
          <w:tcPr>
            <w:tcW w:w="4618" w:type="dxa"/>
            <w:tcBorders>
              <w:top w:val="single" w:sz="4" w:space="0" w:color="auto"/>
            </w:tcBorders>
          </w:tcPr>
          <w:p w14:paraId="43013BE3" w14:textId="77777777" w:rsidR="0035359F" w:rsidRPr="0035359F" w:rsidRDefault="0035359F" w:rsidP="0035359F">
            <w:pPr>
              <w:tabs>
                <w:tab w:val="clear" w:pos="851"/>
              </w:tabs>
              <w:ind w:left="142" w:hanging="142"/>
              <w:rPr>
                <w:bCs/>
                <w:sz w:val="18"/>
              </w:rPr>
            </w:pPr>
            <w:r w:rsidRPr="0035359F">
              <w:rPr>
                <w:bCs/>
                <w:sz w:val="18"/>
              </w:rPr>
              <w:t>Lactose</w:t>
            </w:r>
          </w:p>
        </w:tc>
        <w:tc>
          <w:tcPr>
            <w:tcW w:w="4618" w:type="dxa"/>
            <w:tcBorders>
              <w:top w:val="single" w:sz="4" w:space="0" w:color="auto"/>
            </w:tcBorders>
          </w:tcPr>
          <w:p w14:paraId="216358B2" w14:textId="77777777" w:rsidR="0035359F" w:rsidRPr="0035359F" w:rsidRDefault="0035359F" w:rsidP="0035359F">
            <w:pPr>
              <w:tabs>
                <w:tab w:val="clear" w:pos="851"/>
              </w:tabs>
              <w:ind w:left="142" w:hanging="142"/>
              <w:rPr>
                <w:bCs/>
                <w:sz w:val="18"/>
              </w:rPr>
            </w:pPr>
            <w:r w:rsidRPr="0035359F">
              <w:rPr>
                <w:bCs/>
                <w:sz w:val="18"/>
              </w:rPr>
              <w:t>Average quantity of galactose content per serving of the food</w:t>
            </w:r>
          </w:p>
        </w:tc>
      </w:tr>
      <w:tr w:rsidR="0035359F" w:rsidRPr="0035359F" w14:paraId="66C38D55" w14:textId="77777777" w:rsidTr="009D4E04">
        <w:tc>
          <w:tcPr>
            <w:tcW w:w="4618" w:type="dxa"/>
          </w:tcPr>
          <w:p w14:paraId="09DFB480" w14:textId="77777777" w:rsidR="0035359F" w:rsidRPr="0035359F" w:rsidRDefault="0035359F" w:rsidP="0035359F">
            <w:pPr>
              <w:tabs>
                <w:tab w:val="clear" w:pos="851"/>
              </w:tabs>
              <w:ind w:left="142" w:hanging="142"/>
              <w:rPr>
                <w:bCs/>
                <w:sz w:val="18"/>
              </w:rPr>
            </w:pPr>
            <w:r w:rsidRPr="0035359F">
              <w:rPr>
                <w:bCs/>
                <w:sz w:val="18"/>
              </w:rPr>
              <w:t>Potassium</w:t>
            </w:r>
          </w:p>
        </w:tc>
        <w:tc>
          <w:tcPr>
            <w:tcW w:w="4618" w:type="dxa"/>
          </w:tcPr>
          <w:p w14:paraId="661C4D04" w14:textId="77777777" w:rsidR="0035359F" w:rsidRPr="0035359F" w:rsidRDefault="0035359F" w:rsidP="0035359F">
            <w:pPr>
              <w:tabs>
                <w:tab w:val="clear" w:pos="851"/>
              </w:tabs>
              <w:ind w:left="142" w:hanging="142"/>
              <w:rPr>
                <w:bCs/>
                <w:sz w:val="18"/>
              </w:rPr>
            </w:pPr>
            <w:r w:rsidRPr="0035359F">
              <w:rPr>
                <w:bCs/>
                <w:sz w:val="18"/>
              </w:rPr>
              <w:t>Average quantity of sodium content per serving of the food</w:t>
            </w:r>
          </w:p>
        </w:tc>
      </w:tr>
      <w:tr w:rsidR="0035359F" w:rsidRPr="0035359F" w14:paraId="78E01A7B" w14:textId="77777777" w:rsidTr="009D4E04">
        <w:tc>
          <w:tcPr>
            <w:tcW w:w="4618" w:type="dxa"/>
          </w:tcPr>
          <w:p w14:paraId="7711F1E2" w14:textId="77777777" w:rsidR="0035359F" w:rsidRPr="0035359F" w:rsidRDefault="0035359F" w:rsidP="0035359F">
            <w:pPr>
              <w:tabs>
                <w:tab w:val="clear" w:pos="851"/>
              </w:tabs>
              <w:ind w:left="142" w:hanging="142"/>
              <w:rPr>
                <w:bCs/>
                <w:sz w:val="18"/>
              </w:rPr>
            </w:pPr>
            <w:r w:rsidRPr="0035359F">
              <w:rPr>
                <w:bCs/>
                <w:sz w:val="18"/>
              </w:rPr>
              <w:t>Sodium or salt</w:t>
            </w:r>
          </w:p>
        </w:tc>
        <w:tc>
          <w:tcPr>
            <w:tcW w:w="4618" w:type="dxa"/>
          </w:tcPr>
          <w:p w14:paraId="06795C8C" w14:textId="77777777" w:rsidR="0035359F" w:rsidRPr="0035359F" w:rsidRDefault="0035359F" w:rsidP="0035359F">
            <w:pPr>
              <w:tabs>
                <w:tab w:val="clear" w:pos="851"/>
              </w:tabs>
              <w:ind w:left="142" w:hanging="142"/>
              <w:rPr>
                <w:bCs/>
                <w:sz w:val="18"/>
              </w:rPr>
            </w:pPr>
            <w:r w:rsidRPr="0035359F">
              <w:rPr>
                <w:bCs/>
                <w:sz w:val="18"/>
              </w:rPr>
              <w:t>Average quantity of sodium and potassium content per serving of the food</w:t>
            </w:r>
          </w:p>
        </w:tc>
      </w:tr>
    </w:tbl>
    <w:p w14:paraId="4864E6A8" w14:textId="77777777" w:rsidR="0035359F" w:rsidRPr="0035359F" w:rsidRDefault="0035359F" w:rsidP="0035359F">
      <w:pPr>
        <w:jc w:val="right"/>
      </w:pPr>
      <w:r w:rsidRPr="0035359F">
        <w:t>”</w:t>
      </w:r>
    </w:p>
    <w:p w14:paraId="61F18C2D" w14:textId="77777777" w:rsidR="0035359F" w:rsidRPr="0035359F" w:rsidRDefault="0035359F" w:rsidP="0035359F">
      <w:pPr>
        <w:jc w:val="right"/>
      </w:pPr>
    </w:p>
    <w:p w14:paraId="0A9B8FB0" w14:textId="77777777" w:rsidR="0035359F" w:rsidRPr="0035359F" w:rsidRDefault="0035359F" w:rsidP="0035359F">
      <w:pPr>
        <w:rPr>
          <w:lang w:bidi="en-US"/>
        </w:rPr>
      </w:pPr>
      <w:r w:rsidRPr="0035359F">
        <w:t>[3.7]</w:t>
      </w:r>
      <w:r w:rsidRPr="0035359F">
        <w:tab/>
        <w:t xml:space="preserve">omitting </w:t>
      </w:r>
      <w:r w:rsidRPr="0035359F">
        <w:rPr>
          <w:lang w:bidi="en-US"/>
        </w:rPr>
        <w:t>“‘metric cup’ or”</w:t>
      </w:r>
      <w:r w:rsidRPr="0035359F">
        <w:t xml:space="preserve"> </w:t>
      </w:r>
      <w:r w:rsidRPr="0035359F">
        <w:rPr>
          <w:lang w:bidi="en-US"/>
        </w:rPr>
        <w:t>from paragraph 8(5)(b)</w:t>
      </w:r>
    </w:p>
    <w:p w14:paraId="0CE417A6" w14:textId="77777777" w:rsidR="0035359F" w:rsidRPr="0035359F" w:rsidRDefault="0035359F" w:rsidP="0035359F">
      <w:pPr>
        <w:rPr>
          <w:lang w:bidi="en-US"/>
        </w:rPr>
      </w:pPr>
    </w:p>
    <w:p w14:paraId="256C0470" w14:textId="77777777" w:rsidR="0035359F" w:rsidRPr="0035359F" w:rsidRDefault="0035359F" w:rsidP="0035359F">
      <w:pPr>
        <w:rPr>
          <w:lang w:bidi="en-US"/>
        </w:rPr>
      </w:pPr>
      <w:r w:rsidRPr="0035359F">
        <w:t>[3.8]</w:t>
      </w:r>
      <w:r w:rsidRPr="0035359F">
        <w:tab/>
        <w:t xml:space="preserve">omitting </w:t>
      </w:r>
      <w:r w:rsidRPr="0035359F">
        <w:rPr>
          <w:lang w:bidi="en-US"/>
        </w:rPr>
        <w:t xml:space="preserve">“of unavailable carbohydrate” from </w:t>
      </w:r>
      <w:proofErr w:type="spellStart"/>
      <w:r w:rsidRPr="0035359F">
        <w:rPr>
          <w:lang w:bidi="en-US"/>
        </w:rPr>
        <w:t>subclause</w:t>
      </w:r>
      <w:proofErr w:type="spellEnd"/>
      <w:r w:rsidRPr="0035359F">
        <w:rPr>
          <w:lang w:bidi="en-US"/>
        </w:rPr>
        <w:t xml:space="preserve"> 8A(2) and substituting “of the average quantity of unavailable carbohydrate per serving of the food”</w:t>
      </w:r>
    </w:p>
    <w:p w14:paraId="3BF2FAF4" w14:textId="77777777" w:rsidR="0035359F" w:rsidRPr="0035359F" w:rsidRDefault="0035359F" w:rsidP="0035359F">
      <w:pPr>
        <w:rPr>
          <w:lang w:bidi="en-US"/>
        </w:rPr>
      </w:pPr>
    </w:p>
    <w:p w14:paraId="73923A4E" w14:textId="77777777" w:rsidR="0035359F" w:rsidRPr="0035359F" w:rsidRDefault="0035359F" w:rsidP="0035359F">
      <w:pPr>
        <w:rPr>
          <w:lang w:bidi="en-US"/>
        </w:rPr>
      </w:pPr>
      <w:r w:rsidRPr="0035359F">
        <w:t>[3.9]</w:t>
      </w:r>
      <w:r w:rsidRPr="0035359F">
        <w:tab/>
        <w:t xml:space="preserve">omitting </w:t>
      </w:r>
      <w:r w:rsidRPr="0035359F">
        <w:rPr>
          <w:lang w:bidi="en-US"/>
        </w:rPr>
        <w:t xml:space="preserve">“presence of relevant substances” from </w:t>
      </w:r>
      <w:proofErr w:type="spellStart"/>
      <w:r w:rsidRPr="0035359F">
        <w:rPr>
          <w:lang w:bidi="en-US"/>
        </w:rPr>
        <w:t>subclause</w:t>
      </w:r>
      <w:proofErr w:type="spellEnd"/>
      <w:r w:rsidRPr="0035359F">
        <w:rPr>
          <w:lang w:bidi="en-US"/>
        </w:rPr>
        <w:t xml:space="preserve"> 8A(4) and substituting “the average quantity of the substances per serving of the food”</w:t>
      </w:r>
    </w:p>
    <w:p w14:paraId="4BD3B01B" w14:textId="77777777" w:rsidR="0035359F" w:rsidRPr="0035359F" w:rsidRDefault="0035359F" w:rsidP="0035359F">
      <w:pPr>
        <w:rPr>
          <w:i/>
        </w:rPr>
      </w:pPr>
    </w:p>
    <w:p w14:paraId="1317D9B2" w14:textId="77777777" w:rsidR="0035359F" w:rsidRPr="0035359F" w:rsidRDefault="0035359F" w:rsidP="0035359F">
      <w:pPr>
        <w:rPr>
          <w:iCs/>
          <w:lang w:bidi="en-US"/>
        </w:rPr>
      </w:pPr>
      <w:r w:rsidRPr="0035359F">
        <w:rPr>
          <w:b/>
          <w:bCs/>
          <w:lang w:bidi="en-US"/>
        </w:rPr>
        <w:t>[4]</w:t>
      </w:r>
      <w:r w:rsidRPr="0035359F">
        <w:rPr>
          <w:lang w:bidi="en-US"/>
        </w:rPr>
        <w:tab/>
      </w:r>
      <w:r w:rsidRPr="0035359F">
        <w:rPr>
          <w:b/>
          <w:bCs/>
          <w:iCs/>
          <w:lang w:bidi="en-US"/>
        </w:rPr>
        <w:t>Standard 2.9.2</w:t>
      </w:r>
      <w:r w:rsidRPr="0035359F">
        <w:rPr>
          <w:iCs/>
          <w:lang w:bidi="en-US"/>
        </w:rPr>
        <w:t xml:space="preserve"> is varied by omitting </w:t>
      </w:r>
      <w:proofErr w:type="spellStart"/>
      <w:r w:rsidRPr="0035359F">
        <w:rPr>
          <w:iCs/>
          <w:lang w:bidi="en-US"/>
        </w:rPr>
        <w:t>subclause</w:t>
      </w:r>
      <w:proofErr w:type="spellEnd"/>
      <w:r w:rsidRPr="0035359F">
        <w:rPr>
          <w:iCs/>
          <w:lang w:bidi="en-US"/>
        </w:rPr>
        <w:t xml:space="preserve"> 9(1) and substituting –</w:t>
      </w:r>
    </w:p>
    <w:p w14:paraId="15074BFF" w14:textId="77777777" w:rsidR="0035359F" w:rsidRPr="0035359F" w:rsidRDefault="0035359F" w:rsidP="0035359F">
      <w:r w:rsidRPr="0035359F">
        <w:t xml:space="preserve"> </w:t>
      </w:r>
    </w:p>
    <w:p w14:paraId="53FB304E" w14:textId="77777777" w:rsidR="0035359F" w:rsidRPr="0035359F" w:rsidRDefault="0035359F" w:rsidP="0035359F">
      <w:r w:rsidRPr="0035359F">
        <w:t>“(1)</w:t>
      </w:r>
      <w:r w:rsidRPr="0035359F">
        <w:tab/>
        <w:t xml:space="preserve">The following provisions of Standard 1.2.8 do not apply to a food standardised by this Standard – </w:t>
      </w:r>
    </w:p>
    <w:p w14:paraId="667902CA" w14:textId="77777777" w:rsidR="0035359F" w:rsidRPr="0035359F" w:rsidRDefault="0035359F" w:rsidP="0035359F">
      <w:pPr>
        <w:rPr>
          <w:sz w:val="22"/>
        </w:rPr>
      </w:pPr>
    </w:p>
    <w:p w14:paraId="4B6CF326" w14:textId="77777777" w:rsidR="0035359F" w:rsidRPr="0035359F" w:rsidRDefault="0035359F" w:rsidP="0035359F">
      <w:pPr>
        <w:tabs>
          <w:tab w:val="clear" w:pos="851"/>
        </w:tabs>
        <w:ind w:left="1702" w:hanging="851"/>
      </w:pPr>
      <w:r w:rsidRPr="0035359F">
        <w:t>(a)</w:t>
      </w:r>
      <w:r w:rsidRPr="0035359F">
        <w:tab/>
        <w:t>paragraph 3(j); and</w:t>
      </w:r>
    </w:p>
    <w:p w14:paraId="2DB8C4A2" w14:textId="77777777" w:rsidR="0035359F" w:rsidRPr="0035359F" w:rsidRDefault="0035359F" w:rsidP="0035359F">
      <w:pPr>
        <w:tabs>
          <w:tab w:val="clear" w:pos="851"/>
        </w:tabs>
        <w:ind w:left="1702" w:hanging="851"/>
      </w:pPr>
      <w:r w:rsidRPr="0035359F">
        <w:t>(b)</w:t>
      </w:r>
      <w:r w:rsidRPr="0035359F">
        <w:tab/>
      </w:r>
      <w:proofErr w:type="spellStart"/>
      <w:r w:rsidRPr="0035359F">
        <w:t>subclause</w:t>
      </w:r>
      <w:proofErr w:type="spellEnd"/>
      <w:r w:rsidRPr="0035359F">
        <w:t xml:space="preserve"> 4(4); and</w:t>
      </w:r>
      <w:r w:rsidRPr="0035359F">
        <w:br w:type="page"/>
      </w:r>
    </w:p>
    <w:p w14:paraId="245C4DCD" w14:textId="77777777" w:rsidR="0035359F" w:rsidRPr="0035359F" w:rsidRDefault="0035359F" w:rsidP="0035359F">
      <w:pPr>
        <w:tabs>
          <w:tab w:val="clear" w:pos="851"/>
        </w:tabs>
        <w:ind w:left="1702" w:hanging="851"/>
      </w:pPr>
      <w:r w:rsidRPr="0035359F">
        <w:lastRenderedPageBreak/>
        <w:t>(c)</w:t>
      </w:r>
      <w:r w:rsidRPr="0035359F">
        <w:tab/>
        <w:t>paragraph 5(1)(e) as it relates to saturated fat; and</w:t>
      </w:r>
    </w:p>
    <w:p w14:paraId="042167E0" w14:textId="77777777" w:rsidR="0035359F" w:rsidRPr="0035359F" w:rsidRDefault="0035359F" w:rsidP="0035359F">
      <w:pPr>
        <w:tabs>
          <w:tab w:val="clear" w:pos="851"/>
        </w:tabs>
        <w:ind w:left="1702" w:hanging="851"/>
      </w:pPr>
      <w:r w:rsidRPr="0035359F">
        <w:t>(d)</w:t>
      </w:r>
      <w:r w:rsidRPr="0035359F">
        <w:tab/>
      </w:r>
      <w:proofErr w:type="spellStart"/>
      <w:r w:rsidRPr="0035359F">
        <w:t>subclauses</w:t>
      </w:r>
      <w:proofErr w:type="spellEnd"/>
      <w:r w:rsidRPr="0035359F">
        <w:t xml:space="preserve"> 5(2), 5(4) and 5(5); and</w:t>
      </w:r>
    </w:p>
    <w:p w14:paraId="109AAAE9" w14:textId="77777777" w:rsidR="0035359F" w:rsidRPr="0035359F" w:rsidRDefault="0035359F" w:rsidP="0035359F">
      <w:pPr>
        <w:tabs>
          <w:tab w:val="clear" w:pos="851"/>
        </w:tabs>
        <w:ind w:left="1702" w:hanging="851"/>
      </w:pPr>
      <w:r w:rsidRPr="0035359F">
        <w:t>(e)</w:t>
      </w:r>
      <w:r w:rsidRPr="0035359F">
        <w:tab/>
        <w:t>clause 7; and</w:t>
      </w:r>
    </w:p>
    <w:p w14:paraId="189B5868" w14:textId="77777777" w:rsidR="0035359F" w:rsidRPr="0035359F" w:rsidRDefault="0035359F" w:rsidP="0035359F">
      <w:pPr>
        <w:tabs>
          <w:tab w:val="clear" w:pos="851"/>
        </w:tabs>
        <w:ind w:left="1702" w:hanging="851"/>
      </w:pPr>
      <w:r w:rsidRPr="0035359F">
        <w:t>(f)</w:t>
      </w:r>
      <w:r w:rsidRPr="0035359F">
        <w:tab/>
        <w:t>clause 8; and</w:t>
      </w:r>
    </w:p>
    <w:p w14:paraId="1A9B4442" w14:textId="77777777" w:rsidR="0035359F" w:rsidRPr="0035359F" w:rsidRDefault="0035359F" w:rsidP="0035359F">
      <w:pPr>
        <w:tabs>
          <w:tab w:val="clear" w:pos="851"/>
        </w:tabs>
        <w:ind w:left="1702" w:hanging="851"/>
      </w:pPr>
      <w:r w:rsidRPr="0035359F">
        <w:t>(g)</w:t>
      </w:r>
      <w:r w:rsidRPr="0035359F">
        <w:tab/>
        <w:t xml:space="preserve">clause 8A; and </w:t>
      </w:r>
    </w:p>
    <w:p w14:paraId="51964D7A" w14:textId="77777777" w:rsidR="0035359F" w:rsidRPr="0035359F" w:rsidRDefault="0035359F" w:rsidP="0035359F">
      <w:pPr>
        <w:tabs>
          <w:tab w:val="clear" w:pos="851"/>
        </w:tabs>
        <w:ind w:left="1702" w:hanging="851"/>
      </w:pPr>
      <w:r w:rsidRPr="0035359F">
        <w:t>(h)</w:t>
      </w:r>
      <w:r w:rsidRPr="0035359F">
        <w:tab/>
        <w:t>clause 9.”</w:t>
      </w:r>
    </w:p>
    <w:p w14:paraId="0E270F53" w14:textId="77777777" w:rsidR="0035359F" w:rsidRPr="0035359F" w:rsidRDefault="0035359F" w:rsidP="0035359F">
      <w:pPr>
        <w:tabs>
          <w:tab w:val="clear" w:pos="851"/>
        </w:tabs>
        <w:rPr>
          <w:sz w:val="22"/>
          <w:szCs w:val="24"/>
          <w:lang w:bidi="en-US"/>
        </w:rPr>
      </w:pPr>
    </w:p>
    <w:p w14:paraId="0B839A01" w14:textId="77777777" w:rsidR="0035359F" w:rsidRPr="0035359F" w:rsidRDefault="0035359F" w:rsidP="0035359F">
      <w:pPr>
        <w:tabs>
          <w:tab w:val="clear" w:pos="851"/>
        </w:tabs>
        <w:rPr>
          <w:sz w:val="22"/>
          <w:szCs w:val="24"/>
          <w:lang w:bidi="en-US"/>
        </w:rPr>
      </w:pPr>
    </w:p>
    <w:p w14:paraId="52B7CA57" w14:textId="77777777" w:rsidR="0035359F" w:rsidRPr="0035359F" w:rsidRDefault="0035359F" w:rsidP="0035359F">
      <w:pPr>
        <w:tabs>
          <w:tab w:val="clear" w:pos="851"/>
        </w:tabs>
        <w:rPr>
          <w:sz w:val="22"/>
          <w:szCs w:val="24"/>
          <w:lang w:bidi="en-US"/>
        </w:rPr>
      </w:pPr>
    </w:p>
    <w:p w14:paraId="6FDA4B5C"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248A0DDF" w14:textId="77777777" w:rsidR="0035359F" w:rsidRPr="0035359F" w:rsidRDefault="0035359F" w:rsidP="0035359F">
      <w:pPr>
        <w:tabs>
          <w:tab w:val="clear" w:pos="851"/>
        </w:tabs>
        <w:rPr>
          <w:noProof/>
          <w:szCs w:val="24"/>
          <w:highlight w:val="yellow"/>
          <w:lang w:val="en-AU" w:eastAsia="en-AU" w:bidi="en-US"/>
        </w:rPr>
      </w:pPr>
      <w:r w:rsidRPr="0035359F">
        <w:rPr>
          <w:noProof/>
          <w:szCs w:val="24"/>
          <w:highlight w:val="yellow"/>
          <w:lang w:eastAsia="en-GB"/>
        </w:rPr>
        <w:lastRenderedPageBreak/>
        <w:drawing>
          <wp:inline distT="0" distB="0" distL="0" distR="0" wp14:anchorId="69DB08D1" wp14:editId="12EE2646">
            <wp:extent cx="2657475" cy="438150"/>
            <wp:effectExtent l="0" t="0" r="9525" b="0"/>
            <wp:docPr id="3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F42EAD1" w14:textId="77777777" w:rsidR="0035359F" w:rsidRPr="0035359F" w:rsidRDefault="0035359F" w:rsidP="0035359F">
      <w:pPr>
        <w:pBdr>
          <w:bottom w:val="single" w:sz="4" w:space="1" w:color="auto"/>
        </w:pBdr>
        <w:jc w:val="center"/>
        <w:rPr>
          <w:highlight w:val="yellow"/>
        </w:rPr>
      </w:pPr>
    </w:p>
    <w:p w14:paraId="253746B8" w14:textId="77777777" w:rsidR="0035359F" w:rsidRPr="0035359F" w:rsidRDefault="0035359F" w:rsidP="0035359F">
      <w:pPr>
        <w:pBdr>
          <w:bottom w:val="single" w:sz="4" w:space="1" w:color="auto"/>
        </w:pBdr>
        <w:tabs>
          <w:tab w:val="clear" w:pos="851"/>
        </w:tabs>
        <w:rPr>
          <w:b/>
          <w:lang w:bidi="en-US"/>
        </w:rPr>
      </w:pPr>
      <w:r w:rsidRPr="0035359F">
        <w:rPr>
          <w:rFonts w:cs="Arial"/>
          <w:b/>
          <w:i/>
          <w:lang w:bidi="en-US"/>
        </w:rPr>
        <w:t>Australia New Zealand Food Standards Code</w:t>
      </w:r>
      <w:r w:rsidRPr="0035359F">
        <w:rPr>
          <w:rFonts w:cs="Arial"/>
          <w:b/>
          <w:lang w:bidi="en-US"/>
        </w:rPr>
        <w:t xml:space="preserve"> –</w:t>
      </w:r>
      <w:r w:rsidRPr="0035359F">
        <w:rPr>
          <w:rFonts w:cs="Arial"/>
          <w:b/>
          <w:color w:val="000000"/>
          <w:lang w:bidi="en-US"/>
        </w:rPr>
        <w:t xml:space="preserve"> Transitional Variation</w:t>
      </w:r>
      <w:r w:rsidRPr="0035359F">
        <w:rPr>
          <w:rFonts w:cs="Arial"/>
          <w:b/>
          <w:lang w:bidi="en-US"/>
        </w:rPr>
        <w:t xml:space="preserve"> 2015 (</w:t>
      </w:r>
      <w:r w:rsidRPr="0035359F">
        <w:rPr>
          <w:b/>
          <w:szCs w:val="24"/>
          <w:lang w:bidi="en-US"/>
        </w:rPr>
        <w:t>Proposal P1037 – Amendments associated with Nutrition Content &amp; Health Claims</w:t>
      </w:r>
      <w:r w:rsidRPr="0035359F">
        <w:rPr>
          <w:rFonts w:cs="Arial"/>
          <w:b/>
          <w:lang w:bidi="en-US"/>
        </w:rPr>
        <w:t>)</w:t>
      </w:r>
      <w:r w:rsidRPr="0035359F">
        <w:rPr>
          <w:b/>
          <w:lang w:bidi="en-US"/>
        </w:rPr>
        <w:t xml:space="preserve"> </w:t>
      </w:r>
    </w:p>
    <w:p w14:paraId="54A0BECF" w14:textId="77777777" w:rsidR="0035359F" w:rsidRPr="0035359F" w:rsidRDefault="0035359F" w:rsidP="0035359F">
      <w:pPr>
        <w:pBdr>
          <w:bottom w:val="single" w:sz="4" w:space="1" w:color="auto"/>
        </w:pBdr>
        <w:tabs>
          <w:tab w:val="clear" w:pos="851"/>
        </w:tabs>
        <w:rPr>
          <w:b/>
          <w:lang w:bidi="en-US"/>
        </w:rPr>
      </w:pPr>
    </w:p>
    <w:p w14:paraId="35C4ED5B" w14:textId="77777777" w:rsidR="0035359F" w:rsidRPr="0035359F" w:rsidRDefault="0035359F" w:rsidP="0035359F">
      <w:pPr>
        <w:tabs>
          <w:tab w:val="clear" w:pos="851"/>
        </w:tabs>
        <w:rPr>
          <w:szCs w:val="24"/>
          <w:lang w:bidi="en-US"/>
        </w:rPr>
      </w:pPr>
    </w:p>
    <w:p w14:paraId="5ED293F3" w14:textId="77777777" w:rsidR="0035359F" w:rsidRPr="0035359F" w:rsidRDefault="0035359F" w:rsidP="0035359F">
      <w:pPr>
        <w:tabs>
          <w:tab w:val="clear" w:pos="851"/>
        </w:tabs>
        <w:rPr>
          <w:szCs w:val="24"/>
          <w:lang w:bidi="en-US"/>
        </w:rPr>
      </w:pPr>
      <w:r w:rsidRPr="0035359F">
        <w:rPr>
          <w:szCs w:val="24"/>
          <w:lang w:bidi="en-US"/>
        </w:rPr>
        <w:t xml:space="preserve">The Board of Food Standards Australia New Zealand gives notice of the making of this variation under section 92 of the </w:t>
      </w:r>
      <w:r w:rsidRPr="0035359F">
        <w:rPr>
          <w:i/>
          <w:szCs w:val="24"/>
          <w:lang w:bidi="en-US"/>
        </w:rPr>
        <w:t>Food Standards Australia New Zealand Act 1991</w:t>
      </w:r>
      <w:r w:rsidRPr="0035359F">
        <w:rPr>
          <w:szCs w:val="24"/>
          <w:lang w:bidi="en-US"/>
        </w:rPr>
        <w:t>.  This variation commences on the date specified in clause 2 of the variation.</w:t>
      </w:r>
    </w:p>
    <w:p w14:paraId="4F82AD97" w14:textId="77777777" w:rsidR="0035359F" w:rsidRPr="0035359F" w:rsidRDefault="0035359F" w:rsidP="0035359F">
      <w:pPr>
        <w:tabs>
          <w:tab w:val="clear" w:pos="851"/>
        </w:tabs>
        <w:rPr>
          <w:szCs w:val="24"/>
          <w:lang w:bidi="en-US"/>
        </w:rPr>
      </w:pPr>
    </w:p>
    <w:p w14:paraId="634A4B4D" w14:textId="77777777" w:rsidR="0035359F" w:rsidRPr="0035359F" w:rsidRDefault="0035359F" w:rsidP="0035359F">
      <w:pPr>
        <w:tabs>
          <w:tab w:val="clear" w:pos="851"/>
        </w:tabs>
        <w:rPr>
          <w:szCs w:val="24"/>
          <w:lang w:bidi="en-US"/>
        </w:rPr>
      </w:pPr>
      <w:r w:rsidRPr="0035359F">
        <w:rPr>
          <w:szCs w:val="24"/>
          <w:lang w:bidi="en-US"/>
        </w:rPr>
        <w:t>30 November 2015</w:t>
      </w:r>
    </w:p>
    <w:p w14:paraId="3437B3D2"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553F17EE" wp14:editId="7085F0C1">
            <wp:extent cx="1343025" cy="790575"/>
            <wp:effectExtent l="0" t="0" r="9525" b="9525"/>
            <wp:docPr id="33" name="Picture 3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7FA59E0"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3A56D75E"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309107B1" w14:textId="77777777" w:rsidR="0035359F" w:rsidRPr="0035359F" w:rsidRDefault="0035359F" w:rsidP="0035359F">
      <w:pPr>
        <w:tabs>
          <w:tab w:val="clear" w:pos="851"/>
        </w:tabs>
        <w:rPr>
          <w:szCs w:val="24"/>
          <w:lang w:bidi="en-US"/>
        </w:rPr>
      </w:pPr>
    </w:p>
    <w:p w14:paraId="46E0E346" w14:textId="77777777" w:rsidR="0035359F" w:rsidRPr="0035359F" w:rsidRDefault="0035359F" w:rsidP="0035359F">
      <w:pPr>
        <w:tabs>
          <w:tab w:val="clear" w:pos="851"/>
        </w:tabs>
        <w:rPr>
          <w:szCs w:val="24"/>
          <w:lang w:bidi="en-US"/>
        </w:rPr>
      </w:pPr>
    </w:p>
    <w:p w14:paraId="3C7BC354" w14:textId="77777777" w:rsidR="0035359F" w:rsidRPr="0035359F" w:rsidRDefault="0035359F" w:rsidP="0035359F">
      <w:pPr>
        <w:tabs>
          <w:tab w:val="clear" w:pos="851"/>
        </w:tabs>
        <w:rPr>
          <w:szCs w:val="24"/>
          <w:lang w:bidi="en-US"/>
        </w:rPr>
      </w:pPr>
    </w:p>
    <w:p w14:paraId="7301519E" w14:textId="77777777" w:rsidR="0035359F" w:rsidRPr="0035359F" w:rsidRDefault="0035359F" w:rsidP="0035359F">
      <w:pPr>
        <w:tabs>
          <w:tab w:val="clear" w:pos="851"/>
        </w:tabs>
        <w:rPr>
          <w:szCs w:val="24"/>
          <w:lang w:bidi="en-US"/>
        </w:rPr>
      </w:pPr>
    </w:p>
    <w:p w14:paraId="14A50E04" w14:textId="77777777" w:rsidR="0035359F" w:rsidRPr="0035359F" w:rsidRDefault="0035359F" w:rsidP="0035359F">
      <w:pPr>
        <w:tabs>
          <w:tab w:val="clear" w:pos="851"/>
        </w:tabs>
        <w:rPr>
          <w:szCs w:val="24"/>
          <w:lang w:bidi="en-US"/>
        </w:rPr>
      </w:pPr>
    </w:p>
    <w:p w14:paraId="1B176D6C"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6CCD8406"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234ED870"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w:t>
      </w:r>
    </w:p>
    <w:p w14:paraId="22D1F6B7" w14:textId="77777777" w:rsidR="0035359F" w:rsidRPr="0035359F" w:rsidRDefault="0035359F" w:rsidP="0035359F">
      <w:pPr>
        <w:tabs>
          <w:tab w:val="clear" w:pos="851"/>
        </w:tabs>
        <w:rPr>
          <w:szCs w:val="24"/>
          <w:lang w:bidi="en-US"/>
        </w:rPr>
      </w:pPr>
    </w:p>
    <w:p w14:paraId="6BF27C88" w14:textId="77777777" w:rsidR="0035359F" w:rsidRPr="0035359F" w:rsidRDefault="0035359F" w:rsidP="0035359F">
      <w:pPr>
        <w:keepNext/>
        <w:keepLines/>
        <w:widowControl/>
        <w:tabs>
          <w:tab w:val="clear" w:pos="851"/>
        </w:tabs>
        <w:spacing w:before="360"/>
        <w:ind w:left="964" w:hanging="964"/>
        <w:rPr>
          <w:rFonts w:cs="Arial"/>
          <w:b/>
          <w:sz w:val="22"/>
          <w:szCs w:val="22"/>
          <w:lang w:val="en-AU" w:eastAsia="en-AU"/>
        </w:rPr>
      </w:pPr>
      <w:r w:rsidRPr="0035359F">
        <w:rPr>
          <w:rFonts w:cs="Arial"/>
          <w:b/>
          <w:sz w:val="22"/>
          <w:szCs w:val="22"/>
          <w:lang w:val="en-AU" w:eastAsia="en-AU"/>
        </w:rPr>
        <w:br w:type="page"/>
      </w:r>
    </w:p>
    <w:p w14:paraId="50A05422" w14:textId="77777777" w:rsidR="0035359F" w:rsidRPr="0035359F" w:rsidRDefault="0035359F" w:rsidP="0035359F">
      <w:pPr>
        <w:keepNext/>
        <w:keepLines/>
        <w:widowControl/>
        <w:tabs>
          <w:tab w:val="clear" w:pos="851"/>
        </w:tabs>
        <w:ind w:left="851" w:hanging="851"/>
        <w:rPr>
          <w:b/>
          <w:lang w:val="en-AU" w:eastAsia="en-AU"/>
        </w:rPr>
      </w:pPr>
      <w:r w:rsidRPr="0035359F">
        <w:rPr>
          <w:b/>
          <w:lang w:val="en-AU" w:eastAsia="en-AU"/>
        </w:rPr>
        <w:lastRenderedPageBreak/>
        <w:t>1</w:t>
      </w:r>
      <w:r w:rsidRPr="0035359F">
        <w:rPr>
          <w:b/>
          <w:lang w:val="en-AU" w:eastAsia="en-AU"/>
        </w:rPr>
        <w:tab/>
        <w:t>Name of instrument</w:t>
      </w:r>
    </w:p>
    <w:p w14:paraId="31C87764" w14:textId="77777777" w:rsidR="0035359F" w:rsidRPr="0035359F" w:rsidRDefault="0035359F" w:rsidP="0035359F">
      <w:pPr>
        <w:keepLines/>
        <w:widowControl/>
        <w:tabs>
          <w:tab w:val="clear" w:pos="851"/>
          <w:tab w:val="right" w:pos="794"/>
        </w:tabs>
        <w:ind w:left="851" w:hanging="851"/>
        <w:jc w:val="both"/>
        <w:rPr>
          <w:rFonts w:cs="Arial"/>
          <w:lang w:val="en-AU" w:eastAsia="en-AU"/>
        </w:rPr>
      </w:pPr>
    </w:p>
    <w:p w14:paraId="72990567" w14:textId="77777777" w:rsidR="0035359F" w:rsidRPr="0035359F" w:rsidRDefault="0035359F" w:rsidP="0035359F">
      <w:pPr>
        <w:keepLines/>
        <w:widowControl/>
        <w:tabs>
          <w:tab w:val="clear" w:pos="851"/>
        </w:tabs>
        <w:rPr>
          <w:rFonts w:cs="Arial"/>
          <w:i/>
          <w:lang w:val="en-AU" w:eastAsia="en-AU"/>
        </w:rPr>
      </w:pPr>
      <w:r w:rsidRPr="0035359F">
        <w:rPr>
          <w:rFonts w:cs="Arial"/>
          <w:lang w:val="en-AU" w:eastAsia="en-AU"/>
        </w:rPr>
        <w:t xml:space="preserve">This instrument is the </w:t>
      </w:r>
      <w:r w:rsidRPr="0035359F">
        <w:rPr>
          <w:rFonts w:cs="Arial"/>
          <w:i/>
          <w:lang w:val="en-AU" w:eastAsia="en-AU"/>
        </w:rPr>
        <w:t>Australia New Zealand Food Standards Code –</w:t>
      </w:r>
      <w:r w:rsidRPr="0035359F">
        <w:rPr>
          <w:rFonts w:cs="Arial"/>
          <w:i/>
          <w:color w:val="000000"/>
          <w:lang w:val="en-AU" w:eastAsia="en-AU"/>
        </w:rPr>
        <w:t xml:space="preserve"> Transitional Variation</w:t>
      </w:r>
      <w:r w:rsidRPr="0035359F">
        <w:rPr>
          <w:rFonts w:cs="Arial"/>
          <w:i/>
          <w:lang w:val="en-AU" w:eastAsia="en-AU"/>
        </w:rPr>
        <w:t xml:space="preserve"> 2015 (</w:t>
      </w:r>
      <w:r w:rsidRPr="0035359F">
        <w:rPr>
          <w:rFonts w:cs="Arial"/>
          <w:i/>
          <w:szCs w:val="24"/>
          <w:lang w:val="en-AU" w:eastAsia="en-AU"/>
        </w:rPr>
        <w:t>Proposal P1037 – Amendments associated with Nutrition Content &amp; Health Claims</w:t>
      </w:r>
      <w:r w:rsidRPr="0035359F">
        <w:rPr>
          <w:rFonts w:cs="Arial"/>
          <w:i/>
          <w:lang w:val="en-AU" w:eastAsia="en-AU"/>
        </w:rPr>
        <w:t>).</w:t>
      </w:r>
    </w:p>
    <w:p w14:paraId="73712498" w14:textId="77777777" w:rsidR="0035359F" w:rsidRPr="0035359F" w:rsidRDefault="0035359F" w:rsidP="0035359F">
      <w:pPr>
        <w:keepLines/>
        <w:widowControl/>
        <w:tabs>
          <w:tab w:val="clear" w:pos="851"/>
        </w:tabs>
        <w:jc w:val="both"/>
        <w:rPr>
          <w:rFonts w:cs="Arial"/>
          <w:lang w:val="en-AU" w:eastAsia="en-AU"/>
        </w:rPr>
      </w:pPr>
    </w:p>
    <w:p w14:paraId="5695D5E0" w14:textId="77777777" w:rsidR="0035359F" w:rsidRPr="0035359F" w:rsidRDefault="0035359F" w:rsidP="0035359F">
      <w:pPr>
        <w:keepNext/>
        <w:keepLines/>
        <w:widowControl/>
        <w:tabs>
          <w:tab w:val="clear" w:pos="851"/>
        </w:tabs>
        <w:ind w:left="851" w:hanging="851"/>
        <w:rPr>
          <w:rFonts w:cs="Arial"/>
          <w:b/>
          <w:lang w:val="en-AU" w:eastAsia="en-AU"/>
        </w:rPr>
      </w:pPr>
      <w:r w:rsidRPr="0035359F">
        <w:rPr>
          <w:rFonts w:cs="Arial"/>
          <w:b/>
          <w:lang w:val="en-AU" w:eastAsia="en-AU"/>
        </w:rPr>
        <w:t>2</w:t>
      </w:r>
      <w:r w:rsidRPr="0035359F">
        <w:rPr>
          <w:rFonts w:cs="Arial"/>
          <w:b/>
          <w:lang w:val="en-AU" w:eastAsia="en-AU"/>
        </w:rPr>
        <w:tab/>
        <w:t>Commencement</w:t>
      </w:r>
    </w:p>
    <w:p w14:paraId="4D3AD98D" w14:textId="77777777" w:rsidR="0035359F" w:rsidRPr="0035359F" w:rsidRDefault="0035359F" w:rsidP="0035359F">
      <w:pPr>
        <w:keepNext/>
        <w:keepLines/>
        <w:widowControl/>
        <w:tabs>
          <w:tab w:val="clear" w:pos="851"/>
        </w:tabs>
        <w:ind w:left="851" w:hanging="851"/>
        <w:rPr>
          <w:rFonts w:cs="Arial"/>
          <w:b/>
          <w:lang w:val="en-AU" w:eastAsia="en-AU"/>
        </w:rPr>
      </w:pPr>
    </w:p>
    <w:p w14:paraId="65B8D4A1" w14:textId="77777777" w:rsidR="0035359F" w:rsidRPr="0035359F" w:rsidRDefault="0035359F" w:rsidP="0035359F">
      <w:pPr>
        <w:keepLines/>
        <w:widowControl/>
        <w:tabs>
          <w:tab w:val="clear" w:pos="851"/>
        </w:tabs>
        <w:rPr>
          <w:rFonts w:cs="Arial"/>
          <w:lang w:val="en-AU" w:eastAsia="en-AU"/>
        </w:rPr>
      </w:pPr>
      <w:r w:rsidRPr="0035359F">
        <w:rPr>
          <w:rFonts w:cs="Arial"/>
          <w:lang w:val="en-AU" w:eastAsia="en-AU"/>
        </w:rPr>
        <w:t>This instrument commences on 1 March 2016 immediately after the commencement of Standard 5.1.1 – Revocation and transitional provisions — 2014 Revision.</w:t>
      </w:r>
    </w:p>
    <w:p w14:paraId="7EC21F98" w14:textId="77777777" w:rsidR="0035359F" w:rsidRPr="0035359F" w:rsidRDefault="0035359F" w:rsidP="0035359F">
      <w:pPr>
        <w:keepLines/>
        <w:widowControl/>
        <w:tabs>
          <w:tab w:val="clear" w:pos="851"/>
        </w:tabs>
        <w:jc w:val="both"/>
        <w:rPr>
          <w:rFonts w:cs="Arial"/>
          <w:lang w:val="en-AU" w:eastAsia="en-AU"/>
        </w:rPr>
      </w:pPr>
    </w:p>
    <w:p w14:paraId="7842F4C3" w14:textId="77777777" w:rsidR="0035359F" w:rsidRPr="0035359F" w:rsidRDefault="0035359F" w:rsidP="0035359F">
      <w:pPr>
        <w:keepNext/>
        <w:keepLines/>
        <w:widowControl/>
        <w:tabs>
          <w:tab w:val="clear" w:pos="851"/>
        </w:tabs>
        <w:ind w:left="851" w:hanging="851"/>
        <w:rPr>
          <w:b/>
          <w:i/>
          <w:lang w:val="en-AU" w:eastAsia="en-AU"/>
        </w:rPr>
      </w:pPr>
      <w:r w:rsidRPr="0035359F">
        <w:rPr>
          <w:rFonts w:cs="Arial"/>
          <w:b/>
          <w:lang w:val="en-AU" w:eastAsia="en-AU"/>
        </w:rPr>
        <w:t>3</w:t>
      </w:r>
      <w:r w:rsidRPr="0035359F">
        <w:rPr>
          <w:rFonts w:cs="Arial"/>
          <w:b/>
          <w:lang w:val="en-AU" w:eastAsia="en-AU"/>
        </w:rPr>
        <w:tab/>
        <w:t xml:space="preserve">Variation </w:t>
      </w:r>
      <w:r w:rsidRPr="0035359F">
        <w:rPr>
          <w:b/>
          <w:lang w:val="en-AU" w:eastAsia="en-AU"/>
        </w:rPr>
        <w:t xml:space="preserve">to Standards in the </w:t>
      </w:r>
      <w:r w:rsidRPr="0035359F">
        <w:rPr>
          <w:b/>
          <w:i/>
          <w:lang w:val="en-AU" w:eastAsia="en-AU"/>
        </w:rPr>
        <w:t>Australia New Zealand Food Standards Code</w:t>
      </w:r>
    </w:p>
    <w:p w14:paraId="3BB4E848" w14:textId="77777777" w:rsidR="0035359F" w:rsidRPr="0035359F" w:rsidRDefault="0035359F" w:rsidP="0035359F">
      <w:pPr>
        <w:keepNext/>
        <w:keepLines/>
        <w:widowControl/>
        <w:tabs>
          <w:tab w:val="clear" w:pos="851"/>
        </w:tabs>
        <w:ind w:left="851" w:hanging="851"/>
        <w:rPr>
          <w:rFonts w:cs="Arial"/>
          <w:b/>
          <w:lang w:val="en-AU" w:eastAsia="en-AU"/>
        </w:rPr>
      </w:pPr>
    </w:p>
    <w:p w14:paraId="263FED59" w14:textId="77777777" w:rsidR="0035359F" w:rsidRPr="0035359F" w:rsidRDefault="0035359F" w:rsidP="0035359F">
      <w:pPr>
        <w:keepLines/>
        <w:widowControl/>
        <w:tabs>
          <w:tab w:val="clear" w:pos="851"/>
        </w:tabs>
        <w:jc w:val="both"/>
        <w:rPr>
          <w:rFonts w:cs="Arial"/>
          <w:lang w:val="en-AU" w:eastAsia="en-AU"/>
        </w:rPr>
      </w:pPr>
      <w:r w:rsidRPr="0035359F">
        <w:rPr>
          <w:rFonts w:cs="Arial"/>
          <w:lang w:val="en-AU" w:eastAsia="en-AU"/>
        </w:rPr>
        <w:t xml:space="preserve">The Schedule varies Standards in the </w:t>
      </w:r>
      <w:r w:rsidRPr="0035359F">
        <w:rPr>
          <w:rFonts w:cs="Arial"/>
          <w:i/>
          <w:lang w:val="en-AU" w:eastAsia="en-AU"/>
        </w:rPr>
        <w:t>Australia New Zealand Food Standards Code</w:t>
      </w:r>
      <w:r w:rsidRPr="0035359F">
        <w:rPr>
          <w:rFonts w:cs="Arial"/>
          <w:lang w:val="en-AU" w:eastAsia="en-AU"/>
        </w:rPr>
        <w:t>.</w:t>
      </w:r>
    </w:p>
    <w:p w14:paraId="7D8124FA" w14:textId="77777777" w:rsidR="0035359F" w:rsidRPr="0035359F" w:rsidRDefault="0035359F" w:rsidP="0035359F">
      <w:pPr>
        <w:keepLines/>
        <w:widowControl/>
        <w:tabs>
          <w:tab w:val="clear" w:pos="851"/>
        </w:tabs>
        <w:jc w:val="both"/>
        <w:rPr>
          <w:rFonts w:cs="Arial"/>
          <w:lang w:val="en-AU" w:eastAsia="en-AU"/>
        </w:rPr>
      </w:pPr>
    </w:p>
    <w:p w14:paraId="5E748D1E" w14:textId="77777777" w:rsidR="0035359F" w:rsidRPr="0035359F" w:rsidRDefault="0035359F" w:rsidP="0035359F">
      <w:pPr>
        <w:keepNext/>
        <w:keepLines/>
        <w:widowControl/>
        <w:tabs>
          <w:tab w:val="clear" w:pos="851"/>
        </w:tabs>
        <w:ind w:left="851" w:hanging="851"/>
        <w:rPr>
          <w:b/>
          <w:i/>
          <w:lang w:val="en-AU" w:eastAsia="en-AU"/>
        </w:rPr>
      </w:pPr>
      <w:r w:rsidRPr="0035359F">
        <w:rPr>
          <w:rFonts w:cs="Arial"/>
          <w:b/>
          <w:lang w:val="en-AU" w:eastAsia="en-AU"/>
        </w:rPr>
        <w:t>4</w:t>
      </w:r>
      <w:r w:rsidRPr="0035359F">
        <w:rPr>
          <w:rFonts w:cs="Arial"/>
          <w:b/>
          <w:lang w:val="en-AU" w:eastAsia="en-AU"/>
        </w:rPr>
        <w:tab/>
        <w:t xml:space="preserve">Effect of prescribed variations </w:t>
      </w:r>
    </w:p>
    <w:p w14:paraId="3856B34E" w14:textId="77777777" w:rsidR="0035359F" w:rsidRPr="0035359F" w:rsidRDefault="0035359F" w:rsidP="0035359F">
      <w:pPr>
        <w:keepNext/>
        <w:keepLines/>
        <w:widowControl/>
        <w:tabs>
          <w:tab w:val="clear" w:pos="851"/>
        </w:tabs>
        <w:ind w:left="851" w:hanging="851"/>
        <w:rPr>
          <w:rFonts w:cs="Arial"/>
          <w:b/>
          <w:lang w:val="en-AU" w:eastAsia="en-AU"/>
        </w:rPr>
      </w:pPr>
    </w:p>
    <w:p w14:paraId="71299764" w14:textId="77777777" w:rsidR="0035359F" w:rsidRPr="0035359F" w:rsidRDefault="0035359F" w:rsidP="0035359F">
      <w:pPr>
        <w:ind w:left="567" w:hanging="567"/>
        <w:rPr>
          <w:lang w:bidi="en-US"/>
        </w:rPr>
      </w:pPr>
      <w:r w:rsidRPr="0035359F">
        <w:rPr>
          <w:lang w:bidi="en-US"/>
        </w:rPr>
        <w:t>(1)</w:t>
      </w:r>
      <w:r w:rsidRPr="0035359F">
        <w:rPr>
          <w:lang w:bidi="en-US"/>
        </w:rPr>
        <w:tab/>
        <w:t>In this section:</w:t>
      </w:r>
    </w:p>
    <w:p w14:paraId="63A1D249" w14:textId="77777777" w:rsidR="0035359F" w:rsidRPr="0035359F" w:rsidRDefault="0035359F" w:rsidP="0035359F">
      <w:pPr>
        <w:contextualSpacing/>
        <w:rPr>
          <w:lang w:bidi="en-US"/>
        </w:rPr>
      </w:pPr>
    </w:p>
    <w:p w14:paraId="520D1734" w14:textId="77777777" w:rsidR="0035359F" w:rsidRPr="0035359F" w:rsidRDefault="0035359F" w:rsidP="0035359F">
      <w:pPr>
        <w:ind w:left="1701" w:hanging="850"/>
        <w:rPr>
          <w:rFonts w:cs="Arial"/>
          <w:i/>
          <w:lang w:val="en-AU" w:eastAsia="en-AU"/>
        </w:rPr>
      </w:pPr>
      <w:r w:rsidRPr="0035359F">
        <w:rPr>
          <w:b/>
          <w:lang w:bidi="en-US"/>
        </w:rPr>
        <w:t xml:space="preserve">the Code </w:t>
      </w:r>
      <w:r w:rsidRPr="0035359F">
        <w:rPr>
          <w:lang w:bidi="en-US"/>
        </w:rPr>
        <w:t>means the</w:t>
      </w:r>
      <w:r w:rsidRPr="0035359F">
        <w:rPr>
          <w:b/>
          <w:lang w:bidi="en-US"/>
        </w:rPr>
        <w:t xml:space="preserve"> </w:t>
      </w:r>
      <w:r w:rsidRPr="0035359F">
        <w:rPr>
          <w:rFonts w:cs="Arial"/>
          <w:i/>
          <w:lang w:val="en-AU" w:eastAsia="en-AU"/>
        </w:rPr>
        <w:t>Australia New Zealand Food Standards Code.</w:t>
      </w:r>
    </w:p>
    <w:p w14:paraId="5B401A2E" w14:textId="77777777" w:rsidR="0035359F" w:rsidRPr="0035359F" w:rsidRDefault="0035359F" w:rsidP="0035359F">
      <w:pPr>
        <w:ind w:left="1701" w:hanging="850"/>
        <w:rPr>
          <w:b/>
          <w:lang w:bidi="en-US"/>
        </w:rPr>
      </w:pPr>
    </w:p>
    <w:p w14:paraId="45392CF4" w14:textId="77777777" w:rsidR="0035359F" w:rsidRPr="0035359F" w:rsidRDefault="0035359F" w:rsidP="0035359F">
      <w:pPr>
        <w:ind w:left="1701" w:hanging="850"/>
        <w:rPr>
          <w:lang w:bidi="en-US"/>
        </w:rPr>
      </w:pPr>
      <w:r w:rsidRPr="0035359F">
        <w:rPr>
          <w:b/>
          <w:lang w:bidi="en-US"/>
        </w:rPr>
        <w:t>prescribed variations</w:t>
      </w:r>
      <w:r w:rsidRPr="0035359F">
        <w:rPr>
          <w:lang w:bidi="en-US"/>
        </w:rPr>
        <w:t xml:space="preserve"> means the variations to the Code made by this instrument other than the variations made by items 1, 2 and 3.1 of the Schedule.</w:t>
      </w:r>
    </w:p>
    <w:p w14:paraId="3D7E691A" w14:textId="77777777" w:rsidR="0035359F" w:rsidRPr="0035359F" w:rsidRDefault="0035359F" w:rsidP="0035359F">
      <w:pPr>
        <w:ind w:left="1701" w:hanging="850"/>
        <w:rPr>
          <w:b/>
          <w:lang w:bidi="en-US"/>
        </w:rPr>
      </w:pPr>
    </w:p>
    <w:p w14:paraId="3592E9D4" w14:textId="77777777" w:rsidR="0035359F" w:rsidRPr="0035359F" w:rsidRDefault="0035359F" w:rsidP="0035359F">
      <w:pPr>
        <w:ind w:left="1701" w:hanging="850"/>
        <w:rPr>
          <w:lang w:bidi="en-US"/>
        </w:rPr>
      </w:pPr>
      <w:r w:rsidRPr="0035359F">
        <w:rPr>
          <w:b/>
          <w:lang w:bidi="en-US"/>
        </w:rPr>
        <w:t>transitional period</w:t>
      </w:r>
      <w:r w:rsidRPr="0035359F">
        <w:rPr>
          <w:lang w:bidi="en-US"/>
        </w:rPr>
        <w:t xml:space="preserve"> means the period of time that commences on 1 March 2016 and ends on 18 January 2017.</w:t>
      </w:r>
    </w:p>
    <w:p w14:paraId="60214C9F" w14:textId="77777777" w:rsidR="0035359F" w:rsidRPr="0035359F" w:rsidRDefault="0035359F" w:rsidP="0035359F">
      <w:pPr>
        <w:ind w:left="567" w:hanging="567"/>
        <w:rPr>
          <w:lang w:bidi="en-US"/>
        </w:rPr>
      </w:pPr>
    </w:p>
    <w:p w14:paraId="78854B19" w14:textId="77777777" w:rsidR="0035359F" w:rsidRPr="0035359F" w:rsidRDefault="0035359F" w:rsidP="0035359F">
      <w:pPr>
        <w:ind w:left="567" w:hanging="567"/>
        <w:rPr>
          <w:lang w:bidi="en-US"/>
        </w:rPr>
      </w:pPr>
      <w:r w:rsidRPr="0035359F">
        <w:rPr>
          <w:lang w:bidi="en-US"/>
        </w:rPr>
        <w:t>(2)</w:t>
      </w:r>
      <w:r w:rsidRPr="0035359F">
        <w:rPr>
          <w:lang w:bidi="en-US"/>
        </w:rPr>
        <w:tab/>
        <w:t>Section 1.1.1—9 of the Code</w:t>
      </w:r>
      <w:r w:rsidRPr="0035359F">
        <w:rPr>
          <w:i/>
          <w:lang w:bidi="en-US"/>
        </w:rPr>
        <w:t xml:space="preserve"> </w:t>
      </w:r>
      <w:r w:rsidRPr="0035359F">
        <w:rPr>
          <w:lang w:bidi="en-US"/>
        </w:rPr>
        <w:t>does not apply to the prescribed variations.</w:t>
      </w:r>
    </w:p>
    <w:p w14:paraId="2C9EE808" w14:textId="77777777" w:rsidR="0035359F" w:rsidRPr="0035359F" w:rsidRDefault="0035359F" w:rsidP="0035359F">
      <w:pPr>
        <w:ind w:left="567" w:hanging="567"/>
        <w:rPr>
          <w:lang w:bidi="en-US"/>
        </w:rPr>
      </w:pPr>
    </w:p>
    <w:p w14:paraId="67384E99" w14:textId="77777777" w:rsidR="0035359F" w:rsidRPr="0035359F" w:rsidRDefault="0035359F" w:rsidP="0035359F">
      <w:pPr>
        <w:ind w:left="567" w:hanging="567"/>
        <w:rPr>
          <w:lang w:bidi="en-US"/>
        </w:rPr>
      </w:pPr>
      <w:r w:rsidRPr="0035359F">
        <w:rPr>
          <w:lang w:bidi="en-US"/>
        </w:rPr>
        <w:t>(3)</w:t>
      </w:r>
      <w:r w:rsidRPr="0035359F">
        <w:rPr>
          <w:lang w:bidi="en-US"/>
        </w:rPr>
        <w:tab/>
        <w:t xml:space="preserve">During the transition period, </w:t>
      </w:r>
      <w:r w:rsidRPr="0035359F">
        <w:rPr>
          <w:rFonts w:eastAsiaTheme="majorEastAsia" w:cstheme="minorBidi"/>
          <w:lang w:bidi="en-US"/>
        </w:rPr>
        <w:t>a food</w:t>
      </w:r>
      <w:r w:rsidRPr="0035359F">
        <w:rPr>
          <w:lang w:bidi="en-US"/>
        </w:rPr>
        <w:t xml:space="preserve"> may comply with either:</w:t>
      </w:r>
    </w:p>
    <w:p w14:paraId="762C3FA9" w14:textId="77777777" w:rsidR="0035359F" w:rsidRPr="0035359F" w:rsidRDefault="0035359F" w:rsidP="0035359F">
      <w:pPr>
        <w:ind w:left="567" w:hanging="567"/>
        <w:rPr>
          <w:lang w:bidi="en-US"/>
        </w:rPr>
      </w:pPr>
    </w:p>
    <w:p w14:paraId="1A932ECF" w14:textId="77777777" w:rsidR="0035359F" w:rsidRPr="0035359F" w:rsidRDefault="0035359F" w:rsidP="0035359F">
      <w:pPr>
        <w:tabs>
          <w:tab w:val="clear" w:pos="851"/>
        </w:tabs>
        <w:ind w:left="1702" w:hanging="851"/>
        <w:rPr>
          <w:lang w:bidi="en-US"/>
        </w:rPr>
      </w:pPr>
      <w:r w:rsidRPr="0035359F">
        <w:rPr>
          <w:lang w:bidi="en-US"/>
        </w:rPr>
        <w:t>(a)</w:t>
      </w:r>
      <w:r w:rsidRPr="0035359F">
        <w:rPr>
          <w:lang w:bidi="en-US"/>
        </w:rPr>
        <w:tab/>
        <w:t>the Code as in force without the prescribed amendments; or</w:t>
      </w:r>
    </w:p>
    <w:p w14:paraId="1B776AC8" w14:textId="77777777" w:rsidR="0035359F" w:rsidRPr="0035359F" w:rsidRDefault="0035359F" w:rsidP="0035359F">
      <w:pPr>
        <w:tabs>
          <w:tab w:val="clear" w:pos="851"/>
        </w:tabs>
        <w:ind w:left="1702" w:hanging="851"/>
        <w:rPr>
          <w:lang w:bidi="en-US"/>
        </w:rPr>
      </w:pPr>
      <w:r w:rsidRPr="0035359F">
        <w:rPr>
          <w:lang w:bidi="en-US"/>
        </w:rPr>
        <w:t xml:space="preserve">(b) </w:t>
      </w:r>
      <w:r w:rsidRPr="0035359F">
        <w:rPr>
          <w:lang w:bidi="en-US"/>
        </w:rPr>
        <w:tab/>
        <w:t>the Code as amended by the prescribed variations.</w:t>
      </w:r>
    </w:p>
    <w:p w14:paraId="4F483B3E" w14:textId="77777777" w:rsidR="0035359F" w:rsidRPr="0035359F" w:rsidRDefault="0035359F" w:rsidP="0035359F">
      <w:pPr>
        <w:widowControl/>
        <w:contextualSpacing/>
        <w:rPr>
          <w:szCs w:val="24"/>
          <w:lang w:bidi="en-US"/>
        </w:rPr>
      </w:pPr>
    </w:p>
    <w:p w14:paraId="2115A965" w14:textId="77777777" w:rsidR="0035359F" w:rsidRPr="0035359F" w:rsidRDefault="0035359F" w:rsidP="0035359F">
      <w:pPr>
        <w:ind w:left="567" w:hanging="567"/>
        <w:rPr>
          <w:lang w:bidi="en-US"/>
        </w:rPr>
      </w:pPr>
      <w:r w:rsidRPr="0035359F">
        <w:rPr>
          <w:lang w:bidi="en-US"/>
        </w:rPr>
        <w:t>but not a combination of both.</w:t>
      </w:r>
    </w:p>
    <w:p w14:paraId="5710426F" w14:textId="77777777" w:rsidR="0035359F" w:rsidRPr="0035359F" w:rsidRDefault="0035359F" w:rsidP="0035359F">
      <w:pPr>
        <w:rPr>
          <w:lang w:bidi="en-US"/>
        </w:rPr>
      </w:pPr>
    </w:p>
    <w:p w14:paraId="25D185C0" w14:textId="77777777" w:rsidR="0035359F" w:rsidRPr="0035359F" w:rsidRDefault="0035359F" w:rsidP="0035359F">
      <w:pPr>
        <w:ind w:left="567" w:hanging="567"/>
        <w:rPr>
          <w:lang w:bidi="en-US"/>
        </w:rPr>
      </w:pPr>
      <w:r w:rsidRPr="0035359F">
        <w:rPr>
          <w:lang w:bidi="en-US"/>
        </w:rPr>
        <w:t>(4)</w:t>
      </w:r>
      <w:r w:rsidRPr="0035359F">
        <w:rPr>
          <w:lang w:bidi="en-US"/>
        </w:rPr>
        <w:tab/>
        <w:t>A food is taken to comply with the Code as amended by the prescribed variations for a period of 12 months commencing on 18 January 2017 if the food otherwise complied with the Code before that date.</w:t>
      </w:r>
      <w:r w:rsidRPr="0035359F">
        <w:rPr>
          <w:lang w:bidi="en-US"/>
        </w:rPr>
        <w:br/>
      </w:r>
    </w:p>
    <w:p w14:paraId="7204E007" w14:textId="77777777" w:rsidR="0035359F" w:rsidRPr="0035359F" w:rsidRDefault="0035359F" w:rsidP="0035359F">
      <w:pPr>
        <w:keepNext/>
        <w:keepLines/>
        <w:widowControl/>
        <w:tabs>
          <w:tab w:val="clear" w:pos="851"/>
        </w:tabs>
        <w:ind w:left="2410" w:hanging="2410"/>
        <w:jc w:val="center"/>
        <w:rPr>
          <w:rFonts w:ascii="Arial Bold" w:hAnsi="Arial Bold" w:cs="Arial"/>
          <w:b/>
          <w:caps/>
          <w:color w:val="000000"/>
          <w:lang w:val="en-AU" w:eastAsia="en-AU"/>
        </w:rPr>
      </w:pPr>
      <w:r w:rsidRPr="0035359F">
        <w:rPr>
          <w:rFonts w:ascii="Arial Bold" w:hAnsi="Arial Bold" w:cs="Arial"/>
          <w:b/>
          <w:caps/>
          <w:color w:val="000000"/>
          <w:lang w:val="en-AU" w:eastAsia="en-AU"/>
        </w:rPr>
        <w:t>Schedule</w:t>
      </w:r>
    </w:p>
    <w:p w14:paraId="40135F1C"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[1]</w:t>
      </w:r>
      <w:r w:rsidRPr="0035359F">
        <w:rPr>
          <w:rFonts w:cs="Arial"/>
          <w:b/>
          <w:iCs/>
          <w:szCs w:val="22"/>
          <w:lang w:val="en-AU" w:eastAsia="en-AU"/>
        </w:rPr>
        <w:tab/>
        <w:t>Standard 1.1.2</w:t>
      </w:r>
      <w:r w:rsidRPr="0035359F">
        <w:rPr>
          <w:rFonts w:cs="Arial"/>
          <w:iCs/>
          <w:szCs w:val="22"/>
          <w:lang w:val="en-AU" w:eastAsia="en-AU"/>
        </w:rPr>
        <w:t xml:space="preserve"> is varied by </w:t>
      </w:r>
    </w:p>
    <w:p w14:paraId="423484AC" w14:textId="77777777" w:rsidR="0035359F" w:rsidRPr="0035359F" w:rsidRDefault="0035359F" w:rsidP="0035359F">
      <w:pPr>
        <w:tabs>
          <w:tab w:val="clear" w:pos="851"/>
          <w:tab w:val="left" w:pos="1134"/>
        </w:tabs>
        <w:spacing w:before="120" w:after="120"/>
        <w:ind w:left="1701" w:hanging="1701"/>
        <w:rPr>
          <w:rFonts w:cs="Arial"/>
          <w:b/>
          <w:iCs/>
          <w:szCs w:val="22"/>
          <w:lang w:val="en-AU" w:eastAsia="en-AU"/>
        </w:rPr>
      </w:pPr>
      <w:r w:rsidRPr="0035359F">
        <w:rPr>
          <w:rFonts w:cs="Arial"/>
          <w:iCs/>
          <w:szCs w:val="22"/>
          <w:lang w:val="en-AU" w:eastAsia="en-AU"/>
        </w:rPr>
        <w:t>[1.1]</w:t>
      </w:r>
      <w:r w:rsidRPr="0035359F">
        <w:rPr>
          <w:rFonts w:cs="Arial"/>
          <w:b/>
          <w:iCs/>
          <w:szCs w:val="22"/>
          <w:lang w:val="en-AU" w:eastAsia="en-AU"/>
        </w:rPr>
        <w:tab/>
      </w:r>
      <w:r w:rsidRPr="0035359F">
        <w:rPr>
          <w:rFonts w:cs="Arial"/>
          <w:iCs/>
          <w:szCs w:val="22"/>
          <w:lang w:val="en-AU" w:eastAsia="en-AU"/>
        </w:rPr>
        <w:t>inserting after section 1.1.2—14</w:t>
      </w:r>
    </w:p>
    <w:p w14:paraId="73D2899B" w14:textId="77777777" w:rsidR="0035359F" w:rsidRPr="0035359F" w:rsidRDefault="0035359F" w:rsidP="0035359F">
      <w:pPr>
        <w:keepNext/>
        <w:tabs>
          <w:tab w:val="clear" w:pos="851"/>
        </w:tabs>
        <w:spacing w:before="240" w:after="120"/>
        <w:ind w:left="1701" w:hanging="1701"/>
        <w:outlineLvl w:val="4"/>
        <w:rPr>
          <w:b/>
          <w:bCs/>
          <w:kern w:val="32"/>
          <w:sz w:val="22"/>
          <w:szCs w:val="24"/>
          <w:lang w:eastAsia="en-AU"/>
        </w:rPr>
      </w:pPr>
      <w:r w:rsidRPr="0035359F">
        <w:rPr>
          <w:b/>
          <w:bCs/>
          <w:kern w:val="32"/>
          <w:sz w:val="22"/>
          <w:szCs w:val="24"/>
          <w:lang w:eastAsia="en-AU"/>
        </w:rPr>
        <w:t>“1.1.2—15</w:t>
      </w:r>
      <w:r w:rsidRPr="0035359F">
        <w:rPr>
          <w:b/>
          <w:bCs/>
          <w:kern w:val="32"/>
          <w:sz w:val="22"/>
          <w:szCs w:val="24"/>
          <w:lang w:eastAsia="en-AU"/>
        </w:rPr>
        <w:tab/>
        <w:t>Definition of Permitted Health Star Rating symbol</w:t>
      </w:r>
    </w:p>
    <w:p w14:paraId="6EF5F851" w14:textId="77777777" w:rsidR="0035359F" w:rsidRPr="0035359F" w:rsidRDefault="0035359F" w:rsidP="0035359F">
      <w:pPr>
        <w:tabs>
          <w:tab w:val="clear" w:pos="851"/>
          <w:tab w:val="left" w:pos="1134"/>
        </w:tabs>
        <w:spacing w:before="120" w:after="120"/>
        <w:ind w:left="1701" w:hanging="1701"/>
        <w:rPr>
          <w:rFonts w:cs="Arial"/>
          <w:iCs/>
          <w:lang w:val="en-AU" w:eastAsia="en-GB"/>
        </w:rPr>
      </w:pPr>
      <w:r w:rsidRPr="0035359F">
        <w:rPr>
          <w:rFonts w:cs="Arial"/>
          <w:iCs/>
          <w:szCs w:val="22"/>
          <w:lang w:val="en-AU" w:eastAsia="en-AU"/>
        </w:rPr>
        <w:tab/>
        <w:t>(1)</w:t>
      </w:r>
      <w:r w:rsidRPr="0035359F">
        <w:rPr>
          <w:rFonts w:cs="Arial"/>
          <w:iCs/>
          <w:szCs w:val="22"/>
          <w:lang w:val="en-AU" w:eastAsia="en-AU"/>
        </w:rPr>
        <w:tab/>
        <w:t xml:space="preserve">In this Code, </w:t>
      </w:r>
      <w:r w:rsidRPr="0035359F">
        <w:rPr>
          <w:rFonts w:cs="Arial"/>
          <w:b/>
          <w:i/>
          <w:iCs/>
          <w:szCs w:val="22"/>
          <w:lang w:val="en-AU" w:eastAsia="en-AU"/>
        </w:rPr>
        <w:t>Permitted</w:t>
      </w:r>
      <w:r w:rsidRPr="0035359F">
        <w:rPr>
          <w:rFonts w:eastAsia="Calibri" w:cs="Arial"/>
          <w:b/>
          <w:i/>
          <w:iCs/>
          <w:szCs w:val="22"/>
          <w:lang w:val="en-AU" w:eastAsia="en-AU"/>
        </w:rPr>
        <w:t xml:space="preserve"> Health Star Rating </w:t>
      </w:r>
      <w:r w:rsidRPr="0035359F">
        <w:rPr>
          <w:rFonts w:cs="Arial"/>
          <w:b/>
          <w:i/>
          <w:iCs/>
          <w:szCs w:val="22"/>
          <w:lang w:val="en-AU" w:eastAsia="en-AU"/>
        </w:rPr>
        <w:t>symbol</w:t>
      </w:r>
      <w:r w:rsidRPr="0035359F">
        <w:rPr>
          <w:rFonts w:cs="Arial"/>
          <w:iCs/>
          <w:szCs w:val="22"/>
          <w:lang w:val="en-AU" w:eastAsia="en-AU"/>
        </w:rPr>
        <w:t xml:space="preserve"> means </w:t>
      </w:r>
      <w:r w:rsidRPr="0035359F">
        <w:rPr>
          <w:rFonts w:cs="Arial"/>
          <w:iCs/>
          <w:lang w:val="en-AU" w:eastAsia="en-AU"/>
        </w:rPr>
        <w:t>an image subject to any of the following</w:t>
      </w:r>
      <w:r w:rsidRPr="0035359F">
        <w:rPr>
          <w:rFonts w:cs="Arial"/>
          <w:iCs/>
          <w:lang w:val="en-AU" w:eastAsia="en-GB"/>
        </w:rPr>
        <w:t>:</w:t>
      </w:r>
    </w:p>
    <w:p w14:paraId="6D4422C0"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 xml:space="preserve">(a) </w:t>
      </w:r>
      <w:r w:rsidRPr="0035359F">
        <w:rPr>
          <w:rFonts w:cs="Arial"/>
          <w:iCs/>
          <w:szCs w:val="22"/>
          <w:lang w:val="en-AU" w:eastAsia="en-AU"/>
        </w:rPr>
        <w:tab/>
        <w:t>an Australian Trade Mark numbered 1641445, 1641446 or 1641447</w:t>
      </w:r>
      <w:r w:rsidRPr="0035359F">
        <w:rPr>
          <w:rFonts w:cs="Arial"/>
          <w:iCs/>
          <w:szCs w:val="22"/>
          <w:lang w:val="en-AU" w:eastAsia="en-GB"/>
        </w:rPr>
        <w:t>;</w:t>
      </w:r>
    </w:p>
    <w:p w14:paraId="69F60C2B"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 xml:space="preserve">(b) </w:t>
      </w:r>
      <w:r w:rsidRPr="0035359F">
        <w:rPr>
          <w:rFonts w:cs="Arial"/>
          <w:iCs/>
          <w:szCs w:val="22"/>
          <w:lang w:val="en-AU" w:eastAsia="en-AU"/>
        </w:rPr>
        <w:tab/>
        <w:t>a New Zealand Trade Mark numbered 1018807, 1018808 or 1018809.</w:t>
      </w:r>
    </w:p>
    <w:p w14:paraId="1F3DC788" w14:textId="77777777" w:rsidR="0035359F" w:rsidRPr="0035359F" w:rsidRDefault="0035359F" w:rsidP="0035359F">
      <w:pPr>
        <w:tabs>
          <w:tab w:val="clear" w:pos="851"/>
          <w:tab w:val="left" w:pos="1134"/>
        </w:tabs>
        <w:spacing w:before="120" w:after="120"/>
        <w:ind w:left="1701" w:hanging="1701"/>
        <w:rPr>
          <w:rFonts w:cs="Arial"/>
          <w:b/>
          <w:iCs/>
          <w:szCs w:val="22"/>
          <w:lang w:val="en-AU" w:eastAsia="en-AU"/>
        </w:rPr>
      </w:pPr>
      <w:r w:rsidRPr="0035359F">
        <w:rPr>
          <w:rFonts w:cs="Arial"/>
          <w:iCs/>
          <w:szCs w:val="22"/>
          <w:lang w:val="en-AU" w:eastAsia="en-AU"/>
        </w:rPr>
        <w:tab/>
        <w:t>(2)</w:t>
      </w:r>
      <w:r w:rsidRPr="0035359F">
        <w:rPr>
          <w:rFonts w:cs="Arial"/>
          <w:iCs/>
          <w:szCs w:val="22"/>
          <w:lang w:val="en-AU" w:eastAsia="en-AU"/>
        </w:rPr>
        <w:tab/>
        <w:t xml:space="preserve">To avoid doubt, an image mentioned in subsection (1) does not cease to be a Permitted </w:t>
      </w:r>
      <w:r w:rsidRPr="0035359F">
        <w:rPr>
          <w:rFonts w:eastAsia="Calibri" w:cs="Arial"/>
          <w:iCs/>
          <w:szCs w:val="22"/>
          <w:lang w:val="en-AU" w:eastAsia="en-AU"/>
        </w:rPr>
        <w:t xml:space="preserve">Health Star Rating </w:t>
      </w:r>
      <w:r w:rsidRPr="0035359F">
        <w:rPr>
          <w:rFonts w:cs="Arial"/>
          <w:iCs/>
          <w:szCs w:val="22"/>
          <w:lang w:val="en-AU" w:eastAsia="en-AU"/>
        </w:rPr>
        <w:t xml:space="preserve">symbol </w:t>
      </w:r>
      <w:r w:rsidRPr="0035359F">
        <w:rPr>
          <w:rFonts w:cs="Arial"/>
          <w:iCs/>
          <w:noProof/>
          <w:szCs w:val="22"/>
          <w:lang w:val="en-AU" w:eastAsia="en-AU"/>
        </w:rPr>
        <w:t xml:space="preserve">by </w:t>
      </w:r>
      <w:r w:rsidRPr="0035359F">
        <w:rPr>
          <w:rFonts w:cs="Arial"/>
          <w:iCs/>
          <w:szCs w:val="22"/>
          <w:lang w:val="en-AU" w:eastAsia="en-AU"/>
        </w:rPr>
        <w:t>reason only of the image indicating:</w:t>
      </w:r>
    </w:p>
    <w:p w14:paraId="201C7431"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(a)</w:t>
      </w:r>
      <w:r w:rsidRPr="0035359F">
        <w:rPr>
          <w:rFonts w:cs="Arial"/>
          <w:iCs/>
          <w:szCs w:val="22"/>
          <w:lang w:val="en-AU" w:eastAsia="en-AU"/>
        </w:rPr>
        <w:tab/>
        <w:t>energy or nutrient content on a per 100 g, per 100 ml or per pack basis; or</w:t>
      </w:r>
    </w:p>
    <w:p w14:paraId="7EA22FB9"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(b)</w:t>
      </w:r>
      <w:r w:rsidRPr="0035359F">
        <w:rPr>
          <w:rFonts w:cs="Arial"/>
          <w:iCs/>
          <w:szCs w:val="22"/>
          <w:lang w:val="en-AU" w:eastAsia="en-AU"/>
        </w:rPr>
        <w:tab/>
        <w:t xml:space="preserve">energy or nutrient content </w:t>
      </w:r>
      <w:r w:rsidRPr="0035359F">
        <w:rPr>
          <w:rFonts w:cs="Arial"/>
          <w:iCs/>
          <w:lang w:val="en-AU" w:eastAsia="en-GB"/>
        </w:rPr>
        <w:t>on a per serving or per reference portion basis</w:t>
      </w:r>
      <w:r w:rsidRPr="0035359F">
        <w:rPr>
          <w:rFonts w:cs="Arial"/>
          <w:iCs/>
          <w:szCs w:val="22"/>
          <w:lang w:val="en-AU" w:eastAsia="en-AU"/>
        </w:rPr>
        <w:t>; or</w:t>
      </w:r>
    </w:p>
    <w:p w14:paraId="2F0DC7B1"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(c)</w:t>
      </w:r>
      <w:r w:rsidRPr="0035359F">
        <w:rPr>
          <w:rFonts w:cs="Arial"/>
          <w:iCs/>
          <w:szCs w:val="22"/>
          <w:lang w:val="en-AU" w:eastAsia="en-AU"/>
        </w:rPr>
        <w:tab/>
      </w:r>
      <w:r w:rsidRPr="0035359F">
        <w:rPr>
          <w:rFonts w:cs="Arial"/>
          <w:szCs w:val="22"/>
          <w:lang w:val="en-AU" w:eastAsia="en-AU"/>
        </w:rPr>
        <w:t>energy or</w:t>
      </w:r>
      <w:r w:rsidRPr="0035359F">
        <w:rPr>
          <w:rFonts w:cs="Arial"/>
          <w:iCs/>
          <w:lang w:val="en-AU" w:eastAsia="en-GB"/>
        </w:rPr>
        <w:t xml:space="preserve"> nutrient content </w:t>
      </w:r>
      <w:r w:rsidRPr="0035359F">
        <w:rPr>
          <w:rFonts w:cs="Arial"/>
          <w:iCs/>
          <w:szCs w:val="22"/>
          <w:lang w:val="en-AU" w:eastAsia="en-AU"/>
        </w:rPr>
        <w:t>at zero or amounts greater than zero</w:t>
      </w:r>
      <w:r w:rsidRPr="0035359F">
        <w:rPr>
          <w:rFonts w:cs="Arial"/>
          <w:iCs/>
          <w:lang w:val="en-AU" w:eastAsia="en-GB"/>
        </w:rPr>
        <w:t>; or</w:t>
      </w:r>
    </w:p>
    <w:p w14:paraId="3EB291F7"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 xml:space="preserve">(d) </w:t>
      </w:r>
      <w:r w:rsidRPr="0035359F">
        <w:rPr>
          <w:rFonts w:cs="Arial"/>
          <w:iCs/>
          <w:szCs w:val="22"/>
          <w:lang w:val="en-AU" w:eastAsia="en-AU"/>
        </w:rPr>
        <w:tab/>
        <w:t>energy content on a percentage daily intake basis in addition to an amount shown in kilojoules.”</w:t>
      </w:r>
    </w:p>
    <w:p w14:paraId="63968134"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[2]</w:t>
      </w:r>
      <w:r w:rsidRPr="0035359F">
        <w:rPr>
          <w:rFonts w:cs="Arial"/>
          <w:b/>
          <w:iCs/>
          <w:szCs w:val="22"/>
          <w:lang w:val="en-AU" w:eastAsia="en-AU"/>
        </w:rPr>
        <w:tab/>
        <w:t>Standard 1.2.7</w:t>
      </w:r>
      <w:r w:rsidRPr="0035359F">
        <w:rPr>
          <w:rFonts w:cs="Arial"/>
          <w:iCs/>
          <w:szCs w:val="22"/>
          <w:lang w:val="en-AU" w:eastAsia="en-AU"/>
        </w:rPr>
        <w:t xml:space="preserve"> is varied by </w:t>
      </w:r>
      <w:r w:rsidRPr="0035359F">
        <w:rPr>
          <w:rFonts w:cs="Arial"/>
          <w:iCs/>
          <w:szCs w:val="22"/>
          <w:lang w:val="en-AU" w:eastAsia="en-AU"/>
        </w:rPr>
        <w:br w:type="page"/>
      </w:r>
    </w:p>
    <w:p w14:paraId="1FE784E1"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lastRenderedPageBreak/>
        <w:t>[2.1]</w:t>
      </w:r>
      <w:r w:rsidRPr="0035359F">
        <w:rPr>
          <w:rFonts w:cs="Arial"/>
          <w:iCs/>
          <w:szCs w:val="22"/>
          <w:lang w:val="en-AU" w:eastAsia="en-AU"/>
        </w:rPr>
        <w:tab/>
        <w:t>inserting after section 1.2.7—3</w:t>
      </w:r>
    </w:p>
    <w:p w14:paraId="0FE16F2D" w14:textId="77777777" w:rsidR="0035359F" w:rsidRPr="0035359F" w:rsidRDefault="0035359F" w:rsidP="0035359F">
      <w:pPr>
        <w:tabs>
          <w:tab w:val="clear" w:pos="851"/>
          <w:tab w:val="left" w:pos="1701"/>
        </w:tabs>
        <w:spacing w:before="60" w:after="60"/>
        <w:ind w:left="2268" w:hanging="2268"/>
        <w:rPr>
          <w:rFonts w:cs="Arial"/>
          <w:lang w:eastAsia="en-AU"/>
        </w:rPr>
      </w:pPr>
      <w:r w:rsidRPr="0035359F">
        <w:rPr>
          <w:rFonts w:cs="Arial"/>
          <w:sz w:val="16"/>
          <w:szCs w:val="18"/>
          <w:lang w:eastAsia="en-AU"/>
        </w:rPr>
        <w:t>“</w:t>
      </w:r>
      <w:r w:rsidRPr="0035359F">
        <w:rPr>
          <w:rFonts w:cs="Arial"/>
          <w:b/>
          <w:i/>
          <w:sz w:val="16"/>
          <w:szCs w:val="18"/>
          <w:lang w:eastAsia="en-AU"/>
        </w:rPr>
        <w:t>Note</w:t>
      </w:r>
      <w:r w:rsidRPr="0035359F">
        <w:rPr>
          <w:rFonts w:cs="Arial"/>
          <w:sz w:val="16"/>
          <w:szCs w:val="18"/>
          <w:lang w:eastAsia="en-AU"/>
        </w:rPr>
        <w:tab/>
      </w:r>
      <w:r w:rsidRPr="0035359F">
        <w:rPr>
          <w:rFonts w:eastAsiaTheme="minorHAnsi" w:cs="Arial"/>
          <w:sz w:val="16"/>
          <w:szCs w:val="18"/>
          <w:lang w:eastAsia="en-AU"/>
        </w:rPr>
        <w:t xml:space="preserve">Standard 1.2.8 </w:t>
      </w:r>
      <w:r w:rsidRPr="0035359F">
        <w:rPr>
          <w:rFonts w:cs="Arial"/>
          <w:sz w:val="16"/>
          <w:szCs w:val="18"/>
          <w:lang w:eastAsia="en-AU"/>
        </w:rPr>
        <w:t>may prescribe additional labelling requirements for claims regulated by this Standard.</w:t>
      </w:r>
      <w:r w:rsidRPr="0035359F">
        <w:rPr>
          <w:rFonts w:cs="Arial"/>
          <w:lang w:eastAsia="en-AU"/>
        </w:rPr>
        <w:t>”</w:t>
      </w:r>
    </w:p>
    <w:p w14:paraId="5672D71B" w14:textId="77777777" w:rsidR="0035359F" w:rsidRPr="0035359F" w:rsidRDefault="0035359F" w:rsidP="0035359F">
      <w:pPr>
        <w:tabs>
          <w:tab w:val="clear" w:pos="851"/>
          <w:tab w:val="left" w:pos="1134"/>
        </w:tabs>
        <w:spacing w:before="120" w:after="120"/>
        <w:ind w:left="1701" w:hanging="1701"/>
        <w:rPr>
          <w:rFonts w:eastAsia="Calibri" w:cs="Arial"/>
          <w:iCs/>
          <w:szCs w:val="22"/>
          <w:lang w:val="en-AU" w:eastAsia="en-AU"/>
        </w:rPr>
      </w:pPr>
      <w:r w:rsidRPr="0035359F">
        <w:rPr>
          <w:rFonts w:cs="Arial"/>
          <w:iCs/>
          <w:szCs w:val="22"/>
          <w:lang w:val="en-AU" w:eastAsia="en-AU"/>
        </w:rPr>
        <w:t>[2.2]</w:t>
      </w:r>
      <w:r w:rsidRPr="0035359F">
        <w:rPr>
          <w:rFonts w:cs="Arial"/>
          <w:iCs/>
          <w:szCs w:val="22"/>
          <w:lang w:val="en-AU" w:eastAsia="en-AU"/>
        </w:rPr>
        <w:tab/>
        <w:t>omitting paragraph 1.2.7—6(c) and substituting</w:t>
      </w:r>
    </w:p>
    <w:p w14:paraId="0EB304C6" w14:textId="77777777" w:rsidR="0035359F" w:rsidRPr="0035359F" w:rsidRDefault="0035359F" w:rsidP="0035359F">
      <w:pPr>
        <w:tabs>
          <w:tab w:val="clear" w:pos="851"/>
          <w:tab w:val="left" w:pos="1701"/>
        </w:tabs>
        <w:spacing w:before="60" w:after="60"/>
        <w:ind w:left="2268" w:hanging="2268"/>
        <w:rPr>
          <w:rFonts w:eastAsia="Calibri" w:cs="Arial"/>
          <w:iCs/>
          <w:lang w:val="en-AU" w:eastAsia="en-AU"/>
        </w:rPr>
      </w:pPr>
      <w:r w:rsidRPr="0035359F">
        <w:rPr>
          <w:rFonts w:cs="Arial"/>
          <w:iCs/>
          <w:szCs w:val="22"/>
          <w:lang w:val="en-AU" w:eastAsia="en-AU"/>
        </w:rPr>
        <w:tab/>
        <w:t>“(c)</w:t>
      </w:r>
      <w:r w:rsidRPr="0035359F">
        <w:rPr>
          <w:rFonts w:cs="Arial"/>
          <w:iCs/>
          <w:szCs w:val="22"/>
          <w:lang w:val="en-AU" w:eastAsia="en-AU"/>
        </w:rPr>
        <w:tab/>
      </w:r>
      <w:r w:rsidRPr="0035359F">
        <w:rPr>
          <w:rFonts w:eastAsia="Calibri" w:cs="Arial"/>
          <w:iCs/>
          <w:lang w:val="en-AU" w:eastAsia="en-AU"/>
        </w:rPr>
        <w:t>a declaration that is required by an application Act; or</w:t>
      </w:r>
    </w:p>
    <w:p w14:paraId="04CACADE"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eastAsia="Calibri" w:cs="Arial"/>
          <w:iCs/>
          <w:lang w:val="en-AU" w:eastAsia="en-AU"/>
        </w:rPr>
        <w:tab/>
        <w:t>(d)</w:t>
      </w:r>
      <w:r w:rsidRPr="0035359F">
        <w:rPr>
          <w:rFonts w:eastAsia="Calibri" w:cs="Arial"/>
          <w:iCs/>
          <w:lang w:val="en-AU" w:eastAsia="en-AU"/>
        </w:rPr>
        <w:tab/>
        <w:t>a permitted Health Star Rating symbol</w:t>
      </w:r>
      <w:r w:rsidRPr="0035359F">
        <w:rPr>
          <w:rFonts w:cs="Arial"/>
          <w:iCs/>
          <w:lang w:val="en-AU" w:eastAsia="en-AU"/>
        </w:rPr>
        <w:t>.</w:t>
      </w:r>
      <w:r w:rsidRPr="0035359F">
        <w:rPr>
          <w:rFonts w:cs="Arial"/>
          <w:iCs/>
          <w:szCs w:val="22"/>
          <w:lang w:val="en-AU" w:eastAsia="en-AU"/>
        </w:rPr>
        <w:t>”</w:t>
      </w:r>
    </w:p>
    <w:p w14:paraId="72D55D32"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[3]</w:t>
      </w:r>
      <w:r w:rsidRPr="0035359F">
        <w:rPr>
          <w:rFonts w:cs="Arial"/>
          <w:b/>
          <w:iCs/>
          <w:szCs w:val="22"/>
          <w:lang w:val="en-AU" w:eastAsia="en-AU"/>
        </w:rPr>
        <w:tab/>
        <w:t>Standard 1.2.8</w:t>
      </w:r>
      <w:r w:rsidRPr="0035359F">
        <w:rPr>
          <w:rFonts w:cs="Arial"/>
          <w:iCs/>
          <w:szCs w:val="22"/>
          <w:lang w:val="en-AU" w:eastAsia="en-AU"/>
        </w:rPr>
        <w:t xml:space="preserve"> is varied by </w:t>
      </w:r>
    </w:p>
    <w:p w14:paraId="7E6529FE"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[3.1]</w:t>
      </w:r>
      <w:r w:rsidRPr="0035359F">
        <w:rPr>
          <w:rFonts w:cs="Arial"/>
          <w:iCs/>
          <w:szCs w:val="22"/>
          <w:lang w:val="en-AU" w:eastAsia="en-AU"/>
        </w:rPr>
        <w:tab/>
        <w:t xml:space="preserve">omitting “infant formula products” from section 1.2.8—3 and substituting “infant formula products or </w:t>
      </w:r>
      <w:r w:rsidRPr="0035359F">
        <w:rPr>
          <w:rFonts w:eastAsia="Calibri" w:cs="Arial"/>
          <w:iCs/>
          <w:szCs w:val="22"/>
          <w:lang w:val="en-AU" w:eastAsia="en-AU"/>
        </w:rPr>
        <w:t>a Permitted Health Star Rating symbol.”</w:t>
      </w:r>
    </w:p>
    <w:p w14:paraId="0A08E598"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[3.2]</w:t>
      </w:r>
      <w:r w:rsidRPr="0035359F">
        <w:rPr>
          <w:rFonts w:cs="Arial"/>
          <w:iCs/>
          <w:szCs w:val="22"/>
          <w:lang w:val="en-AU" w:eastAsia="en-AU"/>
        </w:rPr>
        <w:tab/>
        <w:t>inserting after subsection 1.2.8—6(10)</w:t>
      </w:r>
    </w:p>
    <w:p w14:paraId="125CB67D" w14:textId="77777777" w:rsidR="0035359F" w:rsidRPr="0035359F" w:rsidRDefault="0035359F" w:rsidP="0035359F">
      <w:pPr>
        <w:keepNext/>
        <w:tabs>
          <w:tab w:val="clear" w:pos="851"/>
        </w:tabs>
        <w:spacing w:before="120" w:after="60"/>
        <w:ind w:left="1701"/>
        <w:rPr>
          <w:rFonts w:cs="Arial"/>
          <w:bCs/>
          <w:i/>
          <w:kern w:val="32"/>
          <w:szCs w:val="32"/>
          <w:lang w:val="en-AU" w:eastAsia="en-AU"/>
        </w:rPr>
      </w:pPr>
      <w:r w:rsidRPr="0035359F">
        <w:rPr>
          <w:rFonts w:cs="Arial"/>
          <w:bCs/>
          <w:i/>
          <w:kern w:val="32"/>
          <w:szCs w:val="32"/>
          <w:lang w:val="en-AU" w:eastAsia="en-AU"/>
        </w:rPr>
        <w:t>“Claims about lactose</w:t>
      </w:r>
    </w:p>
    <w:p w14:paraId="09D18AB7"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ab/>
        <w:t>(11)</w:t>
      </w:r>
      <w:r w:rsidRPr="0035359F">
        <w:rPr>
          <w:rFonts w:cs="Arial"/>
          <w:iCs/>
          <w:szCs w:val="22"/>
          <w:lang w:val="en-AU" w:eastAsia="en-AU"/>
        </w:rPr>
        <w:tab/>
        <w:t>If a *claim requiring nutrition information is made in relation to lactose, a nutrition information panel must include a declaration of the average quantity of galactose in accordance with section S12—3.</w:t>
      </w:r>
    </w:p>
    <w:p w14:paraId="46C355E3" w14:textId="77777777" w:rsidR="0035359F" w:rsidRPr="0035359F" w:rsidRDefault="0035359F" w:rsidP="0035359F">
      <w:pPr>
        <w:keepNext/>
        <w:tabs>
          <w:tab w:val="clear" w:pos="851"/>
        </w:tabs>
        <w:spacing w:before="120" w:after="60"/>
        <w:ind w:left="1701"/>
        <w:rPr>
          <w:rFonts w:cs="Arial"/>
          <w:bCs/>
          <w:i/>
          <w:kern w:val="32"/>
          <w:szCs w:val="32"/>
          <w:lang w:val="en-AU" w:eastAsia="en-AU"/>
        </w:rPr>
      </w:pPr>
      <w:r w:rsidRPr="0035359F">
        <w:rPr>
          <w:rFonts w:cs="Arial"/>
          <w:bCs/>
          <w:i/>
          <w:kern w:val="32"/>
          <w:szCs w:val="32"/>
          <w:lang w:val="en-AU" w:eastAsia="en-AU"/>
        </w:rPr>
        <w:t xml:space="preserve">Claims about salt or sodium </w:t>
      </w:r>
    </w:p>
    <w:p w14:paraId="4EC2C346"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ab/>
        <w:t>(12)</w:t>
      </w:r>
      <w:r w:rsidRPr="0035359F">
        <w:rPr>
          <w:rFonts w:cs="Arial"/>
          <w:iCs/>
          <w:szCs w:val="22"/>
          <w:lang w:val="en-AU" w:eastAsia="en-AU"/>
        </w:rPr>
        <w:tab/>
        <w:t>If a *claim requiring nutrition information is made in relation to salt or sodium, the nutrition information panel must include a declaration of the average quantity of potassium in accordance with section S12—3.</w:t>
      </w:r>
    </w:p>
    <w:p w14:paraId="20CA3E28" w14:textId="77777777" w:rsidR="0035359F" w:rsidRPr="0035359F" w:rsidRDefault="0035359F" w:rsidP="0035359F">
      <w:pPr>
        <w:keepNext/>
        <w:tabs>
          <w:tab w:val="clear" w:pos="851"/>
        </w:tabs>
        <w:spacing w:before="120" w:after="60"/>
        <w:ind w:left="1701"/>
        <w:rPr>
          <w:rFonts w:cs="Arial"/>
          <w:bCs/>
          <w:i/>
          <w:kern w:val="32"/>
          <w:szCs w:val="32"/>
          <w:lang w:val="en-AU" w:eastAsia="en-AU"/>
        </w:rPr>
      </w:pPr>
      <w:r w:rsidRPr="0035359F">
        <w:rPr>
          <w:rFonts w:cs="Arial"/>
          <w:bCs/>
          <w:i/>
          <w:kern w:val="32"/>
          <w:szCs w:val="32"/>
          <w:lang w:val="en-AU" w:eastAsia="en-AU"/>
        </w:rPr>
        <w:t>Claims about omega-3 fatty acids</w:t>
      </w:r>
    </w:p>
    <w:p w14:paraId="09BF4353"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ab/>
        <w:t>(13)</w:t>
      </w:r>
      <w:r w:rsidRPr="0035359F">
        <w:rPr>
          <w:rFonts w:cs="Arial"/>
          <w:iCs/>
          <w:szCs w:val="22"/>
          <w:lang w:val="en-AU" w:eastAsia="en-AU"/>
        </w:rPr>
        <w:tab/>
        <w:t>If a *claim requiring nutrition information is made in relation to omega-3 fatty acids, the nutrition information panel must include declarations of each of the following in accordance with section S12—3:</w:t>
      </w:r>
    </w:p>
    <w:p w14:paraId="098682E0"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lang w:val="en-AU" w:eastAsia="en-AU"/>
        </w:rPr>
        <w:tab/>
        <w:t>(a)</w:t>
      </w:r>
      <w:r w:rsidRPr="0035359F">
        <w:rPr>
          <w:rFonts w:cs="Arial"/>
          <w:iCs/>
          <w:lang w:val="en-AU" w:eastAsia="en-AU"/>
        </w:rPr>
        <w:tab/>
      </w:r>
      <w:r w:rsidRPr="0035359F">
        <w:rPr>
          <w:rFonts w:cs="Arial"/>
          <w:iCs/>
          <w:szCs w:val="22"/>
          <w:lang w:val="en-AU" w:eastAsia="en-AU"/>
        </w:rPr>
        <w:t>the average quantity of each type of omega-3 fatty acids (</w:t>
      </w:r>
      <w:r w:rsidRPr="0035359F">
        <w:rPr>
          <w:rFonts w:eastAsia="Calibri" w:cs="Arial"/>
          <w:iCs/>
          <w:szCs w:val="22"/>
          <w:lang w:val="en-AU" w:eastAsia="en-AU"/>
        </w:rPr>
        <w:t>that is, alpha</w:t>
      </w:r>
      <w:r w:rsidRPr="0035359F">
        <w:rPr>
          <w:rFonts w:eastAsia="Calibri" w:cs="Arial"/>
          <w:iCs/>
          <w:szCs w:val="22"/>
          <w:lang w:val="en-AU" w:eastAsia="en-AU"/>
        </w:rPr>
        <w:noBreakHyphen/>
        <w:t xml:space="preserve">linolenic acid, docosahexaenoic acid, eicosapentaenoic acid or a combination of these); </w:t>
      </w:r>
      <w:r w:rsidRPr="0035359F">
        <w:rPr>
          <w:rFonts w:cs="Arial"/>
          <w:iCs/>
          <w:szCs w:val="22"/>
          <w:lang w:val="en-AU" w:eastAsia="en-AU"/>
        </w:rPr>
        <w:t>and</w:t>
      </w:r>
    </w:p>
    <w:p w14:paraId="085775F0"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(b)</w:t>
      </w:r>
      <w:r w:rsidRPr="0035359F">
        <w:rPr>
          <w:rFonts w:cs="Arial"/>
          <w:iCs/>
          <w:szCs w:val="22"/>
          <w:lang w:val="en-AU" w:eastAsia="en-AU"/>
        </w:rPr>
        <w:tab/>
        <w:t>the average quantity of the total of omega-3 fatty acids.”</w:t>
      </w:r>
    </w:p>
    <w:p w14:paraId="1E543242"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lang w:val="en-AU" w:eastAsia="en-AU"/>
        </w:rPr>
        <w:t>[3.3]</w:t>
      </w:r>
      <w:r w:rsidRPr="0035359F">
        <w:rPr>
          <w:rFonts w:cs="Arial"/>
          <w:iCs/>
          <w:lang w:val="en-AU" w:eastAsia="en-AU"/>
        </w:rPr>
        <w:tab/>
      </w:r>
      <w:r w:rsidRPr="0035359F">
        <w:rPr>
          <w:rFonts w:cs="Arial"/>
          <w:iCs/>
          <w:szCs w:val="22"/>
          <w:lang w:val="en-AU" w:eastAsia="en-AU"/>
        </w:rPr>
        <w:t>omitting from paragraph 1.2.8—14(1)(c) “a declaration of unavailable carbohydrate (not including dietary fibre)” and substituting “a declaration of the average quantity of unavailable carbohydrate (not including dietary fibre) per serving of the food”</w:t>
      </w:r>
    </w:p>
    <w:p w14:paraId="1F18DF0D"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[3.4]</w:t>
      </w:r>
      <w:r w:rsidRPr="0035359F">
        <w:rPr>
          <w:rFonts w:cs="Arial"/>
          <w:iCs/>
          <w:szCs w:val="22"/>
          <w:lang w:val="en-AU" w:eastAsia="en-AU"/>
        </w:rPr>
        <w:tab/>
        <w:t>omitting from paragraph 1.2.8—14(1)(c) “the presence in the food” and substituting “the average quantity per serving of the food”</w:t>
      </w:r>
    </w:p>
    <w:p w14:paraId="1831BDBB"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[3.5]</w:t>
      </w:r>
      <w:r w:rsidRPr="0035359F">
        <w:rPr>
          <w:rFonts w:cs="Arial"/>
          <w:iCs/>
          <w:szCs w:val="22"/>
          <w:lang w:val="en-AU" w:eastAsia="en-AU"/>
        </w:rPr>
        <w:tab/>
        <w:t>omitting “‘metric cup’,” from subsection 1.2.8—14(2)</w:t>
      </w:r>
    </w:p>
    <w:p w14:paraId="474877C4"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[4]</w:t>
      </w:r>
      <w:r w:rsidRPr="0035359F">
        <w:rPr>
          <w:rFonts w:cs="Arial"/>
          <w:b/>
          <w:iCs/>
          <w:szCs w:val="22"/>
          <w:lang w:val="en-AU" w:eastAsia="en-AU"/>
        </w:rPr>
        <w:tab/>
        <w:t>Schedule 4</w:t>
      </w:r>
      <w:r w:rsidRPr="0035359F">
        <w:rPr>
          <w:rFonts w:cs="Arial"/>
          <w:iCs/>
          <w:szCs w:val="22"/>
          <w:lang w:val="en-AU" w:eastAsia="en-AU"/>
        </w:rPr>
        <w:t xml:space="preserve"> is varied by </w:t>
      </w:r>
    </w:p>
    <w:p w14:paraId="422762F5"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[4.1]</w:t>
      </w:r>
      <w:r w:rsidRPr="0035359F">
        <w:rPr>
          <w:rFonts w:cs="Arial"/>
          <w:iCs/>
          <w:szCs w:val="22"/>
          <w:lang w:val="en-AU" w:eastAsia="en-AU"/>
        </w:rPr>
        <w:tab/>
        <w:t xml:space="preserve">omitting from the entry for Lactose in the table to section S4—3 “The nutrition information panel indicates the lactose and galactose content.” </w:t>
      </w:r>
    </w:p>
    <w:p w14:paraId="7C0C3927" w14:textId="77777777" w:rsidR="0035359F" w:rsidRPr="0035359F" w:rsidRDefault="0035359F" w:rsidP="0035359F">
      <w:pPr>
        <w:tabs>
          <w:tab w:val="clear" w:pos="851"/>
          <w:tab w:val="left" w:pos="1134"/>
        </w:tabs>
        <w:spacing w:before="120" w:after="120"/>
        <w:rPr>
          <w:rFonts w:eastAsia="Calibri" w:cs="Arial"/>
          <w:iCs/>
          <w:szCs w:val="22"/>
          <w:lang w:val="en-AU" w:eastAsia="en-AU"/>
        </w:rPr>
      </w:pPr>
      <w:r w:rsidRPr="0035359F">
        <w:rPr>
          <w:rFonts w:cs="Arial"/>
          <w:iCs/>
          <w:szCs w:val="22"/>
          <w:lang w:val="en-AU" w:eastAsia="en-AU"/>
        </w:rPr>
        <w:t xml:space="preserve">[4.2] </w:t>
      </w:r>
      <w:r w:rsidRPr="0035359F">
        <w:rPr>
          <w:rFonts w:cs="Arial"/>
          <w:iCs/>
          <w:szCs w:val="22"/>
          <w:lang w:val="en-AU" w:eastAsia="en-AU"/>
        </w:rPr>
        <w:tab/>
        <w:t>omitting from the entry for Salt or sodium in the table to section S4—3 “</w:t>
      </w:r>
      <w:r w:rsidRPr="0035359F">
        <w:rPr>
          <w:rFonts w:eastAsia="Calibri" w:cs="Arial"/>
          <w:iCs/>
          <w:szCs w:val="22"/>
          <w:lang w:val="en-AU" w:eastAsia="en-AU"/>
        </w:rPr>
        <w:t>The nutrition information panel indicates the potassium content.”</w:t>
      </w:r>
    </w:p>
    <w:p w14:paraId="7BF97970" w14:textId="77777777" w:rsidR="0035359F" w:rsidRPr="0035359F" w:rsidRDefault="0035359F" w:rsidP="0035359F">
      <w:pPr>
        <w:tabs>
          <w:tab w:val="clear" w:pos="851"/>
          <w:tab w:val="left" w:pos="1134"/>
        </w:tabs>
        <w:spacing w:before="120" w:after="120"/>
        <w:ind w:left="1701" w:hanging="1701"/>
        <w:rPr>
          <w:rFonts w:eastAsia="Calibri" w:cs="Arial"/>
          <w:iCs/>
          <w:szCs w:val="22"/>
          <w:lang w:val="en-AU" w:eastAsia="en-AU"/>
        </w:rPr>
      </w:pPr>
      <w:r w:rsidRPr="0035359F">
        <w:rPr>
          <w:rFonts w:eastAsia="Calibri" w:cs="Arial"/>
          <w:iCs/>
          <w:szCs w:val="22"/>
          <w:lang w:val="en-AU" w:eastAsia="en-AU"/>
        </w:rPr>
        <w:t xml:space="preserve">[4.3] </w:t>
      </w:r>
      <w:r w:rsidRPr="0035359F">
        <w:rPr>
          <w:rFonts w:eastAsia="Calibri" w:cs="Arial"/>
          <w:iCs/>
          <w:szCs w:val="22"/>
          <w:lang w:val="en-AU" w:eastAsia="en-AU"/>
        </w:rPr>
        <w:tab/>
        <w:t>omitting from the table to section S4—3</w:t>
      </w:r>
    </w:p>
    <w:p w14:paraId="2CB4A9A9" w14:textId="77777777" w:rsidR="0035359F" w:rsidRPr="0035359F" w:rsidRDefault="0035359F" w:rsidP="0035359F">
      <w:pPr>
        <w:tabs>
          <w:tab w:val="clear" w:pos="851"/>
        </w:tabs>
        <w:rPr>
          <w:rFonts w:eastAsia="Calibri" w:cs="Arial"/>
          <w:lang w:eastAsia="en-AU" w:bidi="en-US"/>
        </w:rPr>
      </w:pPr>
      <w:r w:rsidRPr="0035359F">
        <w:rPr>
          <w:rFonts w:eastAsia="Calibri" w:cs="Arial"/>
          <w:lang w:eastAsia="en-AU" w:bidi="en-US"/>
        </w:rPr>
        <w:br w:type="page"/>
      </w:r>
    </w:p>
    <w:p w14:paraId="29DD887F" w14:textId="77777777" w:rsidR="0035359F" w:rsidRPr="0035359F" w:rsidRDefault="0035359F" w:rsidP="0035359F">
      <w:pPr>
        <w:keepNext/>
        <w:tabs>
          <w:tab w:val="clear" w:pos="851"/>
        </w:tabs>
        <w:rPr>
          <w:rFonts w:eastAsia="Calibri" w:cs="Arial"/>
          <w:lang w:eastAsia="en-AU" w:bidi="en-US"/>
        </w:rPr>
      </w:pP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1"/>
        <w:gridCol w:w="2819"/>
        <w:gridCol w:w="1560"/>
        <w:gridCol w:w="3152"/>
      </w:tblGrid>
      <w:tr w:rsidR="0035359F" w:rsidRPr="0035359F" w14:paraId="26D3A498" w14:textId="77777777" w:rsidTr="009D4E04">
        <w:trPr>
          <w:cantSplit/>
          <w:trHeight w:val="2481"/>
        </w:trPr>
        <w:tc>
          <w:tcPr>
            <w:tcW w:w="1547" w:type="dxa"/>
            <w:vMerge w:val="restart"/>
            <w:tcBorders>
              <w:top w:val="single" w:sz="6" w:space="0" w:color="auto"/>
              <w:left w:val="nil"/>
              <w:bottom w:val="single" w:sz="6" w:space="0" w:color="auto"/>
              <w:right w:val="nil"/>
            </w:tcBorders>
            <w:hideMark/>
          </w:tcPr>
          <w:p w14:paraId="32CA2A48"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Omega-3 fatty acids</w:t>
            </w:r>
          </w:p>
        </w:tc>
        <w:tc>
          <w:tcPr>
            <w:tcW w:w="2829" w:type="dxa"/>
            <w:vMerge w:val="restart"/>
            <w:tcBorders>
              <w:top w:val="single" w:sz="6" w:space="0" w:color="auto"/>
              <w:left w:val="nil"/>
              <w:bottom w:val="single" w:sz="6" w:space="0" w:color="auto"/>
              <w:right w:val="nil"/>
            </w:tcBorders>
            <w:hideMark/>
          </w:tcPr>
          <w:p w14:paraId="10C4E433"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meets the conditions for a nutrition content claim about omega fatty acids; and</w:t>
            </w:r>
          </w:p>
          <w:p w14:paraId="6C733C69"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food contains no less than:</w:t>
            </w:r>
          </w:p>
          <w:p w14:paraId="1BE177B7" w14:textId="77777777" w:rsidR="0035359F" w:rsidRPr="0035359F" w:rsidRDefault="0035359F" w:rsidP="0035359F">
            <w:pPr>
              <w:keepLines/>
              <w:widowControl/>
              <w:tabs>
                <w:tab w:val="clear" w:pos="851"/>
              </w:tabs>
              <w:spacing w:before="60" w:after="60"/>
              <w:ind w:left="794" w:hanging="397"/>
              <w:rPr>
                <w:rFonts w:cs="Arial"/>
                <w:sz w:val="18"/>
                <w:szCs w:val="22"/>
                <w:lang w:val="en-AU" w:eastAsia="en-AU"/>
              </w:rPr>
            </w:pPr>
            <w:r w:rsidRPr="0035359F">
              <w:rPr>
                <w:rFonts w:cs="Arial"/>
                <w:sz w:val="18"/>
                <w:szCs w:val="22"/>
                <w:lang w:val="en-AU" w:eastAsia="en-AU"/>
              </w:rPr>
              <w:t>(</w:t>
            </w:r>
            <w:proofErr w:type="spellStart"/>
            <w:r w:rsidRPr="0035359F">
              <w:rPr>
                <w:rFonts w:cs="Arial"/>
                <w:sz w:val="18"/>
                <w:szCs w:val="22"/>
                <w:lang w:val="en-AU" w:eastAsia="en-AU"/>
              </w:rPr>
              <w:t>i</w:t>
            </w:r>
            <w:proofErr w:type="spellEnd"/>
            <w:r w:rsidRPr="0035359F">
              <w:rPr>
                <w:rFonts w:cs="Arial"/>
                <w:sz w:val="18"/>
                <w:szCs w:val="22"/>
                <w:lang w:val="en-AU" w:eastAsia="en-AU"/>
              </w:rPr>
              <w:t>)</w:t>
            </w:r>
            <w:r w:rsidRPr="0035359F">
              <w:rPr>
                <w:rFonts w:cs="Arial"/>
                <w:sz w:val="18"/>
                <w:szCs w:val="22"/>
                <w:lang w:val="en-AU" w:eastAsia="en-AU"/>
              </w:rPr>
              <w:tab/>
              <w:t>200 mg alpha-linolenic acid per serving; or</w:t>
            </w:r>
          </w:p>
          <w:p w14:paraId="33BA6CCA" w14:textId="77777777" w:rsidR="0035359F" w:rsidRPr="0035359F" w:rsidRDefault="0035359F" w:rsidP="0035359F">
            <w:pPr>
              <w:keepLines/>
              <w:widowControl/>
              <w:tabs>
                <w:tab w:val="clear" w:pos="851"/>
              </w:tabs>
              <w:spacing w:before="60" w:after="60"/>
              <w:ind w:left="794" w:hanging="397"/>
              <w:rPr>
                <w:rFonts w:cs="Arial"/>
                <w:sz w:val="18"/>
                <w:szCs w:val="22"/>
                <w:lang w:val="en-AU" w:eastAsia="en-AU"/>
              </w:rPr>
            </w:pPr>
            <w:r w:rsidRPr="0035359F">
              <w:rPr>
                <w:rFonts w:cs="Arial"/>
                <w:sz w:val="18"/>
                <w:szCs w:val="22"/>
                <w:lang w:val="en-AU" w:eastAsia="en-AU"/>
              </w:rPr>
              <w:t>(ii)</w:t>
            </w:r>
            <w:r w:rsidRPr="0035359F">
              <w:rPr>
                <w:rFonts w:cs="Arial"/>
                <w:sz w:val="18"/>
                <w:szCs w:val="22"/>
                <w:lang w:val="en-AU" w:eastAsia="en-AU"/>
              </w:rPr>
              <w:tab/>
              <w:t xml:space="preserve">30 mg total eicosapentaenoic acid and docosahexaenoic acid per serving; and </w:t>
            </w:r>
          </w:p>
          <w:p w14:paraId="11EC5BE6"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(c)</w:t>
            </w:r>
            <w:r w:rsidRPr="0035359F">
              <w:rPr>
                <w:rFonts w:cs="Arial"/>
                <w:sz w:val="18"/>
                <w:szCs w:val="22"/>
                <w:lang w:eastAsia="en-AU"/>
              </w:rPr>
              <w:tab/>
              <w:t>other than for fish or fish products with no added *saturated fatty acids, the food contains:</w:t>
            </w:r>
          </w:p>
          <w:p w14:paraId="338E4A37" w14:textId="77777777" w:rsidR="0035359F" w:rsidRPr="0035359F" w:rsidRDefault="0035359F" w:rsidP="0035359F">
            <w:pPr>
              <w:keepLines/>
              <w:widowControl/>
              <w:tabs>
                <w:tab w:val="clear" w:pos="851"/>
              </w:tabs>
              <w:spacing w:before="60" w:after="60"/>
              <w:ind w:left="794" w:hanging="397"/>
              <w:rPr>
                <w:rFonts w:cs="Arial"/>
                <w:sz w:val="18"/>
                <w:szCs w:val="22"/>
                <w:lang w:val="en-AU" w:eastAsia="en-AU"/>
              </w:rPr>
            </w:pPr>
            <w:r w:rsidRPr="0035359F">
              <w:rPr>
                <w:rFonts w:cs="Arial"/>
                <w:sz w:val="18"/>
                <w:szCs w:val="22"/>
                <w:lang w:val="en-AU" w:eastAsia="en-AU"/>
              </w:rPr>
              <w:t>(</w:t>
            </w:r>
            <w:proofErr w:type="spellStart"/>
            <w:r w:rsidRPr="0035359F">
              <w:rPr>
                <w:rFonts w:cs="Arial"/>
                <w:sz w:val="18"/>
                <w:szCs w:val="22"/>
                <w:lang w:val="en-AU" w:eastAsia="en-AU"/>
              </w:rPr>
              <w:t>i</w:t>
            </w:r>
            <w:proofErr w:type="spellEnd"/>
            <w:r w:rsidRPr="0035359F">
              <w:rPr>
                <w:rFonts w:cs="Arial"/>
                <w:sz w:val="18"/>
                <w:szCs w:val="22"/>
                <w:lang w:val="en-AU" w:eastAsia="en-AU"/>
              </w:rPr>
              <w:t>)</w:t>
            </w:r>
            <w:r w:rsidRPr="0035359F">
              <w:rPr>
                <w:rFonts w:cs="Arial"/>
                <w:sz w:val="18"/>
                <w:szCs w:val="22"/>
                <w:lang w:val="en-AU" w:eastAsia="en-AU"/>
              </w:rPr>
              <w:tab/>
              <w:t>as a proportion of the total fatty acid content, no more than 28% saturated fatty acids and trans fatty acids; or</w:t>
            </w:r>
          </w:p>
          <w:p w14:paraId="74C1FAA4" w14:textId="77777777" w:rsidR="0035359F" w:rsidRPr="0035359F" w:rsidRDefault="0035359F" w:rsidP="0035359F">
            <w:pPr>
              <w:keepLines/>
              <w:widowControl/>
              <w:tabs>
                <w:tab w:val="clear" w:pos="851"/>
              </w:tabs>
              <w:spacing w:before="60" w:after="60"/>
              <w:ind w:left="794" w:hanging="397"/>
              <w:rPr>
                <w:rFonts w:cs="Arial"/>
                <w:sz w:val="18"/>
                <w:szCs w:val="22"/>
                <w:lang w:val="en-AU" w:eastAsia="en-AU"/>
              </w:rPr>
            </w:pPr>
            <w:r w:rsidRPr="0035359F">
              <w:rPr>
                <w:rFonts w:cs="Arial"/>
                <w:sz w:val="18"/>
                <w:szCs w:val="22"/>
                <w:lang w:val="en-AU" w:eastAsia="en-AU"/>
              </w:rPr>
              <w:t>(ii)</w:t>
            </w:r>
            <w:r w:rsidRPr="0035359F">
              <w:rPr>
                <w:rFonts w:cs="Arial"/>
                <w:sz w:val="18"/>
                <w:szCs w:val="22"/>
                <w:lang w:val="en-AU" w:eastAsia="en-AU"/>
              </w:rPr>
              <w:tab/>
              <w:t>no more saturated fatty acids and *trans fatty acids than 5 g per 100 g; and</w:t>
            </w:r>
          </w:p>
          <w:p w14:paraId="50B95D8A"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(d)</w:t>
            </w:r>
            <w:r w:rsidRPr="0035359F">
              <w:rPr>
                <w:rFonts w:cs="Arial"/>
                <w:sz w:val="18"/>
                <w:szCs w:val="22"/>
                <w:lang w:eastAsia="en-AU"/>
              </w:rPr>
              <w:tab/>
              <w:t>the nutrition information panel indicates the type and amount of omega-3 fatty acids, that is, alpha-linolenic acid, docosahexaenoic acid or eicosapentaenoic acid, or a combination of the above.</w:t>
            </w:r>
          </w:p>
        </w:tc>
        <w:tc>
          <w:tcPr>
            <w:tcW w:w="1565" w:type="dxa"/>
            <w:tcBorders>
              <w:top w:val="single" w:sz="6" w:space="0" w:color="auto"/>
              <w:left w:val="nil"/>
              <w:bottom w:val="nil"/>
              <w:right w:val="nil"/>
            </w:tcBorders>
            <w:hideMark/>
          </w:tcPr>
          <w:p w14:paraId="724649A0"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Good Source</w:t>
            </w:r>
          </w:p>
        </w:tc>
        <w:tc>
          <w:tcPr>
            <w:tcW w:w="3163" w:type="dxa"/>
            <w:tcBorders>
              <w:top w:val="single" w:sz="6" w:space="0" w:color="auto"/>
              <w:left w:val="nil"/>
              <w:bottom w:val="nil"/>
              <w:right w:val="nil"/>
            </w:tcBorders>
            <w:hideMark/>
          </w:tcPr>
          <w:p w14:paraId="0D837ECE"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contains no less than 60 mg total eicosapentaenoic acid and docosahexaenoic acid/serving; and</w:t>
            </w:r>
          </w:p>
          <w:p w14:paraId="08A46C19"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food may contain less than 200 mg alpha-linolenic acid/serving.</w:t>
            </w:r>
          </w:p>
        </w:tc>
      </w:tr>
      <w:tr w:rsidR="0035359F" w:rsidRPr="0035359F" w14:paraId="26D66FAB" w14:textId="77777777" w:rsidTr="009D4E04">
        <w:trPr>
          <w:trHeight w:val="3247"/>
        </w:trPr>
        <w:tc>
          <w:tcPr>
            <w:tcW w:w="1547" w:type="dxa"/>
            <w:vMerge/>
            <w:tcBorders>
              <w:top w:val="single" w:sz="6" w:space="0" w:color="auto"/>
              <w:left w:val="nil"/>
              <w:bottom w:val="single" w:sz="6" w:space="0" w:color="auto"/>
              <w:right w:val="nil"/>
            </w:tcBorders>
            <w:vAlign w:val="center"/>
            <w:hideMark/>
          </w:tcPr>
          <w:p w14:paraId="205E26D3" w14:textId="77777777" w:rsidR="0035359F" w:rsidRPr="0035359F" w:rsidRDefault="0035359F" w:rsidP="0035359F">
            <w:pPr>
              <w:tabs>
                <w:tab w:val="clear" w:pos="851"/>
              </w:tabs>
              <w:rPr>
                <w:rFonts w:cs="Arial"/>
                <w:sz w:val="18"/>
                <w:szCs w:val="22"/>
                <w:lang w:eastAsia="en-AU" w:bidi="en-US"/>
              </w:rPr>
            </w:pPr>
          </w:p>
        </w:tc>
        <w:tc>
          <w:tcPr>
            <w:tcW w:w="2829" w:type="dxa"/>
            <w:vMerge/>
            <w:tcBorders>
              <w:top w:val="single" w:sz="6" w:space="0" w:color="auto"/>
              <w:left w:val="nil"/>
              <w:bottom w:val="single" w:sz="6" w:space="0" w:color="auto"/>
              <w:right w:val="nil"/>
            </w:tcBorders>
            <w:vAlign w:val="center"/>
            <w:hideMark/>
          </w:tcPr>
          <w:p w14:paraId="57042AB1" w14:textId="77777777" w:rsidR="0035359F" w:rsidRPr="0035359F" w:rsidRDefault="0035359F" w:rsidP="0035359F">
            <w:pPr>
              <w:tabs>
                <w:tab w:val="clear" w:pos="851"/>
              </w:tabs>
              <w:rPr>
                <w:rFonts w:cs="Arial"/>
                <w:sz w:val="18"/>
                <w:szCs w:val="22"/>
                <w:lang w:eastAsia="en-AU" w:bidi="en-US"/>
              </w:rPr>
            </w:pPr>
          </w:p>
        </w:tc>
        <w:tc>
          <w:tcPr>
            <w:tcW w:w="1565" w:type="dxa"/>
            <w:tcBorders>
              <w:top w:val="nil"/>
              <w:left w:val="nil"/>
              <w:bottom w:val="single" w:sz="6" w:space="0" w:color="auto"/>
              <w:right w:val="nil"/>
            </w:tcBorders>
            <w:hideMark/>
          </w:tcPr>
          <w:p w14:paraId="55E6B16D"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Increased</w:t>
            </w:r>
          </w:p>
        </w:tc>
        <w:tc>
          <w:tcPr>
            <w:tcW w:w="3163" w:type="dxa"/>
            <w:tcBorders>
              <w:top w:val="nil"/>
              <w:left w:val="nil"/>
              <w:bottom w:val="single" w:sz="6" w:space="0" w:color="auto"/>
              <w:right w:val="nil"/>
            </w:tcBorders>
            <w:hideMark/>
          </w:tcPr>
          <w:p w14:paraId="0E31765F"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contains at least 25% more omega-3 fatty acids than in the same amount of *reference food; and</w:t>
            </w:r>
          </w:p>
          <w:p w14:paraId="1A96D0D6"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reference food meets the general claim conditions for a nutrition content claim about omega-3 fatty acids.</w:t>
            </w:r>
          </w:p>
        </w:tc>
      </w:tr>
    </w:tbl>
    <w:p w14:paraId="0B86C95E" w14:textId="77777777" w:rsidR="0035359F" w:rsidRPr="0035359F" w:rsidRDefault="0035359F" w:rsidP="0035359F">
      <w:pPr>
        <w:tabs>
          <w:tab w:val="clear" w:pos="851"/>
        </w:tabs>
        <w:jc w:val="right"/>
        <w:rPr>
          <w:rFonts w:eastAsia="Calibri" w:cs="Arial"/>
          <w:lang w:eastAsia="en-AU" w:bidi="en-US"/>
        </w:rPr>
      </w:pPr>
    </w:p>
    <w:p w14:paraId="4CE7D13F" w14:textId="77777777" w:rsidR="0035359F" w:rsidRPr="0035359F" w:rsidRDefault="0035359F" w:rsidP="0035359F">
      <w:pPr>
        <w:tabs>
          <w:tab w:val="clear" w:pos="851"/>
        </w:tabs>
        <w:rPr>
          <w:rFonts w:eastAsia="Calibri" w:cs="Arial"/>
          <w:lang w:eastAsia="en-AU" w:bidi="en-US"/>
        </w:rPr>
      </w:pPr>
      <w:r w:rsidRPr="0035359F">
        <w:rPr>
          <w:rFonts w:eastAsia="Calibri" w:cs="Arial"/>
          <w:lang w:eastAsia="en-AU" w:bidi="en-US"/>
        </w:rPr>
        <w:t>and substituting</w:t>
      </w:r>
    </w:p>
    <w:p w14:paraId="74533D44" w14:textId="77777777" w:rsidR="0035359F" w:rsidRPr="0035359F" w:rsidRDefault="0035359F" w:rsidP="0035359F">
      <w:pPr>
        <w:tabs>
          <w:tab w:val="clear" w:pos="851"/>
        </w:tabs>
        <w:rPr>
          <w:rFonts w:eastAsia="Calibri" w:cs="Arial"/>
          <w:lang w:eastAsia="en-AU" w:bidi="en-US"/>
        </w:rPr>
      </w:pPr>
    </w:p>
    <w:p w14:paraId="386262AC" w14:textId="77777777" w:rsidR="0035359F" w:rsidRPr="0035359F" w:rsidRDefault="0035359F" w:rsidP="0035359F">
      <w:pPr>
        <w:tabs>
          <w:tab w:val="clear" w:pos="851"/>
        </w:tabs>
        <w:rPr>
          <w:rFonts w:eastAsia="Calibri" w:cs="Arial"/>
          <w:lang w:eastAsia="en-AU" w:bidi="en-US"/>
        </w:rPr>
      </w:pPr>
      <w:r w:rsidRPr="0035359F">
        <w:rPr>
          <w:rFonts w:eastAsia="Calibri" w:cs="Arial"/>
          <w:lang w:eastAsia="en-AU" w:bidi="en-US"/>
        </w:rPr>
        <w:br w:type="page"/>
      </w:r>
    </w:p>
    <w:p w14:paraId="31703BD3" w14:textId="77777777" w:rsidR="0035359F" w:rsidRPr="0035359F" w:rsidRDefault="0035359F" w:rsidP="0035359F">
      <w:pPr>
        <w:tabs>
          <w:tab w:val="clear" w:pos="851"/>
        </w:tabs>
        <w:rPr>
          <w:rFonts w:eastAsia="Calibri" w:cs="Arial"/>
          <w:lang w:eastAsia="en-AU" w:bidi="en-US"/>
        </w:rPr>
      </w:pPr>
    </w:p>
    <w:tbl>
      <w:tblPr>
        <w:tblW w:w="907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20"/>
        <w:gridCol w:w="1560"/>
        <w:gridCol w:w="3153"/>
      </w:tblGrid>
      <w:tr w:rsidR="0035359F" w:rsidRPr="0035359F" w14:paraId="156FB801" w14:textId="77777777" w:rsidTr="009D4E04">
        <w:trPr>
          <w:cantSplit/>
          <w:trHeight w:val="2300"/>
        </w:trPr>
        <w:tc>
          <w:tcPr>
            <w:tcW w:w="1542" w:type="dxa"/>
            <w:vMerge w:val="restart"/>
            <w:tcBorders>
              <w:top w:val="single" w:sz="6" w:space="0" w:color="auto"/>
              <w:left w:val="nil"/>
              <w:bottom w:val="single" w:sz="6" w:space="0" w:color="auto"/>
              <w:right w:val="nil"/>
            </w:tcBorders>
            <w:hideMark/>
          </w:tcPr>
          <w:p w14:paraId="39B3D13D"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Omega-3 fatty acids</w:t>
            </w:r>
          </w:p>
        </w:tc>
        <w:tc>
          <w:tcPr>
            <w:tcW w:w="2819" w:type="dxa"/>
            <w:vMerge w:val="restart"/>
            <w:tcBorders>
              <w:top w:val="single" w:sz="6" w:space="0" w:color="auto"/>
              <w:left w:val="nil"/>
              <w:bottom w:val="single" w:sz="6" w:space="0" w:color="auto"/>
              <w:right w:val="nil"/>
            </w:tcBorders>
            <w:hideMark/>
          </w:tcPr>
          <w:p w14:paraId="426EE4DB"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meets the conditions for a nutrition content claim about omega fatty acids; and</w:t>
            </w:r>
          </w:p>
          <w:p w14:paraId="334E7B47"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food contains no less than:</w:t>
            </w:r>
          </w:p>
          <w:p w14:paraId="64DC24D6"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w:t>
            </w:r>
            <w:proofErr w:type="spellStart"/>
            <w:r w:rsidRPr="0035359F">
              <w:rPr>
                <w:rFonts w:cs="Arial"/>
                <w:sz w:val="18"/>
                <w:szCs w:val="22"/>
                <w:lang w:eastAsia="en-AU"/>
              </w:rPr>
              <w:t>i</w:t>
            </w:r>
            <w:proofErr w:type="spellEnd"/>
            <w:r w:rsidRPr="0035359F">
              <w:rPr>
                <w:rFonts w:cs="Arial"/>
                <w:sz w:val="18"/>
                <w:szCs w:val="22"/>
                <w:lang w:eastAsia="en-AU"/>
              </w:rPr>
              <w:t>)</w:t>
            </w:r>
            <w:r w:rsidRPr="0035359F">
              <w:rPr>
                <w:rFonts w:cs="Arial"/>
                <w:sz w:val="18"/>
                <w:szCs w:val="22"/>
                <w:lang w:eastAsia="en-AU"/>
              </w:rPr>
              <w:tab/>
              <w:t>200 mg alpha-linolenic acid per serving; or</w:t>
            </w:r>
          </w:p>
          <w:p w14:paraId="6C7E21F9"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w:t>
            </w:r>
            <w:r w:rsidRPr="0035359F">
              <w:rPr>
                <w:rFonts w:cs="Arial"/>
                <w:sz w:val="18"/>
                <w:szCs w:val="22"/>
                <w:lang w:eastAsia="en-AU"/>
              </w:rPr>
              <w:tab/>
              <w:t xml:space="preserve">30 mg total eicosapentaenoic acid and docosahexaenoic acid per serving; and </w:t>
            </w:r>
          </w:p>
          <w:p w14:paraId="3DEA2D71"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(c)</w:t>
            </w:r>
            <w:r w:rsidRPr="0035359F">
              <w:rPr>
                <w:rFonts w:cs="Arial"/>
                <w:sz w:val="18"/>
                <w:szCs w:val="22"/>
                <w:lang w:eastAsia="en-AU"/>
              </w:rPr>
              <w:tab/>
              <w:t>other than for fish or fish products with no added *saturated fatty acids, the food contains:</w:t>
            </w:r>
          </w:p>
          <w:p w14:paraId="5BDE15C0"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w:t>
            </w:r>
            <w:proofErr w:type="spellStart"/>
            <w:r w:rsidRPr="0035359F">
              <w:rPr>
                <w:rFonts w:cs="Arial"/>
                <w:sz w:val="18"/>
                <w:szCs w:val="22"/>
                <w:lang w:eastAsia="en-AU"/>
              </w:rPr>
              <w:t>i</w:t>
            </w:r>
            <w:proofErr w:type="spellEnd"/>
            <w:r w:rsidRPr="0035359F">
              <w:rPr>
                <w:rFonts w:cs="Arial"/>
                <w:sz w:val="18"/>
                <w:szCs w:val="22"/>
                <w:lang w:eastAsia="en-AU"/>
              </w:rPr>
              <w:t>)</w:t>
            </w:r>
            <w:r w:rsidRPr="0035359F">
              <w:rPr>
                <w:rFonts w:cs="Arial"/>
                <w:sz w:val="18"/>
                <w:szCs w:val="22"/>
                <w:lang w:eastAsia="en-AU"/>
              </w:rPr>
              <w:tab/>
              <w:t>as a proportion of the total fatty acid content, no more than 28% saturated fatty acids and trans fatty acids; or</w:t>
            </w:r>
          </w:p>
          <w:p w14:paraId="71F54E73"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w:t>
            </w:r>
            <w:r w:rsidRPr="0035359F">
              <w:rPr>
                <w:rFonts w:cs="Arial"/>
                <w:sz w:val="18"/>
                <w:szCs w:val="22"/>
                <w:lang w:eastAsia="en-AU"/>
              </w:rPr>
              <w:tab/>
              <w:t>no more saturated fatty acids and *trans fatty acids than 5 g per 100 g</w:t>
            </w:r>
          </w:p>
        </w:tc>
        <w:tc>
          <w:tcPr>
            <w:tcW w:w="1559" w:type="dxa"/>
            <w:tcBorders>
              <w:top w:val="single" w:sz="6" w:space="0" w:color="auto"/>
              <w:left w:val="nil"/>
              <w:bottom w:val="nil"/>
              <w:right w:val="nil"/>
            </w:tcBorders>
            <w:hideMark/>
          </w:tcPr>
          <w:p w14:paraId="6ACF7A9A"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Good Source</w:t>
            </w:r>
          </w:p>
        </w:tc>
        <w:tc>
          <w:tcPr>
            <w:tcW w:w="3152" w:type="dxa"/>
            <w:tcBorders>
              <w:top w:val="single" w:sz="6" w:space="0" w:color="auto"/>
              <w:left w:val="nil"/>
              <w:bottom w:val="nil"/>
              <w:right w:val="nil"/>
            </w:tcBorders>
            <w:hideMark/>
          </w:tcPr>
          <w:p w14:paraId="349F4448"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contains no less than 60 mg total eicosapentaenoic acid and docosahexaenoic acid/serving; and</w:t>
            </w:r>
          </w:p>
          <w:p w14:paraId="5D0B4C01"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food may contain less than 200 mg alpha-linolenic acid/serving.</w:t>
            </w:r>
          </w:p>
        </w:tc>
      </w:tr>
      <w:tr w:rsidR="0035359F" w:rsidRPr="0035359F" w14:paraId="57006C84" w14:textId="77777777" w:rsidTr="009D4E04">
        <w:trPr>
          <w:trHeight w:val="3010"/>
        </w:trPr>
        <w:tc>
          <w:tcPr>
            <w:tcW w:w="1542" w:type="dxa"/>
            <w:vMerge/>
            <w:tcBorders>
              <w:top w:val="single" w:sz="6" w:space="0" w:color="auto"/>
              <w:left w:val="nil"/>
              <w:bottom w:val="single" w:sz="6" w:space="0" w:color="auto"/>
              <w:right w:val="nil"/>
            </w:tcBorders>
            <w:vAlign w:val="center"/>
            <w:hideMark/>
          </w:tcPr>
          <w:p w14:paraId="79F2B894" w14:textId="77777777" w:rsidR="0035359F" w:rsidRPr="0035359F" w:rsidRDefault="0035359F" w:rsidP="0035359F">
            <w:pPr>
              <w:tabs>
                <w:tab w:val="clear" w:pos="851"/>
              </w:tabs>
              <w:rPr>
                <w:rFonts w:cs="Arial"/>
                <w:sz w:val="18"/>
                <w:szCs w:val="22"/>
                <w:lang w:eastAsia="en-AU" w:bidi="en-US"/>
              </w:rPr>
            </w:pPr>
          </w:p>
        </w:tc>
        <w:tc>
          <w:tcPr>
            <w:tcW w:w="2819" w:type="dxa"/>
            <w:vMerge/>
            <w:tcBorders>
              <w:top w:val="single" w:sz="6" w:space="0" w:color="auto"/>
              <w:left w:val="nil"/>
              <w:bottom w:val="single" w:sz="6" w:space="0" w:color="auto"/>
              <w:right w:val="nil"/>
            </w:tcBorders>
            <w:vAlign w:val="center"/>
            <w:hideMark/>
          </w:tcPr>
          <w:p w14:paraId="6FA00B23" w14:textId="77777777" w:rsidR="0035359F" w:rsidRPr="0035359F" w:rsidRDefault="0035359F" w:rsidP="0035359F">
            <w:pPr>
              <w:tabs>
                <w:tab w:val="clear" w:pos="851"/>
              </w:tabs>
              <w:rPr>
                <w:rFonts w:cs="Arial"/>
                <w:sz w:val="18"/>
                <w:szCs w:val="22"/>
                <w:lang w:eastAsia="en-AU" w:bidi="en-US"/>
              </w:rPr>
            </w:pPr>
          </w:p>
        </w:tc>
        <w:tc>
          <w:tcPr>
            <w:tcW w:w="1559" w:type="dxa"/>
            <w:tcBorders>
              <w:top w:val="nil"/>
              <w:left w:val="nil"/>
              <w:bottom w:val="single" w:sz="6" w:space="0" w:color="auto"/>
              <w:right w:val="nil"/>
            </w:tcBorders>
            <w:hideMark/>
          </w:tcPr>
          <w:p w14:paraId="69D823D7"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Increased</w:t>
            </w:r>
          </w:p>
        </w:tc>
        <w:tc>
          <w:tcPr>
            <w:tcW w:w="3152" w:type="dxa"/>
            <w:tcBorders>
              <w:top w:val="nil"/>
              <w:left w:val="nil"/>
              <w:bottom w:val="single" w:sz="6" w:space="0" w:color="auto"/>
              <w:right w:val="nil"/>
            </w:tcBorders>
            <w:hideMark/>
          </w:tcPr>
          <w:p w14:paraId="23E3DF20"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food contains at least 25% more omega-3 fatty acids than in the same amount of *reference food; and</w:t>
            </w:r>
          </w:p>
          <w:p w14:paraId="77F3974D"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the reference food meets the general claim conditions for a nutrition content claim about omega-3 fatty acids.</w:t>
            </w:r>
          </w:p>
        </w:tc>
      </w:tr>
    </w:tbl>
    <w:p w14:paraId="464FF46C" w14:textId="77777777" w:rsidR="0035359F" w:rsidRPr="0035359F" w:rsidRDefault="0035359F" w:rsidP="0035359F">
      <w:pPr>
        <w:tabs>
          <w:tab w:val="clear" w:pos="851"/>
        </w:tabs>
        <w:jc w:val="right"/>
        <w:rPr>
          <w:rFonts w:eastAsia="Calibri" w:cs="Arial"/>
          <w:lang w:eastAsia="en-AU" w:bidi="en-US"/>
        </w:rPr>
      </w:pPr>
    </w:p>
    <w:p w14:paraId="04609F5E"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[5]</w:t>
      </w:r>
      <w:r w:rsidRPr="0035359F">
        <w:rPr>
          <w:rFonts w:cs="Arial"/>
          <w:b/>
          <w:iCs/>
          <w:szCs w:val="22"/>
          <w:lang w:val="en-AU" w:eastAsia="en-AU"/>
        </w:rPr>
        <w:tab/>
        <w:t>Schedule 5</w:t>
      </w:r>
      <w:r w:rsidRPr="0035359F">
        <w:rPr>
          <w:rFonts w:cs="Arial"/>
          <w:iCs/>
          <w:szCs w:val="22"/>
          <w:lang w:val="en-AU" w:eastAsia="en-AU"/>
        </w:rPr>
        <w:t xml:space="preserve"> is varied by</w:t>
      </w:r>
    </w:p>
    <w:p w14:paraId="09CE7B3F"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[5.1]</w:t>
      </w:r>
      <w:r w:rsidRPr="0035359F">
        <w:rPr>
          <w:rFonts w:cs="Arial"/>
          <w:iCs/>
          <w:szCs w:val="22"/>
          <w:lang w:val="en-AU" w:eastAsia="en-AU"/>
        </w:rPr>
        <w:tab/>
        <w:t>omitting “the content of energy and each nutrient” from section S5—3 and substituting “the average energy content and the average quantity of each nutrient”</w:t>
      </w:r>
    </w:p>
    <w:p w14:paraId="515AC5CD"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[5.2]</w:t>
      </w:r>
      <w:r w:rsidRPr="0035359F">
        <w:rPr>
          <w:rFonts w:cs="Arial"/>
          <w:iCs/>
          <w:szCs w:val="22"/>
          <w:lang w:val="en-AU" w:eastAsia="en-AU"/>
        </w:rPr>
        <w:tab/>
        <w:t>omitting “</w:t>
      </w:r>
      <w:r w:rsidRPr="0035359F">
        <w:rPr>
          <w:rFonts w:cs="Arial"/>
          <w:b/>
          <w:i/>
          <w:iCs/>
          <w:szCs w:val="22"/>
          <w:lang w:val="en-AU" w:eastAsia="en-AU"/>
        </w:rPr>
        <w:t xml:space="preserve">AEC </w:t>
      </w:r>
      <w:r w:rsidRPr="0035359F">
        <w:rPr>
          <w:rFonts w:cs="Arial"/>
          <w:iCs/>
          <w:szCs w:val="22"/>
          <w:lang w:val="en-AU" w:eastAsia="en-AU"/>
        </w:rPr>
        <w:t>is the number of points for average energy content” from section S5—3 and substituting “</w:t>
      </w:r>
      <w:r w:rsidRPr="0035359F">
        <w:rPr>
          <w:rFonts w:cs="Arial"/>
          <w:b/>
          <w:i/>
          <w:iCs/>
          <w:szCs w:val="22"/>
          <w:lang w:val="en-AU" w:eastAsia="en-AU"/>
        </w:rPr>
        <w:t xml:space="preserve">AEC </w:t>
      </w:r>
      <w:r w:rsidRPr="0035359F">
        <w:rPr>
          <w:rFonts w:cs="Arial"/>
          <w:iCs/>
          <w:szCs w:val="22"/>
          <w:lang w:val="en-AU" w:eastAsia="en-AU"/>
        </w:rPr>
        <w:t>is the number of points for the average energy content in the unit quantity of the food”</w:t>
      </w:r>
    </w:p>
    <w:p w14:paraId="22631FDE"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[5.3]</w:t>
      </w:r>
      <w:r w:rsidRPr="0035359F">
        <w:rPr>
          <w:rFonts w:cs="Arial"/>
          <w:iCs/>
          <w:szCs w:val="22"/>
          <w:lang w:val="en-AU" w:eastAsia="en-AU"/>
        </w:rPr>
        <w:tab/>
        <w:t>omitting “</w:t>
      </w:r>
      <w:r w:rsidRPr="0035359F">
        <w:rPr>
          <w:rFonts w:cs="Arial"/>
          <w:b/>
          <w:i/>
          <w:iCs/>
          <w:szCs w:val="22"/>
          <w:lang w:val="en-AU" w:eastAsia="en-AU"/>
        </w:rPr>
        <w:t xml:space="preserve">ASFA </w:t>
      </w:r>
      <w:r w:rsidRPr="0035359F">
        <w:rPr>
          <w:rFonts w:cs="Arial"/>
          <w:iCs/>
          <w:szCs w:val="22"/>
          <w:lang w:val="en-AU" w:eastAsia="en-AU"/>
        </w:rPr>
        <w:t>is the number of points for average saturated fatty acids” from section S5—3 and substituting “</w:t>
      </w:r>
      <w:r w:rsidRPr="0035359F">
        <w:rPr>
          <w:rFonts w:cs="Arial"/>
          <w:b/>
          <w:i/>
          <w:iCs/>
          <w:szCs w:val="22"/>
          <w:lang w:val="en-AU" w:eastAsia="en-AU"/>
        </w:rPr>
        <w:t xml:space="preserve">ASFA </w:t>
      </w:r>
      <w:r w:rsidRPr="0035359F">
        <w:rPr>
          <w:rFonts w:cs="Arial"/>
          <w:iCs/>
          <w:szCs w:val="22"/>
          <w:lang w:val="en-AU" w:eastAsia="en-AU"/>
        </w:rPr>
        <w:t>is the number of points for the average quantity of saturated fatty acids in the unit quantity of the food”</w:t>
      </w:r>
    </w:p>
    <w:p w14:paraId="4FCA4BAF"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[5.4]</w:t>
      </w:r>
      <w:r w:rsidRPr="0035359F">
        <w:rPr>
          <w:rFonts w:cs="Arial"/>
          <w:iCs/>
          <w:szCs w:val="22"/>
          <w:lang w:val="en-AU" w:eastAsia="en-AU"/>
        </w:rPr>
        <w:tab/>
        <w:t>omitting “</w:t>
      </w:r>
      <w:r w:rsidRPr="0035359F">
        <w:rPr>
          <w:rFonts w:cs="Arial"/>
          <w:b/>
          <w:i/>
          <w:iCs/>
          <w:szCs w:val="22"/>
          <w:lang w:val="en-AU" w:eastAsia="en-AU"/>
        </w:rPr>
        <w:t xml:space="preserve">ATS </w:t>
      </w:r>
      <w:r w:rsidRPr="0035359F">
        <w:rPr>
          <w:rFonts w:cs="Arial"/>
          <w:iCs/>
          <w:szCs w:val="22"/>
          <w:lang w:val="en-AU" w:eastAsia="en-AU"/>
        </w:rPr>
        <w:t>is the number of points for average total sugars” from section S5—3 and substituting “</w:t>
      </w:r>
      <w:r w:rsidRPr="0035359F">
        <w:rPr>
          <w:rFonts w:cs="Arial"/>
          <w:b/>
          <w:i/>
          <w:iCs/>
          <w:szCs w:val="22"/>
          <w:lang w:val="en-AU" w:eastAsia="en-AU"/>
        </w:rPr>
        <w:t xml:space="preserve">ATS </w:t>
      </w:r>
      <w:r w:rsidRPr="0035359F">
        <w:rPr>
          <w:rFonts w:cs="Arial"/>
          <w:iCs/>
          <w:szCs w:val="22"/>
          <w:lang w:val="en-AU" w:eastAsia="en-AU"/>
        </w:rPr>
        <w:t>is the number of points for the average quantity of sugars in the unit quantity of the food:”</w:t>
      </w:r>
    </w:p>
    <w:p w14:paraId="1EC64FB8" w14:textId="77777777" w:rsidR="0035359F" w:rsidRPr="0035359F" w:rsidRDefault="0035359F" w:rsidP="0035359F">
      <w:pPr>
        <w:tabs>
          <w:tab w:val="clear" w:pos="851"/>
          <w:tab w:val="left" w:pos="1134"/>
        </w:tabs>
        <w:spacing w:before="120" w:after="120"/>
        <w:rPr>
          <w:rFonts w:cs="Arial"/>
          <w:iCs/>
          <w:szCs w:val="22"/>
          <w:lang w:val="en-AU" w:eastAsia="en-AU"/>
        </w:rPr>
      </w:pPr>
      <w:r w:rsidRPr="0035359F">
        <w:rPr>
          <w:rFonts w:cs="Arial"/>
          <w:iCs/>
          <w:szCs w:val="22"/>
          <w:lang w:val="en-AU" w:eastAsia="en-AU"/>
        </w:rPr>
        <w:t>[5.5]</w:t>
      </w:r>
      <w:r w:rsidRPr="0035359F">
        <w:rPr>
          <w:rFonts w:cs="Arial"/>
          <w:iCs/>
          <w:szCs w:val="22"/>
          <w:lang w:val="en-AU" w:eastAsia="en-AU"/>
        </w:rPr>
        <w:tab/>
        <w:t>omitting “</w:t>
      </w:r>
      <w:r w:rsidRPr="0035359F">
        <w:rPr>
          <w:rFonts w:cs="Arial"/>
          <w:b/>
          <w:i/>
          <w:iCs/>
          <w:szCs w:val="22"/>
          <w:lang w:val="en-AU" w:eastAsia="en-AU"/>
        </w:rPr>
        <w:t xml:space="preserve">AS </w:t>
      </w:r>
      <w:r w:rsidRPr="0035359F">
        <w:rPr>
          <w:rFonts w:cs="Arial"/>
          <w:iCs/>
          <w:szCs w:val="22"/>
          <w:lang w:val="en-AU" w:eastAsia="en-AU"/>
        </w:rPr>
        <w:t>is the number of points for average sodium” from section S5—3 and substituting “</w:t>
      </w:r>
      <w:r w:rsidRPr="0035359F">
        <w:rPr>
          <w:rFonts w:cs="Arial"/>
          <w:b/>
          <w:i/>
          <w:iCs/>
          <w:szCs w:val="22"/>
          <w:lang w:val="en-AU" w:eastAsia="en-AU"/>
        </w:rPr>
        <w:t xml:space="preserve">AS </w:t>
      </w:r>
      <w:r w:rsidRPr="0035359F">
        <w:rPr>
          <w:rFonts w:cs="Arial"/>
          <w:iCs/>
          <w:szCs w:val="22"/>
          <w:lang w:val="en-AU" w:eastAsia="en-AU"/>
        </w:rPr>
        <w:t>is the number of points for the average quantity of sodium in the unit quantity of the food”</w:t>
      </w:r>
    </w:p>
    <w:p w14:paraId="38ED02D6"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[5.6]</w:t>
      </w:r>
      <w:r w:rsidRPr="0035359F">
        <w:rPr>
          <w:rFonts w:cs="Arial"/>
          <w:iCs/>
          <w:szCs w:val="22"/>
          <w:lang w:val="en-AU" w:eastAsia="en-AU"/>
        </w:rPr>
        <w:tab/>
        <w:t xml:space="preserve">omitting “total” from Table 1 to S5—3 </w:t>
      </w:r>
    </w:p>
    <w:p w14:paraId="7792A009"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[5.7]</w:t>
      </w:r>
      <w:r w:rsidRPr="0035359F">
        <w:rPr>
          <w:rFonts w:cs="Arial"/>
          <w:iCs/>
          <w:szCs w:val="22"/>
          <w:lang w:val="en-AU" w:eastAsia="en-AU"/>
        </w:rPr>
        <w:tab/>
        <w:t>omitting “total” from Table 2 to S5—3</w:t>
      </w:r>
    </w:p>
    <w:p w14:paraId="4F12605F"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[5.8]</w:t>
      </w:r>
      <w:r w:rsidRPr="0035359F">
        <w:rPr>
          <w:rFonts w:cs="Arial"/>
          <w:iCs/>
          <w:szCs w:val="22"/>
          <w:lang w:val="en-AU" w:eastAsia="en-AU"/>
        </w:rPr>
        <w:tab/>
        <w:t>omitting “sources” wherever occurring in section S5—4</w:t>
      </w:r>
    </w:p>
    <w:p w14:paraId="0F07F3F5"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[5.9]</w:t>
      </w:r>
      <w:r w:rsidRPr="0035359F">
        <w:rPr>
          <w:rFonts w:cs="Arial"/>
          <w:iCs/>
          <w:szCs w:val="22"/>
          <w:lang w:val="en-AU" w:eastAsia="en-AU"/>
        </w:rPr>
        <w:tab/>
        <w:t>omitting subsection S5—5(1) and substituting</w:t>
      </w:r>
    </w:p>
    <w:p w14:paraId="3F26B082" w14:textId="77777777" w:rsidR="0035359F" w:rsidRPr="0035359F" w:rsidRDefault="0035359F" w:rsidP="0035359F">
      <w:pPr>
        <w:tabs>
          <w:tab w:val="clear" w:pos="851"/>
          <w:tab w:val="left" w:pos="1134"/>
        </w:tabs>
        <w:spacing w:before="120" w:after="120"/>
        <w:ind w:left="1701" w:hanging="1701"/>
        <w:rPr>
          <w:rFonts w:eastAsia="Calibri" w:cs="Arial"/>
          <w:iCs/>
          <w:szCs w:val="22"/>
          <w:lang w:val="en-AU" w:eastAsia="en-AU"/>
        </w:rPr>
      </w:pPr>
      <w:r w:rsidRPr="0035359F">
        <w:rPr>
          <w:rFonts w:cs="Arial"/>
          <w:iCs/>
          <w:szCs w:val="22"/>
          <w:lang w:val="en-AU" w:eastAsia="en-AU"/>
        </w:rPr>
        <w:tab/>
        <w:t>“(1)</w:t>
      </w:r>
      <w:r w:rsidRPr="0035359F">
        <w:rPr>
          <w:rFonts w:cs="Arial"/>
          <w:iCs/>
          <w:szCs w:val="22"/>
          <w:lang w:val="en-AU" w:eastAsia="en-AU"/>
        </w:rPr>
        <w:tab/>
      </w:r>
      <w:r w:rsidRPr="0035359F">
        <w:rPr>
          <w:rFonts w:eastAsia="Calibri" w:cs="Arial"/>
          <w:iCs/>
          <w:szCs w:val="22"/>
          <w:lang w:val="en-AU" w:eastAsia="en-AU"/>
        </w:rPr>
        <w:t>Use Table 4 to determine the ‘P points’ scored, depending on the average quantity of protein in 100 g or 100 mL of the food product (based on the units used in the nutrition information panel). A maximum of five points can be awarded.”</w:t>
      </w:r>
    </w:p>
    <w:p w14:paraId="4A4E2F09"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[5.10]</w:t>
      </w:r>
      <w:r w:rsidRPr="0035359F">
        <w:rPr>
          <w:rFonts w:cs="Arial"/>
          <w:iCs/>
          <w:szCs w:val="22"/>
          <w:lang w:val="en-AU" w:eastAsia="en-AU"/>
        </w:rPr>
        <w:tab/>
        <w:t>omitting subsection S5—6(1) and substituting</w:t>
      </w:r>
    </w:p>
    <w:p w14:paraId="346F54DF" w14:textId="77777777" w:rsidR="0035359F" w:rsidRPr="0035359F" w:rsidRDefault="0035359F" w:rsidP="0035359F">
      <w:pPr>
        <w:tabs>
          <w:tab w:val="clear" w:pos="851"/>
          <w:tab w:val="left" w:pos="1134"/>
        </w:tabs>
        <w:spacing w:before="120" w:after="120"/>
        <w:ind w:left="1701" w:hanging="1701"/>
        <w:rPr>
          <w:rFonts w:eastAsia="Calibri" w:cs="Arial"/>
          <w:iCs/>
          <w:szCs w:val="22"/>
          <w:lang w:val="en-AU" w:eastAsia="en-AU"/>
        </w:rPr>
      </w:pPr>
      <w:r w:rsidRPr="0035359F">
        <w:rPr>
          <w:rFonts w:cs="Arial"/>
          <w:iCs/>
          <w:szCs w:val="22"/>
          <w:lang w:val="en-AU" w:eastAsia="en-AU"/>
        </w:rPr>
        <w:tab/>
        <w:t>“(1)</w:t>
      </w:r>
      <w:r w:rsidRPr="0035359F">
        <w:rPr>
          <w:rFonts w:cs="Arial"/>
          <w:iCs/>
          <w:szCs w:val="22"/>
          <w:lang w:val="en-AU" w:eastAsia="en-AU"/>
        </w:rPr>
        <w:tab/>
      </w:r>
      <w:r w:rsidRPr="0035359F">
        <w:rPr>
          <w:rFonts w:eastAsia="Calibri" w:cs="Arial"/>
          <w:iCs/>
          <w:szCs w:val="22"/>
          <w:lang w:val="en-AU" w:eastAsia="en-AU"/>
        </w:rPr>
        <w:t xml:space="preserve">Use Table 5 to determine the ‘F points’ scored, depending on the average quantity of </w:t>
      </w:r>
      <w:r w:rsidRPr="0035359F">
        <w:rPr>
          <w:rFonts w:cs="Arial"/>
          <w:iCs/>
          <w:szCs w:val="22"/>
          <w:lang w:val="en-AU" w:eastAsia="en-AU"/>
        </w:rPr>
        <w:t>*</w:t>
      </w:r>
      <w:r w:rsidRPr="0035359F">
        <w:rPr>
          <w:rFonts w:eastAsia="Calibri" w:cs="Arial"/>
          <w:iCs/>
          <w:szCs w:val="22"/>
          <w:lang w:val="en-AU" w:eastAsia="en-AU"/>
        </w:rPr>
        <w:t>dietary fibre in 100 g or 100 mL of the food product (based on the units used in the nutrition information panel). A maximum of five points can be awarded.”</w:t>
      </w:r>
      <w:r w:rsidRPr="0035359F">
        <w:rPr>
          <w:rFonts w:eastAsia="Calibri" w:cs="Arial"/>
          <w:iCs/>
          <w:szCs w:val="22"/>
          <w:lang w:val="en-AU" w:eastAsia="en-AU"/>
        </w:rPr>
        <w:br w:type="page"/>
      </w:r>
    </w:p>
    <w:p w14:paraId="2E17B85E"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lastRenderedPageBreak/>
        <w:t>[6]</w:t>
      </w:r>
      <w:r w:rsidRPr="0035359F">
        <w:rPr>
          <w:rFonts w:cs="Arial"/>
          <w:b/>
          <w:iCs/>
          <w:szCs w:val="22"/>
          <w:lang w:val="en-AU" w:eastAsia="en-AU"/>
        </w:rPr>
        <w:tab/>
        <w:t>Schedule 12</w:t>
      </w:r>
      <w:r w:rsidRPr="0035359F">
        <w:rPr>
          <w:rFonts w:cs="Arial"/>
          <w:iCs/>
          <w:szCs w:val="22"/>
          <w:lang w:val="en-AU" w:eastAsia="en-AU"/>
        </w:rPr>
        <w:t xml:space="preserve"> is varied by omitting “1.2.8—6(3) and 1.2.8—6(5)” from section S12—3 and substituting “1.2.8—6(3), 1.2.8—6(5), 1.2.8—6(11), 1.2.8—6(12) and 1.2.8—6(13)”</w:t>
      </w:r>
    </w:p>
    <w:p w14:paraId="5F08C151"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b/>
          <w:iCs/>
          <w:szCs w:val="22"/>
          <w:lang w:val="en-AU" w:eastAsia="en-AU"/>
        </w:rPr>
        <w:t>[7]</w:t>
      </w:r>
      <w:r w:rsidRPr="0035359F">
        <w:rPr>
          <w:rFonts w:cs="Arial"/>
          <w:b/>
          <w:iCs/>
          <w:szCs w:val="22"/>
          <w:lang w:val="en-AU" w:eastAsia="en-AU"/>
        </w:rPr>
        <w:tab/>
        <w:t>Schedule 13</w:t>
      </w:r>
      <w:r w:rsidRPr="0035359F">
        <w:rPr>
          <w:rFonts w:cs="Arial"/>
          <w:iCs/>
          <w:szCs w:val="22"/>
          <w:lang w:val="en-AU" w:eastAsia="en-AU"/>
        </w:rPr>
        <w:t xml:space="preserve"> is varied by omitting the table to section S13—2, and substituting</w:t>
      </w:r>
    </w:p>
    <w:p w14:paraId="6DED3217" w14:textId="77777777" w:rsidR="0035359F" w:rsidRPr="0035359F" w:rsidRDefault="0035359F" w:rsidP="0035359F">
      <w:pPr>
        <w:keepNext/>
        <w:keepLines/>
        <w:widowControl/>
        <w:tabs>
          <w:tab w:val="clear" w:pos="851"/>
        </w:tabs>
        <w:spacing w:before="240" w:after="120"/>
        <w:jc w:val="center"/>
        <w:rPr>
          <w:rFonts w:cs="Arial"/>
          <w:b/>
          <w:color w:val="000000"/>
          <w:sz w:val="18"/>
          <w:szCs w:val="22"/>
          <w:lang w:val="en-AU" w:eastAsia="en-AU"/>
        </w:rPr>
      </w:pPr>
      <w:r w:rsidRPr="0035359F">
        <w:rPr>
          <w:rFonts w:cs="Arial"/>
          <w:b/>
          <w:color w:val="000000"/>
          <w:sz w:val="18"/>
          <w:szCs w:val="22"/>
          <w:lang w:val="en-AU" w:eastAsia="en-AU"/>
        </w:rPr>
        <w:t>Nutrition information for food in small packages</w:t>
      </w:r>
    </w:p>
    <w:tbl>
      <w:tblPr>
        <w:tblW w:w="9072" w:type="dxa"/>
        <w:jc w:val="center"/>
        <w:tblLook w:val="04A0" w:firstRow="1" w:lastRow="0" w:firstColumn="1" w:lastColumn="0" w:noHBand="0" w:noVBand="1"/>
      </w:tblPr>
      <w:tblGrid>
        <w:gridCol w:w="4865"/>
        <w:gridCol w:w="4207"/>
      </w:tblGrid>
      <w:tr w:rsidR="0035359F" w:rsidRPr="0035359F" w14:paraId="272B7F69" w14:textId="77777777" w:rsidTr="009D4E04">
        <w:trPr>
          <w:tblHeader/>
          <w:jc w:val="center"/>
        </w:trPr>
        <w:tc>
          <w:tcPr>
            <w:tcW w:w="4865" w:type="dxa"/>
            <w:tcBorders>
              <w:top w:val="single" w:sz="4" w:space="0" w:color="auto"/>
              <w:left w:val="nil"/>
              <w:bottom w:val="single" w:sz="4" w:space="0" w:color="auto"/>
              <w:right w:val="nil"/>
            </w:tcBorders>
            <w:hideMark/>
          </w:tcPr>
          <w:p w14:paraId="3FA78B40" w14:textId="77777777" w:rsidR="0035359F" w:rsidRPr="0035359F" w:rsidRDefault="0035359F" w:rsidP="0035359F">
            <w:pPr>
              <w:keepNext/>
              <w:keepLines/>
              <w:widowControl/>
              <w:tabs>
                <w:tab w:val="clear" w:pos="851"/>
              </w:tabs>
              <w:spacing w:before="60" w:after="60"/>
              <w:rPr>
                <w:rFonts w:cs="Arial"/>
                <w:b/>
                <w:i/>
                <w:sz w:val="18"/>
                <w:szCs w:val="22"/>
                <w:lang w:eastAsia="en-AU"/>
              </w:rPr>
            </w:pPr>
            <w:r w:rsidRPr="0035359F">
              <w:rPr>
                <w:rFonts w:cs="Arial"/>
                <w:b/>
                <w:i/>
                <w:sz w:val="18"/>
                <w:szCs w:val="22"/>
                <w:lang w:eastAsia="en-AU"/>
              </w:rPr>
              <w:t>Column 1</w:t>
            </w:r>
          </w:p>
        </w:tc>
        <w:tc>
          <w:tcPr>
            <w:tcW w:w="4207" w:type="dxa"/>
            <w:tcBorders>
              <w:top w:val="single" w:sz="4" w:space="0" w:color="auto"/>
              <w:left w:val="nil"/>
              <w:bottom w:val="single" w:sz="4" w:space="0" w:color="auto"/>
              <w:right w:val="nil"/>
            </w:tcBorders>
            <w:hideMark/>
          </w:tcPr>
          <w:p w14:paraId="1995E97F" w14:textId="77777777" w:rsidR="0035359F" w:rsidRPr="0035359F" w:rsidRDefault="0035359F" w:rsidP="0035359F">
            <w:pPr>
              <w:keepNext/>
              <w:keepLines/>
              <w:widowControl/>
              <w:tabs>
                <w:tab w:val="clear" w:pos="851"/>
              </w:tabs>
              <w:spacing w:before="60" w:after="60"/>
              <w:rPr>
                <w:rFonts w:cs="Arial"/>
                <w:b/>
                <w:i/>
                <w:sz w:val="18"/>
                <w:szCs w:val="22"/>
                <w:lang w:eastAsia="en-AU"/>
              </w:rPr>
            </w:pPr>
            <w:r w:rsidRPr="0035359F">
              <w:rPr>
                <w:rFonts w:cs="Arial"/>
                <w:b/>
                <w:i/>
                <w:sz w:val="18"/>
                <w:szCs w:val="22"/>
                <w:lang w:eastAsia="en-AU"/>
              </w:rPr>
              <w:t>Column 2</w:t>
            </w:r>
          </w:p>
        </w:tc>
      </w:tr>
      <w:tr w:rsidR="0035359F" w:rsidRPr="0035359F" w14:paraId="466C8A01" w14:textId="77777777" w:rsidTr="009D4E04">
        <w:trPr>
          <w:tblHeader/>
          <w:jc w:val="center"/>
        </w:trPr>
        <w:tc>
          <w:tcPr>
            <w:tcW w:w="4865" w:type="dxa"/>
            <w:tcBorders>
              <w:top w:val="single" w:sz="4" w:space="0" w:color="auto"/>
              <w:left w:val="nil"/>
              <w:bottom w:val="single" w:sz="4" w:space="0" w:color="auto"/>
              <w:right w:val="nil"/>
            </w:tcBorders>
            <w:hideMark/>
          </w:tcPr>
          <w:p w14:paraId="4AC3A38E" w14:textId="77777777" w:rsidR="0035359F" w:rsidRPr="0035359F" w:rsidRDefault="0035359F" w:rsidP="0035359F">
            <w:pPr>
              <w:keepNext/>
              <w:keepLines/>
              <w:widowControl/>
              <w:tabs>
                <w:tab w:val="clear" w:pos="851"/>
              </w:tabs>
              <w:spacing w:before="60" w:after="60"/>
              <w:rPr>
                <w:rFonts w:cs="Arial"/>
                <w:i/>
                <w:sz w:val="18"/>
                <w:szCs w:val="22"/>
                <w:lang w:eastAsia="en-AU"/>
              </w:rPr>
            </w:pPr>
            <w:r w:rsidRPr="0035359F">
              <w:rPr>
                <w:rFonts w:cs="Arial"/>
                <w:i/>
                <w:sz w:val="18"/>
                <w:szCs w:val="22"/>
                <w:lang w:eastAsia="en-AU"/>
              </w:rPr>
              <w:t>Claim is about</w:t>
            </w:r>
          </w:p>
        </w:tc>
        <w:tc>
          <w:tcPr>
            <w:tcW w:w="4207" w:type="dxa"/>
            <w:tcBorders>
              <w:top w:val="single" w:sz="4" w:space="0" w:color="auto"/>
              <w:left w:val="nil"/>
              <w:bottom w:val="single" w:sz="4" w:space="0" w:color="auto"/>
              <w:right w:val="nil"/>
            </w:tcBorders>
            <w:hideMark/>
          </w:tcPr>
          <w:p w14:paraId="4E665235" w14:textId="77777777" w:rsidR="0035359F" w:rsidRPr="0035359F" w:rsidRDefault="0035359F" w:rsidP="0035359F">
            <w:pPr>
              <w:keepNext/>
              <w:keepLines/>
              <w:widowControl/>
              <w:tabs>
                <w:tab w:val="clear" w:pos="851"/>
              </w:tabs>
              <w:spacing w:before="60" w:after="60"/>
              <w:rPr>
                <w:rFonts w:cs="Arial"/>
                <w:i/>
                <w:sz w:val="18"/>
                <w:szCs w:val="22"/>
                <w:lang w:eastAsia="en-AU"/>
              </w:rPr>
            </w:pPr>
            <w:r w:rsidRPr="0035359F">
              <w:rPr>
                <w:rFonts w:cs="Arial"/>
                <w:i/>
                <w:sz w:val="18"/>
                <w:szCs w:val="22"/>
                <w:lang w:eastAsia="en-AU"/>
              </w:rPr>
              <w:t>Label must include</w:t>
            </w:r>
          </w:p>
        </w:tc>
      </w:tr>
      <w:tr w:rsidR="0035359F" w:rsidRPr="0035359F" w14:paraId="25708710" w14:textId="77777777" w:rsidTr="009D4E04">
        <w:trPr>
          <w:cantSplit/>
          <w:jc w:val="center"/>
        </w:trPr>
        <w:tc>
          <w:tcPr>
            <w:tcW w:w="4865" w:type="dxa"/>
            <w:tcBorders>
              <w:top w:val="single" w:sz="4" w:space="0" w:color="auto"/>
              <w:left w:val="nil"/>
              <w:bottom w:val="nil"/>
              <w:right w:val="nil"/>
            </w:tcBorders>
            <w:hideMark/>
          </w:tcPr>
          <w:p w14:paraId="4CF71E88"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Any nutrient or biologically active substance (other than a vitamin or mineral with a RDI)</w:t>
            </w:r>
          </w:p>
        </w:tc>
        <w:tc>
          <w:tcPr>
            <w:tcW w:w="4207" w:type="dxa"/>
            <w:tcBorders>
              <w:top w:val="single" w:sz="4" w:space="0" w:color="auto"/>
              <w:left w:val="nil"/>
              <w:bottom w:val="nil"/>
              <w:right w:val="nil"/>
            </w:tcBorders>
            <w:hideMark/>
          </w:tcPr>
          <w:p w14:paraId="3F5B1CE6"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the nutrient or biologically  active substance present per serving of the food</w:t>
            </w:r>
          </w:p>
        </w:tc>
      </w:tr>
      <w:tr w:rsidR="0035359F" w:rsidRPr="0035359F" w14:paraId="21CAD7C2" w14:textId="77777777" w:rsidTr="009D4E04">
        <w:trPr>
          <w:cantSplit/>
          <w:jc w:val="center"/>
        </w:trPr>
        <w:tc>
          <w:tcPr>
            <w:tcW w:w="4865" w:type="dxa"/>
            <w:tcBorders>
              <w:top w:val="nil"/>
              <w:left w:val="nil"/>
              <w:bottom w:val="nil"/>
              <w:right w:val="nil"/>
            </w:tcBorders>
            <w:hideMark/>
          </w:tcPr>
          <w:p w14:paraId="68FA2CAE"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Any vitamin or mineral with a RDI</w:t>
            </w:r>
          </w:p>
        </w:tc>
        <w:tc>
          <w:tcPr>
            <w:tcW w:w="4207" w:type="dxa"/>
            <w:tcBorders>
              <w:top w:val="nil"/>
              <w:left w:val="nil"/>
              <w:bottom w:val="nil"/>
              <w:right w:val="nil"/>
            </w:tcBorders>
            <w:hideMark/>
          </w:tcPr>
          <w:p w14:paraId="6090EE12"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*Average quantity of the vitamin or mineral present per serving of the food; and</w:t>
            </w:r>
          </w:p>
          <w:p w14:paraId="330A00BB"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Percentage of the RDI for the vitamin or mineral contributed by one serving of the food, and calculated in accordance with section 1.2.8—9.</w:t>
            </w:r>
          </w:p>
        </w:tc>
      </w:tr>
      <w:tr w:rsidR="0035359F" w:rsidRPr="0035359F" w14:paraId="5542C4C5" w14:textId="77777777" w:rsidTr="009D4E04">
        <w:trPr>
          <w:cantSplit/>
          <w:jc w:val="center"/>
        </w:trPr>
        <w:tc>
          <w:tcPr>
            <w:tcW w:w="4865" w:type="dxa"/>
            <w:tcBorders>
              <w:top w:val="nil"/>
              <w:left w:val="nil"/>
              <w:bottom w:val="nil"/>
              <w:right w:val="nil"/>
            </w:tcBorders>
            <w:hideMark/>
          </w:tcPr>
          <w:p w14:paraId="7DC3EE70" w14:textId="77777777" w:rsidR="0035359F" w:rsidRPr="0035359F" w:rsidRDefault="0035359F" w:rsidP="0035359F">
            <w:pPr>
              <w:keepLines/>
              <w:widowControl/>
              <w:tabs>
                <w:tab w:val="clear" w:pos="851"/>
                <w:tab w:val="right" w:pos="3969"/>
              </w:tabs>
              <w:spacing w:before="60" w:after="60"/>
              <w:rPr>
                <w:rFonts w:cs="Arial"/>
                <w:bCs/>
                <w:sz w:val="18"/>
                <w:lang w:eastAsia="en-AU"/>
              </w:rPr>
            </w:pPr>
            <w:r w:rsidRPr="0035359F">
              <w:rPr>
                <w:rFonts w:cs="Arial"/>
                <w:bCs/>
                <w:sz w:val="18"/>
                <w:lang w:eastAsia="en-AU"/>
              </w:rPr>
              <w:t>Polyunsaturated fatty acids or monounsaturated fatty acids in a food standardised in Standard 2.4.1 or 2.4.2</w:t>
            </w:r>
          </w:p>
        </w:tc>
        <w:tc>
          <w:tcPr>
            <w:tcW w:w="4207" w:type="dxa"/>
            <w:tcBorders>
              <w:top w:val="nil"/>
              <w:left w:val="nil"/>
              <w:bottom w:val="nil"/>
              <w:right w:val="nil"/>
            </w:tcBorders>
            <w:hideMark/>
          </w:tcPr>
          <w:p w14:paraId="609F2B08"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Saturated fatty acids, trans fatty acids, *polyunsaturated fatty acids and monounsaturated fatty acids content per serving of the food</w:t>
            </w:r>
          </w:p>
        </w:tc>
      </w:tr>
      <w:tr w:rsidR="0035359F" w:rsidRPr="0035359F" w14:paraId="66A57221" w14:textId="77777777" w:rsidTr="009D4E04">
        <w:trPr>
          <w:cantSplit/>
          <w:jc w:val="center"/>
        </w:trPr>
        <w:tc>
          <w:tcPr>
            <w:tcW w:w="4865" w:type="dxa"/>
            <w:tcBorders>
              <w:top w:val="nil"/>
              <w:left w:val="nil"/>
              <w:bottom w:val="nil"/>
              <w:right w:val="nil"/>
            </w:tcBorders>
            <w:hideMark/>
          </w:tcPr>
          <w:p w14:paraId="7D83A4DC" w14:textId="77777777" w:rsidR="0035359F" w:rsidRPr="0035359F" w:rsidRDefault="0035359F" w:rsidP="0035359F">
            <w:pPr>
              <w:keepLines/>
              <w:widowControl/>
              <w:tabs>
                <w:tab w:val="clear" w:pos="851"/>
                <w:tab w:val="right" w:pos="3969"/>
              </w:tabs>
              <w:spacing w:before="60" w:after="60"/>
              <w:rPr>
                <w:rFonts w:cs="Arial"/>
                <w:bCs/>
                <w:sz w:val="18"/>
                <w:lang w:eastAsia="en-AU"/>
              </w:rPr>
            </w:pPr>
            <w:r w:rsidRPr="0035359F">
              <w:rPr>
                <w:rFonts w:cs="Arial"/>
                <w:bCs/>
                <w:sz w:val="18"/>
                <w:lang w:eastAsia="en-AU"/>
              </w:rPr>
              <w:t>Polyunsaturated fatty acids or monounsaturated fatty acids in a food that is not a food standardised in Standard 2.4.1 or 2.4.2</w:t>
            </w:r>
          </w:p>
        </w:tc>
        <w:tc>
          <w:tcPr>
            <w:tcW w:w="4207" w:type="dxa"/>
            <w:tcBorders>
              <w:top w:val="nil"/>
              <w:left w:val="nil"/>
              <w:bottom w:val="nil"/>
              <w:right w:val="nil"/>
            </w:tcBorders>
            <w:hideMark/>
          </w:tcPr>
          <w:p w14:paraId="3E589052"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saturated fatty acids, trans fatty acids, *polyunsaturated fatty acids and monounsaturated fatty acids content per serving of the food</w:t>
            </w:r>
          </w:p>
        </w:tc>
      </w:tr>
      <w:tr w:rsidR="0035359F" w:rsidRPr="0035359F" w14:paraId="317B01C4" w14:textId="77777777" w:rsidTr="009D4E04">
        <w:trPr>
          <w:cantSplit/>
          <w:jc w:val="center"/>
        </w:trPr>
        <w:tc>
          <w:tcPr>
            <w:tcW w:w="4865" w:type="dxa"/>
            <w:tcBorders>
              <w:top w:val="nil"/>
              <w:left w:val="nil"/>
              <w:bottom w:val="nil"/>
              <w:right w:val="nil"/>
            </w:tcBorders>
            <w:hideMark/>
          </w:tcPr>
          <w:p w14:paraId="74183BBE" w14:textId="77777777" w:rsidR="0035359F" w:rsidRPr="0035359F" w:rsidRDefault="0035359F" w:rsidP="0035359F">
            <w:pPr>
              <w:keepLines/>
              <w:widowControl/>
              <w:tabs>
                <w:tab w:val="clear" w:pos="851"/>
                <w:tab w:val="right" w:pos="3969"/>
              </w:tabs>
              <w:spacing w:before="60" w:after="60"/>
              <w:rPr>
                <w:rFonts w:cs="Arial"/>
                <w:bCs/>
                <w:sz w:val="18"/>
                <w:lang w:eastAsia="en-AU"/>
              </w:rPr>
            </w:pPr>
            <w:r w:rsidRPr="0035359F">
              <w:rPr>
                <w:rFonts w:cs="Arial"/>
                <w:bCs/>
                <w:iCs/>
                <w:sz w:val="18"/>
                <w:lang w:val="en-NZ" w:eastAsia="en-AU"/>
              </w:rPr>
              <w:t>Cholesterol, saturated fatty acids, trans fatty acids, omega-6 or omega-9 fatty acids</w:t>
            </w:r>
          </w:p>
        </w:tc>
        <w:tc>
          <w:tcPr>
            <w:tcW w:w="4207" w:type="dxa"/>
            <w:tcBorders>
              <w:top w:val="nil"/>
              <w:left w:val="nil"/>
              <w:bottom w:val="nil"/>
              <w:right w:val="nil"/>
            </w:tcBorders>
            <w:hideMark/>
          </w:tcPr>
          <w:p w14:paraId="60B8ED78"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saturated fatty acids, trans fatty acids, *polyunsaturated fatty acids and monounsaturated fatty acids content per serving of the food</w:t>
            </w:r>
          </w:p>
        </w:tc>
      </w:tr>
      <w:tr w:rsidR="0035359F" w:rsidRPr="0035359F" w14:paraId="64407014" w14:textId="77777777" w:rsidTr="009D4E04">
        <w:trPr>
          <w:cantSplit/>
          <w:jc w:val="center"/>
        </w:trPr>
        <w:tc>
          <w:tcPr>
            <w:tcW w:w="4865" w:type="dxa"/>
            <w:tcBorders>
              <w:top w:val="nil"/>
              <w:left w:val="nil"/>
              <w:bottom w:val="nil"/>
              <w:right w:val="nil"/>
            </w:tcBorders>
            <w:hideMark/>
          </w:tcPr>
          <w:p w14:paraId="56FF88A1" w14:textId="77777777" w:rsidR="0035359F" w:rsidRPr="0035359F" w:rsidRDefault="0035359F" w:rsidP="0035359F">
            <w:pPr>
              <w:keepLines/>
              <w:widowControl/>
              <w:tabs>
                <w:tab w:val="clear" w:pos="851"/>
                <w:tab w:val="right" w:pos="3969"/>
              </w:tabs>
              <w:spacing w:before="60" w:after="60"/>
              <w:rPr>
                <w:rFonts w:cs="Arial"/>
                <w:bCs/>
                <w:sz w:val="18"/>
                <w:lang w:eastAsia="en-AU"/>
              </w:rPr>
            </w:pPr>
            <w:r w:rsidRPr="0035359F">
              <w:rPr>
                <w:rFonts w:cs="Arial"/>
                <w:bCs/>
                <w:sz w:val="18"/>
                <w:lang w:eastAsia="en-AU"/>
              </w:rPr>
              <w:t>Dietary fibre, sugars or any other *carbohydrate</w:t>
            </w:r>
          </w:p>
        </w:tc>
        <w:tc>
          <w:tcPr>
            <w:tcW w:w="4207" w:type="dxa"/>
            <w:tcBorders>
              <w:top w:val="nil"/>
              <w:left w:val="nil"/>
              <w:bottom w:val="nil"/>
              <w:right w:val="nil"/>
            </w:tcBorders>
          </w:tcPr>
          <w:p w14:paraId="24296CD2"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energy content per serving of the food and average quantity of carbohydrate, sugars and dietary (calculated in accordance with section S11—4) present per serving of the food</w:t>
            </w:r>
          </w:p>
        </w:tc>
      </w:tr>
      <w:tr w:rsidR="0035359F" w:rsidRPr="0035359F" w14:paraId="412328F0" w14:textId="77777777" w:rsidTr="009D4E04">
        <w:trPr>
          <w:cantSplit/>
          <w:jc w:val="center"/>
        </w:trPr>
        <w:tc>
          <w:tcPr>
            <w:tcW w:w="4865" w:type="dxa"/>
            <w:tcBorders>
              <w:top w:val="nil"/>
              <w:left w:val="nil"/>
              <w:bottom w:val="nil"/>
              <w:right w:val="nil"/>
            </w:tcBorders>
            <w:hideMark/>
          </w:tcPr>
          <w:p w14:paraId="1718AD86"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Energy</w:t>
            </w:r>
          </w:p>
        </w:tc>
        <w:tc>
          <w:tcPr>
            <w:tcW w:w="4207" w:type="dxa"/>
            <w:tcBorders>
              <w:top w:val="nil"/>
              <w:left w:val="nil"/>
              <w:bottom w:val="nil"/>
              <w:right w:val="nil"/>
            </w:tcBorders>
            <w:hideMark/>
          </w:tcPr>
          <w:p w14:paraId="28C5A3A1"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energy content per serving of the food</w:t>
            </w:r>
          </w:p>
        </w:tc>
      </w:tr>
      <w:tr w:rsidR="0035359F" w:rsidRPr="0035359F" w14:paraId="413FBB9B" w14:textId="77777777" w:rsidTr="009D4E04">
        <w:trPr>
          <w:cantSplit/>
          <w:jc w:val="center"/>
        </w:trPr>
        <w:tc>
          <w:tcPr>
            <w:tcW w:w="4865" w:type="dxa"/>
            <w:tcBorders>
              <w:top w:val="nil"/>
              <w:left w:val="nil"/>
              <w:bottom w:val="nil"/>
              <w:right w:val="nil"/>
            </w:tcBorders>
            <w:hideMark/>
          </w:tcPr>
          <w:p w14:paraId="7CE643AB"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Fat-free</w:t>
            </w:r>
          </w:p>
        </w:tc>
        <w:tc>
          <w:tcPr>
            <w:tcW w:w="4207" w:type="dxa"/>
            <w:tcBorders>
              <w:top w:val="nil"/>
              <w:left w:val="nil"/>
              <w:bottom w:val="nil"/>
              <w:right w:val="nil"/>
            </w:tcBorders>
            <w:hideMark/>
          </w:tcPr>
          <w:p w14:paraId="28BEF813"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energy content per serving of the food</w:t>
            </w:r>
          </w:p>
        </w:tc>
      </w:tr>
      <w:tr w:rsidR="0035359F" w:rsidRPr="0035359F" w14:paraId="08C163CE" w14:textId="77777777" w:rsidTr="009D4E04">
        <w:trPr>
          <w:cantSplit/>
          <w:jc w:val="center"/>
        </w:trPr>
        <w:tc>
          <w:tcPr>
            <w:tcW w:w="4865" w:type="dxa"/>
            <w:tcBorders>
              <w:top w:val="nil"/>
              <w:left w:val="nil"/>
              <w:bottom w:val="nil"/>
              <w:right w:val="nil"/>
            </w:tcBorders>
          </w:tcPr>
          <w:p w14:paraId="450D06D2"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Omega-3 fatty acids</w:t>
            </w:r>
          </w:p>
        </w:tc>
        <w:tc>
          <w:tcPr>
            <w:tcW w:w="4207" w:type="dxa"/>
            <w:tcBorders>
              <w:top w:val="nil"/>
              <w:left w:val="nil"/>
              <w:bottom w:val="nil"/>
              <w:right w:val="nil"/>
            </w:tcBorders>
          </w:tcPr>
          <w:p w14:paraId="1FCB7424" w14:textId="77777777" w:rsidR="0035359F" w:rsidRPr="0035359F" w:rsidRDefault="0035359F" w:rsidP="0035359F">
            <w:pPr>
              <w:keepLines/>
              <w:widowControl/>
              <w:tabs>
                <w:tab w:val="clear" w:pos="851"/>
              </w:tabs>
              <w:spacing w:before="60" w:after="60"/>
              <w:ind w:left="397" w:hanging="397"/>
              <w:rPr>
                <w:rFonts w:cs="Arial"/>
                <w:bCs/>
                <w:sz w:val="18"/>
                <w:szCs w:val="22"/>
                <w:lang w:eastAsia="en-AU"/>
              </w:rPr>
            </w:pPr>
            <w:r w:rsidRPr="0035359F">
              <w:rPr>
                <w:rFonts w:cs="Arial"/>
                <w:bCs/>
                <w:sz w:val="18"/>
                <w:szCs w:val="22"/>
                <w:lang w:eastAsia="en-AU"/>
              </w:rPr>
              <w:t xml:space="preserve">(a) </w:t>
            </w:r>
            <w:r w:rsidRPr="0035359F">
              <w:rPr>
                <w:rFonts w:cs="Arial"/>
                <w:bCs/>
                <w:sz w:val="18"/>
                <w:szCs w:val="22"/>
                <w:lang w:eastAsia="en-AU"/>
              </w:rPr>
              <w:tab/>
            </w:r>
            <w:r w:rsidRPr="0035359F">
              <w:rPr>
                <w:rFonts w:cs="Arial"/>
                <w:sz w:val="18"/>
                <w:szCs w:val="22"/>
                <w:lang w:eastAsia="en-AU"/>
              </w:rPr>
              <w:t>Average quantity of *saturated fatty acids, *trans fatty acids, *polyunsaturated fatty acids and *monounsaturated fatty acids content per serving of the food</w:t>
            </w:r>
            <w:r w:rsidRPr="0035359F">
              <w:rPr>
                <w:rFonts w:cs="Arial"/>
                <w:bCs/>
                <w:sz w:val="18"/>
                <w:szCs w:val="22"/>
                <w:lang w:eastAsia="en-AU"/>
              </w:rPr>
              <w:t>; and</w:t>
            </w:r>
          </w:p>
          <w:p w14:paraId="5B33585A" w14:textId="77777777" w:rsidR="0035359F" w:rsidRPr="0035359F" w:rsidRDefault="0035359F" w:rsidP="0035359F">
            <w:pPr>
              <w:keepLines/>
              <w:widowControl/>
              <w:tabs>
                <w:tab w:val="clear" w:pos="851"/>
              </w:tabs>
              <w:spacing w:before="60" w:after="60"/>
              <w:ind w:left="397" w:hanging="397"/>
              <w:rPr>
                <w:rFonts w:cs="Arial"/>
                <w:bCs/>
                <w:sz w:val="18"/>
                <w:szCs w:val="22"/>
                <w:lang w:eastAsia="en-AU"/>
              </w:rPr>
            </w:pPr>
            <w:r w:rsidRPr="0035359F">
              <w:rPr>
                <w:rFonts w:cs="Arial"/>
                <w:bCs/>
                <w:sz w:val="18"/>
                <w:szCs w:val="22"/>
                <w:lang w:eastAsia="en-AU"/>
              </w:rPr>
              <w:t>(b)</w:t>
            </w:r>
            <w:r w:rsidRPr="0035359F">
              <w:rPr>
                <w:rFonts w:cs="Arial"/>
                <w:bCs/>
                <w:sz w:val="18"/>
                <w:szCs w:val="22"/>
                <w:lang w:eastAsia="en-AU"/>
              </w:rPr>
              <w:tab/>
            </w:r>
            <w:r w:rsidRPr="0035359F">
              <w:rPr>
                <w:rFonts w:cs="Arial"/>
                <w:sz w:val="18"/>
                <w:szCs w:val="22"/>
                <w:lang w:eastAsia="en-AU"/>
              </w:rPr>
              <w:t xml:space="preserve">Average quantity of each type of omega-3 fatty acids </w:t>
            </w:r>
            <w:r w:rsidRPr="0035359F">
              <w:rPr>
                <w:rFonts w:cs="Arial"/>
                <w:bCs/>
                <w:sz w:val="18"/>
                <w:szCs w:val="22"/>
                <w:lang w:eastAsia="en-AU"/>
              </w:rPr>
              <w:t>per serving of the food</w:t>
            </w:r>
            <w:r w:rsidRPr="0035359F">
              <w:rPr>
                <w:rFonts w:cs="Arial"/>
                <w:sz w:val="18"/>
                <w:szCs w:val="22"/>
                <w:lang w:eastAsia="en-AU"/>
              </w:rPr>
              <w:t xml:space="preserve"> (</w:t>
            </w:r>
            <w:r w:rsidRPr="0035359F">
              <w:rPr>
                <w:rFonts w:cs="Arial"/>
                <w:bCs/>
                <w:sz w:val="18"/>
                <w:szCs w:val="22"/>
                <w:lang w:eastAsia="en-AU"/>
              </w:rPr>
              <w:t>that is, alpha</w:t>
            </w:r>
            <w:r w:rsidRPr="0035359F">
              <w:rPr>
                <w:rFonts w:cs="Arial"/>
                <w:bCs/>
                <w:sz w:val="18"/>
                <w:szCs w:val="22"/>
                <w:lang w:eastAsia="en-AU"/>
              </w:rPr>
              <w:noBreakHyphen/>
              <w:t>linolenic acid, docosahexaenoic acid, eicosapentaenoic acid or a combination of these); and</w:t>
            </w:r>
          </w:p>
          <w:p w14:paraId="5BD15547" w14:textId="77777777" w:rsidR="0035359F" w:rsidRPr="0035359F" w:rsidRDefault="0035359F" w:rsidP="0035359F">
            <w:pPr>
              <w:keepLines/>
              <w:widowControl/>
              <w:tabs>
                <w:tab w:val="clear" w:pos="851"/>
              </w:tabs>
              <w:spacing w:before="60" w:after="60"/>
              <w:ind w:left="397" w:hanging="397"/>
              <w:rPr>
                <w:rFonts w:cs="Arial"/>
                <w:bCs/>
                <w:sz w:val="18"/>
                <w:szCs w:val="22"/>
                <w:lang w:eastAsia="en-AU"/>
              </w:rPr>
            </w:pPr>
            <w:r w:rsidRPr="0035359F">
              <w:rPr>
                <w:rFonts w:cs="Arial"/>
                <w:bCs/>
                <w:sz w:val="18"/>
                <w:szCs w:val="22"/>
                <w:lang w:eastAsia="en-AU"/>
              </w:rPr>
              <w:t xml:space="preserve">(c) </w:t>
            </w:r>
            <w:r w:rsidRPr="0035359F">
              <w:rPr>
                <w:rFonts w:cs="Arial"/>
                <w:bCs/>
                <w:sz w:val="18"/>
                <w:szCs w:val="22"/>
                <w:lang w:eastAsia="en-AU"/>
              </w:rPr>
              <w:tab/>
            </w:r>
            <w:r w:rsidRPr="0035359F">
              <w:rPr>
                <w:rFonts w:cs="Arial"/>
                <w:sz w:val="18"/>
                <w:szCs w:val="22"/>
                <w:lang w:eastAsia="en-AU"/>
              </w:rPr>
              <w:t>Average quantity of the total of omega-3 fatty acids per serving of the food</w:t>
            </w:r>
          </w:p>
        </w:tc>
      </w:tr>
      <w:tr w:rsidR="0035359F" w:rsidRPr="0035359F" w14:paraId="0EFA42C2" w14:textId="77777777" w:rsidTr="009D4E04">
        <w:trPr>
          <w:cantSplit/>
          <w:jc w:val="center"/>
        </w:trPr>
        <w:tc>
          <w:tcPr>
            <w:tcW w:w="4865" w:type="dxa"/>
            <w:tcBorders>
              <w:top w:val="nil"/>
              <w:left w:val="nil"/>
              <w:bottom w:val="nil"/>
              <w:right w:val="nil"/>
            </w:tcBorders>
          </w:tcPr>
          <w:p w14:paraId="7E1E9599"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Lactose</w:t>
            </w:r>
          </w:p>
        </w:tc>
        <w:tc>
          <w:tcPr>
            <w:tcW w:w="4207" w:type="dxa"/>
            <w:tcBorders>
              <w:top w:val="nil"/>
              <w:left w:val="nil"/>
              <w:bottom w:val="nil"/>
              <w:right w:val="nil"/>
            </w:tcBorders>
          </w:tcPr>
          <w:p w14:paraId="765DFE86"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galactose content per serving of the food</w:t>
            </w:r>
          </w:p>
        </w:tc>
      </w:tr>
      <w:tr w:rsidR="0035359F" w:rsidRPr="0035359F" w14:paraId="00A11A9E" w14:textId="77777777" w:rsidTr="009D4E04">
        <w:trPr>
          <w:cantSplit/>
          <w:jc w:val="center"/>
        </w:trPr>
        <w:tc>
          <w:tcPr>
            <w:tcW w:w="4865" w:type="dxa"/>
            <w:tcBorders>
              <w:top w:val="nil"/>
              <w:left w:val="nil"/>
              <w:bottom w:val="nil"/>
              <w:right w:val="nil"/>
            </w:tcBorders>
          </w:tcPr>
          <w:p w14:paraId="31DFCB7E"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Potassium</w:t>
            </w:r>
          </w:p>
        </w:tc>
        <w:tc>
          <w:tcPr>
            <w:tcW w:w="4207" w:type="dxa"/>
            <w:tcBorders>
              <w:top w:val="nil"/>
              <w:left w:val="nil"/>
              <w:bottom w:val="nil"/>
              <w:right w:val="nil"/>
            </w:tcBorders>
          </w:tcPr>
          <w:p w14:paraId="718E7165"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sodium content per serving of the food</w:t>
            </w:r>
          </w:p>
        </w:tc>
      </w:tr>
      <w:tr w:rsidR="0035359F" w:rsidRPr="0035359F" w14:paraId="421A8ED8" w14:textId="77777777" w:rsidTr="009D4E04">
        <w:trPr>
          <w:cantSplit/>
          <w:jc w:val="center"/>
        </w:trPr>
        <w:tc>
          <w:tcPr>
            <w:tcW w:w="4865" w:type="dxa"/>
            <w:tcBorders>
              <w:top w:val="nil"/>
              <w:left w:val="nil"/>
              <w:bottom w:val="single" w:sz="4" w:space="0" w:color="auto"/>
              <w:right w:val="nil"/>
            </w:tcBorders>
          </w:tcPr>
          <w:p w14:paraId="3F86DAAB"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Sodium or salt</w:t>
            </w:r>
          </w:p>
        </w:tc>
        <w:tc>
          <w:tcPr>
            <w:tcW w:w="4207" w:type="dxa"/>
            <w:tcBorders>
              <w:top w:val="nil"/>
              <w:left w:val="nil"/>
              <w:bottom w:val="single" w:sz="4" w:space="0" w:color="auto"/>
              <w:right w:val="nil"/>
            </w:tcBorders>
          </w:tcPr>
          <w:p w14:paraId="337F9F99" w14:textId="77777777" w:rsidR="0035359F" w:rsidRPr="0035359F" w:rsidRDefault="0035359F" w:rsidP="0035359F">
            <w:pPr>
              <w:keepLines/>
              <w:widowControl/>
              <w:tabs>
                <w:tab w:val="clear" w:pos="851"/>
                <w:tab w:val="right" w:pos="3969"/>
              </w:tabs>
              <w:spacing w:before="60" w:after="60"/>
              <w:rPr>
                <w:rFonts w:cs="Arial"/>
                <w:sz w:val="18"/>
                <w:lang w:eastAsia="en-AU"/>
              </w:rPr>
            </w:pPr>
            <w:r w:rsidRPr="0035359F">
              <w:rPr>
                <w:rFonts w:cs="Arial"/>
                <w:sz w:val="18"/>
                <w:lang w:eastAsia="en-AU"/>
              </w:rPr>
              <w:t>Average quantity of sodium and potassium content per serving of the food</w:t>
            </w:r>
          </w:p>
        </w:tc>
      </w:tr>
    </w:tbl>
    <w:p w14:paraId="0FE6BB47" w14:textId="77777777" w:rsidR="0035359F" w:rsidRPr="0035359F" w:rsidRDefault="0035359F" w:rsidP="0035359F">
      <w:pPr>
        <w:tabs>
          <w:tab w:val="clear" w:pos="851"/>
        </w:tabs>
        <w:jc w:val="right"/>
        <w:rPr>
          <w:szCs w:val="24"/>
          <w:lang w:bidi="en-US"/>
        </w:rPr>
      </w:pPr>
    </w:p>
    <w:p w14:paraId="21AB5F39" w14:textId="77777777" w:rsidR="0035359F" w:rsidRPr="0035359F" w:rsidRDefault="0035359F" w:rsidP="0035359F">
      <w:pPr>
        <w:tabs>
          <w:tab w:val="clear" w:pos="851"/>
        </w:tabs>
        <w:rPr>
          <w:sz w:val="22"/>
          <w:szCs w:val="24"/>
          <w:lang w:bidi="en-US"/>
        </w:rPr>
      </w:pPr>
    </w:p>
    <w:p w14:paraId="4670CBAC"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704267A3" w14:textId="77777777" w:rsidR="0035359F" w:rsidRPr="0035359F" w:rsidRDefault="0035359F" w:rsidP="0035359F">
      <w:pPr>
        <w:rPr>
          <w:noProof/>
          <w:lang w:eastAsia="en-AU"/>
        </w:rPr>
      </w:pPr>
      <w:r w:rsidRPr="0035359F">
        <w:rPr>
          <w:noProof/>
          <w:lang w:eastAsia="en-GB"/>
        </w:rPr>
        <w:lastRenderedPageBreak/>
        <w:drawing>
          <wp:inline distT="0" distB="0" distL="0" distR="0" wp14:anchorId="5D722083" wp14:editId="7E5619ED">
            <wp:extent cx="2657475" cy="438150"/>
            <wp:effectExtent l="0" t="0" r="9525" b="0"/>
            <wp:docPr id="34" name="Picture 3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E8ED678" w14:textId="77777777" w:rsidR="0035359F" w:rsidRPr="0035359F" w:rsidRDefault="0035359F" w:rsidP="0035359F">
      <w:pPr>
        <w:pBdr>
          <w:bottom w:val="single" w:sz="4" w:space="1" w:color="auto"/>
        </w:pBdr>
        <w:jc w:val="center"/>
      </w:pPr>
    </w:p>
    <w:p w14:paraId="08C695FC" w14:textId="77777777" w:rsidR="0035359F" w:rsidRPr="0035359F" w:rsidRDefault="0035359F" w:rsidP="0035359F">
      <w:pPr>
        <w:pBdr>
          <w:bottom w:val="single" w:sz="4" w:space="1" w:color="auto"/>
        </w:pBdr>
        <w:rPr>
          <w:b/>
        </w:rPr>
      </w:pPr>
      <w:r w:rsidRPr="0035359F">
        <w:rPr>
          <w:b/>
        </w:rPr>
        <w:t>Food Standards (P1038 – Vitamin &amp; Mineral Claims &amp; Sodium Claims about Food containing Alcohol) Variation</w:t>
      </w:r>
    </w:p>
    <w:p w14:paraId="45749699" w14:textId="77777777" w:rsidR="0035359F" w:rsidRPr="0035359F" w:rsidRDefault="0035359F" w:rsidP="0035359F">
      <w:pPr>
        <w:pBdr>
          <w:bottom w:val="single" w:sz="4" w:space="1" w:color="auto"/>
        </w:pBdr>
        <w:rPr>
          <w:b/>
        </w:rPr>
      </w:pPr>
    </w:p>
    <w:p w14:paraId="24C25250" w14:textId="77777777" w:rsidR="0035359F" w:rsidRPr="0035359F" w:rsidRDefault="0035359F" w:rsidP="0035359F"/>
    <w:p w14:paraId="4DDC7BA9" w14:textId="77777777" w:rsidR="0035359F" w:rsidRPr="0035359F" w:rsidRDefault="0035359F" w:rsidP="0035359F">
      <w:r w:rsidRPr="0035359F">
        <w:t xml:space="preserve">The Board of Food Standards Australia New Zealand gives notice of the making of this variation under section 92 of the </w:t>
      </w:r>
      <w:r w:rsidRPr="0035359F">
        <w:rPr>
          <w:i/>
        </w:rPr>
        <w:t>Food Standards Australia New Zealand Act 1991</w:t>
      </w:r>
      <w:r w:rsidRPr="0035359F">
        <w:t>.  The Standard commences on the date specified in clause 3 of this variation.</w:t>
      </w:r>
    </w:p>
    <w:p w14:paraId="1E80EFDE" w14:textId="77777777" w:rsidR="0035359F" w:rsidRPr="0035359F" w:rsidRDefault="0035359F" w:rsidP="0035359F"/>
    <w:p w14:paraId="537ED996" w14:textId="77777777" w:rsidR="0035359F" w:rsidRPr="0035359F" w:rsidRDefault="0035359F" w:rsidP="0035359F">
      <w:pPr>
        <w:tabs>
          <w:tab w:val="clear" w:pos="851"/>
        </w:tabs>
        <w:rPr>
          <w:szCs w:val="24"/>
          <w:lang w:bidi="en-US"/>
        </w:rPr>
      </w:pPr>
      <w:r w:rsidRPr="0035359F">
        <w:rPr>
          <w:szCs w:val="24"/>
          <w:lang w:bidi="en-US"/>
        </w:rPr>
        <w:t>30 November 2015</w:t>
      </w:r>
    </w:p>
    <w:p w14:paraId="446E2356"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482D9F38" wp14:editId="1942066E">
            <wp:extent cx="1343025" cy="790575"/>
            <wp:effectExtent l="0" t="0" r="9525" b="9525"/>
            <wp:docPr id="35" name="Picture 3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04E7DE5"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6E40AA5B"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41D4620A" w14:textId="77777777" w:rsidR="0035359F" w:rsidRPr="0035359F" w:rsidRDefault="0035359F" w:rsidP="0035359F"/>
    <w:p w14:paraId="0BC1F294" w14:textId="77777777" w:rsidR="0035359F" w:rsidRPr="0035359F" w:rsidRDefault="0035359F" w:rsidP="0035359F"/>
    <w:p w14:paraId="2A83BC2F" w14:textId="77777777" w:rsidR="0035359F" w:rsidRPr="0035359F" w:rsidRDefault="0035359F" w:rsidP="0035359F"/>
    <w:p w14:paraId="1AD71531" w14:textId="77777777" w:rsidR="0035359F" w:rsidRPr="0035359F" w:rsidRDefault="0035359F" w:rsidP="0035359F"/>
    <w:p w14:paraId="4854C288" w14:textId="77777777" w:rsidR="0035359F" w:rsidRPr="0035359F" w:rsidRDefault="0035359F" w:rsidP="0035359F"/>
    <w:p w14:paraId="76B7AB0D"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7F2A1525"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0C7A1D36"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This means that this date is the gazettal date for the purposes of clause 3 of the variation. </w:t>
      </w:r>
    </w:p>
    <w:p w14:paraId="43BF6254" w14:textId="77777777" w:rsidR="0035359F" w:rsidRPr="0035359F" w:rsidRDefault="0035359F" w:rsidP="0035359F">
      <w:pPr>
        <w:rPr>
          <w:highlight w:val="yellow"/>
        </w:rPr>
      </w:pPr>
    </w:p>
    <w:p w14:paraId="202C15D2" w14:textId="77777777" w:rsidR="0035359F" w:rsidRPr="0035359F" w:rsidRDefault="0035359F" w:rsidP="0035359F">
      <w:pPr>
        <w:widowControl/>
        <w:tabs>
          <w:tab w:val="clear" w:pos="851"/>
        </w:tabs>
        <w:rPr>
          <w:highlight w:val="yellow"/>
        </w:rPr>
      </w:pPr>
      <w:r w:rsidRPr="0035359F">
        <w:rPr>
          <w:highlight w:val="yellow"/>
        </w:rPr>
        <w:br w:type="page"/>
      </w:r>
    </w:p>
    <w:p w14:paraId="564DE2F1" w14:textId="77777777" w:rsidR="0035359F" w:rsidRPr="0035359F" w:rsidRDefault="0035359F" w:rsidP="0035359F">
      <w:pPr>
        <w:keepNext/>
        <w:rPr>
          <w:b/>
        </w:rPr>
      </w:pPr>
      <w:r w:rsidRPr="0035359F">
        <w:rPr>
          <w:b/>
        </w:rPr>
        <w:lastRenderedPageBreak/>
        <w:t>1</w:t>
      </w:r>
      <w:r w:rsidRPr="0035359F">
        <w:rPr>
          <w:b/>
        </w:rPr>
        <w:tab/>
        <w:t>Name</w:t>
      </w:r>
    </w:p>
    <w:p w14:paraId="05082699" w14:textId="77777777" w:rsidR="0035359F" w:rsidRPr="0035359F" w:rsidRDefault="0035359F" w:rsidP="0035359F"/>
    <w:p w14:paraId="24BD7667" w14:textId="77777777" w:rsidR="0035359F" w:rsidRPr="0035359F" w:rsidRDefault="0035359F" w:rsidP="0035359F">
      <w:r w:rsidRPr="0035359F">
        <w:t xml:space="preserve">This instrument is the </w:t>
      </w:r>
      <w:r w:rsidRPr="0035359F">
        <w:rPr>
          <w:i/>
        </w:rPr>
        <w:t>Food Standards (P1038 – Vitamin &amp; Mineral Claims &amp; Sodium Claims about Food containing Alcohol) Variation</w:t>
      </w:r>
      <w:r w:rsidRPr="0035359F">
        <w:t>.</w:t>
      </w:r>
    </w:p>
    <w:p w14:paraId="13741773" w14:textId="77777777" w:rsidR="0035359F" w:rsidRPr="0035359F" w:rsidRDefault="0035359F" w:rsidP="0035359F"/>
    <w:p w14:paraId="67B45BEF" w14:textId="77777777" w:rsidR="0035359F" w:rsidRPr="0035359F" w:rsidRDefault="0035359F" w:rsidP="0035359F">
      <w:pPr>
        <w:keepNext/>
        <w:tabs>
          <w:tab w:val="clear" w:pos="851"/>
        </w:tabs>
        <w:ind w:left="851" w:hanging="851"/>
        <w:rPr>
          <w:b/>
        </w:rPr>
      </w:pPr>
      <w:r w:rsidRPr="0035359F">
        <w:rPr>
          <w:b/>
        </w:rPr>
        <w:t>2</w:t>
      </w:r>
      <w:r w:rsidRPr="0035359F">
        <w:rPr>
          <w:b/>
        </w:rPr>
        <w:tab/>
        <w:t xml:space="preserve">Variation to Standards in the </w:t>
      </w:r>
      <w:r w:rsidRPr="0035359F">
        <w:rPr>
          <w:b/>
          <w:i/>
        </w:rPr>
        <w:t>Australia New Zealand Food Standards Code</w:t>
      </w:r>
    </w:p>
    <w:p w14:paraId="0D37D2C5" w14:textId="77777777" w:rsidR="0035359F" w:rsidRPr="0035359F" w:rsidRDefault="0035359F" w:rsidP="0035359F"/>
    <w:p w14:paraId="319D751B" w14:textId="77777777" w:rsidR="0035359F" w:rsidRPr="0035359F" w:rsidRDefault="0035359F" w:rsidP="0035359F">
      <w:r w:rsidRPr="0035359F">
        <w:t xml:space="preserve">The Schedule varies a Standard in the </w:t>
      </w:r>
      <w:r w:rsidRPr="0035359F">
        <w:rPr>
          <w:i/>
        </w:rPr>
        <w:t>Australia New Zealand Food Standards Code</w:t>
      </w:r>
      <w:r w:rsidRPr="0035359F">
        <w:t>.</w:t>
      </w:r>
    </w:p>
    <w:p w14:paraId="00A266BA" w14:textId="77777777" w:rsidR="0035359F" w:rsidRPr="0035359F" w:rsidRDefault="0035359F" w:rsidP="0035359F"/>
    <w:p w14:paraId="714B9FD8" w14:textId="77777777" w:rsidR="0035359F" w:rsidRPr="0035359F" w:rsidRDefault="0035359F" w:rsidP="0035359F">
      <w:pPr>
        <w:keepNext/>
        <w:rPr>
          <w:b/>
        </w:rPr>
      </w:pPr>
      <w:r w:rsidRPr="0035359F">
        <w:rPr>
          <w:b/>
        </w:rPr>
        <w:t>3</w:t>
      </w:r>
      <w:r w:rsidRPr="0035359F">
        <w:rPr>
          <w:b/>
        </w:rPr>
        <w:tab/>
        <w:t>Commencement</w:t>
      </w:r>
    </w:p>
    <w:p w14:paraId="7D401D19" w14:textId="77777777" w:rsidR="0035359F" w:rsidRPr="0035359F" w:rsidRDefault="0035359F" w:rsidP="0035359F"/>
    <w:p w14:paraId="1FA94896" w14:textId="77777777" w:rsidR="0035359F" w:rsidRPr="0035359F" w:rsidRDefault="0035359F" w:rsidP="0035359F">
      <w:r w:rsidRPr="0035359F">
        <w:t>The Schedule commences on the date of gazettal.</w:t>
      </w:r>
    </w:p>
    <w:p w14:paraId="3C5269C0" w14:textId="77777777" w:rsidR="0035359F" w:rsidRPr="0035359F" w:rsidRDefault="0035359F" w:rsidP="0035359F">
      <w:pPr>
        <w:jc w:val="center"/>
        <w:rPr>
          <w:b/>
          <w:caps/>
        </w:rPr>
      </w:pPr>
    </w:p>
    <w:p w14:paraId="40AFBAA0" w14:textId="77777777" w:rsidR="0035359F" w:rsidRPr="0035359F" w:rsidRDefault="0035359F" w:rsidP="0035359F">
      <w:pPr>
        <w:jc w:val="center"/>
        <w:rPr>
          <w:b/>
          <w:caps/>
        </w:rPr>
      </w:pPr>
      <w:r w:rsidRPr="0035359F">
        <w:rPr>
          <w:b/>
          <w:caps/>
        </w:rPr>
        <w:t>SCHEDULE</w:t>
      </w:r>
    </w:p>
    <w:p w14:paraId="309757BB" w14:textId="77777777" w:rsidR="0035359F" w:rsidRPr="0035359F" w:rsidRDefault="0035359F" w:rsidP="0035359F">
      <w:pPr>
        <w:widowControl/>
        <w:tabs>
          <w:tab w:val="clear" w:pos="851"/>
        </w:tabs>
      </w:pPr>
    </w:p>
    <w:p w14:paraId="390D5EFA" w14:textId="77777777" w:rsidR="0035359F" w:rsidRPr="0035359F" w:rsidRDefault="0035359F" w:rsidP="0035359F">
      <w:r w:rsidRPr="0035359F">
        <w:rPr>
          <w:b/>
        </w:rPr>
        <w:t>[1]</w:t>
      </w:r>
      <w:r w:rsidRPr="0035359F">
        <w:rPr>
          <w:b/>
          <w:sz w:val="22"/>
        </w:rPr>
        <w:tab/>
      </w:r>
      <w:r w:rsidRPr="0035359F">
        <w:rPr>
          <w:b/>
        </w:rPr>
        <w:t>Standard 1.2.7</w:t>
      </w:r>
      <w:r w:rsidRPr="0035359F">
        <w:t xml:space="preserve"> is varied by </w:t>
      </w:r>
    </w:p>
    <w:p w14:paraId="51015F95" w14:textId="77777777" w:rsidR="0035359F" w:rsidRPr="0035359F" w:rsidRDefault="0035359F" w:rsidP="0035359F">
      <w:pPr>
        <w:ind w:left="567" w:hanging="567"/>
        <w:rPr>
          <w:highlight w:val="yellow"/>
        </w:rPr>
      </w:pPr>
      <w:r w:rsidRPr="0035359F">
        <w:rPr>
          <w:highlight w:val="yellow"/>
        </w:rPr>
        <w:t xml:space="preserve"> </w:t>
      </w:r>
    </w:p>
    <w:p w14:paraId="3CBCAAE6" w14:textId="77777777" w:rsidR="0035359F" w:rsidRPr="0035359F" w:rsidRDefault="0035359F" w:rsidP="0035359F">
      <w:r w:rsidRPr="0035359F">
        <w:t>[1.1]</w:t>
      </w:r>
      <w:r w:rsidRPr="0035359F">
        <w:tab/>
        <w:t xml:space="preserve">inserting in clause 2 in alphabetical order, the following definitions </w:t>
      </w:r>
    </w:p>
    <w:p w14:paraId="2CF5163E" w14:textId="77777777" w:rsidR="0035359F" w:rsidRPr="0035359F" w:rsidRDefault="0035359F" w:rsidP="0035359F"/>
    <w:p w14:paraId="51631673" w14:textId="77777777" w:rsidR="0035359F" w:rsidRPr="0035359F" w:rsidRDefault="0035359F" w:rsidP="0035359F">
      <w:pPr>
        <w:ind w:left="1701" w:hanging="851"/>
      </w:pPr>
      <w:r w:rsidRPr="0035359F">
        <w:t>“</w:t>
      </w:r>
      <w:r w:rsidRPr="0035359F">
        <w:rPr>
          <w:b/>
        </w:rPr>
        <w:t xml:space="preserve">maximum claimable amount </w:t>
      </w:r>
      <w:r w:rsidRPr="0035359F">
        <w:rPr>
          <w:rFonts w:eastAsia="Calibri"/>
          <w:lang w:eastAsia="en-AU"/>
        </w:rPr>
        <w:t>means the maximum claimable amount as prescribed by clause 4 or clause 5 of Standard 1.3.2.”</w:t>
      </w:r>
    </w:p>
    <w:p w14:paraId="61611005" w14:textId="77777777" w:rsidR="0035359F" w:rsidRPr="0035359F" w:rsidRDefault="0035359F" w:rsidP="0035359F"/>
    <w:p w14:paraId="63B06C47" w14:textId="77777777" w:rsidR="0035359F" w:rsidRPr="0035359F" w:rsidRDefault="0035359F" w:rsidP="0035359F">
      <w:pPr>
        <w:ind w:left="1701" w:hanging="851"/>
        <w:rPr>
          <w:b/>
        </w:rPr>
      </w:pPr>
      <w:r w:rsidRPr="0035359F">
        <w:t>“</w:t>
      </w:r>
      <w:r w:rsidRPr="0035359F">
        <w:rPr>
          <w:b/>
        </w:rPr>
        <w:t>reference quantity</w:t>
      </w:r>
      <w:r w:rsidRPr="0035359F">
        <w:rPr>
          <w:rFonts w:eastAsia="Calibri"/>
          <w:lang w:eastAsia="en-AU"/>
        </w:rPr>
        <w:t xml:space="preserve"> means the reference </w:t>
      </w:r>
      <w:r w:rsidRPr="0035359F">
        <w:rPr>
          <w:rFonts w:eastAsia="Calibri"/>
        </w:rPr>
        <w:t>quantity</w:t>
      </w:r>
      <w:r w:rsidRPr="0035359F">
        <w:rPr>
          <w:rFonts w:eastAsia="Calibri"/>
          <w:lang w:eastAsia="en-AU"/>
        </w:rPr>
        <w:t xml:space="preserve"> specified for the food in Column 2 of the Table to clause 3 of Standard 1.3.2.”</w:t>
      </w:r>
    </w:p>
    <w:p w14:paraId="0236BF2E" w14:textId="77777777" w:rsidR="0035359F" w:rsidRPr="0035359F" w:rsidRDefault="0035359F" w:rsidP="0035359F">
      <w:pPr>
        <w:rPr>
          <w:highlight w:val="yellow"/>
        </w:rPr>
      </w:pPr>
    </w:p>
    <w:p w14:paraId="095103F5" w14:textId="77777777" w:rsidR="0035359F" w:rsidRPr="0035359F" w:rsidRDefault="0035359F" w:rsidP="0035359F">
      <w:r w:rsidRPr="0035359F">
        <w:t>[1.2]</w:t>
      </w:r>
      <w:r w:rsidRPr="0035359F">
        <w:tab/>
        <w:t xml:space="preserve">deleting paragraph 3(b), substituting </w:t>
      </w:r>
    </w:p>
    <w:p w14:paraId="041182FC" w14:textId="77777777" w:rsidR="0035359F" w:rsidRPr="0035359F" w:rsidRDefault="0035359F" w:rsidP="0035359F"/>
    <w:p w14:paraId="2EDAB1C4" w14:textId="77777777" w:rsidR="0035359F" w:rsidRPr="0035359F" w:rsidRDefault="0035359F" w:rsidP="0035359F">
      <w:pPr>
        <w:tabs>
          <w:tab w:val="clear" w:pos="851"/>
        </w:tabs>
        <w:ind w:left="1702" w:hanging="851"/>
      </w:pPr>
      <w:r w:rsidRPr="0035359F">
        <w:t>“(b)</w:t>
      </w:r>
      <w:r w:rsidRPr="0035359F">
        <w:tab/>
        <w:t xml:space="preserve">a food that contains more than 1.15% alcohol by volume, other than a nutrition content claim about – </w:t>
      </w:r>
    </w:p>
    <w:p w14:paraId="16E26794" w14:textId="77777777" w:rsidR="0035359F" w:rsidRPr="0035359F" w:rsidRDefault="0035359F" w:rsidP="0035359F"/>
    <w:p w14:paraId="06AC4E45" w14:textId="77777777" w:rsidR="0035359F" w:rsidRPr="0035359F" w:rsidRDefault="0035359F" w:rsidP="0035359F">
      <w:pPr>
        <w:widowControl/>
        <w:tabs>
          <w:tab w:val="clear" w:pos="851"/>
        </w:tabs>
        <w:ind w:left="2553" w:hanging="851"/>
      </w:pPr>
      <w:r w:rsidRPr="0035359F">
        <w:t>(</w:t>
      </w:r>
      <w:proofErr w:type="spellStart"/>
      <w:r w:rsidRPr="0035359F">
        <w:t>i</w:t>
      </w:r>
      <w:proofErr w:type="spellEnd"/>
      <w:r w:rsidRPr="0035359F">
        <w:t>)</w:t>
      </w:r>
      <w:r w:rsidRPr="0035359F">
        <w:tab/>
        <w:t>energy content, carbohydrate content or gluten content; or</w:t>
      </w:r>
    </w:p>
    <w:p w14:paraId="1B4354B5" w14:textId="77777777" w:rsidR="0035359F" w:rsidRPr="0035359F" w:rsidRDefault="0035359F" w:rsidP="0035359F">
      <w:pPr>
        <w:widowControl/>
        <w:tabs>
          <w:tab w:val="clear" w:pos="851"/>
        </w:tabs>
        <w:ind w:left="2553" w:hanging="851"/>
      </w:pPr>
      <w:r w:rsidRPr="0035359F">
        <w:t>(ii)</w:t>
      </w:r>
      <w:r w:rsidRPr="0035359F">
        <w:tab/>
        <w:t>salt or sodium content about a food that is not a beverage; or”</w:t>
      </w:r>
    </w:p>
    <w:p w14:paraId="01155A9B" w14:textId="77777777" w:rsidR="0035359F" w:rsidRPr="0035359F" w:rsidRDefault="0035359F" w:rsidP="0035359F">
      <w:pPr>
        <w:rPr>
          <w:highlight w:val="yellow"/>
        </w:rPr>
      </w:pPr>
    </w:p>
    <w:p w14:paraId="2B419E4A" w14:textId="77777777" w:rsidR="0035359F" w:rsidRPr="0035359F" w:rsidRDefault="0035359F" w:rsidP="0035359F">
      <w:r w:rsidRPr="0035359F">
        <w:t>[1.3]</w:t>
      </w:r>
      <w:r w:rsidRPr="0035359F">
        <w:tab/>
        <w:t xml:space="preserve">deleting the following from Column 2 of the entry for Vitamin or mineral (not including potassium or sodium) in Schedule 1 </w:t>
      </w:r>
    </w:p>
    <w:p w14:paraId="0F623648" w14:textId="77777777" w:rsidR="0035359F" w:rsidRPr="0035359F" w:rsidRDefault="0035359F" w:rsidP="0035359F">
      <w:r w:rsidRPr="0035359F">
        <w:t xml:space="preserve"> </w:t>
      </w:r>
    </w:p>
    <w:p w14:paraId="45C92C61" w14:textId="77777777" w:rsidR="0035359F" w:rsidRPr="0035359F" w:rsidRDefault="0035359F" w:rsidP="0035359F">
      <w:pPr>
        <w:ind w:left="567" w:hanging="567"/>
      </w:pPr>
      <w:r w:rsidRPr="0035359F">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35359F" w:rsidRPr="0035359F" w14:paraId="4A40335E" w14:textId="77777777" w:rsidTr="009D4E04">
        <w:tc>
          <w:tcPr>
            <w:tcW w:w="1809" w:type="dxa"/>
          </w:tcPr>
          <w:p w14:paraId="51B85A9E" w14:textId="77777777" w:rsidR="0035359F" w:rsidRPr="0035359F" w:rsidRDefault="0035359F" w:rsidP="0035359F">
            <w:pPr>
              <w:ind w:left="142" w:hanging="142"/>
              <w:rPr>
                <w:rFonts w:eastAsia="Calibri"/>
                <w:bCs/>
                <w:sz w:val="18"/>
                <w:lang w:eastAsia="en-AU"/>
              </w:rPr>
            </w:pPr>
            <w:r w:rsidRPr="0035359F">
              <w:rPr>
                <w:rFonts w:eastAsia="Calibri"/>
                <w:bCs/>
                <w:sz w:val="18"/>
              </w:rPr>
              <w:br w:type="page"/>
            </w:r>
          </w:p>
        </w:tc>
        <w:tc>
          <w:tcPr>
            <w:tcW w:w="2127" w:type="dxa"/>
          </w:tcPr>
          <w:p w14:paraId="28794BAC"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(a)</w:t>
            </w:r>
            <w:r w:rsidRPr="0035359F">
              <w:rPr>
                <w:rFonts w:eastAsia="Calibri"/>
                <w:bCs/>
                <w:sz w:val="18"/>
                <w:lang w:eastAsia="en-AU"/>
              </w:rPr>
              <w:tab/>
              <w:t>the vitamin or mineral is mentioned in column 1 of the Schedule to Standard 1.1.1; and</w:t>
            </w:r>
          </w:p>
          <w:p w14:paraId="5058CB04"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(b)</w:t>
            </w:r>
            <w:r w:rsidRPr="0035359F">
              <w:rPr>
                <w:rFonts w:eastAsia="Calibri"/>
                <w:bCs/>
                <w:sz w:val="18"/>
                <w:lang w:eastAsia="en-AU"/>
              </w:rPr>
              <w:tab/>
              <w:t>a serving of the food contains at least 10% of the RDI or ESADDI for that vitamin or mineral; and</w:t>
            </w:r>
          </w:p>
          <w:p w14:paraId="797147DE"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(c)</w:t>
            </w:r>
            <w:r w:rsidRPr="0035359F">
              <w:rPr>
                <w:rFonts w:eastAsia="Calibri"/>
                <w:bCs/>
                <w:sz w:val="18"/>
                <w:lang w:eastAsia="en-AU"/>
              </w:rPr>
              <w:tab/>
              <w:t>a claim is not for more of the particular vitamin or mineral than the maximum claimable amount as prescribed by clause 4 or clause 5 of Standard 1.3.2; and</w:t>
            </w:r>
          </w:p>
          <w:p w14:paraId="09DF13AD" w14:textId="77777777" w:rsidR="0035359F" w:rsidRPr="0035359F" w:rsidRDefault="0035359F" w:rsidP="0035359F">
            <w:pPr>
              <w:tabs>
                <w:tab w:val="clear" w:pos="851"/>
              </w:tabs>
              <w:ind w:left="284" w:hanging="284"/>
              <w:rPr>
                <w:rFonts w:eastAsia="Calibri"/>
                <w:bCs/>
                <w:sz w:val="18"/>
                <w:lang w:eastAsia="en-AU"/>
              </w:rPr>
            </w:pPr>
          </w:p>
          <w:p w14:paraId="4E028945" w14:textId="77777777" w:rsidR="0035359F" w:rsidRPr="0035359F" w:rsidRDefault="0035359F" w:rsidP="0035359F">
            <w:pPr>
              <w:tabs>
                <w:tab w:val="clear" w:pos="851"/>
              </w:tabs>
              <w:ind w:left="284" w:hanging="284"/>
              <w:rPr>
                <w:rFonts w:eastAsia="Calibri"/>
                <w:bCs/>
                <w:sz w:val="18"/>
                <w:lang w:eastAsia="en-AU"/>
              </w:rPr>
            </w:pPr>
          </w:p>
          <w:p w14:paraId="52590976" w14:textId="77777777" w:rsidR="0035359F" w:rsidRPr="0035359F" w:rsidRDefault="0035359F" w:rsidP="0035359F">
            <w:pPr>
              <w:tabs>
                <w:tab w:val="clear" w:pos="851"/>
              </w:tabs>
              <w:ind w:left="284" w:hanging="284"/>
              <w:rPr>
                <w:rFonts w:eastAsia="Calibri"/>
                <w:bCs/>
                <w:sz w:val="18"/>
                <w:lang w:eastAsia="en-AU"/>
              </w:rPr>
            </w:pPr>
          </w:p>
          <w:p w14:paraId="3CCCD533" w14:textId="77777777" w:rsidR="0035359F" w:rsidRPr="0035359F" w:rsidRDefault="0035359F" w:rsidP="0035359F">
            <w:pPr>
              <w:tabs>
                <w:tab w:val="clear" w:pos="851"/>
              </w:tabs>
              <w:ind w:left="284" w:hanging="284"/>
              <w:rPr>
                <w:rFonts w:eastAsia="Calibri"/>
                <w:bCs/>
                <w:sz w:val="18"/>
                <w:lang w:eastAsia="en-AU"/>
              </w:rPr>
            </w:pPr>
          </w:p>
          <w:p w14:paraId="191BDD7F"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lastRenderedPageBreak/>
              <w:t>(d)</w:t>
            </w:r>
            <w:r w:rsidRPr="0035359F">
              <w:rPr>
                <w:rFonts w:eastAsia="Calibri"/>
                <w:bCs/>
                <w:sz w:val="18"/>
                <w:lang w:eastAsia="en-AU"/>
              </w:rPr>
              <w:tab/>
              <w:t>the food is not a food standardised by Standard 2.6.4, Standard 2.9.2, Standard 2.9.3 or Standard 2.9.4.</w:t>
            </w:r>
          </w:p>
        </w:tc>
        <w:tc>
          <w:tcPr>
            <w:tcW w:w="2126" w:type="dxa"/>
          </w:tcPr>
          <w:p w14:paraId="5D0D0E0D" w14:textId="77777777" w:rsidR="0035359F" w:rsidRPr="0035359F" w:rsidRDefault="0035359F" w:rsidP="0035359F">
            <w:pPr>
              <w:ind w:left="142" w:hanging="142"/>
              <w:rPr>
                <w:rFonts w:eastAsia="Calibri"/>
                <w:bCs/>
                <w:sz w:val="18"/>
                <w:lang w:eastAsia="en-AU"/>
              </w:rPr>
            </w:pPr>
          </w:p>
        </w:tc>
        <w:tc>
          <w:tcPr>
            <w:tcW w:w="3010" w:type="dxa"/>
          </w:tcPr>
          <w:p w14:paraId="58E0FC69" w14:textId="77777777" w:rsidR="0035359F" w:rsidRPr="0035359F" w:rsidRDefault="0035359F" w:rsidP="0035359F">
            <w:pPr>
              <w:ind w:left="142" w:hanging="142"/>
              <w:rPr>
                <w:rFonts w:eastAsia="Calibri"/>
                <w:bCs/>
                <w:sz w:val="18"/>
                <w:lang w:eastAsia="en-AU"/>
              </w:rPr>
            </w:pPr>
          </w:p>
        </w:tc>
      </w:tr>
    </w:tbl>
    <w:p w14:paraId="1BFF7438" w14:textId="77777777" w:rsidR="0035359F" w:rsidRPr="0035359F" w:rsidRDefault="0035359F" w:rsidP="0035359F">
      <w:pPr>
        <w:ind w:left="567" w:hanging="567"/>
        <w:jc w:val="right"/>
      </w:pPr>
      <w:r w:rsidRPr="0035359F">
        <w:lastRenderedPageBreak/>
        <w:t>“</w:t>
      </w:r>
    </w:p>
    <w:p w14:paraId="321A3E5E" w14:textId="77777777" w:rsidR="0035359F" w:rsidRPr="0035359F" w:rsidRDefault="0035359F" w:rsidP="0035359F">
      <w:pPr>
        <w:ind w:left="567" w:hanging="567"/>
      </w:pPr>
      <w:r w:rsidRPr="0035359F">
        <w:t xml:space="preserve">and substituting – </w:t>
      </w:r>
    </w:p>
    <w:p w14:paraId="33D77491" w14:textId="77777777" w:rsidR="0035359F" w:rsidRPr="0035359F" w:rsidRDefault="0035359F" w:rsidP="0035359F">
      <w:pPr>
        <w:ind w:left="567" w:hanging="567"/>
      </w:pPr>
    </w:p>
    <w:p w14:paraId="6B9F9F09" w14:textId="77777777" w:rsidR="0035359F" w:rsidRPr="0035359F" w:rsidRDefault="0035359F" w:rsidP="0035359F">
      <w:pPr>
        <w:ind w:left="567" w:hanging="567"/>
      </w:pPr>
      <w:r w:rsidRPr="0035359F">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35359F" w:rsidRPr="0035359F" w14:paraId="282758A2" w14:textId="77777777" w:rsidTr="009D4E04">
        <w:tc>
          <w:tcPr>
            <w:tcW w:w="1809" w:type="dxa"/>
          </w:tcPr>
          <w:p w14:paraId="65A51D98" w14:textId="77777777" w:rsidR="0035359F" w:rsidRPr="0035359F" w:rsidRDefault="0035359F" w:rsidP="0035359F">
            <w:pPr>
              <w:ind w:left="142" w:hanging="142"/>
              <w:rPr>
                <w:rFonts w:eastAsia="Calibri"/>
                <w:bCs/>
                <w:sz w:val="18"/>
                <w:lang w:eastAsia="en-AU"/>
              </w:rPr>
            </w:pPr>
            <w:r w:rsidRPr="0035359F">
              <w:rPr>
                <w:rFonts w:eastAsia="Calibri"/>
                <w:bCs/>
                <w:sz w:val="18"/>
              </w:rPr>
              <w:br w:type="page"/>
            </w:r>
          </w:p>
        </w:tc>
        <w:tc>
          <w:tcPr>
            <w:tcW w:w="2127" w:type="dxa"/>
          </w:tcPr>
          <w:p w14:paraId="0A6D3DB1"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(a)</w:t>
            </w:r>
            <w:r w:rsidRPr="0035359F">
              <w:rPr>
                <w:rFonts w:eastAsia="Calibri"/>
                <w:bCs/>
                <w:sz w:val="18"/>
                <w:lang w:eastAsia="en-AU"/>
              </w:rPr>
              <w:tab/>
              <w:t>the vitamin or mineral is mentioned in column 1 of the Schedule to Standard 1.1.1; and</w:t>
            </w:r>
          </w:p>
          <w:p w14:paraId="1BE4713D"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(b)</w:t>
            </w:r>
            <w:r w:rsidRPr="0035359F">
              <w:rPr>
                <w:rFonts w:eastAsia="Calibri"/>
                <w:bCs/>
                <w:sz w:val="18"/>
                <w:lang w:eastAsia="en-AU"/>
              </w:rPr>
              <w:tab/>
              <w:t>a serving of the food contains at least 10% of the RDI or ESADDI for that vitamin or mineral; and</w:t>
            </w:r>
          </w:p>
          <w:p w14:paraId="25D90502"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(c)</w:t>
            </w:r>
            <w:r w:rsidRPr="0035359F">
              <w:rPr>
                <w:rFonts w:eastAsia="Calibri"/>
                <w:bCs/>
                <w:sz w:val="18"/>
                <w:lang w:eastAsia="en-AU"/>
              </w:rPr>
              <w:tab/>
              <w:t>a claim is not for more of the particular vitamin or mineral than the maximum claimable amount; and</w:t>
            </w:r>
          </w:p>
          <w:p w14:paraId="11A1DB05"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(d)</w:t>
            </w:r>
            <w:r w:rsidRPr="0035359F">
              <w:rPr>
                <w:rFonts w:eastAsia="Calibri"/>
                <w:bCs/>
                <w:sz w:val="18"/>
                <w:lang w:eastAsia="en-AU"/>
              </w:rPr>
              <w:tab/>
              <w:t>the food is not a food standardised by Standard 2.6.4, Standard 2.9.2, Standard 2.9.3 or Standard 2.9.4.</w:t>
            </w:r>
          </w:p>
          <w:p w14:paraId="095C18A0" w14:textId="77777777" w:rsidR="0035359F" w:rsidRPr="0035359F" w:rsidRDefault="0035359F" w:rsidP="0035359F">
            <w:pPr>
              <w:tabs>
                <w:tab w:val="clear" w:pos="851"/>
              </w:tabs>
              <w:ind w:left="284" w:hanging="284"/>
              <w:rPr>
                <w:rFonts w:eastAsia="Calibri"/>
                <w:bCs/>
                <w:sz w:val="18"/>
                <w:lang w:eastAsia="en-AU"/>
              </w:rPr>
            </w:pPr>
          </w:p>
          <w:p w14:paraId="2D296261" w14:textId="77777777" w:rsidR="0035359F" w:rsidRPr="0035359F" w:rsidRDefault="0035359F" w:rsidP="0035359F">
            <w:pPr>
              <w:tabs>
                <w:tab w:val="clear" w:pos="851"/>
              </w:tabs>
              <w:ind w:left="284" w:hanging="284"/>
              <w:rPr>
                <w:rFonts w:eastAsia="Calibri"/>
                <w:bCs/>
                <w:sz w:val="18"/>
                <w:lang w:eastAsia="en-AU"/>
              </w:rPr>
            </w:pPr>
            <w:r w:rsidRPr="0035359F">
              <w:rPr>
                <w:rFonts w:eastAsia="Calibri"/>
                <w:bCs/>
                <w:sz w:val="18"/>
                <w:lang w:eastAsia="en-AU"/>
              </w:rPr>
              <w:t xml:space="preserve">Paragraph (b) does not apply where – </w:t>
            </w:r>
          </w:p>
          <w:p w14:paraId="27AFFC2E" w14:textId="77777777" w:rsidR="0035359F" w:rsidRPr="0035359F" w:rsidRDefault="0035359F" w:rsidP="0035359F">
            <w:pPr>
              <w:tabs>
                <w:tab w:val="clear" w:pos="851"/>
              </w:tabs>
              <w:ind w:left="284" w:hanging="284"/>
              <w:rPr>
                <w:rFonts w:eastAsia="Calibri"/>
                <w:bCs/>
                <w:sz w:val="18"/>
                <w:lang w:eastAsia="en-AU"/>
              </w:rPr>
            </w:pPr>
          </w:p>
          <w:p w14:paraId="256A3B7E" w14:textId="77777777" w:rsidR="0035359F" w:rsidRPr="0035359F" w:rsidRDefault="0035359F" w:rsidP="0035359F">
            <w:pPr>
              <w:tabs>
                <w:tab w:val="clear" w:pos="851"/>
              </w:tabs>
              <w:ind w:left="568" w:hanging="284"/>
              <w:rPr>
                <w:rFonts w:eastAsia="Calibri"/>
                <w:bCs/>
                <w:sz w:val="18"/>
                <w:lang w:eastAsia="en-AU"/>
              </w:rPr>
            </w:pPr>
            <w:r w:rsidRPr="0035359F">
              <w:rPr>
                <w:rFonts w:eastAsia="Calibri"/>
                <w:bCs/>
                <w:sz w:val="18"/>
                <w:lang w:eastAsia="en-AU"/>
              </w:rPr>
              <w:t>(</w:t>
            </w:r>
            <w:proofErr w:type="spellStart"/>
            <w:r w:rsidRPr="0035359F">
              <w:rPr>
                <w:rFonts w:eastAsia="Calibri"/>
                <w:bCs/>
                <w:sz w:val="18"/>
                <w:lang w:eastAsia="en-AU"/>
              </w:rPr>
              <w:t>i</w:t>
            </w:r>
            <w:proofErr w:type="spellEnd"/>
            <w:r w:rsidRPr="0035359F">
              <w:rPr>
                <w:rFonts w:eastAsia="Calibri"/>
                <w:bCs/>
                <w:sz w:val="18"/>
                <w:lang w:eastAsia="en-AU"/>
              </w:rPr>
              <w:t>)</w:t>
            </w:r>
            <w:r w:rsidRPr="0035359F">
              <w:rPr>
                <w:rFonts w:eastAsia="Calibri"/>
                <w:bCs/>
                <w:sz w:val="18"/>
                <w:lang w:eastAsia="en-AU"/>
              </w:rPr>
              <w:tab/>
              <w:t>a maximum claimable amount applies in relation to the vitamin or mineral; and</w:t>
            </w:r>
          </w:p>
          <w:p w14:paraId="77790EE3" w14:textId="77777777" w:rsidR="0035359F" w:rsidRPr="0035359F" w:rsidRDefault="0035359F" w:rsidP="0035359F">
            <w:pPr>
              <w:tabs>
                <w:tab w:val="clear" w:pos="851"/>
              </w:tabs>
              <w:ind w:left="568" w:hanging="284"/>
              <w:rPr>
                <w:rFonts w:eastAsia="Calibri"/>
                <w:bCs/>
                <w:sz w:val="18"/>
                <w:lang w:eastAsia="en-AU"/>
              </w:rPr>
            </w:pPr>
            <w:r w:rsidRPr="0035359F">
              <w:rPr>
                <w:rFonts w:eastAsia="Calibri"/>
                <w:bCs/>
                <w:sz w:val="18"/>
                <w:lang w:eastAsia="en-AU"/>
              </w:rPr>
              <w:t>(ii)</w:t>
            </w:r>
            <w:r w:rsidRPr="0035359F">
              <w:rPr>
                <w:rFonts w:eastAsia="Calibri"/>
                <w:bCs/>
                <w:sz w:val="18"/>
                <w:lang w:eastAsia="en-AU"/>
              </w:rPr>
              <w:tab/>
              <w:t>the serving size is less than the reference quantity; and</w:t>
            </w:r>
          </w:p>
          <w:p w14:paraId="7A3D0A8E" w14:textId="77777777" w:rsidR="0035359F" w:rsidRPr="0035359F" w:rsidRDefault="0035359F" w:rsidP="0035359F">
            <w:pPr>
              <w:tabs>
                <w:tab w:val="clear" w:pos="851"/>
              </w:tabs>
              <w:ind w:left="568" w:hanging="284"/>
              <w:rPr>
                <w:rFonts w:eastAsia="Calibri"/>
                <w:bCs/>
                <w:sz w:val="18"/>
                <w:lang w:eastAsia="en-AU"/>
              </w:rPr>
            </w:pPr>
            <w:r w:rsidRPr="0035359F">
              <w:rPr>
                <w:rFonts w:eastAsia="Calibri"/>
                <w:bCs/>
                <w:sz w:val="18"/>
                <w:lang w:eastAsia="en-AU"/>
              </w:rPr>
              <w:t>(iii)</w:t>
            </w:r>
            <w:r w:rsidRPr="0035359F">
              <w:rPr>
                <w:rFonts w:eastAsia="Calibri"/>
                <w:bCs/>
                <w:sz w:val="18"/>
                <w:lang w:eastAsia="en-AU"/>
              </w:rPr>
              <w:tab/>
              <w:t>the reference quantity contains at least 10% of the RDI or ESADDI for the vitamin or mineral; and</w:t>
            </w:r>
          </w:p>
          <w:p w14:paraId="12CADF9A" w14:textId="77777777" w:rsidR="0035359F" w:rsidRPr="0035359F" w:rsidRDefault="0035359F" w:rsidP="0035359F">
            <w:pPr>
              <w:tabs>
                <w:tab w:val="clear" w:pos="851"/>
              </w:tabs>
              <w:ind w:left="568" w:hanging="284"/>
              <w:rPr>
                <w:rFonts w:eastAsia="Calibri"/>
                <w:bCs/>
                <w:sz w:val="18"/>
                <w:lang w:eastAsia="en-AU"/>
              </w:rPr>
            </w:pPr>
            <w:r w:rsidRPr="0035359F">
              <w:rPr>
                <w:rFonts w:eastAsia="Calibri"/>
                <w:bCs/>
                <w:sz w:val="18"/>
                <w:lang w:eastAsia="en-AU"/>
              </w:rPr>
              <w:t>(iv)</w:t>
            </w:r>
            <w:r w:rsidRPr="0035359F">
              <w:rPr>
                <w:rFonts w:eastAsia="Calibri"/>
                <w:bCs/>
                <w:sz w:val="18"/>
                <w:lang w:eastAsia="en-AU"/>
              </w:rPr>
              <w:tab/>
              <w:t>the maximum claimable amount is less than 10% of the RDI or ESADDI per serving.</w:t>
            </w:r>
          </w:p>
          <w:p w14:paraId="0BF0CDB9" w14:textId="77777777" w:rsidR="0035359F" w:rsidRPr="0035359F" w:rsidRDefault="0035359F" w:rsidP="0035359F">
            <w:pPr>
              <w:widowControl/>
              <w:tabs>
                <w:tab w:val="clear" w:pos="851"/>
              </w:tabs>
              <w:ind w:left="284" w:hanging="284"/>
              <w:rPr>
                <w:rFonts w:eastAsia="Calibri"/>
                <w:bCs/>
                <w:sz w:val="18"/>
                <w:lang w:eastAsia="en-AU"/>
              </w:rPr>
            </w:pPr>
          </w:p>
        </w:tc>
        <w:tc>
          <w:tcPr>
            <w:tcW w:w="2126" w:type="dxa"/>
          </w:tcPr>
          <w:p w14:paraId="3010DD38" w14:textId="77777777" w:rsidR="0035359F" w:rsidRPr="0035359F" w:rsidRDefault="0035359F" w:rsidP="0035359F">
            <w:pPr>
              <w:ind w:left="142" w:hanging="142"/>
              <w:rPr>
                <w:rFonts w:eastAsia="Calibri"/>
                <w:bCs/>
                <w:sz w:val="18"/>
                <w:lang w:eastAsia="en-AU"/>
              </w:rPr>
            </w:pPr>
          </w:p>
        </w:tc>
        <w:tc>
          <w:tcPr>
            <w:tcW w:w="3010" w:type="dxa"/>
          </w:tcPr>
          <w:p w14:paraId="12036ADD" w14:textId="77777777" w:rsidR="0035359F" w:rsidRPr="0035359F" w:rsidRDefault="0035359F" w:rsidP="0035359F">
            <w:pPr>
              <w:ind w:left="142" w:hanging="142"/>
              <w:rPr>
                <w:rFonts w:eastAsia="Calibri"/>
                <w:bCs/>
                <w:sz w:val="18"/>
                <w:lang w:eastAsia="en-AU"/>
              </w:rPr>
            </w:pPr>
          </w:p>
        </w:tc>
      </w:tr>
    </w:tbl>
    <w:p w14:paraId="0880091C" w14:textId="77777777" w:rsidR="0035359F" w:rsidRPr="0035359F" w:rsidRDefault="0035359F" w:rsidP="0035359F">
      <w:pPr>
        <w:ind w:left="567" w:hanging="567"/>
        <w:jc w:val="right"/>
      </w:pPr>
      <w:r w:rsidRPr="0035359F">
        <w:t>“</w:t>
      </w:r>
    </w:p>
    <w:p w14:paraId="32EA2AE0" w14:textId="77777777" w:rsidR="0035359F" w:rsidRPr="0035359F" w:rsidRDefault="0035359F" w:rsidP="0035359F">
      <w:pPr>
        <w:tabs>
          <w:tab w:val="clear" w:pos="851"/>
        </w:tabs>
        <w:rPr>
          <w:sz w:val="22"/>
          <w:szCs w:val="24"/>
          <w:lang w:bidi="en-US"/>
        </w:rPr>
      </w:pPr>
    </w:p>
    <w:p w14:paraId="5C7B9396" w14:textId="77777777" w:rsidR="0035359F" w:rsidRPr="0035359F" w:rsidRDefault="0035359F" w:rsidP="0035359F">
      <w:pPr>
        <w:tabs>
          <w:tab w:val="clear" w:pos="851"/>
        </w:tabs>
        <w:rPr>
          <w:color w:val="000000" w:themeColor="text1"/>
          <w:sz w:val="22"/>
          <w:szCs w:val="24"/>
          <w:lang w:bidi="en-US"/>
        </w:rPr>
      </w:pPr>
      <w:r w:rsidRPr="0035359F">
        <w:rPr>
          <w:color w:val="000000" w:themeColor="text1"/>
          <w:sz w:val="22"/>
          <w:szCs w:val="24"/>
          <w:lang w:bidi="en-US"/>
        </w:rPr>
        <w:br w:type="page"/>
      </w:r>
    </w:p>
    <w:p w14:paraId="0BD9D4E3" w14:textId="77777777" w:rsidR="0035359F" w:rsidRPr="0035359F" w:rsidRDefault="0035359F" w:rsidP="0035359F">
      <w:pPr>
        <w:rPr>
          <w:noProof/>
          <w:lang w:eastAsia="en-AU"/>
        </w:rPr>
      </w:pPr>
      <w:r w:rsidRPr="0035359F">
        <w:rPr>
          <w:noProof/>
          <w:lang w:eastAsia="en-GB"/>
        </w:rPr>
        <w:lastRenderedPageBreak/>
        <w:drawing>
          <wp:inline distT="0" distB="0" distL="0" distR="0" wp14:anchorId="14FD70B2" wp14:editId="59D9221F">
            <wp:extent cx="2657475" cy="438150"/>
            <wp:effectExtent l="0" t="0" r="9525" b="0"/>
            <wp:docPr id="36" name="Picture 36"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EC8B173" w14:textId="77777777" w:rsidR="0035359F" w:rsidRPr="0035359F" w:rsidRDefault="0035359F" w:rsidP="0035359F">
      <w:pPr>
        <w:pBdr>
          <w:bottom w:val="single" w:sz="4" w:space="1" w:color="auto"/>
        </w:pBdr>
        <w:jc w:val="center"/>
      </w:pPr>
    </w:p>
    <w:p w14:paraId="344C7054" w14:textId="77777777" w:rsidR="0035359F" w:rsidRPr="0035359F" w:rsidRDefault="0035359F" w:rsidP="0035359F">
      <w:pPr>
        <w:pBdr>
          <w:bottom w:val="single" w:sz="4" w:space="1" w:color="auto"/>
        </w:pBdr>
        <w:rPr>
          <w:b/>
        </w:rPr>
      </w:pPr>
      <w:r w:rsidRPr="0035359F">
        <w:rPr>
          <w:rFonts w:cs="Arial"/>
          <w:b/>
          <w:i/>
        </w:rPr>
        <w:t>Australia New Zealand Food Standards Code</w:t>
      </w:r>
      <w:r w:rsidRPr="0035359F">
        <w:rPr>
          <w:rFonts w:cs="Arial"/>
          <w:b/>
        </w:rPr>
        <w:t xml:space="preserve"> –</w:t>
      </w:r>
      <w:r w:rsidRPr="0035359F">
        <w:rPr>
          <w:rFonts w:cs="Arial"/>
          <w:b/>
          <w:color w:val="000000"/>
        </w:rPr>
        <w:t xml:space="preserve"> Transitional Variation</w:t>
      </w:r>
      <w:r w:rsidRPr="0035359F">
        <w:rPr>
          <w:rFonts w:cs="Arial"/>
          <w:b/>
        </w:rPr>
        <w:t xml:space="preserve"> 2015 (</w:t>
      </w:r>
      <w:r w:rsidRPr="0035359F">
        <w:rPr>
          <w:b/>
        </w:rPr>
        <w:t>P1038 – Vitamin &amp; Mineral Claims &amp; Sodium Claims about Food containing Alcohol</w:t>
      </w:r>
      <w:r w:rsidRPr="0035359F">
        <w:rPr>
          <w:rFonts w:cs="Arial"/>
          <w:b/>
        </w:rPr>
        <w:t>)</w:t>
      </w:r>
      <w:r w:rsidRPr="0035359F">
        <w:rPr>
          <w:b/>
        </w:rPr>
        <w:t xml:space="preserve"> </w:t>
      </w:r>
    </w:p>
    <w:p w14:paraId="737E2167" w14:textId="77777777" w:rsidR="0035359F" w:rsidRPr="0035359F" w:rsidRDefault="0035359F" w:rsidP="0035359F">
      <w:pPr>
        <w:pBdr>
          <w:bottom w:val="single" w:sz="4" w:space="1" w:color="auto"/>
        </w:pBdr>
        <w:rPr>
          <w:b/>
        </w:rPr>
      </w:pPr>
    </w:p>
    <w:p w14:paraId="48D452EB" w14:textId="77777777" w:rsidR="0035359F" w:rsidRPr="0035359F" w:rsidRDefault="0035359F" w:rsidP="0035359F"/>
    <w:p w14:paraId="147DEDCC" w14:textId="77777777" w:rsidR="0035359F" w:rsidRPr="0035359F" w:rsidRDefault="0035359F" w:rsidP="0035359F">
      <w:r w:rsidRPr="0035359F">
        <w:t xml:space="preserve">The Board of Food Standards Australia New Zealand gives notice of the making of this variation under section 92 of the </w:t>
      </w:r>
      <w:r w:rsidRPr="0035359F">
        <w:rPr>
          <w:i/>
        </w:rPr>
        <w:t>Food Standards Australia New Zealand Act 1991</w:t>
      </w:r>
      <w:r w:rsidRPr="0035359F">
        <w:t>.  The Standard commences on the date specified in clause 2 of the variation.</w:t>
      </w:r>
    </w:p>
    <w:p w14:paraId="3E185837" w14:textId="77777777" w:rsidR="0035359F" w:rsidRPr="0035359F" w:rsidRDefault="0035359F" w:rsidP="0035359F"/>
    <w:p w14:paraId="46FD1D28" w14:textId="77777777" w:rsidR="0035359F" w:rsidRPr="0035359F" w:rsidRDefault="0035359F" w:rsidP="0035359F">
      <w:pPr>
        <w:tabs>
          <w:tab w:val="clear" w:pos="851"/>
        </w:tabs>
        <w:rPr>
          <w:szCs w:val="24"/>
          <w:lang w:bidi="en-US"/>
        </w:rPr>
      </w:pPr>
      <w:r w:rsidRPr="0035359F">
        <w:rPr>
          <w:szCs w:val="24"/>
          <w:lang w:bidi="en-US"/>
        </w:rPr>
        <w:t>30 November 2015</w:t>
      </w:r>
    </w:p>
    <w:p w14:paraId="775465F0" w14:textId="77777777" w:rsidR="0035359F" w:rsidRPr="0035359F" w:rsidRDefault="0035359F" w:rsidP="0035359F">
      <w:pPr>
        <w:tabs>
          <w:tab w:val="clear" w:pos="851"/>
        </w:tabs>
        <w:rPr>
          <w:szCs w:val="24"/>
          <w:lang w:bidi="en-US"/>
        </w:rPr>
      </w:pPr>
      <w:r w:rsidRPr="0035359F">
        <w:rPr>
          <w:noProof/>
          <w:sz w:val="22"/>
          <w:szCs w:val="24"/>
          <w:lang w:eastAsia="en-GB"/>
        </w:rPr>
        <w:drawing>
          <wp:inline distT="0" distB="0" distL="0" distR="0" wp14:anchorId="79FEE7B5" wp14:editId="430C12E6">
            <wp:extent cx="1343025" cy="790575"/>
            <wp:effectExtent l="0" t="0" r="9525" b="9525"/>
            <wp:docPr id="37" name="Picture 3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BD7A34B" w14:textId="77777777" w:rsidR="0035359F" w:rsidRPr="0035359F" w:rsidRDefault="0035359F" w:rsidP="0035359F">
      <w:pPr>
        <w:tabs>
          <w:tab w:val="clear" w:pos="851"/>
        </w:tabs>
        <w:rPr>
          <w:szCs w:val="24"/>
          <w:lang w:bidi="en-US"/>
        </w:rPr>
      </w:pPr>
      <w:r w:rsidRPr="0035359F">
        <w:rPr>
          <w:szCs w:val="24"/>
          <w:lang w:bidi="en-US"/>
        </w:rPr>
        <w:t>Standards Management Officer</w:t>
      </w:r>
    </w:p>
    <w:p w14:paraId="1AA05EDF" w14:textId="77777777" w:rsidR="0035359F" w:rsidRPr="0035359F" w:rsidRDefault="0035359F" w:rsidP="0035359F">
      <w:pPr>
        <w:tabs>
          <w:tab w:val="clear" w:pos="851"/>
        </w:tabs>
        <w:rPr>
          <w:szCs w:val="24"/>
          <w:lang w:bidi="en-US"/>
        </w:rPr>
      </w:pPr>
      <w:r w:rsidRPr="0035359F">
        <w:rPr>
          <w:szCs w:val="24"/>
          <w:lang w:bidi="en-US"/>
        </w:rPr>
        <w:t>Delegate of the Board of Food Standards Australia New Zealand</w:t>
      </w:r>
    </w:p>
    <w:p w14:paraId="156456C6" w14:textId="77777777" w:rsidR="0035359F" w:rsidRPr="0035359F" w:rsidRDefault="0035359F" w:rsidP="0035359F"/>
    <w:p w14:paraId="4561A187" w14:textId="77777777" w:rsidR="0035359F" w:rsidRPr="0035359F" w:rsidRDefault="0035359F" w:rsidP="0035359F"/>
    <w:p w14:paraId="4D7E8957" w14:textId="77777777" w:rsidR="0035359F" w:rsidRPr="0035359F" w:rsidRDefault="0035359F" w:rsidP="0035359F"/>
    <w:p w14:paraId="0A67AB85" w14:textId="77777777" w:rsidR="0035359F" w:rsidRPr="0035359F" w:rsidRDefault="0035359F" w:rsidP="0035359F"/>
    <w:p w14:paraId="462BC9C9" w14:textId="77777777" w:rsidR="0035359F" w:rsidRPr="0035359F" w:rsidRDefault="0035359F" w:rsidP="0035359F"/>
    <w:p w14:paraId="18E8EDE7" w14:textId="77777777" w:rsidR="0035359F" w:rsidRPr="0035359F" w:rsidRDefault="0035359F" w:rsidP="0035359F">
      <w:pPr>
        <w:keepNext/>
        <w:pBdr>
          <w:top w:val="single" w:sz="6" w:space="0" w:color="auto"/>
          <w:left w:val="single" w:sz="6" w:space="0" w:color="auto"/>
          <w:bottom w:val="single" w:sz="6" w:space="0" w:color="auto"/>
          <w:right w:val="single" w:sz="6" w:space="0" w:color="auto"/>
        </w:pBdr>
        <w:rPr>
          <w:b/>
          <w:lang w:val="en-AU" w:bidi="en-US"/>
        </w:rPr>
      </w:pPr>
      <w:r w:rsidRPr="0035359F">
        <w:rPr>
          <w:b/>
          <w:lang w:val="en-AU" w:bidi="en-US"/>
        </w:rPr>
        <w:t xml:space="preserve">Note:  </w:t>
      </w:r>
    </w:p>
    <w:p w14:paraId="3AFB6E24"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p>
    <w:p w14:paraId="5ABD2FE5" w14:textId="77777777" w:rsidR="0035359F" w:rsidRPr="0035359F" w:rsidRDefault="0035359F" w:rsidP="0035359F">
      <w:pPr>
        <w:pBdr>
          <w:top w:val="single" w:sz="6" w:space="0" w:color="auto"/>
          <w:left w:val="single" w:sz="6" w:space="0" w:color="auto"/>
          <w:bottom w:val="single" w:sz="6" w:space="0" w:color="auto"/>
          <w:right w:val="single" w:sz="6" w:space="0" w:color="auto"/>
        </w:pBdr>
        <w:rPr>
          <w:lang w:val="en-AU" w:bidi="en-US"/>
        </w:rPr>
      </w:pPr>
      <w:r w:rsidRPr="0035359F">
        <w:rPr>
          <w:lang w:val="en-AU" w:bidi="en-US"/>
        </w:rPr>
        <w:t xml:space="preserve">This variation will be published in the Commonwealth of Australia Gazette No. FSC 101 on 7 December 2015. </w:t>
      </w:r>
    </w:p>
    <w:p w14:paraId="26E355B6" w14:textId="77777777" w:rsidR="0035359F" w:rsidRPr="0035359F" w:rsidRDefault="0035359F" w:rsidP="0035359F"/>
    <w:p w14:paraId="7A5BE1B5" w14:textId="77777777" w:rsidR="0035359F" w:rsidRPr="0035359F" w:rsidRDefault="0035359F" w:rsidP="0035359F">
      <w:pPr>
        <w:keepNext/>
        <w:keepLines/>
        <w:widowControl/>
        <w:tabs>
          <w:tab w:val="clear" w:pos="851"/>
        </w:tabs>
        <w:spacing w:before="360"/>
        <w:ind w:left="964" w:hanging="964"/>
        <w:rPr>
          <w:rFonts w:cs="Arial"/>
          <w:b/>
          <w:sz w:val="22"/>
          <w:szCs w:val="22"/>
          <w:highlight w:val="yellow"/>
          <w:lang w:eastAsia="en-AU"/>
        </w:rPr>
      </w:pPr>
      <w:r w:rsidRPr="0035359F">
        <w:rPr>
          <w:rFonts w:cs="Arial"/>
          <w:b/>
          <w:sz w:val="22"/>
          <w:szCs w:val="22"/>
          <w:highlight w:val="yellow"/>
          <w:lang w:eastAsia="en-AU"/>
        </w:rPr>
        <w:br w:type="page"/>
      </w:r>
    </w:p>
    <w:p w14:paraId="31EEDE9B" w14:textId="77777777" w:rsidR="0035359F" w:rsidRPr="0035359F" w:rsidRDefault="0035359F" w:rsidP="0035359F">
      <w:pPr>
        <w:keepNext/>
        <w:keepLines/>
        <w:widowControl/>
        <w:tabs>
          <w:tab w:val="clear" w:pos="851"/>
        </w:tabs>
        <w:ind w:left="851" w:hanging="851"/>
        <w:rPr>
          <w:b/>
          <w:lang w:eastAsia="en-AU"/>
        </w:rPr>
      </w:pPr>
      <w:r w:rsidRPr="0035359F">
        <w:rPr>
          <w:b/>
          <w:lang w:eastAsia="en-AU"/>
        </w:rPr>
        <w:lastRenderedPageBreak/>
        <w:t>1</w:t>
      </w:r>
      <w:r w:rsidRPr="0035359F">
        <w:rPr>
          <w:b/>
          <w:lang w:eastAsia="en-AU"/>
        </w:rPr>
        <w:tab/>
        <w:t>Name of instrument</w:t>
      </w:r>
    </w:p>
    <w:p w14:paraId="33DEB1E8" w14:textId="77777777" w:rsidR="0035359F" w:rsidRPr="0035359F" w:rsidRDefault="0035359F" w:rsidP="0035359F">
      <w:pPr>
        <w:rPr>
          <w:lang w:eastAsia="en-AU"/>
        </w:rPr>
      </w:pPr>
    </w:p>
    <w:p w14:paraId="015BE3B5" w14:textId="77777777" w:rsidR="0035359F" w:rsidRPr="0035359F" w:rsidRDefault="0035359F" w:rsidP="0035359F">
      <w:pPr>
        <w:rPr>
          <w:lang w:eastAsia="en-AU"/>
        </w:rPr>
      </w:pPr>
      <w:r w:rsidRPr="0035359F">
        <w:rPr>
          <w:lang w:eastAsia="en-AU"/>
        </w:rPr>
        <w:t xml:space="preserve">This instrument is the </w:t>
      </w:r>
      <w:r w:rsidRPr="0035359F">
        <w:rPr>
          <w:i/>
          <w:lang w:eastAsia="en-AU"/>
        </w:rPr>
        <w:t xml:space="preserve">Australia New Zealand Food Standards Code </w:t>
      </w:r>
      <w:r w:rsidRPr="0035359F">
        <w:rPr>
          <w:i/>
          <w:color w:val="000000"/>
          <w:lang w:eastAsia="en-AU"/>
        </w:rPr>
        <w:t>– Transitional Variation</w:t>
      </w:r>
      <w:r w:rsidRPr="0035359F">
        <w:rPr>
          <w:i/>
          <w:lang w:eastAsia="en-AU"/>
        </w:rPr>
        <w:t xml:space="preserve"> 2015 (P1038 – Vitamin &amp; Mineral Claims &amp; Sodium Claims about Food containing Alcohol)</w:t>
      </w:r>
      <w:r w:rsidRPr="0035359F">
        <w:rPr>
          <w:lang w:eastAsia="en-AU"/>
        </w:rPr>
        <w:t>.</w:t>
      </w:r>
    </w:p>
    <w:p w14:paraId="3D3B42BD" w14:textId="77777777" w:rsidR="0035359F" w:rsidRPr="0035359F" w:rsidRDefault="0035359F" w:rsidP="0035359F">
      <w:pPr>
        <w:rPr>
          <w:sz w:val="22"/>
        </w:rPr>
      </w:pPr>
    </w:p>
    <w:p w14:paraId="257C180B" w14:textId="77777777" w:rsidR="0035359F" w:rsidRPr="0035359F" w:rsidRDefault="0035359F" w:rsidP="0035359F">
      <w:pPr>
        <w:keepNext/>
        <w:keepLines/>
        <w:widowControl/>
        <w:tabs>
          <w:tab w:val="clear" w:pos="851"/>
        </w:tabs>
        <w:ind w:left="851" w:hanging="851"/>
        <w:rPr>
          <w:rFonts w:cs="Arial"/>
          <w:b/>
          <w:lang w:eastAsia="en-AU"/>
        </w:rPr>
      </w:pPr>
      <w:r w:rsidRPr="0035359F">
        <w:rPr>
          <w:rFonts w:cs="Arial"/>
          <w:b/>
          <w:lang w:eastAsia="en-AU"/>
        </w:rPr>
        <w:t>2</w:t>
      </w:r>
      <w:r w:rsidRPr="0035359F">
        <w:rPr>
          <w:rFonts w:cs="Arial"/>
          <w:b/>
          <w:lang w:eastAsia="en-AU"/>
        </w:rPr>
        <w:tab/>
        <w:t>Commencement</w:t>
      </w:r>
    </w:p>
    <w:p w14:paraId="24B31299" w14:textId="77777777" w:rsidR="0035359F" w:rsidRPr="0035359F" w:rsidRDefault="0035359F" w:rsidP="0035359F">
      <w:pPr>
        <w:rPr>
          <w:lang w:eastAsia="en-AU"/>
        </w:rPr>
      </w:pPr>
    </w:p>
    <w:p w14:paraId="04DD3EB1" w14:textId="77777777" w:rsidR="0035359F" w:rsidRPr="0035359F" w:rsidRDefault="0035359F" w:rsidP="0035359F">
      <w:pPr>
        <w:rPr>
          <w:lang w:eastAsia="en-AU"/>
        </w:rPr>
      </w:pPr>
      <w:r w:rsidRPr="0035359F">
        <w:rPr>
          <w:lang w:eastAsia="en-AU"/>
        </w:rPr>
        <w:t>The Schedule commences on 1 March 2016 immediately after the commencement of Standard 5.1.1 – Revocation and transitional provisions — 2014 Revision.</w:t>
      </w:r>
    </w:p>
    <w:p w14:paraId="36BACE3D" w14:textId="77777777" w:rsidR="0035359F" w:rsidRPr="0035359F" w:rsidRDefault="0035359F" w:rsidP="0035359F">
      <w:pPr>
        <w:rPr>
          <w:sz w:val="22"/>
        </w:rPr>
      </w:pPr>
    </w:p>
    <w:p w14:paraId="3786CE01" w14:textId="77777777" w:rsidR="0035359F" w:rsidRPr="0035359F" w:rsidRDefault="0035359F" w:rsidP="0035359F">
      <w:pPr>
        <w:keepNext/>
        <w:keepLines/>
        <w:widowControl/>
        <w:tabs>
          <w:tab w:val="clear" w:pos="851"/>
        </w:tabs>
        <w:ind w:left="851" w:hanging="851"/>
        <w:rPr>
          <w:rFonts w:cs="Arial"/>
          <w:b/>
          <w:lang w:eastAsia="en-AU"/>
        </w:rPr>
      </w:pPr>
      <w:r w:rsidRPr="0035359F">
        <w:rPr>
          <w:rFonts w:cs="Arial"/>
          <w:b/>
          <w:lang w:eastAsia="en-AU"/>
        </w:rPr>
        <w:t>3</w:t>
      </w:r>
      <w:r w:rsidRPr="0035359F">
        <w:rPr>
          <w:rFonts w:cs="Arial"/>
          <w:b/>
          <w:lang w:eastAsia="en-AU"/>
        </w:rPr>
        <w:tab/>
        <w:t>Variation of Standards</w:t>
      </w:r>
    </w:p>
    <w:p w14:paraId="4999E005" w14:textId="77777777" w:rsidR="0035359F" w:rsidRPr="0035359F" w:rsidRDefault="0035359F" w:rsidP="0035359F">
      <w:pPr>
        <w:rPr>
          <w:lang w:eastAsia="en-AU"/>
        </w:rPr>
      </w:pPr>
    </w:p>
    <w:p w14:paraId="2F33E99F" w14:textId="77777777" w:rsidR="0035359F" w:rsidRPr="0035359F" w:rsidRDefault="0035359F" w:rsidP="0035359F">
      <w:pPr>
        <w:rPr>
          <w:lang w:eastAsia="en-AU"/>
        </w:rPr>
      </w:pPr>
      <w:r w:rsidRPr="0035359F">
        <w:rPr>
          <w:lang w:eastAsia="en-AU"/>
        </w:rPr>
        <w:t xml:space="preserve">The Schedule varies a Standard and a Schedule of the </w:t>
      </w:r>
      <w:r w:rsidRPr="0035359F">
        <w:rPr>
          <w:i/>
          <w:lang w:eastAsia="en-AU"/>
        </w:rPr>
        <w:t>Australia New Zealand Food Standards Code</w:t>
      </w:r>
      <w:r w:rsidRPr="0035359F">
        <w:rPr>
          <w:lang w:eastAsia="en-AU"/>
        </w:rPr>
        <w:t xml:space="preserve">. </w:t>
      </w:r>
    </w:p>
    <w:p w14:paraId="75964F60" w14:textId="77777777" w:rsidR="0035359F" w:rsidRPr="0035359F" w:rsidRDefault="0035359F" w:rsidP="0035359F">
      <w:pPr>
        <w:keepNext/>
        <w:keepLines/>
        <w:widowControl/>
        <w:tabs>
          <w:tab w:val="clear" w:pos="851"/>
        </w:tabs>
        <w:spacing w:before="240"/>
        <w:jc w:val="center"/>
        <w:rPr>
          <w:rFonts w:cs="Arial"/>
          <w:b/>
          <w:color w:val="000000"/>
          <w:lang w:eastAsia="en-AU"/>
        </w:rPr>
      </w:pPr>
      <w:r w:rsidRPr="0035359F">
        <w:rPr>
          <w:rFonts w:cs="Arial"/>
          <w:b/>
          <w:color w:val="000000"/>
          <w:lang w:eastAsia="en-AU"/>
        </w:rPr>
        <w:t>Schedule</w:t>
      </w:r>
    </w:p>
    <w:p w14:paraId="2270152E" w14:textId="77777777" w:rsidR="0035359F" w:rsidRPr="0035359F" w:rsidRDefault="0035359F" w:rsidP="0035359F">
      <w:pPr>
        <w:rPr>
          <w:lang w:eastAsia="en-AU"/>
        </w:rPr>
      </w:pPr>
    </w:p>
    <w:p w14:paraId="40E95091" w14:textId="77777777" w:rsidR="0035359F" w:rsidRPr="0035359F" w:rsidRDefault="0035359F" w:rsidP="0035359F">
      <w:pPr>
        <w:rPr>
          <w:lang w:eastAsia="en-AU"/>
        </w:rPr>
      </w:pPr>
      <w:r w:rsidRPr="0035359F">
        <w:rPr>
          <w:b/>
          <w:lang w:eastAsia="en-AU"/>
        </w:rPr>
        <w:t>[1]</w:t>
      </w:r>
      <w:r w:rsidRPr="0035359F">
        <w:rPr>
          <w:b/>
          <w:lang w:eastAsia="en-AU"/>
        </w:rPr>
        <w:tab/>
        <w:t>Standard 1.2.7</w:t>
      </w:r>
      <w:r w:rsidRPr="0035359F">
        <w:rPr>
          <w:lang w:eastAsia="en-AU"/>
        </w:rPr>
        <w:t xml:space="preserve"> is varied by deleting subsections 1.2.7—4(1) and (2), substituting </w:t>
      </w:r>
    </w:p>
    <w:p w14:paraId="51C48FC2"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ab/>
      </w:r>
      <w:r w:rsidRPr="0035359F">
        <w:rPr>
          <w:rFonts w:cs="Arial"/>
          <w:iCs/>
          <w:szCs w:val="22"/>
          <w:lang w:val="en-AU" w:eastAsia="en-AU"/>
        </w:rPr>
        <w:tab/>
        <w:t>A *nutrition content claim or *health claim must not be made about:</w:t>
      </w:r>
    </w:p>
    <w:p w14:paraId="7CCBF172"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(a)</w:t>
      </w:r>
      <w:r w:rsidRPr="0035359F">
        <w:rPr>
          <w:rFonts w:cs="Arial"/>
          <w:iCs/>
          <w:szCs w:val="22"/>
          <w:lang w:val="en-AU" w:eastAsia="en-AU"/>
        </w:rPr>
        <w:tab/>
        <w:t>kava; or</w:t>
      </w:r>
    </w:p>
    <w:p w14:paraId="36FA98CD"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(b)</w:t>
      </w:r>
      <w:r w:rsidRPr="0035359F">
        <w:rPr>
          <w:rFonts w:cs="Arial"/>
          <w:iCs/>
          <w:szCs w:val="22"/>
          <w:lang w:val="en-AU" w:eastAsia="en-AU"/>
        </w:rPr>
        <w:tab/>
        <w:t>an infant formula product; or</w:t>
      </w:r>
    </w:p>
    <w:p w14:paraId="46C4CA03" w14:textId="77777777" w:rsidR="0035359F" w:rsidRPr="0035359F" w:rsidRDefault="0035359F" w:rsidP="0035359F">
      <w:pPr>
        <w:tabs>
          <w:tab w:val="clear" w:pos="851"/>
          <w:tab w:val="left" w:pos="1701"/>
        </w:tabs>
        <w:spacing w:before="60" w:after="60"/>
        <w:ind w:left="2268" w:hanging="2268"/>
        <w:rPr>
          <w:rFonts w:cs="Arial"/>
          <w:iCs/>
          <w:szCs w:val="22"/>
          <w:lang w:val="en-AU" w:eastAsia="en-AU"/>
        </w:rPr>
      </w:pPr>
      <w:r w:rsidRPr="0035359F">
        <w:rPr>
          <w:rFonts w:cs="Arial"/>
          <w:iCs/>
          <w:szCs w:val="22"/>
          <w:lang w:val="en-AU" w:eastAsia="en-AU"/>
        </w:rPr>
        <w:tab/>
        <w:t>(c)</w:t>
      </w:r>
      <w:r w:rsidRPr="0035359F">
        <w:rPr>
          <w:rFonts w:cs="Arial"/>
          <w:iCs/>
          <w:szCs w:val="22"/>
          <w:lang w:val="en-AU" w:eastAsia="en-AU"/>
        </w:rPr>
        <w:tab/>
        <w:t>a food that contains more than 1.15% alcohol by volume, other than a *nutrition content claim about:</w:t>
      </w:r>
    </w:p>
    <w:p w14:paraId="0686B141" w14:textId="77777777" w:rsidR="0035359F" w:rsidRPr="0035359F" w:rsidRDefault="0035359F" w:rsidP="0035359F">
      <w:pPr>
        <w:tabs>
          <w:tab w:val="clear" w:pos="851"/>
          <w:tab w:val="left" w:pos="2268"/>
        </w:tabs>
        <w:spacing w:before="60" w:after="60"/>
        <w:ind w:left="2835" w:hanging="2835"/>
        <w:rPr>
          <w:rFonts w:cs="Arial"/>
          <w:iCs/>
          <w:szCs w:val="22"/>
          <w:lang w:val="en-AU" w:eastAsia="en-AU"/>
        </w:rPr>
      </w:pPr>
      <w:r w:rsidRPr="0035359F">
        <w:rPr>
          <w:rFonts w:cs="Arial"/>
          <w:iCs/>
          <w:szCs w:val="22"/>
          <w:lang w:val="en-AU" w:eastAsia="en-AU"/>
        </w:rPr>
        <w:tab/>
        <w:t>(</w:t>
      </w:r>
      <w:proofErr w:type="spellStart"/>
      <w:r w:rsidRPr="0035359F">
        <w:rPr>
          <w:rFonts w:cs="Arial"/>
          <w:iCs/>
          <w:szCs w:val="22"/>
          <w:lang w:val="en-AU" w:eastAsia="en-AU"/>
        </w:rPr>
        <w:t>i</w:t>
      </w:r>
      <w:proofErr w:type="spellEnd"/>
      <w:r w:rsidRPr="0035359F">
        <w:rPr>
          <w:rFonts w:cs="Arial"/>
          <w:iCs/>
          <w:szCs w:val="22"/>
          <w:lang w:val="en-AU" w:eastAsia="en-AU"/>
        </w:rPr>
        <w:t>)</w:t>
      </w:r>
      <w:r w:rsidRPr="0035359F">
        <w:rPr>
          <w:rFonts w:cs="Arial"/>
          <w:iCs/>
          <w:szCs w:val="22"/>
          <w:lang w:val="en-AU" w:eastAsia="en-AU"/>
        </w:rPr>
        <w:tab/>
        <w:t>energy content, carbohydrate content or gluten content; or</w:t>
      </w:r>
    </w:p>
    <w:p w14:paraId="784ACE1F" w14:textId="77777777" w:rsidR="0035359F" w:rsidRPr="0035359F" w:rsidRDefault="0035359F" w:rsidP="0035359F">
      <w:pPr>
        <w:tabs>
          <w:tab w:val="clear" w:pos="851"/>
          <w:tab w:val="left" w:pos="2268"/>
        </w:tabs>
        <w:spacing w:before="60" w:after="60"/>
        <w:ind w:left="2835" w:hanging="2835"/>
        <w:rPr>
          <w:rFonts w:cs="Arial"/>
          <w:iCs/>
          <w:szCs w:val="22"/>
          <w:lang w:val="en-AU" w:eastAsia="en-AU"/>
        </w:rPr>
      </w:pPr>
      <w:r w:rsidRPr="0035359F">
        <w:rPr>
          <w:rFonts w:cs="Arial"/>
          <w:iCs/>
          <w:szCs w:val="22"/>
          <w:lang w:val="en-AU" w:eastAsia="en-AU"/>
        </w:rPr>
        <w:tab/>
        <w:t>(ii)</w:t>
      </w:r>
      <w:r w:rsidRPr="0035359F">
        <w:rPr>
          <w:rFonts w:cs="Arial"/>
          <w:iCs/>
          <w:szCs w:val="22"/>
          <w:lang w:val="en-AU" w:eastAsia="en-AU"/>
        </w:rPr>
        <w:tab/>
        <w:t>salt or sodium content about a food that is not a beverage.</w:t>
      </w:r>
    </w:p>
    <w:p w14:paraId="68D26E59" w14:textId="77777777" w:rsidR="0035359F" w:rsidRPr="0035359F" w:rsidRDefault="0035359F" w:rsidP="0035359F">
      <w:r w:rsidRPr="0035359F">
        <w:rPr>
          <w:b/>
        </w:rPr>
        <w:t>[2]</w:t>
      </w:r>
      <w:r w:rsidRPr="0035359F">
        <w:rPr>
          <w:b/>
        </w:rPr>
        <w:tab/>
        <w:t xml:space="preserve">Schedule 4 </w:t>
      </w:r>
      <w:r w:rsidRPr="0035359F">
        <w:t xml:space="preserve">is varied by </w:t>
      </w:r>
    </w:p>
    <w:p w14:paraId="6BE04C88" w14:textId="77777777" w:rsidR="0035359F" w:rsidRPr="0035359F" w:rsidRDefault="0035359F" w:rsidP="0035359F"/>
    <w:p w14:paraId="16E4F572" w14:textId="77777777" w:rsidR="0035359F" w:rsidRPr="0035359F" w:rsidRDefault="0035359F" w:rsidP="0035359F">
      <w:r w:rsidRPr="0035359F">
        <w:t>[2.1]</w:t>
      </w:r>
      <w:r w:rsidRPr="0035359F">
        <w:tab/>
        <w:t xml:space="preserve">inserting the following at the beginning of section S4—2 </w:t>
      </w:r>
    </w:p>
    <w:p w14:paraId="68A8C970" w14:textId="77777777" w:rsidR="0035359F" w:rsidRPr="0035359F" w:rsidRDefault="0035359F" w:rsidP="0035359F">
      <w:pPr>
        <w:tabs>
          <w:tab w:val="clear" w:pos="851"/>
          <w:tab w:val="left" w:pos="1134"/>
        </w:tabs>
        <w:spacing w:before="120" w:after="120"/>
        <w:ind w:left="1701" w:hanging="1701"/>
        <w:rPr>
          <w:rFonts w:cs="Arial"/>
          <w:iCs/>
          <w:szCs w:val="22"/>
          <w:lang w:val="en-AU" w:eastAsia="en-AU"/>
        </w:rPr>
      </w:pPr>
      <w:r w:rsidRPr="0035359F">
        <w:rPr>
          <w:rFonts w:cs="Arial"/>
          <w:iCs/>
          <w:szCs w:val="22"/>
          <w:lang w:val="en-AU" w:eastAsia="en-AU"/>
        </w:rPr>
        <w:tab/>
      </w:r>
      <w:r w:rsidRPr="0035359F">
        <w:rPr>
          <w:rFonts w:cs="Arial"/>
          <w:iCs/>
          <w:szCs w:val="22"/>
          <w:lang w:val="en-AU" w:eastAsia="en-AU"/>
        </w:rPr>
        <w:tab/>
        <w:t>In this Schedule:</w:t>
      </w:r>
    </w:p>
    <w:p w14:paraId="2E44C247" w14:textId="77777777" w:rsidR="0035359F" w:rsidRPr="0035359F" w:rsidRDefault="0035359F" w:rsidP="0035359F">
      <w:pPr>
        <w:tabs>
          <w:tab w:val="clear" w:pos="851"/>
          <w:tab w:val="left" w:pos="1134"/>
        </w:tabs>
        <w:spacing w:before="120" w:after="120"/>
        <w:ind w:left="1701"/>
        <w:rPr>
          <w:rFonts w:cs="Arial"/>
          <w:iCs/>
          <w:szCs w:val="22"/>
          <w:lang w:val="en-AU" w:eastAsia="en-AU"/>
        </w:rPr>
      </w:pPr>
      <w:r w:rsidRPr="0035359F">
        <w:rPr>
          <w:rFonts w:cs="Arial"/>
          <w:b/>
          <w:i/>
          <w:iCs/>
          <w:szCs w:val="22"/>
          <w:lang w:val="en-AU" w:eastAsia="en-AU"/>
        </w:rPr>
        <w:t>maximum claimable amount</w:t>
      </w:r>
      <w:r w:rsidRPr="0035359F">
        <w:rPr>
          <w:rFonts w:cs="Arial"/>
          <w:b/>
          <w:iCs/>
          <w:szCs w:val="22"/>
          <w:lang w:val="en-AU" w:eastAsia="en-AU"/>
        </w:rPr>
        <w:t xml:space="preserve"> </w:t>
      </w:r>
      <w:r w:rsidRPr="0035359F">
        <w:rPr>
          <w:rFonts w:cs="Arial"/>
          <w:iCs/>
          <w:szCs w:val="22"/>
          <w:lang w:val="en-AU" w:eastAsia="en-AU"/>
        </w:rPr>
        <w:t xml:space="preserve">means the maximum claimable amount as prescribed by section 1.3.2—4 or 1.3.2—5. </w:t>
      </w:r>
    </w:p>
    <w:p w14:paraId="1EDDE98C" w14:textId="77777777" w:rsidR="0035359F" w:rsidRPr="0035359F" w:rsidRDefault="0035359F" w:rsidP="0035359F">
      <w:pPr>
        <w:tabs>
          <w:tab w:val="clear" w:pos="851"/>
          <w:tab w:val="left" w:pos="1134"/>
        </w:tabs>
        <w:spacing w:before="120" w:after="120"/>
        <w:ind w:left="1701"/>
        <w:rPr>
          <w:rFonts w:cs="Arial"/>
          <w:iCs/>
          <w:szCs w:val="22"/>
          <w:lang w:val="en-AU" w:eastAsia="en-AU"/>
        </w:rPr>
      </w:pPr>
      <w:r w:rsidRPr="0035359F">
        <w:rPr>
          <w:rFonts w:cs="Arial"/>
          <w:b/>
          <w:i/>
          <w:iCs/>
          <w:szCs w:val="22"/>
          <w:lang w:val="en-AU" w:eastAsia="en-AU"/>
        </w:rPr>
        <w:t xml:space="preserve">reference quantity </w:t>
      </w:r>
      <w:r w:rsidRPr="0035359F">
        <w:rPr>
          <w:rFonts w:cs="Arial"/>
          <w:iCs/>
          <w:szCs w:val="22"/>
          <w:lang w:val="en-AU" w:eastAsia="en-AU"/>
        </w:rPr>
        <w:t>means the reference quantity specified for the food in the Table to section S17—4.</w:t>
      </w:r>
    </w:p>
    <w:p w14:paraId="42556BD6" w14:textId="77777777" w:rsidR="0035359F" w:rsidRPr="0035359F" w:rsidRDefault="0035359F" w:rsidP="0035359F">
      <w:r w:rsidRPr="0035359F">
        <w:t>[2.2]</w:t>
      </w:r>
      <w:r w:rsidRPr="0035359F">
        <w:tab/>
        <w:t>deleting Column 2 of the entry for “Vitamin or mineral (not including potassium or sodium)” from the table to section S4—3, and substituting</w:t>
      </w:r>
    </w:p>
    <w:p w14:paraId="6216D19F" w14:textId="77777777" w:rsidR="0035359F" w:rsidRPr="0035359F" w:rsidRDefault="0035359F" w:rsidP="0035359F"/>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35359F" w:rsidRPr="0035359F" w14:paraId="78A3EA2C" w14:textId="77777777" w:rsidTr="009D4E04">
        <w:tc>
          <w:tcPr>
            <w:tcW w:w="1542" w:type="dxa"/>
            <w:vMerge w:val="restart"/>
            <w:tcBorders>
              <w:top w:val="nil"/>
              <w:left w:val="nil"/>
              <w:bottom w:val="nil"/>
              <w:right w:val="nil"/>
            </w:tcBorders>
            <w:hideMark/>
          </w:tcPr>
          <w:p w14:paraId="2074BBA5"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br w:type="page"/>
              <w:t xml:space="preserve"> </w:t>
            </w:r>
          </w:p>
        </w:tc>
        <w:tc>
          <w:tcPr>
            <w:tcW w:w="2819" w:type="dxa"/>
            <w:tcBorders>
              <w:top w:val="nil"/>
              <w:left w:val="nil"/>
              <w:bottom w:val="nil"/>
              <w:right w:val="nil"/>
            </w:tcBorders>
            <w:hideMark/>
          </w:tcPr>
          <w:p w14:paraId="394F7E96"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(a)</w:t>
            </w:r>
            <w:r w:rsidRPr="0035359F">
              <w:rPr>
                <w:rFonts w:cs="Arial"/>
                <w:sz w:val="18"/>
                <w:szCs w:val="22"/>
                <w:lang w:eastAsia="en-AU"/>
              </w:rPr>
              <w:tab/>
              <w:t>The vitamin or mineral is mentioned in Column 1 of the table to section S1—2 or S1—3; and</w:t>
            </w:r>
          </w:p>
          <w:p w14:paraId="39B80B92"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(b)</w:t>
            </w:r>
            <w:r w:rsidRPr="0035359F">
              <w:rPr>
                <w:rFonts w:cs="Arial"/>
                <w:sz w:val="18"/>
                <w:szCs w:val="22"/>
                <w:lang w:eastAsia="en-AU"/>
              </w:rPr>
              <w:tab/>
              <w:t>a serving of the food contains at least 10% *RDI or *ESADDI for that vitamin or mineral; and</w:t>
            </w:r>
          </w:p>
          <w:p w14:paraId="64A0BA07"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(c)</w:t>
            </w:r>
            <w:r w:rsidRPr="0035359F">
              <w:rPr>
                <w:rFonts w:cs="Arial"/>
                <w:sz w:val="18"/>
                <w:szCs w:val="22"/>
                <w:lang w:eastAsia="en-AU"/>
              </w:rPr>
              <w:tab/>
              <w:t>a claim is not for more of the particular vitamin or mineral than the amount permitted by section 1.3.2—4 or 1.3.2—5; and</w:t>
            </w:r>
          </w:p>
          <w:p w14:paraId="050D7E28"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(d)</w:t>
            </w:r>
            <w:r w:rsidRPr="0035359F">
              <w:rPr>
                <w:rFonts w:cs="Arial"/>
                <w:sz w:val="18"/>
                <w:szCs w:val="22"/>
                <w:lang w:eastAsia="en-AU"/>
              </w:rPr>
              <w:tab/>
              <w:t>the food is not any of the following:</w:t>
            </w:r>
          </w:p>
          <w:p w14:paraId="71AD6F50"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w:t>
            </w:r>
            <w:proofErr w:type="spellStart"/>
            <w:r w:rsidRPr="0035359F">
              <w:rPr>
                <w:rFonts w:cs="Arial"/>
                <w:sz w:val="18"/>
                <w:szCs w:val="22"/>
                <w:lang w:eastAsia="en-AU"/>
              </w:rPr>
              <w:t>i</w:t>
            </w:r>
            <w:proofErr w:type="spellEnd"/>
            <w:r w:rsidRPr="0035359F">
              <w:rPr>
                <w:rFonts w:cs="Arial"/>
                <w:sz w:val="18"/>
                <w:szCs w:val="22"/>
                <w:lang w:eastAsia="en-AU"/>
              </w:rPr>
              <w:t>)</w:t>
            </w:r>
            <w:r w:rsidRPr="0035359F">
              <w:rPr>
                <w:rFonts w:cs="Arial"/>
                <w:sz w:val="18"/>
                <w:szCs w:val="22"/>
                <w:lang w:eastAsia="en-AU"/>
              </w:rPr>
              <w:tab/>
              <w:t>a formulated caffeinated beverage;</w:t>
            </w:r>
          </w:p>
          <w:p w14:paraId="25944567"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w:t>
            </w:r>
            <w:r w:rsidRPr="0035359F">
              <w:rPr>
                <w:rFonts w:cs="Arial"/>
                <w:sz w:val="18"/>
                <w:szCs w:val="22"/>
                <w:lang w:eastAsia="en-AU"/>
              </w:rPr>
              <w:tab/>
              <w:t>food for infants;</w:t>
            </w:r>
          </w:p>
          <w:p w14:paraId="44374521"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(iii)</w:t>
            </w:r>
            <w:r w:rsidRPr="0035359F">
              <w:rPr>
                <w:rFonts w:cs="Arial"/>
                <w:sz w:val="18"/>
                <w:szCs w:val="22"/>
                <w:lang w:eastAsia="en-AU"/>
              </w:rPr>
              <w:tab/>
              <w:t>a formulated meal replacement;</w:t>
            </w:r>
          </w:p>
          <w:p w14:paraId="1763CC1F"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(iv)</w:t>
            </w:r>
            <w:r w:rsidRPr="0035359F">
              <w:rPr>
                <w:rFonts w:cs="Arial"/>
                <w:sz w:val="18"/>
                <w:szCs w:val="22"/>
                <w:lang w:eastAsia="en-AU"/>
              </w:rPr>
              <w:tab/>
              <w:t xml:space="preserve">a formulated </w:t>
            </w:r>
            <w:r w:rsidRPr="0035359F">
              <w:rPr>
                <w:rFonts w:cs="Arial"/>
                <w:sz w:val="18"/>
                <w:szCs w:val="22"/>
                <w:lang w:eastAsia="en-AU"/>
              </w:rPr>
              <w:lastRenderedPageBreak/>
              <w:t>supplementary food;</w:t>
            </w:r>
          </w:p>
          <w:p w14:paraId="6A9A7F86"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 xml:space="preserve">(v) </w:t>
            </w:r>
            <w:r w:rsidRPr="0035359F">
              <w:rPr>
                <w:rFonts w:cs="Arial"/>
                <w:sz w:val="18"/>
                <w:szCs w:val="22"/>
                <w:lang w:eastAsia="en-AU"/>
              </w:rPr>
              <w:tab/>
              <w:t>a formulated supplementary sports food.</w:t>
            </w:r>
          </w:p>
          <w:p w14:paraId="441B35B6" w14:textId="77777777" w:rsidR="0035359F" w:rsidRPr="0035359F" w:rsidRDefault="0035359F" w:rsidP="0035359F">
            <w:pPr>
              <w:keepLines/>
              <w:widowControl/>
              <w:tabs>
                <w:tab w:val="clear" w:pos="851"/>
              </w:tabs>
              <w:spacing w:before="60" w:after="60"/>
              <w:ind w:left="397" w:hanging="397"/>
              <w:rPr>
                <w:rFonts w:cs="Arial"/>
                <w:sz w:val="18"/>
                <w:szCs w:val="22"/>
                <w:lang w:eastAsia="en-AU"/>
              </w:rPr>
            </w:pPr>
            <w:r w:rsidRPr="0035359F">
              <w:rPr>
                <w:rFonts w:cs="Arial"/>
                <w:sz w:val="18"/>
                <w:szCs w:val="22"/>
                <w:lang w:eastAsia="en-AU"/>
              </w:rPr>
              <w:t>Paragraph (b) does not apply where:</w:t>
            </w:r>
          </w:p>
          <w:p w14:paraId="62E84E86"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w:t>
            </w:r>
            <w:proofErr w:type="spellStart"/>
            <w:r w:rsidRPr="0035359F">
              <w:rPr>
                <w:rFonts w:cs="Arial"/>
                <w:sz w:val="18"/>
                <w:szCs w:val="22"/>
                <w:lang w:eastAsia="en-AU"/>
              </w:rPr>
              <w:t>i</w:t>
            </w:r>
            <w:proofErr w:type="spellEnd"/>
            <w:r w:rsidRPr="0035359F">
              <w:rPr>
                <w:rFonts w:cs="Arial"/>
                <w:sz w:val="18"/>
                <w:szCs w:val="22"/>
                <w:lang w:eastAsia="en-AU"/>
              </w:rPr>
              <w:t>)</w:t>
            </w:r>
            <w:r w:rsidRPr="0035359F">
              <w:rPr>
                <w:rFonts w:cs="Arial"/>
                <w:sz w:val="18"/>
                <w:szCs w:val="22"/>
                <w:lang w:eastAsia="en-AU"/>
              </w:rPr>
              <w:tab/>
              <w:t>a maximum claimable amount applies in relation to the mineral or vitamin; and</w:t>
            </w:r>
          </w:p>
          <w:p w14:paraId="0519487E"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w:t>
            </w:r>
            <w:r w:rsidRPr="0035359F">
              <w:rPr>
                <w:rFonts w:cs="Arial"/>
                <w:sz w:val="18"/>
                <w:szCs w:val="22"/>
                <w:lang w:eastAsia="en-AU"/>
              </w:rPr>
              <w:tab/>
              <w:t>the serving size is less than the reference quantity; and</w:t>
            </w:r>
          </w:p>
          <w:p w14:paraId="35FECD23"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(iii)</w:t>
            </w:r>
            <w:r w:rsidRPr="0035359F">
              <w:rPr>
                <w:rFonts w:cs="Arial"/>
                <w:sz w:val="18"/>
                <w:szCs w:val="22"/>
                <w:lang w:eastAsia="en-AU"/>
              </w:rPr>
              <w:tab/>
              <w:t>the reference quantity contains at least 10% *RDI or *ESADDI for the vitamin or mineral; and</w:t>
            </w:r>
          </w:p>
          <w:p w14:paraId="0B107682" w14:textId="77777777" w:rsidR="0035359F" w:rsidRPr="0035359F" w:rsidRDefault="0035359F" w:rsidP="0035359F">
            <w:pPr>
              <w:keepLines/>
              <w:widowControl/>
              <w:tabs>
                <w:tab w:val="clear" w:pos="851"/>
              </w:tabs>
              <w:spacing w:before="60" w:after="60"/>
              <w:ind w:left="794" w:hanging="397"/>
              <w:rPr>
                <w:rFonts w:cs="Arial"/>
                <w:sz w:val="18"/>
                <w:szCs w:val="22"/>
                <w:lang w:eastAsia="en-AU"/>
              </w:rPr>
            </w:pPr>
            <w:r w:rsidRPr="0035359F">
              <w:rPr>
                <w:rFonts w:cs="Arial"/>
                <w:sz w:val="18"/>
                <w:szCs w:val="22"/>
                <w:lang w:eastAsia="en-AU"/>
              </w:rPr>
              <w:t>(iv)</w:t>
            </w:r>
            <w:r w:rsidRPr="0035359F">
              <w:rPr>
                <w:rFonts w:cs="Arial"/>
                <w:sz w:val="18"/>
                <w:szCs w:val="22"/>
                <w:lang w:eastAsia="en-AU"/>
              </w:rPr>
              <w:tab/>
              <w:t>the maximum claimable amount is less than 10% *RDI or *ESADDI per serving.</w:t>
            </w:r>
          </w:p>
        </w:tc>
        <w:tc>
          <w:tcPr>
            <w:tcW w:w="1559" w:type="dxa"/>
            <w:tcBorders>
              <w:top w:val="nil"/>
              <w:left w:val="nil"/>
              <w:bottom w:val="nil"/>
              <w:right w:val="nil"/>
            </w:tcBorders>
            <w:hideMark/>
          </w:tcPr>
          <w:p w14:paraId="119F14F3" w14:textId="77777777" w:rsidR="0035359F" w:rsidRPr="0035359F" w:rsidRDefault="0035359F" w:rsidP="0035359F">
            <w:pPr>
              <w:keepLines/>
              <w:widowControl/>
              <w:tabs>
                <w:tab w:val="clear" w:pos="851"/>
              </w:tabs>
              <w:spacing w:before="60" w:after="60"/>
              <w:rPr>
                <w:rFonts w:cs="Arial"/>
                <w:sz w:val="18"/>
                <w:szCs w:val="22"/>
                <w:lang w:eastAsia="en-AU"/>
              </w:rPr>
            </w:pPr>
          </w:p>
        </w:tc>
        <w:tc>
          <w:tcPr>
            <w:tcW w:w="3152" w:type="dxa"/>
            <w:tcBorders>
              <w:top w:val="nil"/>
              <w:left w:val="nil"/>
              <w:bottom w:val="nil"/>
              <w:right w:val="nil"/>
            </w:tcBorders>
            <w:hideMark/>
          </w:tcPr>
          <w:p w14:paraId="1EF358D7" w14:textId="77777777" w:rsidR="0035359F" w:rsidRPr="0035359F" w:rsidRDefault="0035359F" w:rsidP="0035359F">
            <w:pPr>
              <w:keepLines/>
              <w:widowControl/>
              <w:tabs>
                <w:tab w:val="clear" w:pos="851"/>
              </w:tabs>
              <w:spacing w:before="60" w:after="60"/>
              <w:rPr>
                <w:rFonts w:cs="Arial"/>
                <w:sz w:val="18"/>
                <w:szCs w:val="22"/>
                <w:lang w:eastAsia="en-AU"/>
              </w:rPr>
            </w:pPr>
          </w:p>
        </w:tc>
      </w:tr>
      <w:tr w:rsidR="0035359F" w:rsidRPr="0035359F" w14:paraId="4FA411CA" w14:textId="77777777" w:rsidTr="009D4E04">
        <w:tc>
          <w:tcPr>
            <w:tcW w:w="1542" w:type="dxa"/>
            <w:vMerge/>
            <w:tcBorders>
              <w:top w:val="nil"/>
              <w:left w:val="nil"/>
              <w:bottom w:val="nil"/>
              <w:right w:val="nil"/>
            </w:tcBorders>
            <w:vAlign w:val="center"/>
            <w:hideMark/>
          </w:tcPr>
          <w:p w14:paraId="435B916C" w14:textId="77777777" w:rsidR="0035359F" w:rsidRPr="0035359F" w:rsidRDefault="0035359F" w:rsidP="0035359F">
            <w:pPr>
              <w:rPr>
                <w:rFonts w:cs="Arial"/>
                <w:iCs/>
                <w:sz w:val="22"/>
                <w:szCs w:val="22"/>
              </w:rPr>
            </w:pPr>
          </w:p>
        </w:tc>
        <w:tc>
          <w:tcPr>
            <w:tcW w:w="2819" w:type="dxa"/>
            <w:tcBorders>
              <w:top w:val="nil"/>
              <w:left w:val="nil"/>
              <w:bottom w:val="nil"/>
              <w:right w:val="nil"/>
            </w:tcBorders>
            <w:hideMark/>
          </w:tcPr>
          <w:p w14:paraId="2AE6A43E"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For food for infants, the food satisfies the condition for making a claim under subsection 2.9.2—10(2).</w:t>
            </w:r>
          </w:p>
        </w:tc>
        <w:tc>
          <w:tcPr>
            <w:tcW w:w="1559" w:type="dxa"/>
            <w:tcBorders>
              <w:top w:val="nil"/>
              <w:left w:val="nil"/>
              <w:bottom w:val="nil"/>
              <w:right w:val="nil"/>
            </w:tcBorders>
          </w:tcPr>
          <w:p w14:paraId="6D37A75A" w14:textId="77777777" w:rsidR="0035359F" w:rsidRPr="0035359F" w:rsidRDefault="0035359F" w:rsidP="0035359F">
            <w:pPr>
              <w:keepLines/>
              <w:widowControl/>
              <w:tabs>
                <w:tab w:val="clear" w:pos="851"/>
              </w:tabs>
              <w:spacing w:before="60" w:after="60"/>
              <w:rPr>
                <w:rFonts w:cs="Arial"/>
                <w:sz w:val="18"/>
                <w:szCs w:val="22"/>
                <w:lang w:eastAsia="en-AU"/>
              </w:rPr>
            </w:pPr>
          </w:p>
        </w:tc>
        <w:tc>
          <w:tcPr>
            <w:tcW w:w="3152" w:type="dxa"/>
            <w:tcBorders>
              <w:top w:val="nil"/>
              <w:left w:val="nil"/>
              <w:bottom w:val="nil"/>
              <w:right w:val="nil"/>
            </w:tcBorders>
          </w:tcPr>
          <w:p w14:paraId="0B1C16D1" w14:textId="77777777" w:rsidR="0035359F" w:rsidRPr="0035359F" w:rsidRDefault="0035359F" w:rsidP="0035359F">
            <w:pPr>
              <w:keepLines/>
              <w:widowControl/>
              <w:tabs>
                <w:tab w:val="clear" w:pos="851"/>
              </w:tabs>
              <w:spacing w:before="60" w:after="60"/>
              <w:rPr>
                <w:rFonts w:cs="Arial"/>
                <w:sz w:val="18"/>
                <w:szCs w:val="22"/>
                <w:lang w:eastAsia="en-AU"/>
              </w:rPr>
            </w:pPr>
          </w:p>
        </w:tc>
      </w:tr>
      <w:tr w:rsidR="0035359F" w:rsidRPr="0035359F" w14:paraId="4E66ED65" w14:textId="77777777" w:rsidTr="009D4E04">
        <w:tc>
          <w:tcPr>
            <w:tcW w:w="1542" w:type="dxa"/>
            <w:vMerge/>
            <w:tcBorders>
              <w:top w:val="nil"/>
              <w:left w:val="nil"/>
              <w:bottom w:val="nil"/>
              <w:right w:val="nil"/>
            </w:tcBorders>
            <w:vAlign w:val="center"/>
          </w:tcPr>
          <w:p w14:paraId="644B3F42" w14:textId="77777777" w:rsidR="0035359F" w:rsidRPr="0035359F" w:rsidRDefault="0035359F" w:rsidP="0035359F">
            <w:pPr>
              <w:rPr>
                <w:rFonts w:cs="Arial"/>
                <w:iCs/>
                <w:sz w:val="22"/>
                <w:szCs w:val="22"/>
              </w:rPr>
            </w:pPr>
          </w:p>
        </w:tc>
        <w:tc>
          <w:tcPr>
            <w:tcW w:w="2819" w:type="dxa"/>
            <w:tcBorders>
              <w:top w:val="nil"/>
              <w:left w:val="nil"/>
              <w:bottom w:val="nil"/>
              <w:right w:val="nil"/>
            </w:tcBorders>
          </w:tcPr>
          <w:p w14:paraId="35C6AEC1"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For a formulated meal replacement, the food meets the condition for making a claim under subsection 2.9.3—4(2).</w:t>
            </w:r>
          </w:p>
        </w:tc>
        <w:tc>
          <w:tcPr>
            <w:tcW w:w="1559" w:type="dxa"/>
            <w:tcBorders>
              <w:top w:val="nil"/>
              <w:left w:val="nil"/>
              <w:bottom w:val="nil"/>
              <w:right w:val="nil"/>
            </w:tcBorders>
          </w:tcPr>
          <w:p w14:paraId="222AEB8C" w14:textId="77777777" w:rsidR="0035359F" w:rsidRPr="0035359F" w:rsidRDefault="0035359F" w:rsidP="0035359F">
            <w:pPr>
              <w:keepLines/>
              <w:widowControl/>
              <w:tabs>
                <w:tab w:val="clear" w:pos="851"/>
              </w:tabs>
              <w:spacing w:before="60" w:after="60"/>
              <w:rPr>
                <w:rFonts w:cs="Arial"/>
                <w:sz w:val="18"/>
                <w:szCs w:val="22"/>
                <w:lang w:eastAsia="en-AU"/>
              </w:rPr>
            </w:pPr>
          </w:p>
        </w:tc>
        <w:tc>
          <w:tcPr>
            <w:tcW w:w="3152" w:type="dxa"/>
            <w:tcBorders>
              <w:top w:val="nil"/>
              <w:left w:val="nil"/>
              <w:bottom w:val="nil"/>
              <w:right w:val="nil"/>
            </w:tcBorders>
          </w:tcPr>
          <w:p w14:paraId="639B0DA2" w14:textId="77777777" w:rsidR="0035359F" w:rsidRPr="0035359F" w:rsidRDefault="0035359F" w:rsidP="0035359F">
            <w:pPr>
              <w:keepLines/>
              <w:widowControl/>
              <w:tabs>
                <w:tab w:val="clear" w:pos="851"/>
              </w:tabs>
              <w:spacing w:before="60" w:after="60"/>
              <w:rPr>
                <w:rFonts w:cs="Arial"/>
                <w:sz w:val="18"/>
                <w:szCs w:val="22"/>
                <w:lang w:eastAsia="en-AU"/>
              </w:rPr>
            </w:pPr>
          </w:p>
        </w:tc>
      </w:tr>
      <w:tr w:rsidR="0035359F" w:rsidRPr="0035359F" w14:paraId="42D11622" w14:textId="77777777" w:rsidTr="009D4E04">
        <w:tc>
          <w:tcPr>
            <w:tcW w:w="1542" w:type="dxa"/>
            <w:vMerge/>
            <w:tcBorders>
              <w:top w:val="nil"/>
              <w:left w:val="nil"/>
              <w:bottom w:val="nil"/>
              <w:right w:val="nil"/>
            </w:tcBorders>
            <w:vAlign w:val="center"/>
          </w:tcPr>
          <w:p w14:paraId="5DAE2AF5" w14:textId="77777777" w:rsidR="0035359F" w:rsidRPr="0035359F" w:rsidRDefault="0035359F" w:rsidP="0035359F">
            <w:pPr>
              <w:rPr>
                <w:rFonts w:cs="Arial"/>
                <w:iCs/>
                <w:sz w:val="22"/>
                <w:szCs w:val="22"/>
              </w:rPr>
            </w:pPr>
          </w:p>
        </w:tc>
        <w:tc>
          <w:tcPr>
            <w:tcW w:w="2819" w:type="dxa"/>
            <w:tcBorders>
              <w:top w:val="nil"/>
              <w:left w:val="nil"/>
              <w:bottom w:val="nil"/>
              <w:right w:val="nil"/>
            </w:tcBorders>
          </w:tcPr>
          <w:p w14:paraId="7DB2EF16"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For a formulated supplementary food, the food meets the conditions for making a claim under subsection 2.9.3—6(2).</w:t>
            </w:r>
          </w:p>
        </w:tc>
        <w:tc>
          <w:tcPr>
            <w:tcW w:w="1559" w:type="dxa"/>
            <w:tcBorders>
              <w:top w:val="nil"/>
              <w:left w:val="nil"/>
              <w:bottom w:val="nil"/>
              <w:right w:val="nil"/>
            </w:tcBorders>
          </w:tcPr>
          <w:p w14:paraId="548B2962" w14:textId="77777777" w:rsidR="0035359F" w:rsidRPr="0035359F" w:rsidRDefault="0035359F" w:rsidP="0035359F">
            <w:pPr>
              <w:keepLines/>
              <w:widowControl/>
              <w:tabs>
                <w:tab w:val="clear" w:pos="851"/>
              </w:tabs>
              <w:spacing w:before="60" w:after="60"/>
              <w:rPr>
                <w:rFonts w:cs="Arial"/>
                <w:sz w:val="18"/>
                <w:szCs w:val="22"/>
                <w:lang w:eastAsia="en-AU"/>
              </w:rPr>
            </w:pPr>
          </w:p>
        </w:tc>
        <w:tc>
          <w:tcPr>
            <w:tcW w:w="3152" w:type="dxa"/>
            <w:tcBorders>
              <w:top w:val="nil"/>
              <w:left w:val="nil"/>
              <w:bottom w:val="nil"/>
              <w:right w:val="nil"/>
            </w:tcBorders>
          </w:tcPr>
          <w:p w14:paraId="79BF8152" w14:textId="77777777" w:rsidR="0035359F" w:rsidRPr="0035359F" w:rsidRDefault="0035359F" w:rsidP="0035359F">
            <w:pPr>
              <w:keepLines/>
              <w:widowControl/>
              <w:tabs>
                <w:tab w:val="clear" w:pos="851"/>
              </w:tabs>
              <w:spacing w:before="60" w:after="60"/>
              <w:rPr>
                <w:rFonts w:cs="Arial"/>
                <w:sz w:val="18"/>
                <w:szCs w:val="22"/>
                <w:lang w:eastAsia="en-AU"/>
              </w:rPr>
            </w:pPr>
          </w:p>
        </w:tc>
      </w:tr>
      <w:tr w:rsidR="0035359F" w:rsidRPr="0035359F" w14:paraId="2E62C835" w14:textId="77777777" w:rsidTr="009D4E04">
        <w:tc>
          <w:tcPr>
            <w:tcW w:w="1542" w:type="dxa"/>
            <w:vMerge/>
            <w:tcBorders>
              <w:top w:val="nil"/>
              <w:left w:val="nil"/>
              <w:bottom w:val="nil"/>
              <w:right w:val="nil"/>
            </w:tcBorders>
            <w:vAlign w:val="center"/>
          </w:tcPr>
          <w:p w14:paraId="6A4AED0B" w14:textId="77777777" w:rsidR="0035359F" w:rsidRPr="0035359F" w:rsidRDefault="0035359F" w:rsidP="0035359F">
            <w:pPr>
              <w:rPr>
                <w:rFonts w:cs="Arial"/>
                <w:iCs/>
                <w:sz w:val="22"/>
                <w:szCs w:val="22"/>
              </w:rPr>
            </w:pPr>
          </w:p>
        </w:tc>
        <w:tc>
          <w:tcPr>
            <w:tcW w:w="2819" w:type="dxa"/>
            <w:tcBorders>
              <w:top w:val="nil"/>
              <w:left w:val="nil"/>
              <w:bottom w:val="nil"/>
              <w:right w:val="nil"/>
            </w:tcBorders>
          </w:tcPr>
          <w:p w14:paraId="57749EE7" w14:textId="77777777" w:rsidR="0035359F" w:rsidRPr="0035359F" w:rsidRDefault="0035359F" w:rsidP="0035359F">
            <w:pPr>
              <w:keepLines/>
              <w:widowControl/>
              <w:tabs>
                <w:tab w:val="clear" w:pos="851"/>
              </w:tabs>
              <w:spacing w:before="60" w:after="60"/>
              <w:rPr>
                <w:rFonts w:cs="Arial"/>
                <w:sz w:val="18"/>
                <w:szCs w:val="22"/>
                <w:lang w:eastAsia="en-AU"/>
              </w:rPr>
            </w:pPr>
            <w:r w:rsidRPr="0035359F">
              <w:rPr>
                <w:rFonts w:cs="Arial"/>
                <w:sz w:val="18"/>
                <w:szCs w:val="22"/>
                <w:lang w:eastAsia="en-AU"/>
              </w:rPr>
              <w:t>For a formulated supplementary food for young children, the food meets the conditions for making a claim under 2.9.3—8(2).</w:t>
            </w:r>
          </w:p>
        </w:tc>
        <w:tc>
          <w:tcPr>
            <w:tcW w:w="1559" w:type="dxa"/>
            <w:tcBorders>
              <w:top w:val="nil"/>
              <w:left w:val="nil"/>
              <w:bottom w:val="nil"/>
              <w:right w:val="nil"/>
            </w:tcBorders>
          </w:tcPr>
          <w:p w14:paraId="3000F0F1" w14:textId="77777777" w:rsidR="0035359F" w:rsidRPr="0035359F" w:rsidRDefault="0035359F" w:rsidP="0035359F">
            <w:pPr>
              <w:keepLines/>
              <w:widowControl/>
              <w:tabs>
                <w:tab w:val="clear" w:pos="851"/>
              </w:tabs>
              <w:spacing w:before="60" w:after="60"/>
              <w:rPr>
                <w:rFonts w:cs="Arial"/>
                <w:sz w:val="18"/>
                <w:szCs w:val="22"/>
                <w:lang w:eastAsia="en-AU"/>
              </w:rPr>
            </w:pPr>
          </w:p>
        </w:tc>
        <w:tc>
          <w:tcPr>
            <w:tcW w:w="3152" w:type="dxa"/>
            <w:tcBorders>
              <w:top w:val="nil"/>
              <w:left w:val="nil"/>
              <w:bottom w:val="nil"/>
              <w:right w:val="nil"/>
            </w:tcBorders>
          </w:tcPr>
          <w:p w14:paraId="2F280C0B" w14:textId="77777777" w:rsidR="0035359F" w:rsidRPr="0035359F" w:rsidRDefault="0035359F" w:rsidP="0035359F">
            <w:pPr>
              <w:keepLines/>
              <w:widowControl/>
              <w:tabs>
                <w:tab w:val="clear" w:pos="851"/>
              </w:tabs>
              <w:spacing w:before="60" w:after="60"/>
              <w:rPr>
                <w:rFonts w:cs="Arial"/>
                <w:sz w:val="18"/>
                <w:szCs w:val="22"/>
                <w:lang w:eastAsia="en-AU"/>
              </w:rPr>
            </w:pPr>
          </w:p>
        </w:tc>
      </w:tr>
    </w:tbl>
    <w:p w14:paraId="1EA7544D" w14:textId="77777777" w:rsidR="0035359F" w:rsidRPr="0035359F" w:rsidRDefault="0035359F" w:rsidP="0035359F">
      <w:pPr>
        <w:tabs>
          <w:tab w:val="clear" w:pos="851"/>
        </w:tabs>
        <w:rPr>
          <w:szCs w:val="24"/>
        </w:rPr>
      </w:pPr>
    </w:p>
    <w:p w14:paraId="05479DD2" w14:textId="77777777" w:rsidR="00161FA0" w:rsidRDefault="00161FA0" w:rsidP="00161FA0">
      <w:pPr>
        <w:rPr>
          <w:sz w:val="16"/>
        </w:rPr>
      </w:pPr>
    </w:p>
    <w:sectPr w:rsidR="00161FA0" w:rsidSect="00FD6E2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908BD" w14:textId="77777777" w:rsidR="00B96AF9" w:rsidRDefault="00B96AF9">
      <w:r>
        <w:separator/>
      </w:r>
    </w:p>
    <w:p w14:paraId="19B109DD" w14:textId="77777777" w:rsidR="00B96AF9" w:rsidRDefault="00B96AF9"/>
  </w:endnote>
  <w:endnote w:type="continuationSeparator" w:id="0">
    <w:p w14:paraId="5E7168E6" w14:textId="77777777" w:rsidR="00B96AF9" w:rsidRDefault="00B96AF9">
      <w:r>
        <w:continuationSeparator/>
      </w:r>
    </w:p>
    <w:p w14:paraId="3FD2254F" w14:textId="77777777" w:rsidR="00B96AF9" w:rsidRDefault="00B9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16F7" w14:textId="77777777" w:rsidR="00596FA3" w:rsidRDefault="00596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04C7" w14:textId="69768A81" w:rsidR="00837770" w:rsidRDefault="00837770" w:rsidP="00937DCE">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596FA3">
      <w:rPr>
        <w:noProof/>
      </w:rPr>
      <w:t>2</w:t>
    </w:r>
    <w:r w:rsidRPr="0054670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0883" w14:textId="77777777" w:rsidR="00596FA3" w:rsidRDefault="00596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9E834" w14:textId="77777777" w:rsidR="00B96AF9" w:rsidRDefault="00B96AF9">
      <w:r>
        <w:separator/>
      </w:r>
    </w:p>
    <w:p w14:paraId="131DCA6A" w14:textId="77777777" w:rsidR="00B96AF9" w:rsidRDefault="00B96AF9"/>
  </w:footnote>
  <w:footnote w:type="continuationSeparator" w:id="0">
    <w:p w14:paraId="6CA508C6" w14:textId="77777777" w:rsidR="00B96AF9" w:rsidRDefault="00B96AF9">
      <w:r>
        <w:continuationSeparator/>
      </w:r>
    </w:p>
    <w:p w14:paraId="124E7677" w14:textId="77777777" w:rsidR="00B96AF9" w:rsidRDefault="00B96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A61A" w14:textId="77777777" w:rsidR="00596FA3" w:rsidRDefault="00596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836A" w14:textId="77777777" w:rsidR="00596FA3" w:rsidRDefault="00596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0758F" w14:textId="77777777" w:rsidR="00596FA3" w:rsidRDefault="00596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4">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5">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37D61"/>
    <w:multiLevelType w:val="hybridMultilevel"/>
    <w:tmpl w:val="D6F641D6"/>
    <w:lvl w:ilvl="0" w:tplc="2A7C5A7C">
      <w:start w:val="1"/>
      <w:numFmt w:val="lowerRoman"/>
      <w:lvlText w:val="%1)"/>
      <w:lvlJc w:val="left"/>
      <w:pPr>
        <w:ind w:left="2557" w:hanging="855"/>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7">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6"/>
  </w:num>
  <w:num w:numId="4">
    <w:abstractNumId w:val="6"/>
  </w:num>
  <w:num w:numId="5">
    <w:abstractNumId w:val="35"/>
  </w:num>
  <w:num w:numId="6">
    <w:abstractNumId w:val="20"/>
  </w:num>
  <w:num w:numId="7">
    <w:abstractNumId w:val="32"/>
  </w:num>
  <w:num w:numId="8">
    <w:abstractNumId w:val="12"/>
  </w:num>
  <w:num w:numId="9">
    <w:abstractNumId w:val="38"/>
  </w:num>
  <w:num w:numId="10">
    <w:abstractNumId w:val="17"/>
  </w:num>
  <w:num w:numId="11">
    <w:abstractNumId w:val="27"/>
  </w:num>
  <w:num w:numId="12">
    <w:abstractNumId w:val="33"/>
  </w:num>
  <w:num w:numId="13">
    <w:abstractNumId w:val="16"/>
  </w:num>
  <w:num w:numId="14">
    <w:abstractNumId w:val="11"/>
  </w:num>
  <w:num w:numId="15">
    <w:abstractNumId w:val="5"/>
  </w:num>
  <w:num w:numId="16">
    <w:abstractNumId w:val="14"/>
  </w:num>
  <w:num w:numId="17">
    <w:abstractNumId w:val="7"/>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4"/>
  </w:num>
  <w:num w:numId="22">
    <w:abstractNumId w:val="1"/>
  </w:num>
  <w:num w:numId="23">
    <w:abstractNumId w:val="30"/>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
  </w:num>
  <w:num w:numId="27">
    <w:abstractNumId w:val="36"/>
  </w:num>
  <w:num w:numId="28">
    <w:abstractNumId w:val="37"/>
  </w:num>
  <w:num w:numId="29">
    <w:abstractNumId w:val="15"/>
  </w:num>
  <w:num w:numId="30">
    <w:abstractNumId w:val="23"/>
  </w:num>
  <w:num w:numId="31">
    <w:abstractNumId w:val="39"/>
  </w:num>
  <w:num w:numId="32">
    <w:abstractNumId w:val="3"/>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0"/>
  </w:num>
  <w:num w:numId="39">
    <w:abstractNumId w:val="28"/>
  </w:num>
  <w:num w:numId="40">
    <w:abstractNumId w:val="10"/>
  </w:num>
  <w:num w:numId="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5359F"/>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96FA3"/>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6AF9"/>
    <w:rsid w:val="00BA5612"/>
    <w:rsid w:val="00BA6E62"/>
    <w:rsid w:val="00BA6F48"/>
    <w:rsid w:val="00BB32C5"/>
    <w:rsid w:val="00BC3C14"/>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35359F"/>
  </w:style>
  <w:style w:type="table" w:customStyle="1" w:styleId="TableGrid9">
    <w:name w:val="Table Grid9"/>
    <w:basedOn w:val="TableNormal"/>
    <w:next w:val="TableGrid"/>
    <w:uiPriority w:val="59"/>
    <w:rsid w:val="0035359F"/>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35359F"/>
  </w:style>
  <w:style w:type="table" w:customStyle="1" w:styleId="TableGrid9">
    <w:name w:val="Table Grid9"/>
    <w:basedOn w:val="TableNormal"/>
    <w:next w:val="TableGrid"/>
    <w:uiPriority w:val="59"/>
    <w:rsid w:val="0035359F"/>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0834-09D5-4E37-BC78-53076BF8480B}"/>
</file>

<file path=customXml/itemProps2.xml><?xml version="1.0" encoding="utf-8"?>
<ds:datastoreItem xmlns:ds="http://schemas.openxmlformats.org/officeDocument/2006/customXml" ds:itemID="{18B528BC-62B6-4076-A8B2-EA9B7E8E5575}"/>
</file>

<file path=customXml/itemProps3.xml><?xml version="1.0" encoding="utf-8"?>
<ds:datastoreItem xmlns:ds="http://schemas.openxmlformats.org/officeDocument/2006/customXml" ds:itemID="{F5702200-65E2-44DA-B077-B55611F443E3}"/>
</file>

<file path=docProps/app.xml><?xml version="1.0" encoding="utf-8"?>
<Properties xmlns="http://schemas.openxmlformats.org/officeDocument/2006/extended-properties" xmlns:vt="http://schemas.openxmlformats.org/officeDocument/2006/docPropsVTypes">
  <Template>Normal</Template>
  <TotalTime>0</TotalTime>
  <Pages>30</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40743</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GazetteNo159WebVersion</dc:title>
  <dc:creator/>
  <cp:lastModifiedBy/>
  <cp:revision>1</cp:revision>
  <dcterms:created xsi:type="dcterms:W3CDTF">2015-12-01T02:35:00Z</dcterms:created>
  <dcterms:modified xsi:type="dcterms:W3CDTF">2015-12-01T02:35:00Z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