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7E7368AF" wp14:editId="2C83F07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74C2A" w:rsidRPr="00074C2A" w:rsidRDefault="00074C2A" w:rsidP="00074C2A">
      <w:pPr>
        <w:widowControl/>
        <w:tabs>
          <w:tab w:val="left" w:pos="851"/>
        </w:tabs>
        <w:rPr>
          <w:b/>
          <w:sz w:val="28"/>
          <w:szCs w:val="28"/>
          <w:lang w:bidi="ar-SA"/>
        </w:rPr>
      </w:pPr>
      <w:r w:rsidRPr="00074C2A">
        <w:rPr>
          <w:b/>
          <w:sz w:val="28"/>
          <w:szCs w:val="28"/>
          <w:lang w:bidi="ar-SA"/>
        </w:rPr>
        <w:t>5 December 2014</w:t>
      </w:r>
    </w:p>
    <w:p w:rsidR="00074C2A" w:rsidRPr="00074C2A" w:rsidRDefault="00074C2A" w:rsidP="00074C2A">
      <w:pPr>
        <w:widowControl/>
        <w:rPr>
          <w:b/>
          <w:sz w:val="28"/>
          <w:szCs w:val="28"/>
          <w:lang w:bidi="ar-SA"/>
        </w:rPr>
      </w:pPr>
      <w:r w:rsidRPr="00074C2A">
        <w:rPr>
          <w:b/>
          <w:sz w:val="28"/>
          <w:szCs w:val="28"/>
          <w:lang w:bidi="ar-SA"/>
        </w:rPr>
        <w:t>[25–14]</w:t>
      </w:r>
    </w:p>
    <w:p w:rsidR="00BA24E2" w:rsidRDefault="00BA24E2" w:rsidP="00E203C2"/>
    <w:p w:rsidR="00D056F1" w:rsidRPr="00D428EE" w:rsidRDefault="00D428EE" w:rsidP="0093081E">
      <w:pPr>
        <w:pStyle w:val="FSTitle"/>
        <w:rPr>
          <w:b/>
        </w:rPr>
      </w:pPr>
      <w:r>
        <w:rPr>
          <w:b/>
        </w:rPr>
        <w:t>Consultation Paper</w:t>
      </w:r>
      <w:r w:rsidR="002B643A">
        <w:rPr>
          <w:b/>
        </w:rPr>
        <w:t xml:space="preserve"> </w:t>
      </w:r>
      <w:r w:rsidR="0093081E">
        <w:rPr>
          <w:b/>
        </w:rPr>
        <w:t xml:space="preserve">– </w:t>
      </w:r>
      <w:r w:rsidR="00EE0AF3">
        <w:rPr>
          <w:b/>
        </w:rPr>
        <w:t xml:space="preserve">Labelling Review Recommendation 17: </w:t>
      </w:r>
      <w:r w:rsidR="0093081E">
        <w:rPr>
          <w:b/>
        </w:rPr>
        <w:t>Per serving declarations in the nutrition information panel</w:t>
      </w:r>
    </w:p>
    <w:p w:rsidR="00E203C2" w:rsidRPr="00E81F6E" w:rsidRDefault="00E203C2" w:rsidP="00E203C2">
      <w:pPr>
        <w:pBdr>
          <w:bottom w:val="single" w:sz="12" w:space="1" w:color="auto"/>
        </w:pBdr>
        <w:spacing w:line="280" w:lineRule="exact"/>
        <w:rPr>
          <w:rFonts w:cs="Arial"/>
          <w:bCs/>
        </w:rPr>
      </w:pPr>
    </w:p>
    <w:p w:rsidR="00843CF7" w:rsidRDefault="00843CF7" w:rsidP="00843CF7">
      <w:pPr>
        <w:autoSpaceDE w:val="0"/>
        <w:autoSpaceDN w:val="0"/>
        <w:adjustRightInd w:val="0"/>
        <w:rPr>
          <w:rFonts w:cs="Arial"/>
          <w:bCs/>
        </w:rPr>
      </w:pPr>
    </w:p>
    <w:p w:rsidR="00843CF7" w:rsidRDefault="00843CF7" w:rsidP="00E203C2">
      <w:pPr>
        <w:rPr>
          <w:sz w:val="20"/>
          <w:szCs w:val="20"/>
        </w:rPr>
      </w:pPr>
      <w:r w:rsidRPr="00843CF7">
        <w:rPr>
          <w:rFonts w:cs="Arial"/>
          <w:bCs/>
          <w:sz w:val="20"/>
          <w:szCs w:val="20"/>
        </w:rPr>
        <w:t xml:space="preserve">In 2009, the then Australian and New Zealand Ministerial Council for Food Regulation (now known as the </w:t>
      </w:r>
      <w:r w:rsidR="002B643A" w:rsidRPr="002B643A">
        <w:rPr>
          <w:rFonts w:cs="Arial"/>
          <w:bCs/>
          <w:sz w:val="20"/>
          <w:szCs w:val="20"/>
        </w:rPr>
        <w:t>Australia and New Zealand Ministerial Forum on Food Regulation (Forum)</w:t>
      </w:r>
      <w:r w:rsidR="002B643A">
        <w:rPr>
          <w:rFonts w:cs="Arial"/>
          <w:bCs/>
          <w:sz w:val="20"/>
          <w:szCs w:val="20"/>
        </w:rPr>
        <w:t xml:space="preserve">) </w:t>
      </w:r>
      <w:r w:rsidRPr="00843CF7">
        <w:rPr>
          <w:rFonts w:cs="Arial"/>
          <w:bCs/>
          <w:sz w:val="20"/>
          <w:szCs w:val="20"/>
        </w:rPr>
        <w:t xml:space="preserve">agreed to a comprehensive independent review of food labelling law and policy. An expert panel, chaired by Dr Neal Blewett, AC, undertook the review and the panel’s final report, </w:t>
      </w:r>
      <w:r w:rsidRPr="00843CF7">
        <w:rPr>
          <w:i/>
          <w:sz w:val="20"/>
          <w:szCs w:val="20"/>
          <w:lang w:val="en-AU"/>
        </w:rPr>
        <w:t xml:space="preserve">Labelling Logic: Review of Food Labelling Law and Policy (2011) </w:t>
      </w:r>
      <w:r w:rsidRPr="00843CF7">
        <w:rPr>
          <w:sz w:val="20"/>
          <w:szCs w:val="20"/>
          <w:lang w:val="en-AU"/>
        </w:rPr>
        <w:t>(</w:t>
      </w:r>
      <w:r w:rsidRPr="00F02866">
        <w:rPr>
          <w:i/>
          <w:sz w:val="20"/>
          <w:szCs w:val="20"/>
        </w:rPr>
        <w:t>Labelling Logic</w:t>
      </w:r>
      <w:r w:rsidRPr="00843CF7">
        <w:rPr>
          <w:sz w:val="20"/>
          <w:szCs w:val="20"/>
        </w:rPr>
        <w:t xml:space="preserve">) </w:t>
      </w:r>
      <w:r w:rsidRPr="00843CF7">
        <w:rPr>
          <w:rFonts w:cs="Arial"/>
          <w:bCs/>
          <w:sz w:val="20"/>
          <w:szCs w:val="20"/>
        </w:rPr>
        <w:t xml:space="preserve">was publicly released on 28 January 2011. </w:t>
      </w:r>
      <w:r>
        <w:rPr>
          <w:sz w:val="20"/>
          <w:szCs w:val="20"/>
        </w:rPr>
        <w:t>This consultation is about</w:t>
      </w:r>
      <w:r w:rsidR="00576068" w:rsidRPr="00576068">
        <w:rPr>
          <w:sz w:val="20"/>
          <w:szCs w:val="20"/>
        </w:rPr>
        <w:t xml:space="preserve"> </w:t>
      </w:r>
      <w:r w:rsidR="00576068">
        <w:rPr>
          <w:sz w:val="20"/>
          <w:szCs w:val="20"/>
        </w:rPr>
        <w:t xml:space="preserve">Recommendation 17, </w:t>
      </w:r>
      <w:r>
        <w:rPr>
          <w:sz w:val="20"/>
          <w:szCs w:val="20"/>
        </w:rPr>
        <w:t xml:space="preserve">one of the 61 recommendations in </w:t>
      </w:r>
      <w:r w:rsidRPr="00F02866">
        <w:rPr>
          <w:i/>
          <w:sz w:val="20"/>
          <w:szCs w:val="20"/>
        </w:rPr>
        <w:t>Labelli</w:t>
      </w:r>
      <w:r w:rsidR="00576068" w:rsidRPr="00F02866">
        <w:rPr>
          <w:i/>
          <w:sz w:val="20"/>
          <w:szCs w:val="20"/>
        </w:rPr>
        <w:t>ng Logic</w:t>
      </w:r>
      <w:r w:rsidR="00576068">
        <w:rPr>
          <w:sz w:val="20"/>
          <w:szCs w:val="20"/>
        </w:rPr>
        <w:t>.</w:t>
      </w:r>
    </w:p>
    <w:p w:rsidR="00843CF7" w:rsidRDefault="00843CF7" w:rsidP="00E203C2">
      <w:pPr>
        <w:rPr>
          <w:sz w:val="20"/>
          <w:szCs w:val="20"/>
        </w:rPr>
      </w:pPr>
    </w:p>
    <w:p w:rsidR="00843CF7" w:rsidRDefault="00843CF7" w:rsidP="00E203C2">
      <w:pPr>
        <w:rPr>
          <w:sz w:val="20"/>
          <w:szCs w:val="20"/>
        </w:rPr>
      </w:pPr>
      <w:r>
        <w:rPr>
          <w:sz w:val="20"/>
          <w:szCs w:val="20"/>
        </w:rPr>
        <w:t xml:space="preserve">Recommendation 17 </w:t>
      </w:r>
      <w:r w:rsidRPr="00843CF7">
        <w:rPr>
          <w:sz w:val="20"/>
          <w:szCs w:val="20"/>
        </w:rPr>
        <w:t xml:space="preserve">states: </w:t>
      </w:r>
      <w:r w:rsidRPr="00843CF7">
        <w:rPr>
          <w:i/>
          <w:sz w:val="20"/>
          <w:szCs w:val="20"/>
        </w:rPr>
        <w:t xml:space="preserve">That the declaration in the nutrition information </w:t>
      </w:r>
      <w:r w:rsidRPr="00A17EDC">
        <w:rPr>
          <w:i/>
          <w:sz w:val="20"/>
          <w:szCs w:val="20"/>
        </w:rPr>
        <w:t>panel of amount</w:t>
      </w:r>
      <w:r w:rsidRPr="00843CF7">
        <w:rPr>
          <w:i/>
          <w:sz w:val="20"/>
          <w:szCs w:val="20"/>
        </w:rPr>
        <w:t xml:space="preserve"> of nutrients per serve be no longer mandatory unless a daily intake claim is made</w:t>
      </w:r>
      <w:r w:rsidRPr="00843CF7">
        <w:rPr>
          <w:sz w:val="20"/>
          <w:szCs w:val="20"/>
        </w:rPr>
        <w:t>.</w:t>
      </w:r>
    </w:p>
    <w:p w:rsidR="00843CF7" w:rsidRPr="00074C2A" w:rsidRDefault="00843CF7" w:rsidP="00E203C2">
      <w:pPr>
        <w:rPr>
          <w:sz w:val="18"/>
          <w:szCs w:val="20"/>
        </w:rPr>
      </w:pPr>
    </w:p>
    <w:p w:rsidR="00413CA8" w:rsidRDefault="00322F65" w:rsidP="00074C2A">
      <w:pPr>
        <w:ind w:right="-286"/>
        <w:rPr>
          <w:sz w:val="20"/>
          <w:szCs w:val="20"/>
        </w:rPr>
      </w:pPr>
      <w:r>
        <w:rPr>
          <w:sz w:val="20"/>
          <w:szCs w:val="20"/>
        </w:rPr>
        <w:t xml:space="preserve">In the government response to </w:t>
      </w:r>
      <w:r w:rsidR="00576068" w:rsidRPr="00576068">
        <w:rPr>
          <w:sz w:val="20"/>
          <w:szCs w:val="20"/>
        </w:rPr>
        <w:t xml:space="preserve">Recommendation 17, the Forum asked FSANZ to prepare a proposal to provide assessment and advice on this proposed change. </w:t>
      </w:r>
      <w:r w:rsidR="008A39C4">
        <w:rPr>
          <w:sz w:val="20"/>
          <w:szCs w:val="20"/>
        </w:rPr>
        <w:t xml:space="preserve">As a first step in </w:t>
      </w:r>
      <w:r w:rsidR="00D04B60">
        <w:rPr>
          <w:sz w:val="20"/>
          <w:szCs w:val="20"/>
        </w:rPr>
        <w:t xml:space="preserve">analysing the </w:t>
      </w:r>
      <w:r w:rsidR="008A39C4" w:rsidRPr="008A39C4">
        <w:rPr>
          <w:sz w:val="20"/>
          <w:szCs w:val="20"/>
        </w:rPr>
        <w:t>issues associated</w:t>
      </w:r>
      <w:r w:rsidR="00245EBD">
        <w:rPr>
          <w:sz w:val="20"/>
          <w:szCs w:val="20"/>
        </w:rPr>
        <w:t xml:space="preserve"> with</w:t>
      </w:r>
      <w:r w:rsidR="008A39C4" w:rsidRPr="008A39C4">
        <w:rPr>
          <w:sz w:val="20"/>
          <w:szCs w:val="20"/>
        </w:rPr>
        <w:t xml:space="preserve"> </w:t>
      </w:r>
      <w:r>
        <w:rPr>
          <w:sz w:val="20"/>
          <w:szCs w:val="20"/>
        </w:rPr>
        <w:t>Recommendation 17</w:t>
      </w:r>
      <w:r w:rsidR="008A39C4">
        <w:rPr>
          <w:sz w:val="20"/>
          <w:szCs w:val="20"/>
        </w:rPr>
        <w:t xml:space="preserve">, FSANZ is seeking stakeholder views </w:t>
      </w:r>
      <w:r w:rsidR="009C77F6">
        <w:rPr>
          <w:sz w:val="20"/>
          <w:szCs w:val="20"/>
        </w:rPr>
        <w:t>and any relevant information</w:t>
      </w:r>
      <w:r w:rsidR="008A39C4">
        <w:rPr>
          <w:sz w:val="20"/>
          <w:szCs w:val="20"/>
        </w:rPr>
        <w:t>.</w:t>
      </w:r>
    </w:p>
    <w:p w:rsidR="009C77F6" w:rsidRPr="00074C2A" w:rsidRDefault="009C77F6" w:rsidP="00E203C2">
      <w:pPr>
        <w:rPr>
          <w:sz w:val="18"/>
          <w:szCs w:val="20"/>
        </w:rPr>
      </w:pPr>
    </w:p>
    <w:p w:rsidR="009C77F6" w:rsidRPr="0093081E" w:rsidRDefault="009C77F6" w:rsidP="00E203C2">
      <w:pPr>
        <w:rPr>
          <w:sz w:val="20"/>
          <w:szCs w:val="20"/>
        </w:rPr>
      </w:pPr>
      <w:r w:rsidRPr="007C73BB">
        <w:rPr>
          <w:b/>
          <w:sz w:val="20"/>
          <w:szCs w:val="20"/>
        </w:rPr>
        <w:t>To aid submitters in providing comments</w:t>
      </w:r>
      <w:r>
        <w:rPr>
          <w:b/>
          <w:sz w:val="20"/>
          <w:szCs w:val="20"/>
        </w:rPr>
        <w:t>,</w:t>
      </w:r>
      <w:r w:rsidRPr="007C73BB">
        <w:rPr>
          <w:b/>
          <w:sz w:val="20"/>
          <w:szCs w:val="20"/>
        </w:rPr>
        <w:t xml:space="preserve"> questions are provided.</w:t>
      </w:r>
      <w:r>
        <w:rPr>
          <w:sz w:val="20"/>
          <w:szCs w:val="20"/>
        </w:rPr>
        <w:t xml:space="preserve"> </w:t>
      </w:r>
      <w:r>
        <w:rPr>
          <w:b/>
          <w:sz w:val="20"/>
          <w:szCs w:val="20"/>
        </w:rPr>
        <w:t>S</w:t>
      </w:r>
      <w:r w:rsidRPr="007C73BB">
        <w:rPr>
          <w:b/>
          <w:sz w:val="20"/>
          <w:szCs w:val="20"/>
        </w:rPr>
        <w:t xml:space="preserve">ubmitters are encouraged to </w:t>
      </w:r>
      <w:r>
        <w:rPr>
          <w:b/>
          <w:sz w:val="20"/>
          <w:szCs w:val="20"/>
        </w:rPr>
        <w:t>provided comments in response to each question, as appropriate.</w:t>
      </w:r>
    </w:p>
    <w:p w:rsidR="0093081E" w:rsidRPr="00074C2A" w:rsidRDefault="0093081E" w:rsidP="00E203C2">
      <w:pPr>
        <w:rPr>
          <w:sz w:val="18"/>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074C2A" w:rsidRDefault="00D81D38" w:rsidP="00276026">
      <w:pPr>
        <w:rPr>
          <w:sz w:val="18"/>
          <w:szCs w:val="20"/>
        </w:rPr>
      </w:pPr>
    </w:p>
    <w:p w:rsidR="00276026" w:rsidRPr="00276026" w:rsidRDefault="00276026" w:rsidP="00074C2A">
      <w:pPr>
        <w:ind w:right="-569"/>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074C2A" w:rsidRDefault="00876515" w:rsidP="00276026">
      <w:pPr>
        <w:rPr>
          <w:color w:val="000000"/>
          <w:sz w:val="18"/>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074C2A" w:rsidRDefault="00E203C2" w:rsidP="00E203C2">
      <w:pPr>
        <w:rPr>
          <w:color w:val="000000"/>
          <w:sz w:val="18"/>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074C2A" w:rsidRDefault="00E203C2" w:rsidP="00E203C2">
      <w:pPr>
        <w:rPr>
          <w:color w:val="000000"/>
          <w:sz w:val="18"/>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074C2A" w:rsidRDefault="00E203C2" w:rsidP="00E203C2">
      <w:pPr>
        <w:rPr>
          <w:color w:val="000000"/>
          <w:sz w:val="18"/>
          <w:lang w:val="en-AU"/>
        </w:rPr>
      </w:pPr>
    </w:p>
    <w:p w:rsidR="00E063C6" w:rsidRPr="0093081E"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1F0C9A">
        <w:rPr>
          <w:rFonts w:cs="Arial"/>
          <w:b/>
          <w:bCs/>
          <w:sz w:val="24"/>
        </w:rPr>
        <w:t xml:space="preserve">) </w:t>
      </w:r>
      <w:r w:rsidR="00A94D74" w:rsidRPr="001F0C9A">
        <w:rPr>
          <w:rFonts w:cs="Arial"/>
          <w:b/>
          <w:bCs/>
          <w:sz w:val="24"/>
        </w:rPr>
        <w:t>13</w:t>
      </w:r>
      <w:r w:rsidRPr="001F0C9A">
        <w:rPr>
          <w:rFonts w:cs="Arial"/>
          <w:b/>
          <w:bCs/>
          <w:sz w:val="24"/>
        </w:rPr>
        <w:t xml:space="preserve"> </w:t>
      </w:r>
      <w:r w:rsidR="00A94D74" w:rsidRPr="001F0C9A">
        <w:rPr>
          <w:rFonts w:cs="Arial"/>
          <w:b/>
          <w:bCs/>
          <w:sz w:val="24"/>
        </w:rPr>
        <w:t>February</w:t>
      </w:r>
      <w:r w:rsidR="002372EE" w:rsidRPr="001F0C9A">
        <w:rPr>
          <w:rFonts w:cs="Arial"/>
          <w:b/>
          <w:bCs/>
          <w:sz w:val="24"/>
        </w:rPr>
        <w:t xml:space="preserve"> 2015</w:t>
      </w:r>
    </w:p>
    <w:p w:rsidR="00E203C2" w:rsidRPr="00074C2A" w:rsidRDefault="00E203C2" w:rsidP="00E203C2">
      <w:pPr>
        <w:rPr>
          <w:sz w:val="18"/>
          <w:szCs w:val="20"/>
          <w:lang w:val="en-AU"/>
        </w:rPr>
      </w:pPr>
    </w:p>
    <w:p w:rsidR="00074C2A"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r w:rsidR="00074C2A">
        <w:rPr>
          <w:sz w:val="20"/>
          <w:szCs w:val="20"/>
          <w:lang w:val="en-AU"/>
        </w:rPr>
        <w:br w:type="page"/>
      </w:r>
    </w:p>
    <w:p w:rsidR="00E063C6" w:rsidRPr="007C174F" w:rsidRDefault="0037520F" w:rsidP="00E203C2">
      <w:pPr>
        <w:rPr>
          <w:bCs/>
          <w:sz w:val="20"/>
          <w:szCs w:val="20"/>
          <w:lang w:val="en-AU"/>
        </w:rPr>
      </w:pPr>
      <w:r>
        <w:rPr>
          <w:sz w:val="20"/>
          <w:szCs w:val="20"/>
          <w:lang w:val="en-AU"/>
        </w:rPr>
        <w:lastRenderedPageBreak/>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3A7725" w:rsidRDefault="00E203C2" w:rsidP="003A7725">
      <w:pPr>
        <w:rPr>
          <w:sz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E203C2">
      <w:pPr>
        <w:rPr>
          <w:sz w:val="20"/>
          <w:szCs w:val="20"/>
          <w:lang w:val="en-AU"/>
        </w:rPr>
      </w:pPr>
    </w:p>
    <w:p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D22F3C" w:rsidRPr="004D5FC3" w:rsidRDefault="00D22F3C" w:rsidP="00203540">
      <w:pPr>
        <w:tabs>
          <w:tab w:val="left" w:pos="4536"/>
        </w:tabs>
        <w:rPr>
          <w:rFonts w:cs="Arial"/>
          <w:bCs/>
          <w:sz w:val="20"/>
          <w:szCs w:val="20"/>
        </w:rPr>
      </w:pPr>
    </w:p>
    <w:p w:rsidR="00413CA8" w:rsidRDefault="00413CA8" w:rsidP="004D5FC3">
      <w:pPr>
        <w:spacing w:line="280" w:lineRule="exact"/>
        <w:rPr>
          <w:rFonts w:cs="Arial"/>
          <w:bCs/>
          <w:sz w:val="28"/>
          <w:szCs w:val="28"/>
        </w:rPr>
        <w:sectPr w:rsidR="00413CA8" w:rsidSect="001F0C9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6F45EC" w:rsidRDefault="006B3310">
      <w:pPr>
        <w:pStyle w:val="TOC1"/>
        <w:tabs>
          <w:tab w:val="right" w:leader="dot" w:pos="9060"/>
        </w:tabs>
        <w:rPr>
          <w:rFonts w:eastAsiaTheme="minorEastAsia" w:cstheme="minorBidi"/>
          <w:b w:val="0"/>
          <w:bCs w:val="0"/>
          <w:caps w:val="0"/>
          <w:noProof/>
          <w:sz w:val="22"/>
          <w:szCs w:val="22"/>
          <w:lang w:val="en-NZ" w:eastAsia="en-NZ" w:bidi="ar-SA"/>
        </w:rPr>
      </w:pPr>
      <w:r>
        <w:rPr>
          <w:rFonts w:cs="Arial"/>
          <w:b w:val="0"/>
          <w:bCs w:val="0"/>
          <w:caps w:val="0"/>
        </w:rPr>
        <w:fldChar w:fldCharType="begin"/>
      </w:r>
      <w:r>
        <w:rPr>
          <w:rFonts w:cs="Arial"/>
          <w:b w:val="0"/>
          <w:bCs w:val="0"/>
          <w:caps w:val="0"/>
        </w:rPr>
        <w:instrText xml:space="preserve"> TOC \o "1-2" \h \z \u </w:instrText>
      </w:r>
      <w:r>
        <w:rPr>
          <w:rFonts w:cs="Arial"/>
          <w:b w:val="0"/>
          <w:bCs w:val="0"/>
          <w:caps w:val="0"/>
        </w:rPr>
        <w:fldChar w:fldCharType="separate"/>
      </w:r>
      <w:hyperlink w:anchor="_Toc405365727" w:history="1">
        <w:r w:rsidR="006F45EC" w:rsidRPr="00CC13A0">
          <w:rPr>
            <w:rStyle w:val="Hyperlink"/>
            <w:noProof/>
          </w:rPr>
          <w:t>Executive summary</w:t>
        </w:r>
        <w:r w:rsidR="006F45EC">
          <w:rPr>
            <w:noProof/>
            <w:webHidden/>
          </w:rPr>
          <w:tab/>
        </w:r>
        <w:r w:rsidR="006F45EC">
          <w:rPr>
            <w:noProof/>
            <w:webHidden/>
          </w:rPr>
          <w:fldChar w:fldCharType="begin"/>
        </w:r>
        <w:r w:rsidR="006F45EC">
          <w:rPr>
            <w:noProof/>
            <w:webHidden/>
          </w:rPr>
          <w:instrText xml:space="preserve"> PAGEREF _Toc405365727 \h </w:instrText>
        </w:r>
        <w:r w:rsidR="006F45EC">
          <w:rPr>
            <w:noProof/>
            <w:webHidden/>
          </w:rPr>
        </w:r>
        <w:r w:rsidR="006F45EC">
          <w:rPr>
            <w:noProof/>
            <w:webHidden/>
          </w:rPr>
          <w:fldChar w:fldCharType="separate"/>
        </w:r>
        <w:r w:rsidR="005B09C5">
          <w:rPr>
            <w:noProof/>
            <w:webHidden/>
          </w:rPr>
          <w:t>2</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28" w:history="1">
        <w:r w:rsidR="006F45EC" w:rsidRPr="00CC13A0">
          <w:rPr>
            <w:rStyle w:val="Hyperlink"/>
            <w:noProof/>
          </w:rPr>
          <w:t>1</w:t>
        </w:r>
        <w:r w:rsidR="006F45EC">
          <w:rPr>
            <w:rFonts w:eastAsiaTheme="minorEastAsia" w:cstheme="minorBidi"/>
            <w:b w:val="0"/>
            <w:bCs w:val="0"/>
            <w:caps w:val="0"/>
            <w:noProof/>
            <w:sz w:val="22"/>
            <w:szCs w:val="22"/>
            <w:lang w:val="en-NZ" w:eastAsia="en-NZ" w:bidi="ar-SA"/>
          </w:rPr>
          <w:tab/>
        </w:r>
        <w:r w:rsidR="006F45EC" w:rsidRPr="00CC13A0">
          <w:rPr>
            <w:rStyle w:val="Hyperlink"/>
            <w:noProof/>
          </w:rPr>
          <w:t>Introduction</w:t>
        </w:r>
        <w:r w:rsidR="006F45EC">
          <w:rPr>
            <w:noProof/>
            <w:webHidden/>
          </w:rPr>
          <w:tab/>
        </w:r>
        <w:r w:rsidR="006F45EC">
          <w:rPr>
            <w:noProof/>
            <w:webHidden/>
          </w:rPr>
          <w:fldChar w:fldCharType="begin"/>
        </w:r>
        <w:r w:rsidR="006F45EC">
          <w:rPr>
            <w:noProof/>
            <w:webHidden/>
          </w:rPr>
          <w:instrText xml:space="preserve"> PAGEREF _Toc405365728 \h </w:instrText>
        </w:r>
        <w:r w:rsidR="006F45EC">
          <w:rPr>
            <w:noProof/>
            <w:webHidden/>
          </w:rPr>
        </w:r>
        <w:r w:rsidR="006F45EC">
          <w:rPr>
            <w:noProof/>
            <w:webHidden/>
          </w:rPr>
          <w:fldChar w:fldCharType="separate"/>
        </w:r>
        <w:r>
          <w:rPr>
            <w:noProof/>
            <w:webHidden/>
          </w:rPr>
          <w:t>4</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29" w:history="1">
        <w:r w:rsidR="006F45EC" w:rsidRPr="00CC13A0">
          <w:rPr>
            <w:rStyle w:val="Hyperlink"/>
            <w:noProof/>
          </w:rPr>
          <w:t>1.1</w:t>
        </w:r>
        <w:r w:rsidR="006F45EC">
          <w:rPr>
            <w:rFonts w:eastAsiaTheme="minorEastAsia" w:cstheme="minorBidi"/>
            <w:smallCaps w:val="0"/>
            <w:noProof/>
            <w:sz w:val="22"/>
            <w:szCs w:val="22"/>
            <w:lang w:val="en-NZ" w:eastAsia="en-NZ" w:bidi="ar-SA"/>
          </w:rPr>
          <w:tab/>
        </w:r>
        <w:r w:rsidR="006F45EC" w:rsidRPr="00CC13A0">
          <w:rPr>
            <w:rStyle w:val="Hyperlink"/>
            <w:noProof/>
          </w:rPr>
          <w:t>Background to Recommendation 17 – Per serving declarations in the nutrition information panel</w:t>
        </w:r>
        <w:r w:rsidR="006F45EC">
          <w:rPr>
            <w:noProof/>
            <w:webHidden/>
          </w:rPr>
          <w:tab/>
        </w:r>
        <w:r w:rsidR="006F45EC">
          <w:rPr>
            <w:noProof/>
            <w:webHidden/>
          </w:rPr>
          <w:fldChar w:fldCharType="begin"/>
        </w:r>
        <w:r w:rsidR="006F45EC">
          <w:rPr>
            <w:noProof/>
            <w:webHidden/>
          </w:rPr>
          <w:instrText xml:space="preserve"> PAGEREF _Toc405365729 \h </w:instrText>
        </w:r>
        <w:r w:rsidR="006F45EC">
          <w:rPr>
            <w:noProof/>
            <w:webHidden/>
          </w:rPr>
        </w:r>
        <w:r w:rsidR="006F45EC">
          <w:rPr>
            <w:noProof/>
            <w:webHidden/>
          </w:rPr>
          <w:fldChar w:fldCharType="separate"/>
        </w:r>
        <w:r>
          <w:rPr>
            <w:noProof/>
            <w:webHidden/>
          </w:rPr>
          <w:t>4</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30" w:history="1">
        <w:r w:rsidR="006F45EC" w:rsidRPr="00CC13A0">
          <w:rPr>
            <w:rStyle w:val="Hyperlink"/>
            <w:noProof/>
          </w:rPr>
          <w:t>1.2</w:t>
        </w:r>
        <w:r w:rsidR="006F45EC">
          <w:rPr>
            <w:rFonts w:eastAsiaTheme="minorEastAsia" w:cstheme="minorBidi"/>
            <w:smallCaps w:val="0"/>
            <w:noProof/>
            <w:sz w:val="22"/>
            <w:szCs w:val="22"/>
            <w:lang w:val="en-NZ" w:eastAsia="en-NZ" w:bidi="ar-SA"/>
          </w:rPr>
          <w:tab/>
        </w:r>
        <w:r w:rsidR="006F45EC" w:rsidRPr="00CC13A0">
          <w:rPr>
            <w:rStyle w:val="Hyperlink"/>
            <w:noProof/>
          </w:rPr>
          <w:t>Government response to Recommendation 17</w:t>
        </w:r>
        <w:r w:rsidR="006F45EC">
          <w:rPr>
            <w:noProof/>
            <w:webHidden/>
          </w:rPr>
          <w:tab/>
        </w:r>
        <w:r w:rsidR="006F45EC">
          <w:rPr>
            <w:noProof/>
            <w:webHidden/>
          </w:rPr>
          <w:fldChar w:fldCharType="begin"/>
        </w:r>
        <w:r w:rsidR="006F45EC">
          <w:rPr>
            <w:noProof/>
            <w:webHidden/>
          </w:rPr>
          <w:instrText xml:space="preserve"> PAGEREF _Toc405365730 \h </w:instrText>
        </w:r>
        <w:r w:rsidR="006F45EC">
          <w:rPr>
            <w:noProof/>
            <w:webHidden/>
          </w:rPr>
        </w:r>
        <w:r w:rsidR="006F45EC">
          <w:rPr>
            <w:noProof/>
            <w:webHidden/>
          </w:rPr>
          <w:fldChar w:fldCharType="separate"/>
        </w:r>
        <w:r>
          <w:rPr>
            <w:noProof/>
            <w:webHidden/>
          </w:rPr>
          <w:t>4</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31" w:history="1">
        <w:r w:rsidR="006F45EC" w:rsidRPr="00CC13A0">
          <w:rPr>
            <w:rStyle w:val="Hyperlink"/>
            <w:noProof/>
          </w:rPr>
          <w:t>2</w:t>
        </w:r>
        <w:r w:rsidR="006F45EC">
          <w:rPr>
            <w:rFonts w:eastAsiaTheme="minorEastAsia" w:cstheme="minorBidi"/>
            <w:b w:val="0"/>
            <w:bCs w:val="0"/>
            <w:caps w:val="0"/>
            <w:noProof/>
            <w:sz w:val="22"/>
            <w:szCs w:val="22"/>
            <w:lang w:val="en-NZ" w:eastAsia="en-NZ" w:bidi="ar-SA"/>
          </w:rPr>
          <w:tab/>
        </w:r>
        <w:r w:rsidR="006F45EC" w:rsidRPr="00CC13A0">
          <w:rPr>
            <w:rStyle w:val="Hyperlink"/>
            <w:noProof/>
          </w:rPr>
          <w:t>Project approach and scope</w:t>
        </w:r>
        <w:r w:rsidR="006F45EC">
          <w:rPr>
            <w:noProof/>
            <w:webHidden/>
          </w:rPr>
          <w:tab/>
        </w:r>
        <w:r w:rsidR="006F45EC">
          <w:rPr>
            <w:noProof/>
            <w:webHidden/>
          </w:rPr>
          <w:fldChar w:fldCharType="begin"/>
        </w:r>
        <w:r w:rsidR="006F45EC">
          <w:rPr>
            <w:noProof/>
            <w:webHidden/>
          </w:rPr>
          <w:instrText xml:space="preserve"> PAGEREF _Toc405365731 \h </w:instrText>
        </w:r>
        <w:r w:rsidR="006F45EC">
          <w:rPr>
            <w:noProof/>
            <w:webHidden/>
          </w:rPr>
        </w:r>
        <w:r w:rsidR="006F45EC">
          <w:rPr>
            <w:noProof/>
            <w:webHidden/>
          </w:rPr>
          <w:fldChar w:fldCharType="separate"/>
        </w:r>
        <w:r>
          <w:rPr>
            <w:noProof/>
            <w:webHidden/>
          </w:rPr>
          <w:t>4</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32" w:history="1">
        <w:r w:rsidR="006F45EC" w:rsidRPr="00CC13A0">
          <w:rPr>
            <w:rStyle w:val="Hyperlink"/>
            <w:noProof/>
          </w:rPr>
          <w:t>2.1</w:t>
        </w:r>
        <w:r w:rsidR="006F45EC">
          <w:rPr>
            <w:rFonts w:eastAsiaTheme="minorEastAsia" w:cstheme="minorBidi"/>
            <w:smallCaps w:val="0"/>
            <w:noProof/>
            <w:sz w:val="22"/>
            <w:szCs w:val="22"/>
            <w:lang w:val="en-NZ" w:eastAsia="en-NZ" w:bidi="ar-SA"/>
          </w:rPr>
          <w:tab/>
        </w:r>
        <w:r w:rsidR="006F45EC" w:rsidRPr="00CC13A0">
          <w:rPr>
            <w:rStyle w:val="Hyperlink"/>
            <w:noProof/>
          </w:rPr>
          <w:t>Approach</w:t>
        </w:r>
        <w:r w:rsidR="006F45EC">
          <w:rPr>
            <w:noProof/>
            <w:webHidden/>
          </w:rPr>
          <w:tab/>
        </w:r>
        <w:r w:rsidR="006F45EC">
          <w:rPr>
            <w:noProof/>
            <w:webHidden/>
          </w:rPr>
          <w:fldChar w:fldCharType="begin"/>
        </w:r>
        <w:r w:rsidR="006F45EC">
          <w:rPr>
            <w:noProof/>
            <w:webHidden/>
          </w:rPr>
          <w:instrText xml:space="preserve"> PAGEREF _Toc405365732 \h </w:instrText>
        </w:r>
        <w:r w:rsidR="006F45EC">
          <w:rPr>
            <w:noProof/>
            <w:webHidden/>
          </w:rPr>
        </w:r>
        <w:r w:rsidR="006F45EC">
          <w:rPr>
            <w:noProof/>
            <w:webHidden/>
          </w:rPr>
          <w:fldChar w:fldCharType="separate"/>
        </w:r>
        <w:r>
          <w:rPr>
            <w:noProof/>
            <w:webHidden/>
          </w:rPr>
          <w:t>4</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33" w:history="1">
        <w:r w:rsidR="006F45EC" w:rsidRPr="00CC13A0">
          <w:rPr>
            <w:rStyle w:val="Hyperlink"/>
            <w:noProof/>
          </w:rPr>
          <w:t>2.2</w:t>
        </w:r>
        <w:r w:rsidR="006F45EC">
          <w:rPr>
            <w:rFonts w:eastAsiaTheme="minorEastAsia" w:cstheme="minorBidi"/>
            <w:smallCaps w:val="0"/>
            <w:noProof/>
            <w:sz w:val="22"/>
            <w:szCs w:val="22"/>
            <w:lang w:val="en-NZ" w:eastAsia="en-NZ" w:bidi="ar-SA"/>
          </w:rPr>
          <w:tab/>
        </w:r>
        <w:r w:rsidR="006F45EC" w:rsidRPr="00CC13A0">
          <w:rPr>
            <w:rStyle w:val="Hyperlink"/>
            <w:noProof/>
          </w:rPr>
          <w:t>Scope</w:t>
        </w:r>
        <w:r w:rsidR="006F45EC">
          <w:rPr>
            <w:noProof/>
            <w:webHidden/>
          </w:rPr>
          <w:tab/>
        </w:r>
        <w:r w:rsidR="006F45EC">
          <w:rPr>
            <w:noProof/>
            <w:webHidden/>
          </w:rPr>
          <w:fldChar w:fldCharType="begin"/>
        </w:r>
        <w:r w:rsidR="006F45EC">
          <w:rPr>
            <w:noProof/>
            <w:webHidden/>
          </w:rPr>
          <w:instrText xml:space="preserve"> PAGEREF _Toc405365733 \h </w:instrText>
        </w:r>
        <w:r w:rsidR="006F45EC">
          <w:rPr>
            <w:noProof/>
            <w:webHidden/>
          </w:rPr>
        </w:r>
        <w:r w:rsidR="006F45EC">
          <w:rPr>
            <w:noProof/>
            <w:webHidden/>
          </w:rPr>
          <w:fldChar w:fldCharType="separate"/>
        </w:r>
        <w:r>
          <w:rPr>
            <w:noProof/>
            <w:webHidden/>
          </w:rPr>
          <w:t>5</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34" w:history="1">
        <w:r w:rsidR="006F45EC" w:rsidRPr="00CC13A0">
          <w:rPr>
            <w:rStyle w:val="Hyperlink"/>
            <w:noProof/>
          </w:rPr>
          <w:t>3</w:t>
        </w:r>
        <w:r w:rsidR="006F45EC">
          <w:rPr>
            <w:rFonts w:eastAsiaTheme="minorEastAsia" w:cstheme="minorBidi"/>
            <w:b w:val="0"/>
            <w:bCs w:val="0"/>
            <w:caps w:val="0"/>
            <w:noProof/>
            <w:sz w:val="22"/>
            <w:szCs w:val="22"/>
            <w:lang w:val="en-NZ" w:eastAsia="en-NZ" w:bidi="ar-SA"/>
          </w:rPr>
          <w:tab/>
        </w:r>
        <w:r w:rsidR="006F45EC" w:rsidRPr="00CC13A0">
          <w:rPr>
            <w:rStyle w:val="Hyperlink"/>
            <w:noProof/>
          </w:rPr>
          <w:t>Uses of per serving information on food labels</w:t>
        </w:r>
        <w:r w:rsidR="006F45EC">
          <w:rPr>
            <w:noProof/>
            <w:webHidden/>
          </w:rPr>
          <w:tab/>
        </w:r>
        <w:r w:rsidR="006F45EC">
          <w:rPr>
            <w:noProof/>
            <w:webHidden/>
          </w:rPr>
          <w:fldChar w:fldCharType="begin"/>
        </w:r>
        <w:r w:rsidR="006F45EC">
          <w:rPr>
            <w:noProof/>
            <w:webHidden/>
          </w:rPr>
          <w:instrText xml:space="preserve"> PAGEREF _Toc405365734 \h </w:instrText>
        </w:r>
        <w:r w:rsidR="006F45EC">
          <w:rPr>
            <w:noProof/>
            <w:webHidden/>
          </w:rPr>
        </w:r>
        <w:r w:rsidR="006F45EC">
          <w:rPr>
            <w:noProof/>
            <w:webHidden/>
          </w:rPr>
          <w:fldChar w:fldCharType="separate"/>
        </w:r>
        <w:r>
          <w:rPr>
            <w:noProof/>
            <w:webHidden/>
          </w:rPr>
          <w:t>5</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35" w:history="1">
        <w:r w:rsidR="006F45EC" w:rsidRPr="00CC13A0">
          <w:rPr>
            <w:rStyle w:val="Hyperlink"/>
            <w:noProof/>
          </w:rPr>
          <w:t>4</w:t>
        </w:r>
        <w:r w:rsidR="006F45EC">
          <w:rPr>
            <w:rFonts w:eastAsiaTheme="minorEastAsia" w:cstheme="minorBidi"/>
            <w:b w:val="0"/>
            <w:bCs w:val="0"/>
            <w:caps w:val="0"/>
            <w:noProof/>
            <w:sz w:val="22"/>
            <w:szCs w:val="22"/>
            <w:lang w:val="en-NZ" w:eastAsia="en-NZ" w:bidi="ar-SA"/>
          </w:rPr>
          <w:tab/>
        </w:r>
        <w:r w:rsidR="006F45EC" w:rsidRPr="00CC13A0">
          <w:rPr>
            <w:rStyle w:val="Hyperlink"/>
            <w:noProof/>
          </w:rPr>
          <w:t xml:space="preserve">Requirements for per serving information in the </w:t>
        </w:r>
        <w:r w:rsidR="006F45EC" w:rsidRPr="00CC13A0">
          <w:rPr>
            <w:rStyle w:val="Hyperlink"/>
            <w:i/>
            <w:noProof/>
          </w:rPr>
          <w:t>Australia New Zealand Food Standards Code</w:t>
        </w:r>
        <w:r w:rsidR="006F45EC">
          <w:rPr>
            <w:noProof/>
            <w:webHidden/>
          </w:rPr>
          <w:tab/>
        </w:r>
        <w:r w:rsidR="006F45EC">
          <w:rPr>
            <w:noProof/>
            <w:webHidden/>
          </w:rPr>
          <w:fldChar w:fldCharType="begin"/>
        </w:r>
        <w:r w:rsidR="006F45EC">
          <w:rPr>
            <w:noProof/>
            <w:webHidden/>
          </w:rPr>
          <w:instrText xml:space="preserve"> PAGEREF _Toc405365735 \h </w:instrText>
        </w:r>
        <w:r w:rsidR="006F45EC">
          <w:rPr>
            <w:noProof/>
            <w:webHidden/>
          </w:rPr>
        </w:r>
        <w:r w:rsidR="006F45EC">
          <w:rPr>
            <w:noProof/>
            <w:webHidden/>
          </w:rPr>
          <w:fldChar w:fldCharType="separate"/>
        </w:r>
        <w:r>
          <w:rPr>
            <w:noProof/>
            <w:webHidden/>
          </w:rPr>
          <w:t>6</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36" w:history="1">
        <w:r w:rsidR="006F45EC" w:rsidRPr="00CC13A0">
          <w:rPr>
            <w:rStyle w:val="Hyperlink"/>
            <w:noProof/>
          </w:rPr>
          <w:t>4.1</w:t>
        </w:r>
        <w:r w:rsidR="006F45EC">
          <w:rPr>
            <w:rFonts w:eastAsiaTheme="minorEastAsia" w:cstheme="minorBidi"/>
            <w:smallCaps w:val="0"/>
            <w:noProof/>
            <w:sz w:val="22"/>
            <w:szCs w:val="22"/>
            <w:lang w:val="en-NZ" w:eastAsia="en-NZ" w:bidi="ar-SA"/>
          </w:rPr>
          <w:tab/>
        </w:r>
        <w:r w:rsidR="006F45EC" w:rsidRPr="00CC13A0">
          <w:rPr>
            <w:rStyle w:val="Hyperlink"/>
            <w:noProof/>
          </w:rPr>
          <w:t>Requirements for per serving information</w:t>
        </w:r>
        <w:r w:rsidR="006F45EC">
          <w:rPr>
            <w:noProof/>
            <w:webHidden/>
          </w:rPr>
          <w:tab/>
        </w:r>
        <w:r w:rsidR="006F45EC">
          <w:rPr>
            <w:noProof/>
            <w:webHidden/>
          </w:rPr>
          <w:fldChar w:fldCharType="begin"/>
        </w:r>
        <w:r w:rsidR="006F45EC">
          <w:rPr>
            <w:noProof/>
            <w:webHidden/>
          </w:rPr>
          <w:instrText xml:space="preserve"> PAGEREF _Toc405365736 \h </w:instrText>
        </w:r>
        <w:r w:rsidR="006F45EC">
          <w:rPr>
            <w:noProof/>
            <w:webHidden/>
          </w:rPr>
        </w:r>
        <w:r w:rsidR="006F45EC">
          <w:rPr>
            <w:noProof/>
            <w:webHidden/>
          </w:rPr>
          <w:fldChar w:fldCharType="separate"/>
        </w:r>
        <w:r>
          <w:rPr>
            <w:noProof/>
            <w:webHidden/>
          </w:rPr>
          <w:t>6</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37" w:history="1">
        <w:r w:rsidR="006F45EC" w:rsidRPr="00CC13A0">
          <w:rPr>
            <w:rStyle w:val="Hyperlink"/>
            <w:noProof/>
          </w:rPr>
          <w:t>4.2</w:t>
        </w:r>
        <w:r w:rsidR="006F45EC">
          <w:rPr>
            <w:rFonts w:eastAsiaTheme="minorEastAsia" w:cstheme="minorBidi"/>
            <w:smallCaps w:val="0"/>
            <w:noProof/>
            <w:sz w:val="22"/>
            <w:szCs w:val="22"/>
            <w:lang w:val="en-NZ" w:eastAsia="en-NZ" w:bidi="ar-SA"/>
          </w:rPr>
          <w:tab/>
        </w:r>
        <w:r w:rsidR="006F45EC" w:rsidRPr="00CC13A0">
          <w:rPr>
            <w:rStyle w:val="Hyperlink"/>
            <w:noProof/>
          </w:rPr>
          <w:t>Requirements for serving size</w:t>
        </w:r>
        <w:r w:rsidR="006F45EC">
          <w:rPr>
            <w:noProof/>
            <w:webHidden/>
          </w:rPr>
          <w:tab/>
        </w:r>
        <w:r w:rsidR="006F45EC">
          <w:rPr>
            <w:noProof/>
            <w:webHidden/>
          </w:rPr>
          <w:fldChar w:fldCharType="begin"/>
        </w:r>
        <w:r w:rsidR="006F45EC">
          <w:rPr>
            <w:noProof/>
            <w:webHidden/>
          </w:rPr>
          <w:instrText xml:space="preserve"> PAGEREF _Toc405365737 \h </w:instrText>
        </w:r>
        <w:r w:rsidR="006F45EC">
          <w:rPr>
            <w:noProof/>
            <w:webHidden/>
          </w:rPr>
        </w:r>
        <w:r w:rsidR="006F45EC">
          <w:rPr>
            <w:noProof/>
            <w:webHidden/>
          </w:rPr>
          <w:fldChar w:fldCharType="separate"/>
        </w:r>
        <w:r>
          <w:rPr>
            <w:noProof/>
            <w:webHidden/>
          </w:rPr>
          <w:t>7</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38" w:history="1">
        <w:r w:rsidR="006F45EC" w:rsidRPr="00CC13A0">
          <w:rPr>
            <w:rStyle w:val="Hyperlink"/>
            <w:noProof/>
          </w:rPr>
          <w:t>4.3</w:t>
        </w:r>
        <w:r w:rsidR="006F45EC">
          <w:rPr>
            <w:rFonts w:eastAsiaTheme="minorEastAsia" w:cstheme="minorBidi"/>
            <w:smallCaps w:val="0"/>
            <w:noProof/>
            <w:sz w:val="22"/>
            <w:szCs w:val="22"/>
            <w:lang w:val="en-NZ" w:eastAsia="en-NZ" w:bidi="ar-SA"/>
          </w:rPr>
          <w:tab/>
        </w:r>
        <w:r w:rsidR="006F45EC" w:rsidRPr="00CC13A0">
          <w:rPr>
            <w:rStyle w:val="Hyperlink"/>
            <w:noProof/>
          </w:rPr>
          <w:t>Daily intake claims</w:t>
        </w:r>
        <w:r w:rsidR="006F45EC">
          <w:rPr>
            <w:noProof/>
            <w:webHidden/>
          </w:rPr>
          <w:tab/>
        </w:r>
        <w:r w:rsidR="006F45EC">
          <w:rPr>
            <w:noProof/>
            <w:webHidden/>
          </w:rPr>
          <w:fldChar w:fldCharType="begin"/>
        </w:r>
        <w:r w:rsidR="006F45EC">
          <w:rPr>
            <w:noProof/>
            <w:webHidden/>
          </w:rPr>
          <w:instrText xml:space="preserve"> PAGEREF _Toc405365738 \h </w:instrText>
        </w:r>
        <w:r w:rsidR="006F45EC">
          <w:rPr>
            <w:noProof/>
            <w:webHidden/>
          </w:rPr>
        </w:r>
        <w:r w:rsidR="006F45EC">
          <w:rPr>
            <w:noProof/>
            <w:webHidden/>
          </w:rPr>
          <w:fldChar w:fldCharType="separate"/>
        </w:r>
        <w:r>
          <w:rPr>
            <w:noProof/>
            <w:webHidden/>
          </w:rPr>
          <w:t>8</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39" w:history="1">
        <w:r w:rsidR="006F45EC" w:rsidRPr="00CC13A0">
          <w:rPr>
            <w:rStyle w:val="Hyperlink"/>
            <w:noProof/>
          </w:rPr>
          <w:t>4.4</w:t>
        </w:r>
        <w:r w:rsidR="006F45EC">
          <w:rPr>
            <w:rFonts w:eastAsiaTheme="minorEastAsia" w:cstheme="minorBidi"/>
            <w:smallCaps w:val="0"/>
            <w:noProof/>
            <w:sz w:val="22"/>
            <w:szCs w:val="22"/>
            <w:lang w:val="en-NZ" w:eastAsia="en-NZ" w:bidi="ar-SA"/>
          </w:rPr>
          <w:tab/>
        </w:r>
        <w:r w:rsidR="006F45EC" w:rsidRPr="00CC13A0">
          <w:rPr>
            <w:rStyle w:val="Hyperlink"/>
            <w:noProof/>
          </w:rPr>
          <w:t>Qualifying criteria for nutrition content claims</w:t>
        </w:r>
        <w:r w:rsidR="006F45EC">
          <w:rPr>
            <w:noProof/>
            <w:webHidden/>
          </w:rPr>
          <w:tab/>
        </w:r>
        <w:r w:rsidR="006F45EC">
          <w:rPr>
            <w:noProof/>
            <w:webHidden/>
          </w:rPr>
          <w:fldChar w:fldCharType="begin"/>
        </w:r>
        <w:r w:rsidR="006F45EC">
          <w:rPr>
            <w:noProof/>
            <w:webHidden/>
          </w:rPr>
          <w:instrText xml:space="preserve"> PAGEREF _Toc405365739 \h </w:instrText>
        </w:r>
        <w:r w:rsidR="006F45EC">
          <w:rPr>
            <w:noProof/>
            <w:webHidden/>
          </w:rPr>
        </w:r>
        <w:r w:rsidR="006F45EC">
          <w:rPr>
            <w:noProof/>
            <w:webHidden/>
          </w:rPr>
          <w:fldChar w:fldCharType="separate"/>
        </w:r>
        <w:r>
          <w:rPr>
            <w:noProof/>
            <w:webHidden/>
          </w:rPr>
          <w:t>10</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40" w:history="1">
        <w:r w:rsidR="006F45EC" w:rsidRPr="00CC13A0">
          <w:rPr>
            <w:rStyle w:val="Hyperlink"/>
            <w:noProof/>
          </w:rPr>
          <w:t>5</w:t>
        </w:r>
        <w:r w:rsidR="006F45EC">
          <w:rPr>
            <w:rFonts w:eastAsiaTheme="minorEastAsia" w:cstheme="minorBidi"/>
            <w:b w:val="0"/>
            <w:bCs w:val="0"/>
            <w:caps w:val="0"/>
            <w:noProof/>
            <w:sz w:val="22"/>
            <w:szCs w:val="22"/>
            <w:lang w:val="en-NZ" w:eastAsia="en-NZ" w:bidi="ar-SA"/>
          </w:rPr>
          <w:tab/>
        </w:r>
        <w:r w:rsidR="006F45EC" w:rsidRPr="00CC13A0">
          <w:rPr>
            <w:rStyle w:val="Hyperlink"/>
            <w:noProof/>
          </w:rPr>
          <w:t>International approaches to NIP information</w:t>
        </w:r>
        <w:r w:rsidR="006F45EC">
          <w:rPr>
            <w:noProof/>
            <w:webHidden/>
          </w:rPr>
          <w:tab/>
        </w:r>
        <w:r w:rsidR="006F45EC">
          <w:rPr>
            <w:noProof/>
            <w:webHidden/>
          </w:rPr>
          <w:fldChar w:fldCharType="begin"/>
        </w:r>
        <w:r w:rsidR="006F45EC">
          <w:rPr>
            <w:noProof/>
            <w:webHidden/>
          </w:rPr>
          <w:instrText xml:space="preserve"> PAGEREF _Toc405365740 \h </w:instrText>
        </w:r>
        <w:r w:rsidR="006F45EC">
          <w:rPr>
            <w:noProof/>
            <w:webHidden/>
          </w:rPr>
        </w:r>
        <w:r w:rsidR="006F45EC">
          <w:rPr>
            <w:noProof/>
            <w:webHidden/>
          </w:rPr>
          <w:fldChar w:fldCharType="separate"/>
        </w:r>
        <w:r>
          <w:rPr>
            <w:noProof/>
            <w:webHidden/>
          </w:rPr>
          <w:t>10</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41" w:history="1">
        <w:r w:rsidR="006F45EC" w:rsidRPr="00CC13A0">
          <w:rPr>
            <w:rStyle w:val="Hyperlink"/>
            <w:noProof/>
          </w:rPr>
          <w:t>6</w:t>
        </w:r>
        <w:r w:rsidR="006F45EC">
          <w:rPr>
            <w:rFonts w:eastAsiaTheme="minorEastAsia" w:cstheme="minorBidi"/>
            <w:b w:val="0"/>
            <w:bCs w:val="0"/>
            <w:caps w:val="0"/>
            <w:noProof/>
            <w:sz w:val="22"/>
            <w:szCs w:val="22"/>
            <w:lang w:val="en-NZ" w:eastAsia="en-NZ" w:bidi="ar-SA"/>
          </w:rPr>
          <w:tab/>
        </w:r>
        <w:r w:rsidR="006F45EC" w:rsidRPr="00CC13A0">
          <w:rPr>
            <w:rStyle w:val="Hyperlink"/>
            <w:noProof/>
          </w:rPr>
          <w:t>Previous FSANZ consideration of per serving information in the NIP</w:t>
        </w:r>
        <w:r w:rsidR="006F45EC">
          <w:rPr>
            <w:noProof/>
            <w:webHidden/>
          </w:rPr>
          <w:tab/>
        </w:r>
        <w:r w:rsidR="006F45EC">
          <w:rPr>
            <w:noProof/>
            <w:webHidden/>
          </w:rPr>
          <w:fldChar w:fldCharType="begin"/>
        </w:r>
        <w:r w:rsidR="006F45EC">
          <w:rPr>
            <w:noProof/>
            <w:webHidden/>
          </w:rPr>
          <w:instrText xml:space="preserve"> PAGEREF _Toc405365741 \h </w:instrText>
        </w:r>
        <w:r w:rsidR="006F45EC">
          <w:rPr>
            <w:noProof/>
            <w:webHidden/>
          </w:rPr>
        </w:r>
        <w:r w:rsidR="006F45EC">
          <w:rPr>
            <w:noProof/>
            <w:webHidden/>
          </w:rPr>
          <w:fldChar w:fldCharType="separate"/>
        </w:r>
        <w:r>
          <w:rPr>
            <w:noProof/>
            <w:webHidden/>
          </w:rPr>
          <w:t>11</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42" w:history="1">
        <w:r w:rsidR="006F45EC" w:rsidRPr="00CC13A0">
          <w:rPr>
            <w:rStyle w:val="Hyperlink"/>
            <w:noProof/>
          </w:rPr>
          <w:t>7</w:t>
        </w:r>
        <w:r w:rsidR="006F45EC">
          <w:rPr>
            <w:rFonts w:eastAsiaTheme="minorEastAsia" w:cstheme="minorBidi"/>
            <w:b w:val="0"/>
            <w:bCs w:val="0"/>
            <w:caps w:val="0"/>
            <w:noProof/>
            <w:sz w:val="22"/>
            <w:szCs w:val="22"/>
            <w:lang w:val="en-NZ" w:eastAsia="en-NZ" w:bidi="ar-SA"/>
          </w:rPr>
          <w:tab/>
        </w:r>
        <w:r w:rsidR="006F45EC" w:rsidRPr="00CC13A0">
          <w:rPr>
            <w:rStyle w:val="Hyperlink"/>
            <w:noProof/>
          </w:rPr>
          <w:t>Consumer use and understanding of per serving information</w:t>
        </w:r>
        <w:r w:rsidR="006F45EC">
          <w:rPr>
            <w:noProof/>
            <w:webHidden/>
          </w:rPr>
          <w:tab/>
        </w:r>
        <w:r w:rsidR="006F45EC">
          <w:rPr>
            <w:noProof/>
            <w:webHidden/>
          </w:rPr>
          <w:fldChar w:fldCharType="begin"/>
        </w:r>
        <w:r w:rsidR="006F45EC">
          <w:rPr>
            <w:noProof/>
            <w:webHidden/>
          </w:rPr>
          <w:instrText xml:space="preserve"> PAGEREF _Toc405365742 \h </w:instrText>
        </w:r>
        <w:r w:rsidR="006F45EC">
          <w:rPr>
            <w:noProof/>
            <w:webHidden/>
          </w:rPr>
        </w:r>
        <w:r w:rsidR="006F45EC">
          <w:rPr>
            <w:noProof/>
            <w:webHidden/>
          </w:rPr>
          <w:fldChar w:fldCharType="separate"/>
        </w:r>
        <w:r>
          <w:rPr>
            <w:noProof/>
            <w:webHidden/>
          </w:rPr>
          <w:t>12</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43" w:history="1">
        <w:r w:rsidR="006F45EC" w:rsidRPr="00CC13A0">
          <w:rPr>
            <w:rStyle w:val="Hyperlink"/>
            <w:noProof/>
          </w:rPr>
          <w:t>7.1</w:t>
        </w:r>
        <w:r w:rsidR="006F45EC">
          <w:rPr>
            <w:rFonts w:eastAsiaTheme="minorEastAsia" w:cstheme="minorBidi"/>
            <w:smallCaps w:val="0"/>
            <w:noProof/>
            <w:sz w:val="22"/>
            <w:szCs w:val="22"/>
            <w:lang w:val="en-NZ" w:eastAsia="en-NZ" w:bidi="ar-SA"/>
          </w:rPr>
          <w:tab/>
        </w:r>
        <w:r w:rsidR="006F45EC" w:rsidRPr="00CC13A0">
          <w:rPr>
            <w:rStyle w:val="Hyperlink"/>
            <w:noProof/>
          </w:rPr>
          <w:t>Introduction</w:t>
        </w:r>
        <w:r w:rsidR="006F45EC">
          <w:rPr>
            <w:noProof/>
            <w:webHidden/>
          </w:rPr>
          <w:tab/>
        </w:r>
        <w:r w:rsidR="006F45EC">
          <w:rPr>
            <w:noProof/>
            <w:webHidden/>
          </w:rPr>
          <w:fldChar w:fldCharType="begin"/>
        </w:r>
        <w:r w:rsidR="006F45EC">
          <w:rPr>
            <w:noProof/>
            <w:webHidden/>
          </w:rPr>
          <w:instrText xml:space="preserve"> PAGEREF _Toc405365743 \h </w:instrText>
        </w:r>
        <w:r w:rsidR="006F45EC">
          <w:rPr>
            <w:noProof/>
            <w:webHidden/>
          </w:rPr>
        </w:r>
        <w:r w:rsidR="006F45EC">
          <w:rPr>
            <w:noProof/>
            <w:webHidden/>
          </w:rPr>
          <w:fldChar w:fldCharType="separate"/>
        </w:r>
        <w:r>
          <w:rPr>
            <w:noProof/>
            <w:webHidden/>
          </w:rPr>
          <w:t>12</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44" w:history="1">
        <w:r w:rsidR="006F45EC" w:rsidRPr="00CC13A0">
          <w:rPr>
            <w:rStyle w:val="Hyperlink"/>
            <w:noProof/>
          </w:rPr>
          <w:t>7.2</w:t>
        </w:r>
        <w:r w:rsidR="006F45EC">
          <w:rPr>
            <w:rFonts w:eastAsiaTheme="minorEastAsia" w:cstheme="minorBidi"/>
            <w:smallCaps w:val="0"/>
            <w:noProof/>
            <w:sz w:val="22"/>
            <w:szCs w:val="22"/>
            <w:lang w:val="en-NZ" w:eastAsia="en-NZ" w:bidi="ar-SA"/>
          </w:rPr>
          <w:tab/>
        </w:r>
        <w:r w:rsidR="006F45EC" w:rsidRPr="00CC13A0">
          <w:rPr>
            <w:rStyle w:val="Hyperlink"/>
            <w:noProof/>
          </w:rPr>
          <w:t>Consumer use and understanding of the NIP</w:t>
        </w:r>
        <w:r w:rsidR="006F45EC">
          <w:rPr>
            <w:noProof/>
            <w:webHidden/>
          </w:rPr>
          <w:tab/>
        </w:r>
        <w:r w:rsidR="006F45EC">
          <w:rPr>
            <w:noProof/>
            <w:webHidden/>
          </w:rPr>
          <w:fldChar w:fldCharType="begin"/>
        </w:r>
        <w:r w:rsidR="006F45EC">
          <w:rPr>
            <w:noProof/>
            <w:webHidden/>
          </w:rPr>
          <w:instrText xml:space="preserve"> PAGEREF _Toc405365744 \h </w:instrText>
        </w:r>
        <w:r w:rsidR="006F45EC">
          <w:rPr>
            <w:noProof/>
            <w:webHidden/>
          </w:rPr>
        </w:r>
        <w:r w:rsidR="006F45EC">
          <w:rPr>
            <w:noProof/>
            <w:webHidden/>
          </w:rPr>
          <w:fldChar w:fldCharType="separate"/>
        </w:r>
        <w:r>
          <w:rPr>
            <w:noProof/>
            <w:webHidden/>
          </w:rPr>
          <w:t>13</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45" w:history="1">
        <w:r w:rsidR="006F45EC" w:rsidRPr="00CC13A0">
          <w:rPr>
            <w:rStyle w:val="Hyperlink"/>
            <w:noProof/>
          </w:rPr>
          <w:t>7.3</w:t>
        </w:r>
        <w:r w:rsidR="006F45EC">
          <w:rPr>
            <w:rFonts w:eastAsiaTheme="minorEastAsia" w:cstheme="minorBidi"/>
            <w:smallCaps w:val="0"/>
            <w:noProof/>
            <w:sz w:val="22"/>
            <w:szCs w:val="22"/>
            <w:lang w:val="en-NZ" w:eastAsia="en-NZ" w:bidi="ar-SA"/>
          </w:rPr>
          <w:tab/>
        </w:r>
        <w:r w:rsidR="006F45EC" w:rsidRPr="00CC13A0">
          <w:rPr>
            <w:rStyle w:val="Hyperlink"/>
            <w:noProof/>
          </w:rPr>
          <w:t>Consumer use and understanding of per serving information</w:t>
        </w:r>
        <w:r w:rsidR="006F45EC">
          <w:rPr>
            <w:noProof/>
            <w:webHidden/>
          </w:rPr>
          <w:tab/>
        </w:r>
        <w:r w:rsidR="006F45EC">
          <w:rPr>
            <w:noProof/>
            <w:webHidden/>
          </w:rPr>
          <w:fldChar w:fldCharType="begin"/>
        </w:r>
        <w:r w:rsidR="006F45EC">
          <w:rPr>
            <w:noProof/>
            <w:webHidden/>
          </w:rPr>
          <w:instrText xml:space="preserve"> PAGEREF _Toc405365745 \h </w:instrText>
        </w:r>
        <w:r w:rsidR="006F45EC">
          <w:rPr>
            <w:noProof/>
            <w:webHidden/>
          </w:rPr>
        </w:r>
        <w:r w:rsidR="006F45EC">
          <w:rPr>
            <w:noProof/>
            <w:webHidden/>
          </w:rPr>
          <w:fldChar w:fldCharType="separate"/>
        </w:r>
        <w:r>
          <w:rPr>
            <w:noProof/>
            <w:webHidden/>
          </w:rPr>
          <w:t>13</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46" w:history="1">
        <w:r w:rsidR="006F45EC" w:rsidRPr="00CC13A0">
          <w:rPr>
            <w:rStyle w:val="Hyperlink"/>
            <w:noProof/>
          </w:rPr>
          <w:t>7.4</w:t>
        </w:r>
        <w:r w:rsidR="006F45EC">
          <w:rPr>
            <w:rFonts w:eastAsiaTheme="minorEastAsia" w:cstheme="minorBidi"/>
            <w:smallCaps w:val="0"/>
            <w:noProof/>
            <w:sz w:val="22"/>
            <w:szCs w:val="22"/>
            <w:lang w:val="en-NZ" w:eastAsia="en-NZ" w:bidi="ar-SA"/>
          </w:rPr>
          <w:tab/>
        </w:r>
        <w:r w:rsidR="006F45EC" w:rsidRPr="00CC13A0">
          <w:rPr>
            <w:rStyle w:val="Hyperlink"/>
            <w:noProof/>
          </w:rPr>
          <w:t>Other considerations</w:t>
        </w:r>
        <w:r w:rsidR="006F45EC">
          <w:rPr>
            <w:noProof/>
            <w:webHidden/>
          </w:rPr>
          <w:tab/>
        </w:r>
        <w:r w:rsidR="006F45EC">
          <w:rPr>
            <w:noProof/>
            <w:webHidden/>
          </w:rPr>
          <w:fldChar w:fldCharType="begin"/>
        </w:r>
        <w:r w:rsidR="006F45EC">
          <w:rPr>
            <w:noProof/>
            <w:webHidden/>
          </w:rPr>
          <w:instrText xml:space="preserve"> PAGEREF _Toc405365746 \h </w:instrText>
        </w:r>
        <w:r w:rsidR="006F45EC">
          <w:rPr>
            <w:noProof/>
            <w:webHidden/>
          </w:rPr>
        </w:r>
        <w:r w:rsidR="006F45EC">
          <w:rPr>
            <w:noProof/>
            <w:webHidden/>
          </w:rPr>
          <w:fldChar w:fldCharType="separate"/>
        </w:r>
        <w:r>
          <w:rPr>
            <w:noProof/>
            <w:webHidden/>
          </w:rPr>
          <w:t>14</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47" w:history="1">
        <w:r w:rsidR="006F45EC" w:rsidRPr="00CC13A0">
          <w:rPr>
            <w:rStyle w:val="Hyperlink"/>
            <w:noProof/>
          </w:rPr>
          <w:t>8</w:t>
        </w:r>
        <w:r w:rsidR="006F45EC">
          <w:rPr>
            <w:rFonts w:eastAsiaTheme="minorEastAsia" w:cstheme="minorBidi"/>
            <w:b w:val="0"/>
            <w:bCs w:val="0"/>
            <w:caps w:val="0"/>
            <w:noProof/>
            <w:sz w:val="22"/>
            <w:szCs w:val="22"/>
            <w:lang w:val="en-NZ" w:eastAsia="en-NZ" w:bidi="ar-SA"/>
          </w:rPr>
          <w:tab/>
        </w:r>
        <w:r w:rsidR="006F45EC" w:rsidRPr="00CC13A0">
          <w:rPr>
            <w:rStyle w:val="Hyperlink"/>
            <w:noProof/>
          </w:rPr>
          <w:t>Per serving information and front-of pack labelling</w:t>
        </w:r>
        <w:r w:rsidR="006F45EC">
          <w:rPr>
            <w:noProof/>
            <w:webHidden/>
          </w:rPr>
          <w:tab/>
        </w:r>
        <w:r w:rsidR="006F45EC">
          <w:rPr>
            <w:noProof/>
            <w:webHidden/>
          </w:rPr>
          <w:fldChar w:fldCharType="begin"/>
        </w:r>
        <w:r w:rsidR="006F45EC">
          <w:rPr>
            <w:noProof/>
            <w:webHidden/>
          </w:rPr>
          <w:instrText xml:space="preserve"> PAGEREF _Toc405365747 \h </w:instrText>
        </w:r>
        <w:r w:rsidR="006F45EC">
          <w:rPr>
            <w:noProof/>
            <w:webHidden/>
          </w:rPr>
        </w:r>
        <w:r w:rsidR="006F45EC">
          <w:rPr>
            <w:noProof/>
            <w:webHidden/>
          </w:rPr>
          <w:fldChar w:fldCharType="separate"/>
        </w:r>
        <w:r>
          <w:rPr>
            <w:noProof/>
            <w:webHidden/>
          </w:rPr>
          <w:t>15</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48" w:history="1">
        <w:r w:rsidR="006F45EC" w:rsidRPr="00CC13A0">
          <w:rPr>
            <w:rStyle w:val="Hyperlink"/>
            <w:noProof/>
          </w:rPr>
          <w:t>8.1</w:t>
        </w:r>
        <w:r w:rsidR="006F45EC">
          <w:rPr>
            <w:rFonts w:eastAsiaTheme="minorEastAsia" w:cstheme="minorBidi"/>
            <w:smallCaps w:val="0"/>
            <w:noProof/>
            <w:sz w:val="22"/>
            <w:szCs w:val="22"/>
            <w:lang w:val="en-NZ" w:eastAsia="en-NZ" w:bidi="ar-SA"/>
          </w:rPr>
          <w:tab/>
        </w:r>
        <w:r w:rsidR="006F45EC" w:rsidRPr="00CC13A0">
          <w:rPr>
            <w:rStyle w:val="Hyperlink"/>
            <w:noProof/>
          </w:rPr>
          <w:t>Percentage daily intake front-of-pack labelling</w:t>
        </w:r>
        <w:r w:rsidR="006F45EC">
          <w:rPr>
            <w:noProof/>
            <w:webHidden/>
          </w:rPr>
          <w:tab/>
        </w:r>
        <w:r w:rsidR="006F45EC">
          <w:rPr>
            <w:noProof/>
            <w:webHidden/>
          </w:rPr>
          <w:fldChar w:fldCharType="begin"/>
        </w:r>
        <w:r w:rsidR="006F45EC">
          <w:rPr>
            <w:noProof/>
            <w:webHidden/>
          </w:rPr>
          <w:instrText xml:space="preserve"> PAGEREF _Toc405365748 \h </w:instrText>
        </w:r>
        <w:r w:rsidR="006F45EC">
          <w:rPr>
            <w:noProof/>
            <w:webHidden/>
          </w:rPr>
        </w:r>
        <w:r w:rsidR="006F45EC">
          <w:rPr>
            <w:noProof/>
            <w:webHidden/>
          </w:rPr>
          <w:fldChar w:fldCharType="separate"/>
        </w:r>
        <w:r>
          <w:rPr>
            <w:noProof/>
            <w:webHidden/>
          </w:rPr>
          <w:t>15</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49" w:history="1">
        <w:r w:rsidR="006F45EC" w:rsidRPr="00CC13A0">
          <w:rPr>
            <w:rStyle w:val="Hyperlink"/>
            <w:noProof/>
          </w:rPr>
          <w:t>8.2</w:t>
        </w:r>
        <w:r w:rsidR="006F45EC">
          <w:rPr>
            <w:rFonts w:eastAsiaTheme="minorEastAsia" w:cstheme="minorBidi"/>
            <w:smallCaps w:val="0"/>
            <w:noProof/>
            <w:sz w:val="22"/>
            <w:szCs w:val="22"/>
            <w:lang w:val="en-NZ" w:eastAsia="en-NZ" w:bidi="ar-SA"/>
          </w:rPr>
          <w:tab/>
        </w:r>
        <w:r w:rsidR="006F45EC" w:rsidRPr="00CC13A0">
          <w:rPr>
            <w:rStyle w:val="Hyperlink"/>
            <w:noProof/>
          </w:rPr>
          <w:t>Health Star Rating System</w:t>
        </w:r>
        <w:r w:rsidR="006F45EC">
          <w:rPr>
            <w:noProof/>
            <w:webHidden/>
          </w:rPr>
          <w:tab/>
        </w:r>
        <w:r w:rsidR="006F45EC">
          <w:rPr>
            <w:noProof/>
            <w:webHidden/>
          </w:rPr>
          <w:fldChar w:fldCharType="begin"/>
        </w:r>
        <w:r w:rsidR="006F45EC">
          <w:rPr>
            <w:noProof/>
            <w:webHidden/>
          </w:rPr>
          <w:instrText xml:space="preserve"> PAGEREF _Toc405365749 \h </w:instrText>
        </w:r>
        <w:r w:rsidR="006F45EC">
          <w:rPr>
            <w:noProof/>
            <w:webHidden/>
          </w:rPr>
        </w:r>
        <w:r w:rsidR="006F45EC">
          <w:rPr>
            <w:noProof/>
            <w:webHidden/>
          </w:rPr>
          <w:fldChar w:fldCharType="separate"/>
        </w:r>
        <w:r>
          <w:rPr>
            <w:noProof/>
            <w:webHidden/>
          </w:rPr>
          <w:t>15</w:t>
        </w:r>
        <w:r w:rsidR="006F45EC">
          <w:rPr>
            <w:noProof/>
            <w:webHidden/>
          </w:rPr>
          <w:fldChar w:fldCharType="end"/>
        </w:r>
      </w:hyperlink>
    </w:p>
    <w:p w:rsidR="006F45EC" w:rsidRDefault="005B09C5">
      <w:pPr>
        <w:pStyle w:val="TOC2"/>
        <w:tabs>
          <w:tab w:val="left" w:pos="880"/>
          <w:tab w:val="right" w:leader="dot" w:pos="9060"/>
        </w:tabs>
        <w:rPr>
          <w:rFonts w:eastAsiaTheme="minorEastAsia" w:cstheme="minorBidi"/>
          <w:smallCaps w:val="0"/>
          <w:noProof/>
          <w:sz w:val="22"/>
          <w:szCs w:val="22"/>
          <w:lang w:val="en-NZ" w:eastAsia="en-NZ" w:bidi="ar-SA"/>
        </w:rPr>
      </w:pPr>
      <w:hyperlink w:anchor="_Toc405365750" w:history="1">
        <w:r w:rsidR="006F45EC" w:rsidRPr="00CC13A0">
          <w:rPr>
            <w:rStyle w:val="Hyperlink"/>
            <w:noProof/>
          </w:rPr>
          <w:t>8.3</w:t>
        </w:r>
        <w:r w:rsidR="006F45EC">
          <w:rPr>
            <w:rFonts w:eastAsiaTheme="minorEastAsia" w:cstheme="minorBidi"/>
            <w:smallCaps w:val="0"/>
            <w:noProof/>
            <w:sz w:val="22"/>
            <w:szCs w:val="22"/>
            <w:lang w:val="en-NZ" w:eastAsia="en-NZ" w:bidi="ar-SA"/>
          </w:rPr>
          <w:tab/>
        </w:r>
        <w:r w:rsidR="006F45EC" w:rsidRPr="00CC13A0">
          <w:rPr>
            <w:rStyle w:val="Hyperlink"/>
            <w:noProof/>
          </w:rPr>
          <w:t>Recommendation 17 and front-of-pack labelling</w:t>
        </w:r>
        <w:r w:rsidR="006F45EC">
          <w:rPr>
            <w:noProof/>
            <w:webHidden/>
          </w:rPr>
          <w:tab/>
        </w:r>
        <w:r w:rsidR="006F45EC">
          <w:rPr>
            <w:noProof/>
            <w:webHidden/>
          </w:rPr>
          <w:fldChar w:fldCharType="begin"/>
        </w:r>
        <w:r w:rsidR="006F45EC">
          <w:rPr>
            <w:noProof/>
            <w:webHidden/>
          </w:rPr>
          <w:instrText xml:space="preserve"> PAGEREF _Toc405365750 \h </w:instrText>
        </w:r>
        <w:r w:rsidR="006F45EC">
          <w:rPr>
            <w:noProof/>
            <w:webHidden/>
          </w:rPr>
        </w:r>
        <w:r w:rsidR="006F45EC">
          <w:rPr>
            <w:noProof/>
            <w:webHidden/>
          </w:rPr>
          <w:fldChar w:fldCharType="separate"/>
        </w:r>
        <w:r>
          <w:rPr>
            <w:noProof/>
            <w:webHidden/>
          </w:rPr>
          <w:t>16</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51" w:history="1">
        <w:r w:rsidR="006F45EC" w:rsidRPr="00CC13A0">
          <w:rPr>
            <w:rStyle w:val="Hyperlink"/>
            <w:noProof/>
          </w:rPr>
          <w:t>9</w:t>
        </w:r>
        <w:r w:rsidR="006F45EC">
          <w:rPr>
            <w:rFonts w:eastAsiaTheme="minorEastAsia" w:cstheme="minorBidi"/>
            <w:b w:val="0"/>
            <w:bCs w:val="0"/>
            <w:caps w:val="0"/>
            <w:noProof/>
            <w:sz w:val="22"/>
            <w:szCs w:val="22"/>
            <w:lang w:val="en-NZ" w:eastAsia="en-NZ" w:bidi="ar-SA"/>
          </w:rPr>
          <w:tab/>
        </w:r>
        <w:r w:rsidR="006F45EC" w:rsidRPr="00CC13A0">
          <w:rPr>
            <w:rStyle w:val="Hyperlink"/>
            <w:noProof/>
          </w:rPr>
          <w:t>Other projects in Australia and New Zealand related to serving size</w:t>
        </w:r>
        <w:r w:rsidR="006F45EC">
          <w:rPr>
            <w:noProof/>
            <w:webHidden/>
          </w:rPr>
          <w:tab/>
        </w:r>
        <w:r w:rsidR="006F45EC">
          <w:rPr>
            <w:noProof/>
            <w:webHidden/>
          </w:rPr>
          <w:fldChar w:fldCharType="begin"/>
        </w:r>
        <w:r w:rsidR="006F45EC">
          <w:rPr>
            <w:noProof/>
            <w:webHidden/>
          </w:rPr>
          <w:instrText xml:space="preserve"> PAGEREF _Toc405365751 \h </w:instrText>
        </w:r>
        <w:r w:rsidR="006F45EC">
          <w:rPr>
            <w:noProof/>
            <w:webHidden/>
          </w:rPr>
        </w:r>
        <w:r w:rsidR="006F45EC">
          <w:rPr>
            <w:noProof/>
            <w:webHidden/>
          </w:rPr>
          <w:fldChar w:fldCharType="separate"/>
        </w:r>
        <w:r>
          <w:rPr>
            <w:noProof/>
            <w:webHidden/>
          </w:rPr>
          <w:t>17</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52" w:history="1">
        <w:r w:rsidR="006F45EC" w:rsidRPr="00CC13A0">
          <w:rPr>
            <w:rStyle w:val="Hyperlink"/>
            <w:noProof/>
          </w:rPr>
          <w:t>10</w:t>
        </w:r>
        <w:r w:rsidR="006F45EC">
          <w:rPr>
            <w:rFonts w:eastAsiaTheme="minorEastAsia" w:cstheme="minorBidi"/>
            <w:b w:val="0"/>
            <w:bCs w:val="0"/>
            <w:caps w:val="0"/>
            <w:noProof/>
            <w:sz w:val="22"/>
            <w:szCs w:val="22"/>
            <w:lang w:val="en-NZ" w:eastAsia="en-NZ" w:bidi="ar-SA"/>
          </w:rPr>
          <w:tab/>
        </w:r>
        <w:r w:rsidR="006F45EC" w:rsidRPr="00CC13A0">
          <w:rPr>
            <w:rStyle w:val="Hyperlink"/>
            <w:noProof/>
          </w:rPr>
          <w:t>Advantages and disadvantages of Recommendation 17</w:t>
        </w:r>
        <w:r w:rsidR="006F45EC">
          <w:rPr>
            <w:noProof/>
            <w:webHidden/>
          </w:rPr>
          <w:tab/>
        </w:r>
        <w:r w:rsidR="006F45EC">
          <w:rPr>
            <w:noProof/>
            <w:webHidden/>
          </w:rPr>
          <w:fldChar w:fldCharType="begin"/>
        </w:r>
        <w:r w:rsidR="006F45EC">
          <w:rPr>
            <w:noProof/>
            <w:webHidden/>
          </w:rPr>
          <w:instrText xml:space="preserve"> PAGEREF _Toc405365752 \h </w:instrText>
        </w:r>
        <w:r w:rsidR="006F45EC">
          <w:rPr>
            <w:noProof/>
            <w:webHidden/>
          </w:rPr>
        </w:r>
        <w:r w:rsidR="006F45EC">
          <w:rPr>
            <w:noProof/>
            <w:webHidden/>
          </w:rPr>
          <w:fldChar w:fldCharType="separate"/>
        </w:r>
        <w:r>
          <w:rPr>
            <w:noProof/>
            <w:webHidden/>
          </w:rPr>
          <w:t>17</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53" w:history="1">
        <w:r w:rsidR="006F45EC" w:rsidRPr="00CC13A0">
          <w:rPr>
            <w:rStyle w:val="Hyperlink"/>
            <w:noProof/>
          </w:rPr>
          <w:t>11</w:t>
        </w:r>
        <w:r w:rsidR="006F45EC">
          <w:rPr>
            <w:rFonts w:eastAsiaTheme="minorEastAsia" w:cstheme="minorBidi"/>
            <w:b w:val="0"/>
            <w:bCs w:val="0"/>
            <w:caps w:val="0"/>
            <w:noProof/>
            <w:sz w:val="22"/>
            <w:szCs w:val="22"/>
            <w:lang w:val="en-NZ" w:eastAsia="en-NZ" w:bidi="ar-SA"/>
          </w:rPr>
          <w:tab/>
        </w:r>
        <w:r w:rsidR="006F45EC" w:rsidRPr="00CC13A0">
          <w:rPr>
            <w:rStyle w:val="Hyperlink"/>
            <w:noProof/>
          </w:rPr>
          <w:t>Next Steps</w:t>
        </w:r>
        <w:r w:rsidR="006F45EC">
          <w:rPr>
            <w:noProof/>
            <w:webHidden/>
          </w:rPr>
          <w:tab/>
        </w:r>
        <w:r w:rsidR="006F45EC">
          <w:rPr>
            <w:noProof/>
            <w:webHidden/>
          </w:rPr>
          <w:fldChar w:fldCharType="begin"/>
        </w:r>
        <w:r w:rsidR="006F45EC">
          <w:rPr>
            <w:noProof/>
            <w:webHidden/>
          </w:rPr>
          <w:instrText xml:space="preserve"> PAGEREF _Toc405365753 \h </w:instrText>
        </w:r>
        <w:r w:rsidR="006F45EC">
          <w:rPr>
            <w:noProof/>
            <w:webHidden/>
          </w:rPr>
        </w:r>
        <w:r w:rsidR="006F45EC">
          <w:rPr>
            <w:noProof/>
            <w:webHidden/>
          </w:rPr>
          <w:fldChar w:fldCharType="separate"/>
        </w:r>
        <w:r>
          <w:rPr>
            <w:noProof/>
            <w:webHidden/>
          </w:rPr>
          <w:t>18</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54" w:history="1">
        <w:r w:rsidR="006F45EC" w:rsidRPr="00CC13A0">
          <w:rPr>
            <w:rStyle w:val="Hyperlink"/>
            <w:noProof/>
          </w:rPr>
          <w:t>12</w:t>
        </w:r>
        <w:r w:rsidR="006F45EC">
          <w:rPr>
            <w:rFonts w:eastAsiaTheme="minorEastAsia" w:cstheme="minorBidi"/>
            <w:b w:val="0"/>
            <w:bCs w:val="0"/>
            <w:caps w:val="0"/>
            <w:noProof/>
            <w:sz w:val="22"/>
            <w:szCs w:val="22"/>
            <w:lang w:val="en-NZ" w:eastAsia="en-NZ" w:bidi="ar-SA"/>
          </w:rPr>
          <w:tab/>
        </w:r>
        <w:r w:rsidR="006F45EC" w:rsidRPr="00CC13A0">
          <w:rPr>
            <w:rStyle w:val="Hyperlink"/>
            <w:noProof/>
          </w:rPr>
          <w:t>Questions for submitters</w:t>
        </w:r>
        <w:r w:rsidR="006F45EC">
          <w:rPr>
            <w:noProof/>
            <w:webHidden/>
          </w:rPr>
          <w:tab/>
        </w:r>
        <w:r w:rsidR="006F45EC">
          <w:rPr>
            <w:noProof/>
            <w:webHidden/>
          </w:rPr>
          <w:fldChar w:fldCharType="begin"/>
        </w:r>
        <w:r w:rsidR="006F45EC">
          <w:rPr>
            <w:noProof/>
            <w:webHidden/>
          </w:rPr>
          <w:instrText xml:space="preserve"> PAGEREF _Toc405365754 \h </w:instrText>
        </w:r>
        <w:r w:rsidR="006F45EC">
          <w:rPr>
            <w:noProof/>
            <w:webHidden/>
          </w:rPr>
        </w:r>
        <w:r w:rsidR="006F45EC">
          <w:rPr>
            <w:noProof/>
            <w:webHidden/>
          </w:rPr>
          <w:fldChar w:fldCharType="separate"/>
        </w:r>
        <w:r>
          <w:rPr>
            <w:noProof/>
            <w:webHidden/>
          </w:rPr>
          <w:t>18</w:t>
        </w:r>
        <w:r w:rsidR="006F45EC">
          <w:rPr>
            <w:noProof/>
            <w:webHidden/>
          </w:rPr>
          <w:fldChar w:fldCharType="end"/>
        </w:r>
      </w:hyperlink>
    </w:p>
    <w:p w:rsidR="006F45EC" w:rsidRDefault="005B09C5">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5365755" w:history="1">
        <w:r w:rsidR="006F45EC" w:rsidRPr="00CC13A0">
          <w:rPr>
            <w:rStyle w:val="Hyperlink"/>
            <w:noProof/>
          </w:rPr>
          <w:t>13</w:t>
        </w:r>
        <w:r w:rsidR="006F45EC">
          <w:rPr>
            <w:rFonts w:eastAsiaTheme="minorEastAsia" w:cstheme="minorBidi"/>
            <w:b w:val="0"/>
            <w:bCs w:val="0"/>
            <w:caps w:val="0"/>
            <w:noProof/>
            <w:sz w:val="22"/>
            <w:szCs w:val="22"/>
            <w:lang w:val="en-NZ" w:eastAsia="en-NZ" w:bidi="ar-SA"/>
          </w:rPr>
          <w:tab/>
        </w:r>
        <w:r w:rsidR="006F45EC" w:rsidRPr="00CC13A0">
          <w:rPr>
            <w:rStyle w:val="Hyperlink"/>
            <w:noProof/>
          </w:rPr>
          <w:t>References</w:t>
        </w:r>
        <w:r w:rsidR="006F45EC">
          <w:rPr>
            <w:noProof/>
            <w:webHidden/>
          </w:rPr>
          <w:tab/>
        </w:r>
        <w:r w:rsidR="006F45EC">
          <w:rPr>
            <w:noProof/>
            <w:webHidden/>
          </w:rPr>
          <w:fldChar w:fldCharType="begin"/>
        </w:r>
        <w:r w:rsidR="006F45EC">
          <w:rPr>
            <w:noProof/>
            <w:webHidden/>
          </w:rPr>
          <w:instrText xml:space="preserve"> PAGEREF _Toc405365755 \h </w:instrText>
        </w:r>
        <w:r w:rsidR="006F45EC">
          <w:rPr>
            <w:noProof/>
            <w:webHidden/>
          </w:rPr>
        </w:r>
        <w:r w:rsidR="006F45EC">
          <w:rPr>
            <w:noProof/>
            <w:webHidden/>
          </w:rPr>
          <w:fldChar w:fldCharType="separate"/>
        </w:r>
        <w:r>
          <w:rPr>
            <w:noProof/>
            <w:webHidden/>
          </w:rPr>
          <w:t>19</w:t>
        </w:r>
        <w:r w:rsidR="006F45EC">
          <w:rPr>
            <w:noProof/>
            <w:webHidden/>
          </w:rPr>
          <w:fldChar w:fldCharType="end"/>
        </w:r>
      </w:hyperlink>
    </w:p>
    <w:p w:rsidR="006F45EC" w:rsidRDefault="005B09C5">
      <w:pPr>
        <w:pStyle w:val="TOC2"/>
        <w:tabs>
          <w:tab w:val="right" w:leader="dot" w:pos="9060"/>
        </w:tabs>
        <w:rPr>
          <w:rFonts w:eastAsiaTheme="minorEastAsia" w:cstheme="minorBidi"/>
          <w:smallCaps w:val="0"/>
          <w:noProof/>
          <w:sz w:val="22"/>
          <w:szCs w:val="22"/>
          <w:lang w:val="en-NZ" w:eastAsia="en-NZ" w:bidi="ar-SA"/>
        </w:rPr>
      </w:pPr>
      <w:hyperlink w:anchor="_Toc405365756" w:history="1">
        <w:r w:rsidR="006F45EC" w:rsidRPr="00CC13A0">
          <w:rPr>
            <w:rStyle w:val="Hyperlink"/>
            <w:noProof/>
          </w:rPr>
          <w:t>Attachment A: Requirements for declaration of energy and nutrients in nutrition information panels in Australia/New Zealand, Canada, the USA, the EU and from Codex</w:t>
        </w:r>
        <w:r w:rsidR="006F45EC">
          <w:rPr>
            <w:noProof/>
            <w:webHidden/>
          </w:rPr>
          <w:tab/>
        </w:r>
        <w:r w:rsidR="006F45EC">
          <w:rPr>
            <w:noProof/>
            <w:webHidden/>
          </w:rPr>
          <w:fldChar w:fldCharType="begin"/>
        </w:r>
        <w:r w:rsidR="006F45EC">
          <w:rPr>
            <w:noProof/>
            <w:webHidden/>
          </w:rPr>
          <w:instrText xml:space="preserve"> PAGEREF _Toc405365756 \h </w:instrText>
        </w:r>
        <w:r w:rsidR="006F45EC">
          <w:rPr>
            <w:noProof/>
            <w:webHidden/>
          </w:rPr>
        </w:r>
        <w:r w:rsidR="006F45EC">
          <w:rPr>
            <w:noProof/>
            <w:webHidden/>
          </w:rPr>
          <w:fldChar w:fldCharType="separate"/>
        </w:r>
        <w:r>
          <w:rPr>
            <w:noProof/>
            <w:webHidden/>
          </w:rPr>
          <w:t>20</w:t>
        </w:r>
        <w:r w:rsidR="006F45EC">
          <w:rPr>
            <w:noProof/>
            <w:webHidden/>
          </w:rPr>
          <w:fldChar w:fldCharType="end"/>
        </w:r>
      </w:hyperlink>
    </w:p>
    <w:p w:rsidR="006F45EC" w:rsidRDefault="005B09C5">
      <w:pPr>
        <w:pStyle w:val="TOC2"/>
        <w:tabs>
          <w:tab w:val="right" w:leader="dot" w:pos="9060"/>
        </w:tabs>
        <w:rPr>
          <w:rFonts w:eastAsiaTheme="minorEastAsia" w:cstheme="minorBidi"/>
          <w:smallCaps w:val="0"/>
          <w:noProof/>
          <w:sz w:val="22"/>
          <w:szCs w:val="22"/>
          <w:lang w:val="en-NZ" w:eastAsia="en-NZ" w:bidi="ar-SA"/>
        </w:rPr>
      </w:pPr>
      <w:hyperlink w:anchor="_Toc405365757" w:history="1">
        <w:r w:rsidR="006F45EC" w:rsidRPr="00CC13A0">
          <w:rPr>
            <w:rStyle w:val="Hyperlink"/>
            <w:noProof/>
          </w:rPr>
          <w:t>Attachment B –Regulatory requirements for serving sizes in Canada and the USA</w:t>
        </w:r>
        <w:r w:rsidR="006F45EC">
          <w:rPr>
            <w:noProof/>
            <w:webHidden/>
          </w:rPr>
          <w:tab/>
        </w:r>
        <w:r w:rsidR="006F45EC">
          <w:rPr>
            <w:noProof/>
            <w:webHidden/>
          </w:rPr>
          <w:fldChar w:fldCharType="begin"/>
        </w:r>
        <w:r w:rsidR="006F45EC">
          <w:rPr>
            <w:noProof/>
            <w:webHidden/>
          </w:rPr>
          <w:instrText xml:space="preserve"> PAGEREF _Toc405365757 \h </w:instrText>
        </w:r>
        <w:r w:rsidR="006F45EC">
          <w:rPr>
            <w:noProof/>
            <w:webHidden/>
          </w:rPr>
        </w:r>
        <w:r w:rsidR="006F45EC">
          <w:rPr>
            <w:noProof/>
            <w:webHidden/>
          </w:rPr>
          <w:fldChar w:fldCharType="separate"/>
        </w:r>
        <w:r>
          <w:rPr>
            <w:noProof/>
            <w:webHidden/>
          </w:rPr>
          <w:t>22</w:t>
        </w:r>
        <w:r w:rsidR="006F45EC">
          <w:rPr>
            <w:noProof/>
            <w:webHidden/>
          </w:rPr>
          <w:fldChar w:fldCharType="end"/>
        </w:r>
      </w:hyperlink>
    </w:p>
    <w:p w:rsidR="0089264A" w:rsidRPr="006B3310" w:rsidRDefault="006B3310" w:rsidP="006B3310">
      <w:r>
        <w:rPr>
          <w:rFonts w:cs="Arial"/>
          <w:b/>
          <w:bCs/>
          <w:caps/>
          <w:sz w:val="20"/>
          <w:szCs w:val="20"/>
        </w:rPr>
        <w:fldChar w:fldCharType="end"/>
      </w:r>
    </w:p>
    <w:p w:rsidR="007211B6" w:rsidRDefault="007211B6" w:rsidP="00074C2A">
      <w:bookmarkStart w:id="1" w:name="_Toc286391001"/>
      <w:bookmarkStart w:id="2" w:name="_Toc300933414"/>
      <w:bookmarkStart w:id="3" w:name="_Toc11735627"/>
      <w:bookmarkStart w:id="4" w:name="_Toc29883110"/>
      <w:bookmarkStart w:id="5" w:name="_Toc41906797"/>
      <w:bookmarkStart w:id="6" w:name="_Toc41907544"/>
      <w:bookmarkStart w:id="7" w:name="_Toc120358575"/>
    </w:p>
    <w:p w:rsidR="007211B6" w:rsidRPr="007211B6" w:rsidRDefault="007211B6" w:rsidP="007211B6">
      <w:pPr>
        <w:tabs>
          <w:tab w:val="left" w:pos="5700"/>
        </w:tabs>
        <w:rPr>
          <w:lang w:bidi="ar-SA"/>
        </w:rPr>
      </w:pPr>
      <w:r>
        <w:rPr>
          <w:lang w:bidi="ar-SA"/>
        </w:rPr>
        <w:tab/>
      </w:r>
    </w:p>
    <w:p w:rsidR="007211B6" w:rsidRPr="007211B6" w:rsidRDefault="007211B6" w:rsidP="007211B6">
      <w:pPr>
        <w:rPr>
          <w:lang w:bidi="ar-SA"/>
        </w:rPr>
      </w:pPr>
    </w:p>
    <w:p w:rsidR="00074C2A" w:rsidRDefault="00074C2A" w:rsidP="00B17F4E">
      <w:pPr>
        <w:pStyle w:val="Heading1"/>
      </w:pPr>
      <w:bookmarkStart w:id="8" w:name="_Toc387066095"/>
      <w:bookmarkStart w:id="9" w:name="_Toc405365727"/>
      <w:bookmarkStart w:id="10" w:name="_Toc286391003"/>
      <w:bookmarkStart w:id="11" w:name="_Toc300933417"/>
      <w:bookmarkEnd w:id="1"/>
      <w:bookmarkEnd w:id="2"/>
      <w:r>
        <w:br w:type="page"/>
      </w:r>
    </w:p>
    <w:p w:rsidR="00B17F4E" w:rsidRDefault="00B17F4E" w:rsidP="00B17F4E">
      <w:pPr>
        <w:pStyle w:val="Heading1"/>
      </w:pPr>
      <w:r>
        <w:lastRenderedPageBreak/>
        <w:t>Executive s</w:t>
      </w:r>
      <w:r w:rsidRPr="00E203C2">
        <w:t>ummary</w:t>
      </w:r>
      <w:bookmarkEnd w:id="8"/>
      <w:bookmarkEnd w:id="9"/>
    </w:p>
    <w:p w:rsidR="00322F65" w:rsidRDefault="00BA139D" w:rsidP="00322F65">
      <w:pPr>
        <w:widowControl/>
        <w:autoSpaceDE w:val="0"/>
        <w:autoSpaceDN w:val="0"/>
        <w:adjustRightInd w:val="0"/>
        <w:rPr>
          <w:rFonts w:cs="Arial"/>
          <w:bCs/>
        </w:rPr>
      </w:pPr>
      <w:r>
        <w:rPr>
          <w:rFonts w:cs="Arial"/>
          <w:bCs/>
        </w:rPr>
        <w:t xml:space="preserve">An independent review of food labelling was completed in 2011 with the publication of the final report </w:t>
      </w:r>
      <w:r w:rsidR="00322F65" w:rsidRPr="00B7149D">
        <w:rPr>
          <w:i/>
          <w:lang w:val="en-AU"/>
        </w:rPr>
        <w:t>Labelling Logic</w:t>
      </w:r>
      <w:r w:rsidR="00322F65">
        <w:rPr>
          <w:i/>
          <w:lang w:val="en-AU"/>
        </w:rPr>
        <w:t xml:space="preserve">: Review of Food Labelling Law and Policy (2011) </w:t>
      </w:r>
      <w:r w:rsidR="00322F65" w:rsidRPr="008B36A1">
        <w:rPr>
          <w:lang w:val="en-AU"/>
        </w:rPr>
        <w:t>(</w:t>
      </w:r>
      <w:r w:rsidR="00322F65" w:rsidRPr="00F02866">
        <w:rPr>
          <w:i/>
        </w:rPr>
        <w:t>Labelling Logic</w:t>
      </w:r>
      <w:r w:rsidR="00322F65">
        <w:t>)</w:t>
      </w:r>
      <w:r>
        <w:rPr>
          <w:lang w:val="en-AU"/>
        </w:rPr>
        <w:t xml:space="preserve">. </w:t>
      </w:r>
      <w:r w:rsidRPr="00F02866">
        <w:rPr>
          <w:i/>
          <w:lang w:val="en-AU"/>
        </w:rPr>
        <w:t>Labelling Logic</w:t>
      </w:r>
      <w:r>
        <w:rPr>
          <w:lang w:val="en-AU"/>
        </w:rPr>
        <w:t xml:space="preserve"> includes 61 recommendations.</w:t>
      </w:r>
    </w:p>
    <w:p w:rsidR="00322F65" w:rsidRDefault="00322F65" w:rsidP="00322F65">
      <w:pPr>
        <w:rPr>
          <w:rFonts w:cs="Arial"/>
          <w:bCs/>
          <w:szCs w:val="22"/>
        </w:rPr>
      </w:pPr>
    </w:p>
    <w:p w:rsidR="00322F65" w:rsidRDefault="00322F65" w:rsidP="00322F65">
      <w:pPr>
        <w:rPr>
          <w:i/>
        </w:rPr>
      </w:pPr>
      <w:r>
        <w:rPr>
          <w:rFonts w:cs="Arial"/>
          <w:bCs/>
          <w:szCs w:val="22"/>
        </w:rPr>
        <w:t xml:space="preserve">Recommendation 17 from </w:t>
      </w:r>
      <w:r w:rsidRPr="00F02866">
        <w:rPr>
          <w:i/>
        </w:rPr>
        <w:t>Labelling Logic</w:t>
      </w:r>
      <w:r>
        <w:t xml:space="preserve"> states: </w:t>
      </w:r>
      <w:r>
        <w:rPr>
          <w:i/>
        </w:rPr>
        <w:t>That the declaration in the nutrition information p</w:t>
      </w:r>
      <w:r w:rsidRPr="00834441">
        <w:rPr>
          <w:i/>
        </w:rPr>
        <w:t>anel of amount of nutrients per serve be no longer mandatory unless a daily intake claim is made.</w:t>
      </w:r>
    </w:p>
    <w:p w:rsidR="00322F65" w:rsidRDefault="00322F65" w:rsidP="00322F65">
      <w:pPr>
        <w:rPr>
          <w:i/>
        </w:rPr>
      </w:pPr>
    </w:p>
    <w:p w:rsidR="00322F65" w:rsidRDefault="00322F65" w:rsidP="00322F65">
      <w:pPr>
        <w:rPr>
          <w:rFonts w:cs="Arial"/>
          <w:bCs/>
        </w:rPr>
      </w:pPr>
      <w:r>
        <w:rPr>
          <w:rFonts w:cs="Arial"/>
          <w:bCs/>
        </w:rPr>
        <w:t xml:space="preserve">The government response to the recommendations in </w:t>
      </w:r>
      <w:r w:rsidRPr="00F02866">
        <w:rPr>
          <w:rFonts w:cs="Arial"/>
          <w:bCs/>
          <w:i/>
        </w:rPr>
        <w:t>Labelling Logic</w:t>
      </w:r>
      <w:r>
        <w:rPr>
          <w:rFonts w:cs="Arial"/>
          <w:bCs/>
        </w:rPr>
        <w:t xml:space="preserve"> was publicly released in December 2011. In relation to Recommendation 17, the Forum acknowledged that food labels are a finite space for providing information to consumers and that the recommendation to remove per serving information aims to simplify requirements for the mandatory </w:t>
      </w:r>
      <w:r w:rsidR="0032007D">
        <w:rPr>
          <w:rFonts w:cs="Arial"/>
          <w:bCs/>
        </w:rPr>
        <w:t>nutrition information panel (</w:t>
      </w:r>
      <w:r>
        <w:rPr>
          <w:rFonts w:cs="Arial"/>
          <w:bCs/>
        </w:rPr>
        <w:t>NIP</w:t>
      </w:r>
      <w:r w:rsidR="0032007D">
        <w:rPr>
          <w:rFonts w:cs="Arial"/>
          <w:bCs/>
        </w:rPr>
        <w:t>)</w:t>
      </w:r>
      <w:r>
        <w:rPr>
          <w:rFonts w:cs="Arial"/>
          <w:bCs/>
        </w:rPr>
        <w:t xml:space="preserve"> and reduce the regulatory burden on industry. The Forum </w:t>
      </w:r>
      <w:r w:rsidRPr="00834441">
        <w:rPr>
          <w:rFonts w:cs="Arial"/>
          <w:bCs/>
        </w:rPr>
        <w:t xml:space="preserve">asked FSANZ to </w:t>
      </w:r>
      <w:r>
        <w:rPr>
          <w:rFonts w:cs="Arial"/>
          <w:bCs/>
        </w:rPr>
        <w:t>prepare</w:t>
      </w:r>
      <w:r w:rsidRPr="00834441">
        <w:rPr>
          <w:rFonts w:cs="Arial"/>
          <w:bCs/>
        </w:rPr>
        <w:t xml:space="preserve"> a proposal to provide assessment and advice on this proposed change to the labelling requirements for the </w:t>
      </w:r>
      <w:r>
        <w:rPr>
          <w:rFonts w:cs="Arial"/>
          <w:bCs/>
        </w:rPr>
        <w:t>NIP</w:t>
      </w:r>
      <w:r w:rsidRPr="00834441">
        <w:rPr>
          <w:rFonts w:cs="Arial"/>
          <w:bCs/>
        </w:rPr>
        <w:t xml:space="preserve">. </w:t>
      </w:r>
    </w:p>
    <w:p w:rsidR="000C0C44" w:rsidRDefault="00322F65" w:rsidP="00322F65">
      <w:pPr>
        <w:pStyle w:val="ms-rteelement-h1b"/>
        <w:ind w:right="176"/>
        <w:rPr>
          <w:rStyle w:val="ms-rtefontsize-21"/>
          <w:rFonts w:ascii="Arial" w:hAnsi="Arial" w:cs="Arial"/>
          <w:color w:val="auto"/>
          <w:sz w:val="22"/>
          <w:szCs w:val="22"/>
        </w:rPr>
      </w:pPr>
      <w:r w:rsidRPr="0089344B">
        <w:rPr>
          <w:rStyle w:val="ms-rtefontsize-21"/>
          <w:rFonts w:ascii="Arial" w:hAnsi="Arial" w:cs="Arial"/>
          <w:color w:val="auto"/>
          <w:sz w:val="22"/>
          <w:szCs w:val="22"/>
        </w:rPr>
        <w:t xml:space="preserve">To allow FSANZ to gather </w:t>
      </w:r>
      <w:r>
        <w:rPr>
          <w:rStyle w:val="ms-rtefontsize-21"/>
          <w:rFonts w:ascii="Arial" w:hAnsi="Arial" w:cs="Arial"/>
          <w:color w:val="auto"/>
          <w:sz w:val="22"/>
          <w:szCs w:val="22"/>
        </w:rPr>
        <w:t>information</w:t>
      </w:r>
      <w:r w:rsidRPr="0089344B">
        <w:rPr>
          <w:rStyle w:val="ms-rtefontsize-21"/>
          <w:rFonts w:ascii="Arial" w:hAnsi="Arial" w:cs="Arial"/>
          <w:color w:val="auto"/>
          <w:sz w:val="22"/>
          <w:szCs w:val="22"/>
        </w:rPr>
        <w:t xml:space="preserve"> and understand stakeholder views</w:t>
      </w:r>
      <w:r>
        <w:rPr>
          <w:rStyle w:val="ms-rtefontsize-21"/>
          <w:rFonts w:ascii="Arial" w:hAnsi="Arial" w:cs="Arial"/>
          <w:color w:val="auto"/>
          <w:sz w:val="22"/>
          <w:szCs w:val="22"/>
        </w:rPr>
        <w:t>,</w:t>
      </w:r>
      <w:r w:rsidRPr="0089344B">
        <w:rPr>
          <w:rStyle w:val="ms-rtefontsize-21"/>
          <w:rFonts w:ascii="Arial" w:hAnsi="Arial" w:cs="Arial"/>
          <w:color w:val="auto"/>
          <w:sz w:val="22"/>
          <w:szCs w:val="22"/>
        </w:rPr>
        <w:t xml:space="preserve"> we are undertaking </w:t>
      </w:r>
      <w:r>
        <w:rPr>
          <w:rStyle w:val="ms-rtefontsize-21"/>
          <w:rFonts w:ascii="Arial" w:hAnsi="Arial" w:cs="Arial"/>
          <w:color w:val="auto"/>
          <w:sz w:val="22"/>
          <w:szCs w:val="22"/>
        </w:rPr>
        <w:t xml:space="preserve">consultation as a first step in our work on Recommendation 17. Information received through this consultation will assist FSANZ with </w:t>
      </w:r>
      <w:r w:rsidR="00D04B60">
        <w:rPr>
          <w:rStyle w:val="ms-rtefontsize-21"/>
          <w:rFonts w:ascii="Arial" w:hAnsi="Arial" w:cs="Arial"/>
          <w:color w:val="auto"/>
          <w:sz w:val="22"/>
          <w:szCs w:val="22"/>
        </w:rPr>
        <w:t xml:space="preserve">analysing </w:t>
      </w:r>
      <w:r w:rsidRPr="00CD72A3">
        <w:rPr>
          <w:rStyle w:val="ms-rtefontsize-21"/>
          <w:rFonts w:ascii="Arial" w:hAnsi="Arial" w:cs="Arial"/>
          <w:color w:val="auto"/>
          <w:sz w:val="22"/>
          <w:szCs w:val="22"/>
        </w:rPr>
        <w:t>issues associated with the proposed removal of the mandatory requirement for per serving nutri</w:t>
      </w:r>
      <w:r>
        <w:rPr>
          <w:rStyle w:val="ms-rtefontsize-21"/>
          <w:rFonts w:ascii="Arial" w:hAnsi="Arial" w:cs="Arial"/>
          <w:color w:val="auto"/>
          <w:sz w:val="22"/>
          <w:szCs w:val="22"/>
        </w:rPr>
        <w:t>ent and energy declarations in</w:t>
      </w:r>
      <w:r w:rsidRPr="00CD72A3">
        <w:rPr>
          <w:rStyle w:val="ms-rtefontsize-21"/>
          <w:rFonts w:ascii="Arial" w:hAnsi="Arial" w:cs="Arial"/>
          <w:color w:val="auto"/>
          <w:sz w:val="22"/>
          <w:szCs w:val="22"/>
        </w:rPr>
        <w:t xml:space="preserve"> the NIP (unless a daily intake claim is made)</w:t>
      </w:r>
      <w:r>
        <w:rPr>
          <w:rStyle w:val="ms-rtefontsize-21"/>
          <w:rFonts w:ascii="Arial" w:hAnsi="Arial" w:cs="Arial"/>
          <w:color w:val="auto"/>
          <w:sz w:val="22"/>
          <w:szCs w:val="22"/>
        </w:rPr>
        <w:t>. Submitters are encouraged to respon</w:t>
      </w:r>
      <w:r w:rsidR="003A0A4A">
        <w:rPr>
          <w:rStyle w:val="ms-rtefontsize-21"/>
          <w:rFonts w:ascii="Arial" w:hAnsi="Arial" w:cs="Arial"/>
          <w:color w:val="auto"/>
          <w:sz w:val="22"/>
          <w:szCs w:val="22"/>
        </w:rPr>
        <w:t>d</w:t>
      </w:r>
      <w:r>
        <w:rPr>
          <w:rStyle w:val="ms-rtefontsize-21"/>
          <w:rFonts w:ascii="Arial" w:hAnsi="Arial" w:cs="Arial"/>
          <w:color w:val="auto"/>
          <w:sz w:val="22"/>
          <w:szCs w:val="22"/>
        </w:rPr>
        <w:t xml:space="preserve"> to the questions in this consultation paper.</w:t>
      </w:r>
    </w:p>
    <w:p w:rsidR="000C0C44" w:rsidRDefault="000C0C44" w:rsidP="00322F65">
      <w:pPr>
        <w:pStyle w:val="ms-rteelement-h1b"/>
        <w:ind w:right="176"/>
        <w:rPr>
          <w:rStyle w:val="ms-rtefontsize-21"/>
          <w:rFonts w:ascii="Arial" w:hAnsi="Arial" w:cs="Arial"/>
          <w:color w:val="auto"/>
          <w:sz w:val="22"/>
          <w:szCs w:val="22"/>
        </w:rPr>
      </w:pPr>
      <w:r w:rsidRPr="00C926F7">
        <w:rPr>
          <w:rStyle w:val="ms-rtefontsize-21"/>
          <w:rFonts w:ascii="Arial" w:hAnsi="Arial" w:cs="Arial"/>
          <w:color w:val="auto"/>
          <w:sz w:val="22"/>
          <w:szCs w:val="22"/>
        </w:rPr>
        <w:t>To help stakeholders prepare submissions</w:t>
      </w:r>
      <w:r w:rsidR="005D5277" w:rsidRPr="00C926F7">
        <w:rPr>
          <w:rStyle w:val="ms-rtefontsize-21"/>
          <w:rFonts w:ascii="Arial" w:hAnsi="Arial" w:cs="Arial"/>
          <w:color w:val="auto"/>
          <w:sz w:val="22"/>
          <w:szCs w:val="22"/>
        </w:rPr>
        <w:t>,</w:t>
      </w:r>
      <w:r w:rsidRPr="00C926F7">
        <w:rPr>
          <w:rStyle w:val="ms-rtefontsize-21"/>
          <w:rFonts w:ascii="Arial" w:hAnsi="Arial" w:cs="Arial"/>
          <w:color w:val="auto"/>
          <w:sz w:val="22"/>
          <w:szCs w:val="22"/>
        </w:rPr>
        <w:t xml:space="preserve"> background information and our initial consideration of issues relating to Recommendation 17 are presented in th</w:t>
      </w:r>
      <w:r w:rsidR="00EF493E" w:rsidRPr="00C926F7">
        <w:rPr>
          <w:rStyle w:val="ms-rtefontsize-21"/>
          <w:rFonts w:ascii="Arial" w:hAnsi="Arial" w:cs="Arial"/>
          <w:color w:val="auto"/>
          <w:sz w:val="22"/>
          <w:szCs w:val="22"/>
        </w:rPr>
        <w:t>is</w:t>
      </w:r>
      <w:r w:rsidRPr="00C926F7">
        <w:rPr>
          <w:rStyle w:val="ms-rtefontsize-21"/>
          <w:rFonts w:ascii="Arial" w:hAnsi="Arial" w:cs="Arial"/>
          <w:color w:val="auto"/>
          <w:sz w:val="22"/>
          <w:szCs w:val="22"/>
        </w:rPr>
        <w:t xml:space="preserve"> paper. A summary of key issues </w:t>
      </w:r>
      <w:r w:rsidR="00EF493E" w:rsidRPr="00C926F7">
        <w:rPr>
          <w:rStyle w:val="ms-rtefontsize-21"/>
          <w:rFonts w:ascii="Arial" w:hAnsi="Arial" w:cs="Arial"/>
          <w:color w:val="auto"/>
          <w:sz w:val="22"/>
          <w:szCs w:val="22"/>
        </w:rPr>
        <w:t xml:space="preserve">and reference to </w:t>
      </w:r>
      <w:r w:rsidR="00C86A98" w:rsidRPr="00C926F7">
        <w:rPr>
          <w:rStyle w:val="ms-rtefontsize-21"/>
          <w:rFonts w:ascii="Arial" w:hAnsi="Arial" w:cs="Arial"/>
          <w:color w:val="auto"/>
          <w:sz w:val="22"/>
          <w:szCs w:val="22"/>
        </w:rPr>
        <w:t xml:space="preserve">the </w:t>
      </w:r>
      <w:r w:rsidR="00EF493E" w:rsidRPr="00C926F7">
        <w:rPr>
          <w:rStyle w:val="ms-rtefontsize-21"/>
          <w:rFonts w:ascii="Arial" w:hAnsi="Arial" w:cs="Arial"/>
          <w:color w:val="auto"/>
          <w:sz w:val="22"/>
          <w:szCs w:val="22"/>
        </w:rPr>
        <w:t xml:space="preserve">section of the paper </w:t>
      </w:r>
      <w:r w:rsidR="008730EF" w:rsidRPr="00C926F7">
        <w:rPr>
          <w:rStyle w:val="ms-rtefontsize-21"/>
          <w:rFonts w:ascii="Arial" w:hAnsi="Arial" w:cs="Arial"/>
          <w:color w:val="auto"/>
          <w:sz w:val="22"/>
          <w:szCs w:val="22"/>
        </w:rPr>
        <w:t>where issues are discussed</w:t>
      </w:r>
      <w:r w:rsidR="00EF493E" w:rsidRPr="00C926F7">
        <w:rPr>
          <w:rStyle w:val="ms-rtefontsize-21"/>
          <w:rFonts w:ascii="Arial" w:hAnsi="Arial" w:cs="Arial"/>
          <w:color w:val="auto"/>
          <w:sz w:val="22"/>
          <w:szCs w:val="22"/>
        </w:rPr>
        <w:t xml:space="preserve"> </w:t>
      </w:r>
      <w:r w:rsidR="00C926F7">
        <w:rPr>
          <w:rStyle w:val="ms-rtefontsize-21"/>
          <w:rFonts w:ascii="Arial" w:hAnsi="Arial" w:cs="Arial"/>
          <w:color w:val="auto"/>
          <w:sz w:val="22"/>
          <w:szCs w:val="22"/>
        </w:rPr>
        <w:t>are</w:t>
      </w:r>
      <w:r w:rsidRPr="00C926F7">
        <w:rPr>
          <w:rStyle w:val="ms-rtefontsize-21"/>
          <w:rFonts w:ascii="Arial" w:hAnsi="Arial" w:cs="Arial"/>
          <w:color w:val="auto"/>
          <w:sz w:val="22"/>
          <w:szCs w:val="22"/>
        </w:rPr>
        <w:t xml:space="preserve"> </w:t>
      </w:r>
      <w:r w:rsidR="00C86A98" w:rsidRPr="00C926F7">
        <w:rPr>
          <w:rStyle w:val="ms-rtefontsize-21"/>
          <w:rFonts w:ascii="Arial" w:hAnsi="Arial" w:cs="Arial"/>
          <w:color w:val="auto"/>
          <w:sz w:val="22"/>
          <w:szCs w:val="22"/>
        </w:rPr>
        <w:t xml:space="preserve">provided in </w:t>
      </w:r>
      <w:r w:rsidR="00336D48" w:rsidRPr="00C926F7">
        <w:rPr>
          <w:rStyle w:val="ms-rtefontsize-21"/>
          <w:rFonts w:ascii="Arial" w:hAnsi="Arial" w:cs="Arial"/>
          <w:color w:val="auto"/>
          <w:sz w:val="22"/>
          <w:szCs w:val="22"/>
        </w:rPr>
        <w:t>Table 1</w:t>
      </w:r>
      <w:r w:rsidR="00C86A98" w:rsidRPr="00C926F7">
        <w:rPr>
          <w:rStyle w:val="ms-rtefontsize-21"/>
          <w:rFonts w:ascii="Arial" w:hAnsi="Arial" w:cs="Arial"/>
          <w:color w:val="auto"/>
          <w:sz w:val="22"/>
          <w:szCs w:val="22"/>
        </w:rPr>
        <w:t xml:space="preserve"> on the following page.</w:t>
      </w:r>
    </w:p>
    <w:p w:rsidR="00C86A98" w:rsidRDefault="00C86A98" w:rsidP="00322F65">
      <w:pPr>
        <w:pStyle w:val="ms-rteelement-h1b"/>
        <w:ind w:right="176"/>
        <w:rPr>
          <w:rStyle w:val="ms-rtefontsize-21"/>
          <w:rFonts w:ascii="Arial" w:hAnsi="Arial" w:cs="Arial"/>
          <w:color w:val="auto"/>
          <w:sz w:val="22"/>
          <w:szCs w:val="22"/>
        </w:rPr>
      </w:pPr>
      <w:r w:rsidRPr="00C86A98">
        <w:rPr>
          <w:rStyle w:val="ms-rtefontsize-21"/>
          <w:rFonts w:ascii="Arial" w:hAnsi="Arial" w:cs="Arial"/>
          <w:color w:val="auto"/>
          <w:sz w:val="22"/>
          <w:szCs w:val="22"/>
        </w:rPr>
        <w:t>Following consideration of information and comments provided by submitters, FSANZ will prepare a report for the FSANZ Board. This report will include relevant information and evidence, and present options for any further work on Recommendation 17, including whether a proposal will be prepared and/or whether further advice from the Forum will be sought.</w:t>
      </w:r>
    </w:p>
    <w:p w:rsidR="00C86A98" w:rsidRDefault="00C86A98">
      <w:pPr>
        <w:widowControl/>
        <w:rPr>
          <w:rStyle w:val="ms-rtefontsize-21"/>
          <w:rFonts w:cs="Arial"/>
          <w:sz w:val="22"/>
          <w:szCs w:val="22"/>
          <w:lang w:val="en-AU" w:eastAsia="en-AU" w:bidi="ar-SA"/>
        </w:rPr>
      </w:pPr>
      <w:r>
        <w:rPr>
          <w:rStyle w:val="ms-rtefontsize-21"/>
          <w:rFonts w:cs="Arial"/>
          <w:sz w:val="22"/>
          <w:szCs w:val="22"/>
        </w:rPr>
        <w:br w:type="page"/>
      </w:r>
    </w:p>
    <w:p w:rsidR="00C86A98" w:rsidRPr="00074C2A" w:rsidRDefault="00C86A98" w:rsidP="00C86A98">
      <w:pPr>
        <w:pStyle w:val="ms-rteelement-h1b"/>
        <w:ind w:right="176"/>
        <w:rPr>
          <w:rStyle w:val="ms-rtefontsize-21"/>
          <w:rFonts w:ascii="Arial" w:hAnsi="Arial" w:cs="Arial"/>
          <w:b/>
          <w:color w:val="auto"/>
          <w:sz w:val="22"/>
          <w:szCs w:val="22"/>
        </w:rPr>
      </w:pPr>
      <w:r w:rsidRPr="00074C2A">
        <w:rPr>
          <w:rStyle w:val="ms-rtefontsize-21"/>
          <w:rFonts w:ascii="Arial" w:hAnsi="Arial" w:cs="Arial"/>
          <w:b/>
          <w:color w:val="auto"/>
          <w:sz w:val="22"/>
          <w:szCs w:val="22"/>
        </w:rPr>
        <w:lastRenderedPageBreak/>
        <w:t>Table 1: Summary of key issues for Recommendation 17</w:t>
      </w:r>
    </w:p>
    <w:tbl>
      <w:tblPr>
        <w:tblStyle w:val="TableGrid"/>
        <w:tblW w:w="9072" w:type="dxa"/>
        <w:tblLayout w:type="fixed"/>
        <w:tblLook w:val="04A0" w:firstRow="1" w:lastRow="0" w:firstColumn="1" w:lastColumn="0" w:noHBand="0" w:noVBand="1"/>
      </w:tblPr>
      <w:tblGrid>
        <w:gridCol w:w="2461"/>
        <w:gridCol w:w="4843"/>
        <w:gridCol w:w="1768"/>
      </w:tblGrid>
      <w:tr w:rsidR="000C0C44" w:rsidRPr="00C926F7" w:rsidTr="00074C2A">
        <w:tc>
          <w:tcPr>
            <w:tcW w:w="2518" w:type="dxa"/>
            <w:shd w:val="clear" w:color="auto" w:fill="D6E3BC" w:themeFill="accent3" w:themeFillTint="66"/>
          </w:tcPr>
          <w:p w:rsidR="000C0C44" w:rsidRPr="00074C2A" w:rsidRDefault="000C0C44" w:rsidP="00F57EAF">
            <w:pPr>
              <w:pStyle w:val="ms-rteelement-h1b"/>
              <w:ind w:right="176"/>
              <w:rPr>
                <w:rStyle w:val="ms-rtefontsize-21"/>
                <w:rFonts w:ascii="Arial" w:hAnsi="Arial" w:cs="Arial"/>
                <w:b/>
                <w:color w:val="auto"/>
              </w:rPr>
            </w:pPr>
            <w:r w:rsidRPr="00074C2A">
              <w:rPr>
                <w:rStyle w:val="ms-rtefontsize-21"/>
                <w:rFonts w:ascii="Arial" w:hAnsi="Arial" w:cs="Arial"/>
                <w:b/>
                <w:color w:val="auto"/>
              </w:rPr>
              <w:t>Issue related to Rec</w:t>
            </w:r>
            <w:r w:rsidR="00F57EAF" w:rsidRPr="00074C2A">
              <w:rPr>
                <w:rStyle w:val="ms-rtefontsize-21"/>
                <w:rFonts w:ascii="Arial" w:hAnsi="Arial" w:cs="Arial"/>
                <w:b/>
                <w:color w:val="auto"/>
              </w:rPr>
              <w:t>.</w:t>
            </w:r>
            <w:r w:rsidRPr="00074C2A">
              <w:rPr>
                <w:rStyle w:val="ms-rtefontsize-21"/>
                <w:rFonts w:ascii="Arial" w:hAnsi="Arial" w:cs="Arial"/>
                <w:b/>
                <w:color w:val="auto"/>
              </w:rPr>
              <w:t xml:space="preserve"> 17</w:t>
            </w:r>
          </w:p>
        </w:tc>
        <w:tc>
          <w:tcPr>
            <w:tcW w:w="4961" w:type="dxa"/>
            <w:shd w:val="clear" w:color="auto" w:fill="D6E3BC" w:themeFill="accent3" w:themeFillTint="66"/>
          </w:tcPr>
          <w:p w:rsidR="000C0C44" w:rsidRPr="00074C2A" w:rsidRDefault="00F57EAF" w:rsidP="00322F65">
            <w:pPr>
              <w:pStyle w:val="ms-rteelement-h1b"/>
              <w:ind w:right="176"/>
              <w:rPr>
                <w:rStyle w:val="ms-rtefontsize-21"/>
                <w:rFonts w:ascii="Arial" w:hAnsi="Arial" w:cs="Arial"/>
                <w:b/>
                <w:color w:val="auto"/>
              </w:rPr>
            </w:pPr>
            <w:r w:rsidRPr="00074C2A">
              <w:rPr>
                <w:rStyle w:val="ms-rtefontsize-21"/>
                <w:rFonts w:ascii="Arial" w:hAnsi="Arial" w:cs="Arial"/>
                <w:b/>
                <w:color w:val="auto"/>
              </w:rPr>
              <w:t>Key points</w:t>
            </w:r>
          </w:p>
        </w:tc>
        <w:tc>
          <w:tcPr>
            <w:tcW w:w="1807" w:type="dxa"/>
            <w:shd w:val="clear" w:color="auto" w:fill="D6E3BC" w:themeFill="accent3" w:themeFillTint="66"/>
          </w:tcPr>
          <w:p w:rsidR="000C0C44" w:rsidRPr="00074C2A" w:rsidRDefault="000C0C44" w:rsidP="00EF493E">
            <w:pPr>
              <w:pStyle w:val="ms-rteelement-h1b"/>
              <w:ind w:right="176"/>
              <w:rPr>
                <w:rStyle w:val="ms-rtefontsize-21"/>
                <w:rFonts w:ascii="Arial" w:hAnsi="Arial" w:cs="Arial"/>
                <w:b/>
                <w:color w:val="auto"/>
              </w:rPr>
            </w:pPr>
            <w:r w:rsidRPr="00074C2A">
              <w:rPr>
                <w:rStyle w:val="ms-rtefontsize-21"/>
                <w:rFonts w:ascii="Arial" w:hAnsi="Arial" w:cs="Arial"/>
                <w:b/>
                <w:color w:val="auto"/>
              </w:rPr>
              <w:t>Section in consultation paper</w:t>
            </w:r>
          </w:p>
        </w:tc>
      </w:tr>
      <w:tr w:rsidR="0068705B" w:rsidRPr="00C926F7" w:rsidTr="00074C2A">
        <w:trPr>
          <w:trHeight w:val="1685"/>
        </w:trPr>
        <w:tc>
          <w:tcPr>
            <w:tcW w:w="2518" w:type="dxa"/>
          </w:tcPr>
          <w:p w:rsidR="0068705B" w:rsidRPr="00C926F7" w:rsidRDefault="0068705B" w:rsidP="00322F65">
            <w:pPr>
              <w:pStyle w:val="ms-rteelement-h1b"/>
              <w:ind w:right="176"/>
              <w:rPr>
                <w:rStyle w:val="ms-rtefontsize-21"/>
                <w:rFonts w:ascii="Arial" w:hAnsi="Arial" w:cs="Arial"/>
                <w:color w:val="auto"/>
              </w:rPr>
            </w:pPr>
            <w:r w:rsidRPr="00C926F7">
              <w:rPr>
                <w:rStyle w:val="ms-rtefontsize-21"/>
                <w:rFonts w:ascii="Arial" w:hAnsi="Arial" w:cs="Arial"/>
                <w:color w:val="auto"/>
              </w:rPr>
              <w:t>Use of per serving information</w:t>
            </w:r>
          </w:p>
        </w:tc>
        <w:tc>
          <w:tcPr>
            <w:tcW w:w="4961" w:type="dxa"/>
          </w:tcPr>
          <w:p w:rsidR="0068705B" w:rsidRPr="00C926F7" w:rsidRDefault="00C926F7" w:rsidP="0068705B">
            <w:pPr>
              <w:pStyle w:val="ms-rteelement-h1b"/>
              <w:numPr>
                <w:ilvl w:val="0"/>
                <w:numId w:val="21"/>
              </w:numPr>
              <w:ind w:left="176" w:right="176" w:hanging="284"/>
              <w:rPr>
                <w:rStyle w:val="ms-rtefontsize-21"/>
                <w:rFonts w:ascii="Arial" w:hAnsi="Arial" w:cs="Arial"/>
                <w:color w:val="auto"/>
              </w:rPr>
            </w:pPr>
            <w:r>
              <w:rPr>
                <w:rStyle w:val="ms-rtefontsize-21"/>
                <w:rFonts w:ascii="Arial" w:hAnsi="Arial" w:cs="Arial"/>
                <w:color w:val="auto"/>
              </w:rPr>
              <w:t>There are</w:t>
            </w:r>
            <w:r w:rsidR="0068705B" w:rsidRPr="00C926F7">
              <w:rPr>
                <w:rStyle w:val="ms-rtefontsize-21"/>
                <w:rFonts w:ascii="Arial" w:hAnsi="Arial" w:cs="Arial"/>
                <w:color w:val="auto"/>
              </w:rPr>
              <w:t xml:space="preserve"> a variety of uses for per serving information in the NIP including comparisons between single serv</w:t>
            </w:r>
            <w:r>
              <w:rPr>
                <w:rStyle w:val="ms-rtefontsize-21"/>
                <w:rFonts w:ascii="Arial" w:hAnsi="Arial" w:cs="Arial"/>
                <w:color w:val="auto"/>
              </w:rPr>
              <w:t>e portion packages, enforcement and</w:t>
            </w:r>
            <w:r w:rsidR="0068705B" w:rsidRPr="00C926F7">
              <w:rPr>
                <w:rStyle w:val="ms-rtefontsize-21"/>
                <w:rFonts w:ascii="Arial" w:hAnsi="Arial" w:cs="Arial"/>
                <w:color w:val="auto"/>
              </w:rPr>
              <w:t xml:space="preserve"> voluntary labelling schemes. </w:t>
            </w:r>
          </w:p>
          <w:p w:rsidR="00C86A98" w:rsidRPr="00C926F7" w:rsidRDefault="00691CE3" w:rsidP="00C86A98">
            <w:pPr>
              <w:pStyle w:val="ms-rteelement-h1b"/>
              <w:numPr>
                <w:ilvl w:val="0"/>
                <w:numId w:val="21"/>
              </w:numPr>
              <w:spacing w:before="0" w:beforeAutospacing="0" w:after="0" w:afterAutospacing="0"/>
              <w:ind w:left="176" w:right="176" w:hanging="284"/>
              <w:rPr>
                <w:rStyle w:val="ms-rtefontsize-21"/>
                <w:rFonts w:ascii="Arial" w:hAnsi="Arial" w:cs="Arial"/>
                <w:color w:val="auto"/>
              </w:rPr>
            </w:pPr>
            <w:r w:rsidRPr="00C926F7">
              <w:rPr>
                <w:rStyle w:val="ms-rtefontsize-21"/>
                <w:rFonts w:ascii="Arial" w:hAnsi="Arial" w:cs="Arial"/>
                <w:color w:val="auto"/>
              </w:rPr>
              <w:t xml:space="preserve">There is limited </w:t>
            </w:r>
            <w:r w:rsidR="00C926F7">
              <w:rPr>
                <w:rStyle w:val="ms-rtefontsize-21"/>
                <w:rFonts w:ascii="Arial" w:hAnsi="Arial" w:cs="Arial"/>
                <w:color w:val="auto"/>
              </w:rPr>
              <w:t>i</w:t>
            </w:r>
            <w:r w:rsidR="0068705B" w:rsidRPr="00C926F7">
              <w:rPr>
                <w:rStyle w:val="ms-rtefontsize-21"/>
                <w:rFonts w:ascii="Arial" w:hAnsi="Arial" w:cs="Arial"/>
                <w:color w:val="auto"/>
              </w:rPr>
              <w:t>nformation on how consumers use per serving information in Aust</w:t>
            </w:r>
            <w:r w:rsidRPr="00C926F7">
              <w:rPr>
                <w:rStyle w:val="ms-rtefontsize-21"/>
                <w:rFonts w:ascii="Arial" w:hAnsi="Arial" w:cs="Arial"/>
                <w:color w:val="auto"/>
              </w:rPr>
              <w:t>ralia and New Zealand</w:t>
            </w:r>
            <w:r w:rsidR="0068705B" w:rsidRPr="00C926F7">
              <w:rPr>
                <w:rStyle w:val="ms-rtefontsize-21"/>
                <w:rFonts w:ascii="Arial" w:hAnsi="Arial" w:cs="Arial"/>
                <w:color w:val="auto"/>
              </w:rPr>
              <w:t>.</w:t>
            </w:r>
          </w:p>
        </w:tc>
        <w:tc>
          <w:tcPr>
            <w:tcW w:w="1807" w:type="dxa"/>
          </w:tcPr>
          <w:p w:rsidR="0068705B" w:rsidRPr="00C926F7" w:rsidRDefault="0068705B" w:rsidP="00322F65">
            <w:pPr>
              <w:pStyle w:val="ms-rteelement-h1b"/>
              <w:ind w:right="176"/>
              <w:rPr>
                <w:rStyle w:val="ms-rtefontsize-21"/>
                <w:rFonts w:ascii="Arial" w:hAnsi="Arial" w:cs="Arial"/>
                <w:color w:val="auto"/>
              </w:rPr>
            </w:pPr>
            <w:r w:rsidRPr="00C926F7">
              <w:rPr>
                <w:rStyle w:val="ms-rtefontsize-21"/>
                <w:rFonts w:ascii="Arial" w:hAnsi="Arial" w:cs="Arial"/>
                <w:color w:val="auto"/>
              </w:rPr>
              <w:t>Section 3</w:t>
            </w:r>
          </w:p>
        </w:tc>
      </w:tr>
      <w:tr w:rsidR="000C0C44" w:rsidRPr="00C926F7" w:rsidTr="00074C2A">
        <w:tc>
          <w:tcPr>
            <w:tcW w:w="2518" w:type="dxa"/>
          </w:tcPr>
          <w:p w:rsidR="000C0C44" w:rsidRPr="00C926F7" w:rsidRDefault="000C0C44" w:rsidP="00074C2A">
            <w:pPr>
              <w:pStyle w:val="ms-rteelement-h1b"/>
              <w:ind w:right="176"/>
              <w:rPr>
                <w:rStyle w:val="ms-rtefontsize-21"/>
                <w:rFonts w:ascii="Arial" w:hAnsi="Arial" w:cs="Arial"/>
                <w:color w:val="auto"/>
              </w:rPr>
            </w:pPr>
            <w:r w:rsidRPr="00C926F7">
              <w:rPr>
                <w:rStyle w:val="ms-rtefontsize-21"/>
                <w:rFonts w:ascii="Arial" w:hAnsi="Arial" w:cs="Arial"/>
                <w:color w:val="auto"/>
              </w:rPr>
              <w:t xml:space="preserve">Current requirements in the </w:t>
            </w:r>
            <w:r w:rsidR="0068705B" w:rsidRPr="00C926F7">
              <w:rPr>
                <w:rStyle w:val="ms-rtefontsize-21"/>
                <w:rFonts w:ascii="Arial" w:hAnsi="Arial" w:cs="Arial"/>
                <w:i/>
                <w:color w:val="auto"/>
              </w:rPr>
              <w:t xml:space="preserve">Australia New Zealand </w:t>
            </w:r>
            <w:r w:rsidRPr="00C926F7">
              <w:rPr>
                <w:rStyle w:val="ms-rtefontsize-21"/>
                <w:rFonts w:ascii="Arial" w:hAnsi="Arial" w:cs="Arial"/>
                <w:i/>
                <w:color w:val="auto"/>
              </w:rPr>
              <w:t>Food Standards Code</w:t>
            </w:r>
            <w:r w:rsidR="00D0184C">
              <w:rPr>
                <w:rStyle w:val="ms-rtefontsize-21"/>
                <w:rFonts w:ascii="Arial" w:hAnsi="Arial" w:cs="Arial"/>
                <w:i/>
                <w:color w:val="auto"/>
              </w:rPr>
              <w:t xml:space="preserve"> </w:t>
            </w:r>
          </w:p>
        </w:tc>
        <w:tc>
          <w:tcPr>
            <w:tcW w:w="4961" w:type="dxa"/>
          </w:tcPr>
          <w:p w:rsidR="00691CE3" w:rsidRPr="00C926F7" w:rsidRDefault="007C6B93" w:rsidP="00691CE3">
            <w:pPr>
              <w:pStyle w:val="ms-rteelement-h1b"/>
              <w:numPr>
                <w:ilvl w:val="0"/>
                <w:numId w:val="21"/>
              </w:numPr>
              <w:ind w:left="176" w:right="176" w:hanging="284"/>
              <w:rPr>
                <w:rStyle w:val="ms-rtefontsize-21"/>
                <w:rFonts w:ascii="Arial" w:hAnsi="Arial" w:cs="Arial"/>
                <w:color w:val="auto"/>
              </w:rPr>
            </w:pPr>
            <w:r w:rsidRPr="00C926F7">
              <w:rPr>
                <w:rStyle w:val="ms-rtefontsize-21"/>
                <w:rFonts w:ascii="Arial" w:hAnsi="Arial" w:cs="Arial"/>
                <w:color w:val="auto"/>
              </w:rPr>
              <w:t>Currently f</w:t>
            </w:r>
            <w:r w:rsidR="0068705B" w:rsidRPr="00C926F7">
              <w:rPr>
                <w:rStyle w:val="ms-rtefontsize-21"/>
                <w:rFonts w:ascii="Arial" w:hAnsi="Arial" w:cs="Arial"/>
                <w:color w:val="auto"/>
              </w:rPr>
              <w:t>ood businesses</w:t>
            </w:r>
            <w:r w:rsidR="00617F0E" w:rsidRPr="00C926F7">
              <w:rPr>
                <w:rStyle w:val="ms-rtefontsize-21"/>
                <w:rFonts w:ascii="Arial" w:hAnsi="Arial" w:cs="Arial"/>
                <w:color w:val="auto"/>
              </w:rPr>
              <w:t xml:space="preserve"> </w:t>
            </w:r>
            <w:r w:rsidRPr="00C926F7">
              <w:rPr>
                <w:rStyle w:val="ms-rtefontsize-21"/>
                <w:rFonts w:ascii="Arial" w:hAnsi="Arial" w:cs="Arial"/>
                <w:color w:val="auto"/>
              </w:rPr>
              <w:t xml:space="preserve">are required to </w:t>
            </w:r>
            <w:r w:rsidR="00617F0E" w:rsidRPr="00C926F7">
              <w:rPr>
                <w:rStyle w:val="ms-rtefontsize-21"/>
                <w:rFonts w:ascii="Arial" w:hAnsi="Arial" w:cs="Arial"/>
                <w:color w:val="auto"/>
              </w:rPr>
              <w:t>includ</w:t>
            </w:r>
            <w:r w:rsidRPr="00C926F7">
              <w:rPr>
                <w:rStyle w:val="ms-rtefontsize-21"/>
                <w:rFonts w:ascii="Arial" w:hAnsi="Arial" w:cs="Arial"/>
                <w:color w:val="auto"/>
              </w:rPr>
              <w:t>e</w:t>
            </w:r>
            <w:r w:rsidR="00617F0E" w:rsidRPr="00C926F7">
              <w:rPr>
                <w:rStyle w:val="ms-rtefontsize-21"/>
                <w:rFonts w:ascii="Arial" w:hAnsi="Arial" w:cs="Arial"/>
                <w:color w:val="auto"/>
              </w:rPr>
              <w:t xml:space="preserve"> per serving information in the NIP</w:t>
            </w:r>
            <w:r w:rsidR="007211B6" w:rsidRPr="00C926F7">
              <w:rPr>
                <w:rStyle w:val="ms-rtefontsize-21"/>
                <w:rFonts w:ascii="Arial" w:hAnsi="Arial" w:cs="Arial"/>
                <w:color w:val="auto"/>
              </w:rPr>
              <w:t>. The R</w:t>
            </w:r>
            <w:r w:rsidRPr="00C926F7">
              <w:rPr>
                <w:rStyle w:val="ms-rtefontsize-21"/>
                <w:rFonts w:ascii="Arial" w:hAnsi="Arial" w:cs="Arial"/>
                <w:color w:val="auto"/>
              </w:rPr>
              <w:t>ecommendation prop</w:t>
            </w:r>
            <w:r w:rsidR="005E6EED" w:rsidRPr="00C926F7">
              <w:rPr>
                <w:rStyle w:val="ms-rtefontsize-21"/>
                <w:rFonts w:ascii="Arial" w:hAnsi="Arial" w:cs="Arial"/>
                <w:color w:val="auto"/>
              </w:rPr>
              <w:t>oses to remove this requirement</w:t>
            </w:r>
            <w:r w:rsidR="00617F0E" w:rsidRPr="00C926F7">
              <w:rPr>
                <w:rStyle w:val="ms-rtefontsize-21"/>
                <w:rFonts w:ascii="Arial" w:hAnsi="Arial" w:cs="Arial"/>
                <w:color w:val="auto"/>
              </w:rPr>
              <w:t xml:space="preserve"> unless a daily intake claim is made</w:t>
            </w:r>
            <w:r w:rsidR="0068705B" w:rsidRPr="00C926F7">
              <w:rPr>
                <w:rStyle w:val="ms-rtefontsize-21"/>
                <w:rFonts w:ascii="Arial" w:hAnsi="Arial" w:cs="Arial"/>
                <w:color w:val="auto"/>
              </w:rPr>
              <w:t xml:space="preserve"> (that is percentage daily intake for energy and mandated nutrients, </w:t>
            </w:r>
            <w:r w:rsidR="00C926F7">
              <w:rPr>
                <w:rStyle w:val="ms-rtefontsize-21"/>
                <w:rFonts w:ascii="Arial" w:hAnsi="Arial" w:cs="Arial"/>
                <w:color w:val="auto"/>
              </w:rPr>
              <w:t>and percentage recommended dietary</w:t>
            </w:r>
            <w:r w:rsidR="0068705B" w:rsidRPr="00C926F7">
              <w:rPr>
                <w:rStyle w:val="ms-rtefontsize-21"/>
                <w:rFonts w:ascii="Arial" w:hAnsi="Arial" w:cs="Arial"/>
                <w:color w:val="auto"/>
              </w:rPr>
              <w:t xml:space="preserve"> intake for vitamins and minerals)</w:t>
            </w:r>
            <w:r w:rsidR="00691CE3" w:rsidRPr="00C926F7">
              <w:rPr>
                <w:rStyle w:val="ms-rtefontsize-21"/>
                <w:rFonts w:ascii="Arial" w:hAnsi="Arial" w:cs="Arial"/>
                <w:color w:val="auto"/>
              </w:rPr>
              <w:t>.</w:t>
            </w:r>
          </w:p>
          <w:p w:rsidR="00617F0E" w:rsidRPr="00C926F7" w:rsidRDefault="00E15F14" w:rsidP="00C86A98">
            <w:pPr>
              <w:pStyle w:val="ms-rteelement-h1b"/>
              <w:numPr>
                <w:ilvl w:val="0"/>
                <w:numId w:val="21"/>
              </w:numPr>
              <w:spacing w:before="0" w:beforeAutospacing="0" w:after="0" w:afterAutospacing="0"/>
              <w:ind w:left="176" w:right="176" w:hanging="284"/>
              <w:rPr>
                <w:rStyle w:val="ms-rtefontsize-21"/>
                <w:rFonts w:ascii="Arial" w:hAnsi="Arial" w:cs="Arial"/>
                <w:color w:val="auto"/>
              </w:rPr>
            </w:pPr>
            <w:r w:rsidRPr="00C926F7">
              <w:rPr>
                <w:rStyle w:val="ms-rtefontsize-21"/>
                <w:rFonts w:ascii="Arial" w:hAnsi="Arial" w:cs="Arial"/>
                <w:color w:val="auto"/>
              </w:rPr>
              <w:t>Per serving declarations in the NIP are pertinent to a</w:t>
            </w:r>
            <w:r w:rsidR="0068705B" w:rsidRPr="00C926F7">
              <w:rPr>
                <w:rStyle w:val="ms-rtefontsize-21"/>
                <w:rFonts w:ascii="Arial" w:hAnsi="Arial" w:cs="Arial"/>
                <w:color w:val="auto"/>
              </w:rPr>
              <w:t xml:space="preserve"> number of provisions in the Code. For example: </w:t>
            </w:r>
            <w:r w:rsidRPr="00C926F7">
              <w:rPr>
                <w:rStyle w:val="ms-rtefontsize-21"/>
                <w:rFonts w:ascii="Arial" w:hAnsi="Arial" w:cs="Arial"/>
                <w:color w:val="auto"/>
              </w:rPr>
              <w:t>foods intended to be prepared or consum</w:t>
            </w:r>
            <w:r w:rsidR="00AD0548">
              <w:rPr>
                <w:rStyle w:val="ms-rtefontsize-21"/>
                <w:rFonts w:ascii="Arial" w:hAnsi="Arial" w:cs="Arial"/>
                <w:color w:val="auto"/>
              </w:rPr>
              <w:t>ed with at least one other food,</w:t>
            </w:r>
            <w:r w:rsidRPr="00C926F7">
              <w:rPr>
                <w:rStyle w:val="ms-rtefontsize-21"/>
                <w:rFonts w:ascii="Arial" w:hAnsi="Arial" w:cs="Arial"/>
                <w:color w:val="auto"/>
              </w:rPr>
              <w:t xml:space="preserve"> foods carrying nutrition content or health claims, formulated caffeinated beverages, </w:t>
            </w:r>
            <w:r w:rsidR="00AD0548">
              <w:rPr>
                <w:rStyle w:val="ms-rtefontsize-21"/>
                <w:rFonts w:ascii="Arial" w:hAnsi="Arial" w:cs="Arial"/>
                <w:color w:val="auto"/>
              </w:rPr>
              <w:t xml:space="preserve">and </w:t>
            </w:r>
            <w:r w:rsidRPr="00C926F7">
              <w:rPr>
                <w:rStyle w:val="ms-rtefontsize-21"/>
                <w:rFonts w:ascii="Arial" w:hAnsi="Arial" w:cs="Arial"/>
                <w:color w:val="auto"/>
              </w:rPr>
              <w:t>small packages</w:t>
            </w:r>
            <w:r w:rsidR="00C86A98" w:rsidRPr="00C926F7">
              <w:rPr>
                <w:rStyle w:val="ms-rtefontsize-21"/>
                <w:rFonts w:ascii="Arial" w:hAnsi="Arial" w:cs="Arial"/>
                <w:color w:val="auto"/>
              </w:rPr>
              <w:t>.</w:t>
            </w:r>
          </w:p>
        </w:tc>
        <w:tc>
          <w:tcPr>
            <w:tcW w:w="1807" w:type="dxa"/>
          </w:tcPr>
          <w:p w:rsidR="000C0C44" w:rsidRPr="00C926F7" w:rsidRDefault="000C0C44" w:rsidP="00322F65">
            <w:pPr>
              <w:pStyle w:val="ms-rteelement-h1b"/>
              <w:ind w:right="176"/>
              <w:rPr>
                <w:rStyle w:val="ms-rtefontsize-21"/>
                <w:rFonts w:ascii="Arial" w:hAnsi="Arial" w:cs="Arial"/>
                <w:color w:val="auto"/>
              </w:rPr>
            </w:pPr>
            <w:r w:rsidRPr="00C926F7">
              <w:rPr>
                <w:rStyle w:val="ms-rtefontsize-21"/>
                <w:rFonts w:ascii="Arial" w:hAnsi="Arial" w:cs="Arial"/>
                <w:color w:val="auto"/>
              </w:rPr>
              <w:t>Section 4</w:t>
            </w:r>
          </w:p>
        </w:tc>
      </w:tr>
      <w:tr w:rsidR="00F57EAF" w:rsidRPr="00C926F7" w:rsidTr="00074C2A">
        <w:tc>
          <w:tcPr>
            <w:tcW w:w="2518" w:type="dxa"/>
          </w:tcPr>
          <w:p w:rsidR="00F57EAF" w:rsidRPr="00C926F7" w:rsidRDefault="00F57EAF" w:rsidP="00322F65">
            <w:pPr>
              <w:pStyle w:val="ms-rteelement-h1b"/>
              <w:ind w:right="176"/>
              <w:rPr>
                <w:rStyle w:val="ms-rtefontsize-21"/>
                <w:rFonts w:ascii="Arial" w:hAnsi="Arial" w:cs="Arial"/>
                <w:color w:val="auto"/>
              </w:rPr>
            </w:pPr>
            <w:r w:rsidRPr="00C926F7">
              <w:rPr>
                <w:rStyle w:val="ms-rtefontsize-21"/>
                <w:rFonts w:ascii="Arial" w:hAnsi="Arial" w:cs="Arial"/>
                <w:color w:val="auto"/>
              </w:rPr>
              <w:t>International requirements</w:t>
            </w:r>
          </w:p>
        </w:tc>
        <w:tc>
          <w:tcPr>
            <w:tcW w:w="4961" w:type="dxa"/>
          </w:tcPr>
          <w:p w:rsidR="00F57EAF" w:rsidRPr="00C926F7" w:rsidRDefault="00E15F14" w:rsidP="00E15F14">
            <w:pPr>
              <w:pStyle w:val="ms-rteelement-h1b"/>
              <w:numPr>
                <w:ilvl w:val="0"/>
                <w:numId w:val="22"/>
              </w:numPr>
              <w:ind w:left="176" w:right="176" w:hanging="284"/>
              <w:rPr>
                <w:rStyle w:val="ms-rtefontsize-21"/>
                <w:rFonts w:ascii="Arial" w:hAnsi="Arial" w:cs="Arial"/>
                <w:color w:val="auto"/>
              </w:rPr>
            </w:pPr>
            <w:r w:rsidRPr="00C926F7">
              <w:rPr>
                <w:rStyle w:val="ms-rtefontsize-21"/>
                <w:rFonts w:ascii="Arial" w:hAnsi="Arial" w:cs="Arial"/>
                <w:color w:val="auto"/>
              </w:rPr>
              <w:t>In the United States of America and Canada, energy and nutrients in the nutrition facts table/panel are required to be listed per serving</w:t>
            </w:r>
            <w:r w:rsidR="00D0184C">
              <w:rPr>
                <w:rStyle w:val="ms-rtefontsize-21"/>
                <w:rFonts w:ascii="Arial" w:hAnsi="Arial" w:cs="Arial"/>
                <w:color w:val="auto"/>
              </w:rPr>
              <w:t>.</w:t>
            </w:r>
          </w:p>
          <w:p w:rsidR="00E15F14" w:rsidRPr="00C926F7" w:rsidRDefault="00E15F14" w:rsidP="00C86A98">
            <w:pPr>
              <w:pStyle w:val="ms-rteelement-h1b"/>
              <w:numPr>
                <w:ilvl w:val="0"/>
                <w:numId w:val="22"/>
              </w:numPr>
              <w:spacing w:before="0" w:beforeAutospacing="0" w:after="0" w:afterAutospacing="0"/>
              <w:ind w:left="176" w:right="176" w:hanging="284"/>
              <w:rPr>
                <w:rStyle w:val="ms-rtefontsize-21"/>
                <w:rFonts w:ascii="Arial" w:hAnsi="Arial" w:cs="Arial"/>
                <w:color w:val="auto"/>
              </w:rPr>
            </w:pPr>
            <w:r w:rsidRPr="00C926F7">
              <w:rPr>
                <w:rStyle w:val="ms-rtefontsize-21"/>
                <w:rFonts w:ascii="Arial" w:hAnsi="Arial" w:cs="Arial"/>
                <w:color w:val="auto"/>
              </w:rPr>
              <w:t>In the European Union, energy and nutrients in the nutrition table are required to be declared per 100 g/100 mL and may also be expressed per serving.</w:t>
            </w:r>
          </w:p>
        </w:tc>
        <w:tc>
          <w:tcPr>
            <w:tcW w:w="1807" w:type="dxa"/>
          </w:tcPr>
          <w:p w:rsidR="00F57EAF" w:rsidRPr="00C926F7" w:rsidRDefault="00F57EAF" w:rsidP="00322F65">
            <w:pPr>
              <w:pStyle w:val="ms-rteelement-h1b"/>
              <w:ind w:right="176"/>
              <w:rPr>
                <w:rStyle w:val="ms-rtefontsize-21"/>
                <w:rFonts w:ascii="Arial" w:hAnsi="Arial" w:cs="Arial"/>
                <w:color w:val="auto"/>
              </w:rPr>
            </w:pPr>
            <w:r w:rsidRPr="00C926F7">
              <w:rPr>
                <w:rStyle w:val="ms-rtefontsize-21"/>
                <w:rFonts w:ascii="Arial" w:hAnsi="Arial" w:cs="Arial"/>
                <w:color w:val="auto"/>
              </w:rPr>
              <w:t>Section 5</w:t>
            </w:r>
          </w:p>
        </w:tc>
      </w:tr>
      <w:tr w:rsidR="000C0C44" w:rsidRPr="00C926F7" w:rsidTr="00074C2A">
        <w:tc>
          <w:tcPr>
            <w:tcW w:w="2518" w:type="dxa"/>
          </w:tcPr>
          <w:p w:rsidR="000C0C44" w:rsidRPr="00C926F7" w:rsidRDefault="000C0C44" w:rsidP="00322F65">
            <w:pPr>
              <w:pStyle w:val="ms-rteelement-h1b"/>
              <w:ind w:right="176"/>
              <w:rPr>
                <w:rStyle w:val="ms-rtefontsize-21"/>
                <w:rFonts w:ascii="Arial" w:hAnsi="Arial" w:cs="Arial"/>
                <w:color w:val="auto"/>
              </w:rPr>
            </w:pPr>
            <w:r w:rsidRPr="00C926F7">
              <w:rPr>
                <w:rStyle w:val="ms-rtefontsize-21"/>
                <w:rFonts w:ascii="Arial" w:hAnsi="Arial" w:cs="Arial"/>
                <w:color w:val="auto"/>
              </w:rPr>
              <w:t>Consumer understanding</w:t>
            </w:r>
          </w:p>
        </w:tc>
        <w:tc>
          <w:tcPr>
            <w:tcW w:w="4961" w:type="dxa"/>
          </w:tcPr>
          <w:p w:rsidR="000C0C44" w:rsidRPr="00C926F7" w:rsidRDefault="00E15F14" w:rsidP="00C86A98">
            <w:pPr>
              <w:pStyle w:val="ms-rteelement-h1b"/>
              <w:numPr>
                <w:ilvl w:val="0"/>
                <w:numId w:val="23"/>
              </w:numPr>
              <w:spacing w:before="0" w:beforeAutospacing="0" w:after="0" w:afterAutospacing="0"/>
              <w:ind w:left="176" w:right="176" w:hanging="284"/>
              <w:rPr>
                <w:rStyle w:val="ms-rtefontsize-21"/>
                <w:rFonts w:ascii="Arial" w:hAnsi="Arial" w:cs="Arial"/>
                <w:color w:val="auto"/>
              </w:rPr>
            </w:pPr>
            <w:r w:rsidRPr="00C926F7">
              <w:rPr>
                <w:rStyle w:val="ms-rtefontsize-21"/>
                <w:rFonts w:ascii="Arial" w:hAnsi="Arial" w:cs="Arial"/>
                <w:color w:val="auto"/>
              </w:rPr>
              <w:t xml:space="preserve">There is some evidence that per serving information in the NIP could </w:t>
            </w:r>
            <w:r w:rsidR="00B602AC" w:rsidRPr="00C926F7">
              <w:rPr>
                <w:rStyle w:val="ms-rtefontsize-21"/>
                <w:rFonts w:ascii="Arial" w:hAnsi="Arial" w:cs="Arial"/>
                <w:color w:val="auto"/>
              </w:rPr>
              <w:t xml:space="preserve">be confusing for some </w:t>
            </w:r>
            <w:proofErr w:type="gramStart"/>
            <w:r w:rsidR="00B602AC" w:rsidRPr="00C926F7">
              <w:rPr>
                <w:rStyle w:val="ms-rtefontsize-21"/>
                <w:rFonts w:ascii="Arial" w:hAnsi="Arial" w:cs="Arial"/>
                <w:color w:val="auto"/>
              </w:rPr>
              <w:t>consumers</w:t>
            </w:r>
            <w:r w:rsidR="00D0184C">
              <w:rPr>
                <w:rStyle w:val="ms-rtefontsize-21"/>
                <w:rFonts w:ascii="Arial" w:hAnsi="Arial" w:cs="Arial"/>
                <w:color w:val="auto"/>
              </w:rPr>
              <w:t>,</w:t>
            </w:r>
            <w:proofErr w:type="gramEnd"/>
            <w:r w:rsidR="00D0184C">
              <w:rPr>
                <w:rStyle w:val="ms-rtefontsize-21"/>
                <w:rFonts w:ascii="Arial" w:hAnsi="Arial" w:cs="Arial"/>
                <w:color w:val="auto"/>
              </w:rPr>
              <w:t xml:space="preserve"> </w:t>
            </w:r>
            <w:r w:rsidRPr="00C926F7">
              <w:rPr>
                <w:rStyle w:val="ms-rtefontsize-21"/>
                <w:rFonts w:ascii="Arial" w:hAnsi="Arial" w:cs="Arial"/>
                <w:color w:val="auto"/>
              </w:rPr>
              <w:t>however, there are limited studies in the Australia and New Zealand context.</w:t>
            </w:r>
          </w:p>
        </w:tc>
        <w:tc>
          <w:tcPr>
            <w:tcW w:w="1807" w:type="dxa"/>
          </w:tcPr>
          <w:p w:rsidR="000C0C44" w:rsidRPr="00C926F7" w:rsidRDefault="00F57EAF" w:rsidP="00322F65">
            <w:pPr>
              <w:pStyle w:val="ms-rteelement-h1b"/>
              <w:ind w:right="176"/>
              <w:rPr>
                <w:rStyle w:val="ms-rtefontsize-21"/>
                <w:rFonts w:ascii="Arial" w:hAnsi="Arial" w:cs="Arial"/>
                <w:color w:val="auto"/>
              </w:rPr>
            </w:pPr>
            <w:r w:rsidRPr="00C926F7">
              <w:rPr>
                <w:rStyle w:val="ms-rtefontsize-21"/>
                <w:rFonts w:ascii="Arial" w:hAnsi="Arial" w:cs="Arial"/>
                <w:color w:val="auto"/>
              </w:rPr>
              <w:t>Section 7</w:t>
            </w:r>
          </w:p>
        </w:tc>
      </w:tr>
      <w:tr w:rsidR="000C0C44" w:rsidRPr="00C926F7" w:rsidTr="00074C2A">
        <w:tc>
          <w:tcPr>
            <w:tcW w:w="2518" w:type="dxa"/>
          </w:tcPr>
          <w:p w:rsidR="000C0C44" w:rsidRPr="00C926F7" w:rsidRDefault="000C0C44" w:rsidP="000C0C44">
            <w:pPr>
              <w:pStyle w:val="ms-rteelement-h1b"/>
              <w:ind w:right="176"/>
              <w:rPr>
                <w:rStyle w:val="ms-rtefontsize-21"/>
                <w:rFonts w:ascii="Arial" w:hAnsi="Arial" w:cs="Arial"/>
                <w:color w:val="auto"/>
              </w:rPr>
            </w:pPr>
            <w:r w:rsidRPr="00C926F7">
              <w:rPr>
                <w:rStyle w:val="ms-rtefontsize-21"/>
                <w:rFonts w:ascii="Arial" w:hAnsi="Arial" w:cs="Arial"/>
                <w:color w:val="auto"/>
              </w:rPr>
              <w:t>Front-of-pack labelling</w:t>
            </w:r>
          </w:p>
        </w:tc>
        <w:tc>
          <w:tcPr>
            <w:tcW w:w="4961" w:type="dxa"/>
          </w:tcPr>
          <w:p w:rsidR="000C0C44" w:rsidRPr="00C926F7" w:rsidRDefault="00691CE3" w:rsidP="00E15F14">
            <w:pPr>
              <w:pStyle w:val="ms-rteelement-h1b"/>
              <w:numPr>
                <w:ilvl w:val="0"/>
                <w:numId w:val="23"/>
              </w:numPr>
              <w:ind w:left="176" w:right="176" w:hanging="284"/>
              <w:rPr>
                <w:rStyle w:val="ms-rtefontsize-21"/>
                <w:rFonts w:ascii="Arial" w:hAnsi="Arial" w:cs="Arial"/>
                <w:color w:val="auto"/>
              </w:rPr>
            </w:pPr>
            <w:r w:rsidRPr="00C926F7">
              <w:rPr>
                <w:rStyle w:val="ms-rtefontsize-21"/>
                <w:rFonts w:ascii="Arial" w:hAnsi="Arial" w:cs="Arial"/>
                <w:color w:val="auto"/>
              </w:rPr>
              <w:t>If Recommendation 17 was implemented, foods carrying percentage daily intake labelling on front-of-pack would</w:t>
            </w:r>
            <w:r w:rsidR="00B602AC" w:rsidRPr="00C926F7">
              <w:rPr>
                <w:rStyle w:val="ms-rtefontsize-21"/>
                <w:rFonts w:ascii="Arial" w:hAnsi="Arial" w:cs="Arial"/>
                <w:color w:val="auto"/>
              </w:rPr>
              <w:t xml:space="preserve"> still </w:t>
            </w:r>
            <w:r w:rsidRPr="00C926F7">
              <w:rPr>
                <w:rStyle w:val="ms-rtefontsize-21"/>
                <w:rFonts w:ascii="Arial" w:hAnsi="Arial" w:cs="Arial"/>
                <w:color w:val="auto"/>
              </w:rPr>
              <w:t>have per serving information in the NIP.</w:t>
            </w:r>
          </w:p>
          <w:p w:rsidR="00691CE3" w:rsidRPr="00C926F7" w:rsidRDefault="00691CE3" w:rsidP="00D0184C">
            <w:pPr>
              <w:pStyle w:val="ms-rteelement-h1b"/>
              <w:numPr>
                <w:ilvl w:val="0"/>
                <w:numId w:val="23"/>
              </w:numPr>
              <w:spacing w:before="0" w:beforeAutospacing="0" w:after="0" w:afterAutospacing="0"/>
              <w:ind w:left="176" w:right="176" w:hanging="284"/>
              <w:rPr>
                <w:rStyle w:val="ms-rtefontsize-21"/>
                <w:rFonts w:ascii="Arial" w:hAnsi="Arial" w:cs="Arial"/>
                <w:color w:val="auto"/>
              </w:rPr>
            </w:pPr>
            <w:r w:rsidRPr="00C926F7">
              <w:rPr>
                <w:rStyle w:val="ms-rtefontsize-21"/>
                <w:rFonts w:ascii="Arial" w:hAnsi="Arial" w:cs="Arial"/>
                <w:color w:val="auto"/>
              </w:rPr>
              <w:t>If percentage daily intake</w:t>
            </w:r>
            <w:r w:rsidR="00B602AC" w:rsidRPr="00C926F7">
              <w:rPr>
                <w:rStyle w:val="ms-rtefontsize-21"/>
                <w:rFonts w:ascii="Arial" w:hAnsi="Arial" w:cs="Arial"/>
                <w:color w:val="auto"/>
              </w:rPr>
              <w:t xml:space="preserve"> information for energy is used front-of-pack und</w:t>
            </w:r>
            <w:r w:rsidR="00D0184C">
              <w:rPr>
                <w:rStyle w:val="ms-rtefontsize-21"/>
                <w:rFonts w:ascii="Arial" w:hAnsi="Arial" w:cs="Arial"/>
                <w:color w:val="auto"/>
              </w:rPr>
              <w:t>er the Health Star Rating System</w:t>
            </w:r>
            <w:r w:rsidR="00B602AC" w:rsidRPr="00C926F7">
              <w:rPr>
                <w:rStyle w:val="ms-rtefontsize-21"/>
                <w:rFonts w:ascii="Arial" w:hAnsi="Arial" w:cs="Arial"/>
                <w:color w:val="auto"/>
              </w:rPr>
              <w:t xml:space="preserve">, then per serving amounts for energy and the mandated nutrients would still be included in the NIP, as is required under that </w:t>
            </w:r>
            <w:r w:rsidR="00D0184C">
              <w:rPr>
                <w:rStyle w:val="ms-rtefontsize-21"/>
                <w:rFonts w:ascii="Arial" w:hAnsi="Arial" w:cs="Arial"/>
                <w:color w:val="auto"/>
              </w:rPr>
              <w:t>system</w:t>
            </w:r>
            <w:r w:rsidR="00B602AC" w:rsidRPr="00C926F7">
              <w:rPr>
                <w:rStyle w:val="ms-rtefontsize-21"/>
                <w:rFonts w:ascii="Arial" w:hAnsi="Arial" w:cs="Arial"/>
                <w:color w:val="auto"/>
              </w:rPr>
              <w:t xml:space="preserve">. </w:t>
            </w:r>
          </w:p>
        </w:tc>
        <w:tc>
          <w:tcPr>
            <w:tcW w:w="1807" w:type="dxa"/>
          </w:tcPr>
          <w:p w:rsidR="000C0C44" w:rsidRPr="00C926F7" w:rsidRDefault="00F57EAF" w:rsidP="000C0C44">
            <w:pPr>
              <w:pStyle w:val="ms-rteelement-h1b"/>
              <w:ind w:right="176"/>
              <w:rPr>
                <w:rStyle w:val="ms-rtefontsize-21"/>
                <w:rFonts w:ascii="Arial" w:hAnsi="Arial" w:cs="Arial"/>
                <w:color w:val="auto"/>
              </w:rPr>
            </w:pPr>
            <w:r w:rsidRPr="00C926F7">
              <w:rPr>
                <w:rStyle w:val="ms-rtefontsize-21"/>
                <w:rFonts w:ascii="Arial" w:hAnsi="Arial" w:cs="Arial"/>
                <w:color w:val="auto"/>
              </w:rPr>
              <w:t>Section 8</w:t>
            </w:r>
          </w:p>
        </w:tc>
      </w:tr>
      <w:tr w:rsidR="00E15563" w:rsidTr="00074C2A">
        <w:tc>
          <w:tcPr>
            <w:tcW w:w="2518" w:type="dxa"/>
          </w:tcPr>
          <w:p w:rsidR="00E15563" w:rsidRPr="00C926F7" w:rsidRDefault="00BF23DA" w:rsidP="000C0C44">
            <w:pPr>
              <w:pStyle w:val="ms-rteelement-h1b"/>
              <w:ind w:right="176"/>
              <w:rPr>
                <w:rStyle w:val="ms-rtefontsize-21"/>
                <w:rFonts w:ascii="Arial" w:hAnsi="Arial" w:cs="Arial"/>
                <w:color w:val="auto"/>
              </w:rPr>
            </w:pPr>
            <w:r w:rsidRPr="00C926F7">
              <w:rPr>
                <w:rStyle w:val="ms-rtefontsize-21"/>
                <w:rFonts w:ascii="Arial" w:hAnsi="Arial" w:cs="Arial"/>
                <w:color w:val="auto"/>
              </w:rPr>
              <w:t>Simplifying the NIP and reducing regulatory burden</w:t>
            </w:r>
          </w:p>
        </w:tc>
        <w:tc>
          <w:tcPr>
            <w:tcW w:w="4961" w:type="dxa"/>
          </w:tcPr>
          <w:p w:rsidR="00E15563" w:rsidRPr="00C926F7" w:rsidRDefault="00BF23DA" w:rsidP="00D0184C">
            <w:pPr>
              <w:pStyle w:val="ms-rteelement-h1b"/>
              <w:numPr>
                <w:ilvl w:val="0"/>
                <w:numId w:val="23"/>
              </w:numPr>
              <w:ind w:left="176" w:right="176" w:hanging="284"/>
              <w:rPr>
                <w:rStyle w:val="ms-rtefontsize-21"/>
                <w:rFonts w:ascii="Arial" w:hAnsi="Arial" w:cs="Arial"/>
                <w:color w:val="auto"/>
              </w:rPr>
            </w:pPr>
            <w:r w:rsidRPr="00C926F7">
              <w:rPr>
                <w:rStyle w:val="ms-rtefontsize-21"/>
                <w:rFonts w:ascii="Arial" w:hAnsi="Arial" w:cs="Arial"/>
                <w:color w:val="auto"/>
              </w:rPr>
              <w:t xml:space="preserve">The Forum recognised that </w:t>
            </w:r>
            <w:r w:rsidR="00D0184C">
              <w:rPr>
                <w:rStyle w:val="ms-rtefontsize-21"/>
                <w:rFonts w:ascii="Arial" w:hAnsi="Arial" w:cs="Arial"/>
                <w:color w:val="auto"/>
              </w:rPr>
              <w:t xml:space="preserve">Recommendation 17 aims to simplify </w:t>
            </w:r>
            <w:r w:rsidRPr="00C926F7">
              <w:rPr>
                <w:rStyle w:val="ms-rtefontsize-21"/>
                <w:rFonts w:ascii="Arial" w:hAnsi="Arial" w:cs="Arial"/>
                <w:color w:val="auto"/>
              </w:rPr>
              <w:t>requirements for consumers and reduce the regulatory burden on industry. FSANZ is keen to receive comment from submitters on these points.</w:t>
            </w:r>
          </w:p>
        </w:tc>
        <w:tc>
          <w:tcPr>
            <w:tcW w:w="1807" w:type="dxa"/>
          </w:tcPr>
          <w:p w:rsidR="00E15563" w:rsidRDefault="00BF23DA" w:rsidP="000C0C44">
            <w:pPr>
              <w:pStyle w:val="ms-rteelement-h1b"/>
              <w:ind w:right="176"/>
              <w:rPr>
                <w:rStyle w:val="ms-rtefontsize-21"/>
                <w:rFonts w:ascii="Arial" w:hAnsi="Arial" w:cs="Arial"/>
                <w:color w:val="auto"/>
              </w:rPr>
            </w:pPr>
            <w:r w:rsidRPr="00C926F7">
              <w:rPr>
                <w:rStyle w:val="ms-rtefontsize-21"/>
                <w:rFonts w:ascii="Arial" w:hAnsi="Arial" w:cs="Arial"/>
                <w:color w:val="auto"/>
              </w:rPr>
              <w:t>Section 10</w:t>
            </w:r>
          </w:p>
        </w:tc>
      </w:tr>
    </w:tbl>
    <w:p w:rsidR="00B602AC" w:rsidRDefault="00B602AC" w:rsidP="00FF6C91">
      <w:pPr>
        <w:rPr>
          <w:lang w:bidi="ar-SA"/>
        </w:rPr>
      </w:pPr>
    </w:p>
    <w:p w:rsidR="00B17F4E" w:rsidRDefault="00B17F4E" w:rsidP="00C86A98">
      <w:pPr>
        <w:rPr>
          <w:b/>
          <w:bCs/>
          <w:sz w:val="36"/>
          <w:szCs w:val="28"/>
          <w:lang w:bidi="ar-SA"/>
        </w:rPr>
      </w:pPr>
      <w:r>
        <w:br w:type="page"/>
      </w:r>
    </w:p>
    <w:p w:rsidR="002A5F8B" w:rsidRPr="000B6AF2" w:rsidRDefault="00F33BB8" w:rsidP="000B6AF2">
      <w:pPr>
        <w:pStyle w:val="Heading1"/>
      </w:pPr>
      <w:bookmarkStart w:id="12" w:name="_Toc405365728"/>
      <w:r>
        <w:lastRenderedPageBreak/>
        <w:t>1</w:t>
      </w:r>
      <w:r w:rsidR="001542D8">
        <w:tab/>
      </w:r>
      <w:r w:rsidR="002A5F8B" w:rsidRPr="000B6AF2">
        <w:t>Introduction</w:t>
      </w:r>
      <w:bookmarkEnd w:id="10"/>
      <w:bookmarkEnd w:id="11"/>
      <w:bookmarkEnd w:id="12"/>
    </w:p>
    <w:p w:rsidR="0053464E" w:rsidRPr="0053464E" w:rsidRDefault="00F33BB8" w:rsidP="00A56E34">
      <w:pPr>
        <w:pStyle w:val="Heading2"/>
      </w:pPr>
      <w:bookmarkStart w:id="13" w:name="_Toc300761890"/>
      <w:bookmarkStart w:id="14" w:name="_Toc300933419"/>
      <w:bookmarkStart w:id="15" w:name="_Toc405365729"/>
      <w:r>
        <w:t>1</w:t>
      </w:r>
      <w:r w:rsidR="0053464E" w:rsidRPr="0053464E">
        <w:t>.1</w:t>
      </w:r>
      <w:r w:rsidR="0053464E" w:rsidRPr="0053464E">
        <w:tab/>
      </w:r>
      <w:bookmarkEnd w:id="13"/>
      <w:bookmarkEnd w:id="14"/>
      <w:r w:rsidR="00F9170D">
        <w:t>Background to Recommendation 17 – Per serving declarations in the nutrition information panel</w:t>
      </w:r>
      <w:bookmarkEnd w:id="15"/>
    </w:p>
    <w:p w:rsidR="00F9170D" w:rsidRDefault="00F9170D" w:rsidP="00B96EDC">
      <w:pPr>
        <w:widowControl/>
        <w:autoSpaceDE w:val="0"/>
        <w:autoSpaceDN w:val="0"/>
        <w:adjustRightInd w:val="0"/>
        <w:rPr>
          <w:rFonts w:cs="Arial"/>
          <w:bCs/>
        </w:rPr>
      </w:pPr>
      <w:bookmarkStart w:id="16" w:name="_Toc300761891"/>
      <w:bookmarkStart w:id="17" w:name="_Toc300933420"/>
      <w:r w:rsidRPr="00E11E6E">
        <w:rPr>
          <w:rFonts w:cs="Arial"/>
          <w:bCs/>
        </w:rPr>
        <w:t xml:space="preserve">In 2009, </w:t>
      </w:r>
      <w:r>
        <w:rPr>
          <w:rFonts w:cs="Arial"/>
          <w:bCs/>
        </w:rPr>
        <w:t xml:space="preserve">the then </w:t>
      </w:r>
      <w:r w:rsidRPr="00E11E6E">
        <w:rPr>
          <w:rFonts w:cs="Arial"/>
          <w:bCs/>
        </w:rPr>
        <w:t xml:space="preserve">Australian and New Zealand </w:t>
      </w:r>
      <w:r>
        <w:rPr>
          <w:rFonts w:cs="Arial"/>
          <w:bCs/>
        </w:rPr>
        <w:t xml:space="preserve">Ministerial Council for Food Regulation (now known as the </w:t>
      </w:r>
      <w:r w:rsidR="00C03143" w:rsidRPr="00C03143">
        <w:rPr>
          <w:rFonts w:cs="Arial"/>
          <w:bCs/>
        </w:rPr>
        <w:t>Australia and New Zealand Ministerial Foru</w:t>
      </w:r>
      <w:r w:rsidR="00B96EDC">
        <w:rPr>
          <w:rFonts w:cs="Arial"/>
          <w:bCs/>
        </w:rPr>
        <w:t>m on Food Regulation (Forum</w:t>
      </w:r>
      <w:r w:rsidR="00C03143">
        <w:rPr>
          <w:rFonts w:cs="Arial"/>
          <w:bCs/>
        </w:rPr>
        <w:t xml:space="preserve">) </w:t>
      </w:r>
      <w:r w:rsidRPr="00E11E6E">
        <w:rPr>
          <w:rFonts w:cs="Arial"/>
          <w:bCs/>
        </w:rPr>
        <w:t xml:space="preserve">agreed to a comprehensive independent review of food labelling law and policy. An expert panel, chaired by Dr Neal Blewett AC, undertook the review and the panel’s final report, </w:t>
      </w:r>
      <w:r w:rsidRPr="00B7149D">
        <w:rPr>
          <w:i/>
          <w:lang w:val="en-AU"/>
        </w:rPr>
        <w:t>Labelling Logic</w:t>
      </w:r>
      <w:r>
        <w:rPr>
          <w:i/>
          <w:lang w:val="en-AU"/>
        </w:rPr>
        <w:t xml:space="preserve">: Review of Food Labelling Law and Policy (2011) </w:t>
      </w:r>
      <w:r w:rsidRPr="008B36A1">
        <w:rPr>
          <w:lang w:val="en-AU"/>
        </w:rPr>
        <w:t>(</w:t>
      </w:r>
      <w:r w:rsidRPr="00F02866">
        <w:rPr>
          <w:i/>
        </w:rPr>
        <w:t>Labelling Logic</w:t>
      </w:r>
      <w:r>
        <w:t xml:space="preserve">) </w:t>
      </w:r>
      <w:r>
        <w:rPr>
          <w:lang w:val="en-AU"/>
        </w:rPr>
        <w:t xml:space="preserve">(Blewett et al. 2011), </w:t>
      </w:r>
      <w:r w:rsidRPr="00E11E6E">
        <w:rPr>
          <w:rFonts w:cs="Arial"/>
          <w:bCs/>
        </w:rPr>
        <w:t>was publicly released on 28 January 2011.</w:t>
      </w:r>
      <w:r>
        <w:rPr>
          <w:rFonts w:cs="Arial"/>
          <w:bCs/>
        </w:rPr>
        <w:t xml:space="preserve"> </w:t>
      </w:r>
    </w:p>
    <w:p w:rsidR="00F9170D" w:rsidRDefault="00F9170D" w:rsidP="00F9170D">
      <w:pPr>
        <w:rPr>
          <w:rFonts w:cs="Arial"/>
          <w:bCs/>
          <w:szCs w:val="22"/>
        </w:rPr>
      </w:pPr>
    </w:p>
    <w:p w:rsidR="00F9170D" w:rsidRDefault="00F9170D" w:rsidP="00F9170D">
      <w:pPr>
        <w:rPr>
          <w:i/>
        </w:rPr>
      </w:pPr>
      <w:r>
        <w:rPr>
          <w:rFonts w:cs="Arial"/>
          <w:bCs/>
          <w:szCs w:val="22"/>
        </w:rPr>
        <w:t xml:space="preserve">Recommendation 17 from </w:t>
      </w:r>
      <w:r w:rsidRPr="00F02866">
        <w:rPr>
          <w:i/>
        </w:rPr>
        <w:t>Labelling Logic</w:t>
      </w:r>
      <w:r>
        <w:t xml:space="preserve"> states: </w:t>
      </w:r>
      <w:r w:rsidR="00834441">
        <w:rPr>
          <w:i/>
        </w:rPr>
        <w:t>That the declaration in the nutrition information p</w:t>
      </w:r>
      <w:r w:rsidRPr="00834441">
        <w:rPr>
          <w:i/>
        </w:rPr>
        <w:t>anel of amount of nutrients per serve be no longer mandatory unless a daily intake claim is made.</w:t>
      </w:r>
    </w:p>
    <w:p w:rsidR="00834441" w:rsidRDefault="00834441" w:rsidP="00834441">
      <w:pPr>
        <w:rPr>
          <w:i/>
        </w:rPr>
      </w:pPr>
    </w:p>
    <w:p w:rsidR="00834441" w:rsidRDefault="00834441" w:rsidP="00F9170D">
      <w:pPr>
        <w:rPr>
          <w:rFonts w:cs="Arial"/>
          <w:bCs/>
        </w:rPr>
      </w:pPr>
      <w:r>
        <w:t>The labelling review panel</w:t>
      </w:r>
      <w:r>
        <w:rPr>
          <w:rFonts w:cs="Arial"/>
          <w:bCs/>
        </w:rPr>
        <w:t xml:space="preserve"> noted that consumers find the declaration of nutrients per serving and percentage daily intake values confusing. The panel also commented that in </w:t>
      </w:r>
      <w:r w:rsidR="00C03143">
        <w:rPr>
          <w:rFonts w:cs="Arial"/>
          <w:bCs/>
        </w:rPr>
        <w:t xml:space="preserve">Australia and </w:t>
      </w:r>
      <w:r>
        <w:rPr>
          <w:rFonts w:cs="Arial"/>
          <w:bCs/>
        </w:rPr>
        <w:t>New Zealand serving sizes are determined by the manufact</w:t>
      </w:r>
      <w:r w:rsidR="00AC52C0">
        <w:rPr>
          <w:rFonts w:cs="Arial"/>
          <w:bCs/>
        </w:rPr>
        <w:t>urer but are mandated in the United States of America (US</w:t>
      </w:r>
      <w:r w:rsidR="00F02866">
        <w:rPr>
          <w:rFonts w:cs="Arial"/>
          <w:bCs/>
        </w:rPr>
        <w:t>A</w:t>
      </w:r>
      <w:r w:rsidR="00AC52C0">
        <w:rPr>
          <w:rFonts w:cs="Arial"/>
          <w:bCs/>
        </w:rPr>
        <w:t>)</w:t>
      </w:r>
      <w:r>
        <w:rPr>
          <w:rFonts w:cs="Arial"/>
          <w:bCs/>
        </w:rPr>
        <w:t>. However, the panel noted that there is little indication that per serving information when based on standard serving sizes is helpful in guiding consumer food intakes (</w:t>
      </w:r>
      <w:proofErr w:type="spellStart"/>
      <w:r>
        <w:rPr>
          <w:rFonts w:cs="Arial"/>
          <w:bCs/>
        </w:rPr>
        <w:t>Cowburn</w:t>
      </w:r>
      <w:proofErr w:type="spellEnd"/>
      <w:r>
        <w:rPr>
          <w:rFonts w:cs="Arial"/>
          <w:bCs/>
        </w:rPr>
        <w:t xml:space="preserve"> and </w:t>
      </w:r>
      <w:proofErr w:type="spellStart"/>
      <w:r>
        <w:rPr>
          <w:rFonts w:cs="Arial"/>
          <w:bCs/>
        </w:rPr>
        <w:t>Stockley</w:t>
      </w:r>
      <w:proofErr w:type="spellEnd"/>
      <w:r>
        <w:rPr>
          <w:rFonts w:cs="Arial"/>
          <w:bCs/>
        </w:rPr>
        <w:t xml:space="preserve"> 2005). The panel considered that a simpler approach would be to declare amounts of nutrients per 100 g/100 </w:t>
      </w:r>
      <w:r w:rsidR="0054593A">
        <w:rPr>
          <w:rFonts w:cs="Arial"/>
          <w:bCs/>
        </w:rPr>
        <w:t>mL</w:t>
      </w:r>
      <w:r>
        <w:rPr>
          <w:rFonts w:cs="Arial"/>
          <w:bCs/>
        </w:rPr>
        <w:t xml:space="preserve"> in the nutrition information panel (NIP) (while retaining a statement of serving size) although they acknowledged such an approach would require greater numeracy skills and so should be considered in the context of other, more easily understood nutrition advice being on the food label. It is not clear what the panel had in mind when making this comment, but it is likely that this statement was made in the context of possible forthcoming front-of-pack labelling (FoPL) as recommended by the panel (Recommendations 50</w:t>
      </w:r>
      <w:r w:rsidR="00995909">
        <w:rPr>
          <w:rFonts w:cs="Arial"/>
          <w:bCs/>
        </w:rPr>
        <w:t>–</w:t>
      </w:r>
      <w:r>
        <w:rPr>
          <w:rFonts w:cs="Arial"/>
          <w:bCs/>
        </w:rPr>
        <w:t>55).</w:t>
      </w:r>
    </w:p>
    <w:p w:rsidR="0053464E" w:rsidRPr="0053464E" w:rsidRDefault="00F33BB8" w:rsidP="00F9170D">
      <w:pPr>
        <w:pStyle w:val="Heading2"/>
      </w:pPr>
      <w:bookmarkStart w:id="18" w:name="_Toc405365730"/>
      <w:r>
        <w:t>1</w:t>
      </w:r>
      <w:r w:rsidR="0053464E" w:rsidRPr="0053464E">
        <w:t>.2</w:t>
      </w:r>
      <w:r w:rsidR="0053464E" w:rsidRPr="0053464E">
        <w:tab/>
      </w:r>
      <w:bookmarkEnd w:id="16"/>
      <w:bookmarkEnd w:id="17"/>
      <w:r w:rsidR="00834441">
        <w:t>Government response to Recommendation 17</w:t>
      </w:r>
      <w:bookmarkEnd w:id="18"/>
    </w:p>
    <w:p w:rsidR="00834441" w:rsidRDefault="00834441" w:rsidP="00834441">
      <w:pPr>
        <w:rPr>
          <w:rFonts w:cs="Arial"/>
          <w:bCs/>
        </w:rPr>
      </w:pPr>
      <w:bookmarkStart w:id="19" w:name="_Toc300761892"/>
      <w:bookmarkStart w:id="20" w:name="_Toc300933421"/>
      <w:r>
        <w:rPr>
          <w:rFonts w:cs="Arial"/>
          <w:bCs/>
        </w:rPr>
        <w:t xml:space="preserve">The </w:t>
      </w:r>
      <w:r w:rsidR="00132D9E">
        <w:rPr>
          <w:rFonts w:cs="Arial"/>
          <w:bCs/>
        </w:rPr>
        <w:t>G</w:t>
      </w:r>
      <w:r>
        <w:rPr>
          <w:rFonts w:cs="Arial"/>
          <w:bCs/>
        </w:rPr>
        <w:t xml:space="preserve">overnment response to the recommendations in </w:t>
      </w:r>
      <w:r w:rsidRPr="00F02866">
        <w:rPr>
          <w:rFonts w:cs="Arial"/>
          <w:bCs/>
          <w:i/>
        </w:rPr>
        <w:t>Labelling Logic</w:t>
      </w:r>
      <w:r>
        <w:rPr>
          <w:rFonts w:cs="Arial"/>
          <w:bCs/>
        </w:rPr>
        <w:t xml:space="preserve"> was publicly released in December 2011</w:t>
      </w:r>
      <w:r>
        <w:rPr>
          <w:rStyle w:val="FootnoteReference"/>
          <w:rFonts w:cs="Arial"/>
          <w:bCs/>
        </w:rPr>
        <w:footnoteReference w:id="1"/>
      </w:r>
      <w:r>
        <w:rPr>
          <w:rFonts w:cs="Arial"/>
          <w:bCs/>
        </w:rPr>
        <w:t xml:space="preserve">. In relation to Recommendation 17, the Forum acknowledged that food labels are a finite space for providing information to consumers and that the recommendation to remove per serving </w:t>
      </w:r>
      <w:r w:rsidR="001309CF">
        <w:rPr>
          <w:rFonts w:cs="Arial"/>
          <w:bCs/>
        </w:rPr>
        <w:t>information aims to simplify</w:t>
      </w:r>
      <w:r>
        <w:rPr>
          <w:rFonts w:cs="Arial"/>
          <w:bCs/>
        </w:rPr>
        <w:t xml:space="preserve"> requirements for the mandatory </w:t>
      </w:r>
      <w:r w:rsidR="00077E24">
        <w:rPr>
          <w:rFonts w:cs="Arial"/>
          <w:bCs/>
        </w:rPr>
        <w:t>NIP</w:t>
      </w:r>
      <w:r>
        <w:rPr>
          <w:rFonts w:cs="Arial"/>
          <w:bCs/>
        </w:rPr>
        <w:t xml:space="preserve"> and reduce the regulatory burden on industry.</w:t>
      </w:r>
    </w:p>
    <w:p w:rsidR="00834441" w:rsidRDefault="00834441" w:rsidP="00834441">
      <w:pPr>
        <w:rPr>
          <w:rFonts w:cs="Arial"/>
          <w:bCs/>
        </w:rPr>
      </w:pPr>
    </w:p>
    <w:p w:rsidR="004A4CA9" w:rsidRDefault="00834441" w:rsidP="00834441">
      <w:pPr>
        <w:rPr>
          <w:rFonts w:cs="Arial"/>
          <w:bCs/>
        </w:rPr>
      </w:pPr>
      <w:r>
        <w:rPr>
          <w:rFonts w:cs="Arial"/>
          <w:bCs/>
        </w:rPr>
        <w:t xml:space="preserve">The Forum </w:t>
      </w:r>
      <w:r w:rsidRPr="00834441">
        <w:rPr>
          <w:rFonts w:cs="Arial"/>
          <w:bCs/>
        </w:rPr>
        <w:t xml:space="preserve">asked FSANZ to </w:t>
      </w:r>
      <w:r w:rsidR="00B96EDC">
        <w:rPr>
          <w:rFonts w:cs="Arial"/>
          <w:bCs/>
        </w:rPr>
        <w:t>prepare</w:t>
      </w:r>
      <w:r w:rsidRPr="00834441">
        <w:rPr>
          <w:rFonts w:cs="Arial"/>
          <w:bCs/>
        </w:rPr>
        <w:t xml:space="preserve"> a proposal to provide assessment and advice on this proposed change to the labelling requirements for the </w:t>
      </w:r>
      <w:r w:rsidR="00077E24">
        <w:rPr>
          <w:rFonts w:cs="Arial"/>
          <w:bCs/>
        </w:rPr>
        <w:t>NIP</w:t>
      </w:r>
      <w:r w:rsidRPr="00834441">
        <w:rPr>
          <w:rFonts w:cs="Arial"/>
          <w:bCs/>
        </w:rPr>
        <w:t>. The Forum noted that all proposed changes to the</w:t>
      </w:r>
      <w:r w:rsidR="001F0C9A">
        <w:rPr>
          <w:rFonts w:cs="Arial"/>
          <w:bCs/>
        </w:rPr>
        <w:t xml:space="preserve"> </w:t>
      </w:r>
      <w:r w:rsidR="001F0C9A" w:rsidRPr="001F0C9A">
        <w:rPr>
          <w:rFonts w:cs="Arial"/>
          <w:bCs/>
          <w:i/>
        </w:rPr>
        <w:t xml:space="preserve">Australia New Zealand Food Standards Code </w:t>
      </w:r>
      <w:r w:rsidR="001F0C9A" w:rsidRPr="001F0C9A">
        <w:rPr>
          <w:rFonts w:cs="Arial"/>
          <w:bCs/>
        </w:rPr>
        <w:t>(</w:t>
      </w:r>
      <w:r w:rsidRPr="001F0C9A">
        <w:rPr>
          <w:rFonts w:cs="Arial"/>
          <w:bCs/>
        </w:rPr>
        <w:t>Code</w:t>
      </w:r>
      <w:r w:rsidR="001F0C9A">
        <w:rPr>
          <w:rFonts w:cs="Arial"/>
          <w:bCs/>
        </w:rPr>
        <w:t>)</w:t>
      </w:r>
      <w:r w:rsidRPr="001F0C9A">
        <w:rPr>
          <w:rFonts w:cs="Arial"/>
          <w:bCs/>
        </w:rPr>
        <w:t xml:space="preserve"> </w:t>
      </w:r>
      <w:r w:rsidRPr="00834441">
        <w:rPr>
          <w:rFonts w:cs="Arial"/>
          <w:bCs/>
        </w:rPr>
        <w:t>are required to adhere to an agreed process and be assessed by FSANZ.</w:t>
      </w:r>
    </w:p>
    <w:p w:rsidR="00AF387F" w:rsidRDefault="00D3171B" w:rsidP="00180C41">
      <w:pPr>
        <w:pStyle w:val="Heading1"/>
      </w:pPr>
      <w:bookmarkStart w:id="21" w:name="_Toc286391008"/>
      <w:bookmarkStart w:id="22" w:name="_Toc300933424"/>
      <w:bookmarkStart w:id="23" w:name="_Toc405365731"/>
      <w:bookmarkStart w:id="24" w:name="_Toc11735630"/>
      <w:bookmarkStart w:id="25" w:name="_Toc29883114"/>
      <w:bookmarkStart w:id="26" w:name="_Toc41906801"/>
      <w:bookmarkStart w:id="27" w:name="_Toc41907548"/>
      <w:bookmarkStart w:id="28" w:name="_Toc120358578"/>
      <w:bookmarkStart w:id="29" w:name="_Toc175381435"/>
      <w:bookmarkEnd w:id="3"/>
      <w:bookmarkEnd w:id="4"/>
      <w:bookmarkEnd w:id="5"/>
      <w:bookmarkEnd w:id="6"/>
      <w:bookmarkEnd w:id="7"/>
      <w:bookmarkEnd w:id="19"/>
      <w:bookmarkEnd w:id="20"/>
      <w:r>
        <w:t>2</w:t>
      </w:r>
      <w:r w:rsidR="001542D8">
        <w:tab/>
      </w:r>
      <w:bookmarkEnd w:id="21"/>
      <w:bookmarkEnd w:id="22"/>
      <w:r w:rsidR="00834441">
        <w:t>Project approach</w:t>
      </w:r>
      <w:r w:rsidR="007F163A">
        <w:t xml:space="preserve"> and scope</w:t>
      </w:r>
      <w:bookmarkEnd w:id="23"/>
    </w:p>
    <w:p w:rsidR="007F163A" w:rsidRPr="007F163A" w:rsidRDefault="007F163A" w:rsidP="007F163A">
      <w:pPr>
        <w:pStyle w:val="Heading2"/>
        <w:rPr>
          <w:rStyle w:val="ms-rtefontsize-21"/>
          <w:sz w:val="28"/>
          <w:szCs w:val="22"/>
        </w:rPr>
      </w:pPr>
      <w:bookmarkStart w:id="30" w:name="_Toc405365732"/>
      <w:r w:rsidRPr="007F163A">
        <w:rPr>
          <w:rStyle w:val="ms-rtefontsize-21"/>
          <w:sz w:val="28"/>
          <w:szCs w:val="22"/>
        </w:rPr>
        <w:t>2.1</w:t>
      </w:r>
      <w:r w:rsidRPr="007F163A">
        <w:rPr>
          <w:rStyle w:val="ms-rtefontsize-21"/>
          <w:sz w:val="28"/>
          <w:szCs w:val="22"/>
        </w:rPr>
        <w:tab/>
        <w:t>Approach</w:t>
      </w:r>
      <w:bookmarkEnd w:id="30"/>
    </w:p>
    <w:p w:rsidR="00074C2A" w:rsidRDefault="0089344B" w:rsidP="007E1263">
      <w:pPr>
        <w:pStyle w:val="ms-rteelement-h1b"/>
        <w:ind w:right="176"/>
        <w:rPr>
          <w:rStyle w:val="ms-rtefontsize-21"/>
          <w:rFonts w:ascii="Arial" w:hAnsi="Arial" w:cs="Arial"/>
          <w:color w:val="auto"/>
          <w:sz w:val="22"/>
          <w:szCs w:val="22"/>
        </w:rPr>
      </w:pPr>
      <w:r w:rsidRPr="0089344B">
        <w:rPr>
          <w:rStyle w:val="ms-rtefontsize-21"/>
          <w:rFonts w:ascii="Arial" w:hAnsi="Arial" w:cs="Arial"/>
          <w:color w:val="auto"/>
          <w:sz w:val="22"/>
          <w:szCs w:val="22"/>
        </w:rPr>
        <w:t xml:space="preserve">To allow FSANZ to gather </w:t>
      </w:r>
      <w:r w:rsidR="00710BE0">
        <w:rPr>
          <w:rStyle w:val="ms-rtefontsize-21"/>
          <w:rFonts w:ascii="Arial" w:hAnsi="Arial" w:cs="Arial"/>
          <w:color w:val="auto"/>
          <w:sz w:val="22"/>
          <w:szCs w:val="22"/>
        </w:rPr>
        <w:t>information</w:t>
      </w:r>
      <w:r w:rsidRPr="0089344B">
        <w:rPr>
          <w:rStyle w:val="ms-rtefontsize-21"/>
          <w:rFonts w:ascii="Arial" w:hAnsi="Arial" w:cs="Arial"/>
          <w:color w:val="auto"/>
          <w:sz w:val="22"/>
          <w:szCs w:val="22"/>
        </w:rPr>
        <w:t xml:space="preserve"> and understand stakeholder views</w:t>
      </w:r>
      <w:r w:rsidR="00AB5ED2">
        <w:rPr>
          <w:rStyle w:val="ms-rtefontsize-21"/>
          <w:rFonts w:ascii="Arial" w:hAnsi="Arial" w:cs="Arial"/>
          <w:color w:val="auto"/>
          <w:sz w:val="22"/>
          <w:szCs w:val="22"/>
        </w:rPr>
        <w:t>,</w:t>
      </w:r>
      <w:r w:rsidRPr="0089344B">
        <w:rPr>
          <w:rStyle w:val="ms-rtefontsize-21"/>
          <w:rFonts w:ascii="Arial" w:hAnsi="Arial" w:cs="Arial"/>
          <w:color w:val="auto"/>
          <w:sz w:val="22"/>
          <w:szCs w:val="22"/>
        </w:rPr>
        <w:t xml:space="preserve"> we are undertaking a round o</w:t>
      </w:r>
      <w:r>
        <w:rPr>
          <w:rStyle w:val="ms-rtefontsize-21"/>
          <w:rFonts w:ascii="Arial" w:hAnsi="Arial" w:cs="Arial"/>
          <w:color w:val="auto"/>
          <w:sz w:val="22"/>
          <w:szCs w:val="22"/>
        </w:rPr>
        <w:t>f consultation as a first step</w:t>
      </w:r>
      <w:r w:rsidR="00734DE0">
        <w:rPr>
          <w:rStyle w:val="ms-rtefontsize-21"/>
          <w:rFonts w:ascii="Arial" w:hAnsi="Arial" w:cs="Arial"/>
          <w:color w:val="auto"/>
          <w:sz w:val="22"/>
          <w:szCs w:val="22"/>
        </w:rPr>
        <w:t xml:space="preserve"> in our work on Recommendation 17</w:t>
      </w:r>
      <w:r>
        <w:rPr>
          <w:rStyle w:val="ms-rtefontsize-21"/>
          <w:rFonts w:ascii="Arial" w:hAnsi="Arial" w:cs="Arial"/>
          <w:color w:val="auto"/>
          <w:sz w:val="22"/>
          <w:szCs w:val="22"/>
        </w:rPr>
        <w:t xml:space="preserve">. </w:t>
      </w:r>
      <w:r w:rsidR="00074C2A">
        <w:rPr>
          <w:rStyle w:val="ms-rtefontsize-21"/>
          <w:rFonts w:ascii="Arial" w:hAnsi="Arial" w:cs="Arial"/>
          <w:color w:val="auto"/>
          <w:sz w:val="22"/>
          <w:szCs w:val="22"/>
        </w:rPr>
        <w:br w:type="page"/>
      </w:r>
    </w:p>
    <w:p w:rsidR="00497A61" w:rsidRDefault="00710BE0" w:rsidP="007E1263">
      <w:pPr>
        <w:pStyle w:val="ms-rteelement-h1b"/>
        <w:ind w:right="176"/>
        <w:rPr>
          <w:rStyle w:val="ms-rtefontsize-21"/>
          <w:rFonts w:ascii="Arial" w:hAnsi="Arial" w:cs="Arial"/>
          <w:color w:val="auto"/>
          <w:sz w:val="22"/>
          <w:szCs w:val="22"/>
        </w:rPr>
      </w:pPr>
      <w:r>
        <w:rPr>
          <w:rStyle w:val="ms-rtefontsize-21"/>
          <w:rFonts w:ascii="Arial" w:hAnsi="Arial" w:cs="Arial"/>
          <w:color w:val="auto"/>
          <w:sz w:val="22"/>
          <w:szCs w:val="22"/>
        </w:rPr>
        <w:lastRenderedPageBreak/>
        <w:t xml:space="preserve">Information received through consultation will assist FSANZ with </w:t>
      </w:r>
      <w:r w:rsidR="00C50B54">
        <w:rPr>
          <w:rStyle w:val="ms-rtefontsize-21"/>
          <w:rFonts w:ascii="Arial" w:hAnsi="Arial" w:cs="Arial"/>
          <w:color w:val="auto"/>
          <w:sz w:val="22"/>
          <w:szCs w:val="22"/>
        </w:rPr>
        <w:t>analysing</w:t>
      </w:r>
      <w:r w:rsidR="00CD72A3" w:rsidRPr="00CD72A3">
        <w:rPr>
          <w:rStyle w:val="ms-rtefontsize-21"/>
          <w:rFonts w:ascii="Arial" w:hAnsi="Arial" w:cs="Arial"/>
          <w:color w:val="auto"/>
          <w:sz w:val="22"/>
          <w:szCs w:val="22"/>
        </w:rPr>
        <w:t xml:space="preserve"> issues associated with the proposed removal of the mandatory requirement for per serving nutri</w:t>
      </w:r>
      <w:r w:rsidR="00023B05">
        <w:rPr>
          <w:rStyle w:val="ms-rtefontsize-21"/>
          <w:rFonts w:ascii="Arial" w:hAnsi="Arial" w:cs="Arial"/>
          <w:color w:val="auto"/>
          <w:sz w:val="22"/>
          <w:szCs w:val="22"/>
        </w:rPr>
        <w:t>ent and energy declarations in</w:t>
      </w:r>
      <w:r w:rsidR="00CD72A3" w:rsidRPr="00CD72A3">
        <w:rPr>
          <w:rStyle w:val="ms-rtefontsize-21"/>
          <w:rFonts w:ascii="Arial" w:hAnsi="Arial" w:cs="Arial"/>
          <w:color w:val="auto"/>
          <w:sz w:val="22"/>
          <w:szCs w:val="22"/>
        </w:rPr>
        <w:t xml:space="preserve"> the NIP (unless a daily intake claim is made)</w:t>
      </w:r>
      <w:r w:rsidR="00CD72A3">
        <w:rPr>
          <w:rStyle w:val="ms-rtefontsize-21"/>
          <w:rFonts w:ascii="Arial" w:hAnsi="Arial" w:cs="Arial"/>
          <w:color w:val="auto"/>
          <w:sz w:val="22"/>
          <w:szCs w:val="22"/>
        </w:rPr>
        <w:t>.</w:t>
      </w:r>
      <w:r w:rsidR="00734DE0">
        <w:rPr>
          <w:rStyle w:val="ms-rtefontsize-21"/>
          <w:rFonts w:ascii="Arial" w:hAnsi="Arial" w:cs="Arial"/>
          <w:color w:val="auto"/>
          <w:sz w:val="22"/>
          <w:szCs w:val="22"/>
        </w:rPr>
        <w:t xml:space="preserve"> </w:t>
      </w:r>
      <w:r w:rsidR="002F48CC">
        <w:rPr>
          <w:rStyle w:val="ms-rtefontsize-21"/>
          <w:rFonts w:ascii="Arial" w:hAnsi="Arial" w:cs="Arial"/>
          <w:color w:val="auto"/>
          <w:sz w:val="22"/>
          <w:szCs w:val="22"/>
        </w:rPr>
        <w:t xml:space="preserve">The analysis </w:t>
      </w:r>
      <w:r w:rsidR="008A39C4">
        <w:rPr>
          <w:rStyle w:val="ms-rtefontsize-21"/>
          <w:rFonts w:ascii="Arial" w:hAnsi="Arial" w:cs="Arial"/>
          <w:color w:val="auto"/>
          <w:sz w:val="22"/>
          <w:szCs w:val="22"/>
        </w:rPr>
        <w:t>will include</w:t>
      </w:r>
      <w:r w:rsidR="00497A61">
        <w:rPr>
          <w:rStyle w:val="ms-rtefontsize-21"/>
          <w:rFonts w:ascii="Arial" w:hAnsi="Arial" w:cs="Arial"/>
          <w:color w:val="auto"/>
          <w:sz w:val="22"/>
          <w:szCs w:val="22"/>
        </w:rPr>
        <w:t>:</w:t>
      </w:r>
    </w:p>
    <w:p w:rsidR="00497A61" w:rsidRDefault="00497A61" w:rsidP="001F0C9A">
      <w:pPr>
        <w:pStyle w:val="FSBullet1"/>
        <w:rPr>
          <w:rStyle w:val="ms-rtefontsize-21"/>
          <w:rFonts w:cs="Times New Roman"/>
          <w:sz w:val="22"/>
          <w:szCs w:val="22"/>
        </w:rPr>
      </w:pPr>
      <w:r>
        <w:rPr>
          <w:rStyle w:val="ms-rtefontsize-21"/>
          <w:sz w:val="22"/>
          <w:szCs w:val="22"/>
        </w:rPr>
        <w:t xml:space="preserve">background information including current requirements in the Code and FSANZ’s previous consideration of per serving information </w:t>
      </w:r>
    </w:p>
    <w:p w:rsidR="00497A61" w:rsidRDefault="00497A61" w:rsidP="001F0C9A">
      <w:pPr>
        <w:pStyle w:val="FSBullet1"/>
        <w:rPr>
          <w:rStyle w:val="ms-rtefontsize-21"/>
          <w:rFonts w:cs="Times New Roman"/>
          <w:sz w:val="22"/>
          <w:szCs w:val="22"/>
        </w:rPr>
      </w:pPr>
      <w:r>
        <w:rPr>
          <w:rStyle w:val="ms-rtefontsize-21"/>
          <w:sz w:val="22"/>
          <w:szCs w:val="22"/>
        </w:rPr>
        <w:t>consider</w:t>
      </w:r>
      <w:r w:rsidR="008A39C4">
        <w:rPr>
          <w:rStyle w:val="ms-rtefontsize-21"/>
          <w:sz w:val="22"/>
          <w:szCs w:val="22"/>
        </w:rPr>
        <w:t>ation of</w:t>
      </w:r>
      <w:r w:rsidR="005D5D5D" w:rsidRPr="001D40D4">
        <w:rPr>
          <w:rStyle w:val="ms-rtefontsize-21"/>
          <w:sz w:val="22"/>
          <w:szCs w:val="22"/>
        </w:rPr>
        <w:t xml:space="preserve"> </w:t>
      </w:r>
      <w:r w:rsidR="00233C9B">
        <w:rPr>
          <w:rStyle w:val="ms-rtefontsize-21"/>
          <w:sz w:val="22"/>
          <w:szCs w:val="22"/>
        </w:rPr>
        <w:t xml:space="preserve">any </w:t>
      </w:r>
      <w:r w:rsidR="005D5D5D" w:rsidRPr="001D40D4">
        <w:rPr>
          <w:rStyle w:val="ms-rtefontsize-21"/>
          <w:sz w:val="22"/>
          <w:szCs w:val="22"/>
        </w:rPr>
        <w:t xml:space="preserve">technical consequences of removing per serving </w:t>
      </w:r>
      <w:r>
        <w:rPr>
          <w:rStyle w:val="ms-rtefontsize-21"/>
          <w:sz w:val="22"/>
          <w:szCs w:val="22"/>
        </w:rPr>
        <w:t>information</w:t>
      </w:r>
      <w:r w:rsidR="005D5D5D" w:rsidRPr="001D40D4">
        <w:rPr>
          <w:rStyle w:val="ms-rtefontsize-21"/>
          <w:sz w:val="22"/>
          <w:szCs w:val="22"/>
        </w:rPr>
        <w:t xml:space="preserve"> on requirements in the Code </w:t>
      </w:r>
      <w:r>
        <w:rPr>
          <w:rStyle w:val="ms-rtefontsize-21"/>
          <w:sz w:val="22"/>
          <w:szCs w:val="22"/>
        </w:rPr>
        <w:t>and other labelling information such as voluntary front-of-pack labelling</w:t>
      </w:r>
    </w:p>
    <w:p w:rsidR="00497A61" w:rsidRDefault="00497A61" w:rsidP="001F0C9A">
      <w:pPr>
        <w:pStyle w:val="FSBullet1"/>
        <w:rPr>
          <w:rStyle w:val="ms-rtefontsize-21"/>
          <w:rFonts w:cs="Times New Roman"/>
          <w:sz w:val="22"/>
          <w:szCs w:val="22"/>
        </w:rPr>
      </w:pPr>
      <w:r>
        <w:rPr>
          <w:rStyle w:val="ms-rtefontsize-21"/>
          <w:sz w:val="22"/>
          <w:szCs w:val="22"/>
        </w:rPr>
        <w:t>comparing</w:t>
      </w:r>
      <w:r w:rsidR="005D5D5D">
        <w:rPr>
          <w:rStyle w:val="ms-rtefontsize-21"/>
          <w:sz w:val="22"/>
          <w:szCs w:val="22"/>
        </w:rPr>
        <w:t xml:space="preserve"> approaches used internationally for per serving information</w:t>
      </w:r>
      <w:r w:rsidR="00233C9B">
        <w:rPr>
          <w:rStyle w:val="ms-rtefontsize-21"/>
          <w:sz w:val="22"/>
          <w:szCs w:val="22"/>
        </w:rPr>
        <w:t xml:space="preserve"> </w:t>
      </w:r>
    </w:p>
    <w:p w:rsidR="00710BE0" w:rsidRDefault="00497A61" w:rsidP="001F0C9A">
      <w:pPr>
        <w:pStyle w:val="FSBullet1"/>
      </w:pPr>
      <w:r>
        <w:t>reviewing literature</w:t>
      </w:r>
      <w:r w:rsidR="008A39C4">
        <w:t xml:space="preserve"> and information</w:t>
      </w:r>
      <w:r>
        <w:t xml:space="preserve"> on consumer use and understanding of per serving information in the NIP</w:t>
      </w:r>
    </w:p>
    <w:p w:rsidR="00497A61" w:rsidRPr="00497A61" w:rsidRDefault="00F625C0" w:rsidP="001F0C9A">
      <w:pPr>
        <w:pStyle w:val="FSBullet1"/>
      </w:pPr>
      <w:r>
        <w:t>c</w:t>
      </w:r>
      <w:r w:rsidR="00710BE0">
        <w:t>onsiderati</w:t>
      </w:r>
      <w:r w:rsidR="00571D42">
        <w:t>on of stakeholder</w:t>
      </w:r>
      <w:r w:rsidR="00710BE0">
        <w:t xml:space="preserve"> views</w:t>
      </w:r>
      <w:r w:rsidR="00710BE0" w:rsidRPr="00710BE0">
        <w:t xml:space="preserve"> </w:t>
      </w:r>
      <w:r w:rsidR="00710BE0">
        <w:t>of Recommendation 17</w:t>
      </w:r>
      <w:r w:rsidR="00497A61">
        <w:t>.</w:t>
      </w:r>
    </w:p>
    <w:p w:rsidR="00497A61" w:rsidRDefault="00497A61" w:rsidP="00497A61"/>
    <w:p w:rsidR="00497A61" w:rsidRPr="00497A61" w:rsidRDefault="008A39C4" w:rsidP="00497A61">
      <w:r>
        <w:t xml:space="preserve">Initial consideration of the </w:t>
      </w:r>
      <w:r w:rsidR="00710BE0">
        <w:t>issues</w:t>
      </w:r>
      <w:r>
        <w:t xml:space="preserve"> is provided in this consultation paper.</w:t>
      </w:r>
      <w:r w:rsidR="000E7A9D">
        <w:t xml:space="preserve"> </w:t>
      </w:r>
    </w:p>
    <w:p w:rsidR="007F163A" w:rsidRPr="007F163A" w:rsidRDefault="00571D42" w:rsidP="007F163A">
      <w:pPr>
        <w:pStyle w:val="Heading2"/>
        <w:rPr>
          <w:rStyle w:val="ms-rtefontsize-21"/>
          <w:sz w:val="28"/>
          <w:szCs w:val="22"/>
        </w:rPr>
      </w:pPr>
      <w:bookmarkStart w:id="31" w:name="_Toc405365733"/>
      <w:r>
        <w:rPr>
          <w:rStyle w:val="ms-rtefontsize-21"/>
          <w:sz w:val="28"/>
          <w:szCs w:val="22"/>
        </w:rPr>
        <w:t>2.2</w:t>
      </w:r>
      <w:r w:rsidR="007F163A" w:rsidRPr="007F163A">
        <w:rPr>
          <w:rStyle w:val="ms-rtefontsize-21"/>
          <w:sz w:val="28"/>
          <w:szCs w:val="22"/>
        </w:rPr>
        <w:tab/>
      </w:r>
      <w:r w:rsidR="007F163A">
        <w:rPr>
          <w:rStyle w:val="ms-rtefontsize-21"/>
          <w:sz w:val="28"/>
          <w:szCs w:val="22"/>
        </w:rPr>
        <w:t>Scope</w:t>
      </w:r>
      <w:bookmarkEnd w:id="31"/>
    </w:p>
    <w:p w:rsidR="0032007D" w:rsidRDefault="0032007D" w:rsidP="0032007D">
      <w:pPr>
        <w:rPr>
          <w:rFonts w:cs="Arial"/>
          <w:snapToGrid w:val="0"/>
          <w:szCs w:val="22"/>
        </w:rPr>
      </w:pPr>
      <w:r>
        <w:rPr>
          <w:rFonts w:cs="Arial"/>
          <w:bCs/>
        </w:rPr>
        <w:t xml:space="preserve">FSANZ </w:t>
      </w:r>
      <w:r>
        <w:rPr>
          <w:rFonts w:cs="Arial"/>
          <w:snapToGrid w:val="0"/>
          <w:szCs w:val="22"/>
        </w:rPr>
        <w:t xml:space="preserve">understands that the scope of consideration of Recommendation 17 is the </w:t>
      </w:r>
      <w:r w:rsidR="00831460">
        <w:rPr>
          <w:rFonts w:cs="Arial"/>
          <w:snapToGrid w:val="0"/>
          <w:szCs w:val="22"/>
        </w:rPr>
        <w:t xml:space="preserve">proposed </w:t>
      </w:r>
      <w:r>
        <w:rPr>
          <w:rFonts w:cs="Arial"/>
          <w:snapToGrid w:val="0"/>
          <w:szCs w:val="22"/>
        </w:rPr>
        <w:t xml:space="preserve">removal of the mandatory requirement to include </w:t>
      </w:r>
      <w:r w:rsidRPr="001D40D4">
        <w:rPr>
          <w:rFonts w:cs="Arial"/>
          <w:snapToGrid w:val="0"/>
          <w:szCs w:val="22"/>
        </w:rPr>
        <w:t>per serving nutrient and energy declarations</w:t>
      </w:r>
      <w:r>
        <w:rPr>
          <w:rFonts w:cs="Arial"/>
          <w:snapToGrid w:val="0"/>
          <w:szCs w:val="22"/>
        </w:rPr>
        <w:t xml:space="preserve"> in the NIP but not to necessarily prevent the option of voluntary per serving declarations.</w:t>
      </w:r>
    </w:p>
    <w:p w:rsidR="0099090F" w:rsidRPr="00D164DF" w:rsidRDefault="0099090F" w:rsidP="0032007D">
      <w:pPr>
        <w:rPr>
          <w:rFonts w:cs="Arial"/>
          <w:snapToGrid w:val="0"/>
          <w:szCs w:val="22"/>
        </w:rPr>
      </w:pPr>
    </w:p>
    <w:p w:rsidR="00FB6F5D" w:rsidRPr="008157D9" w:rsidRDefault="007F163A" w:rsidP="00FB6F5D">
      <w:pPr>
        <w:rPr>
          <w:rFonts w:cs="Arial"/>
          <w:snapToGrid w:val="0"/>
          <w:szCs w:val="22"/>
        </w:rPr>
      </w:pPr>
      <w:r>
        <w:rPr>
          <w:rStyle w:val="ms-rtefontsize-21"/>
          <w:rFonts w:cs="Arial"/>
          <w:sz w:val="22"/>
          <w:szCs w:val="22"/>
        </w:rPr>
        <w:t>This</w:t>
      </w:r>
      <w:r w:rsidR="00233C9B">
        <w:rPr>
          <w:rFonts w:cs="Arial"/>
          <w:snapToGrid w:val="0"/>
          <w:szCs w:val="22"/>
        </w:rPr>
        <w:t xml:space="preserve"> project</w:t>
      </w:r>
      <w:r w:rsidR="00321D77">
        <w:rPr>
          <w:rFonts w:cs="Arial"/>
          <w:snapToGrid w:val="0"/>
          <w:szCs w:val="22"/>
        </w:rPr>
        <w:t xml:space="preserve"> </w:t>
      </w:r>
      <w:r w:rsidR="00F86AB3" w:rsidRPr="001D40D4">
        <w:rPr>
          <w:rFonts w:cs="Arial"/>
          <w:snapToGrid w:val="0"/>
          <w:szCs w:val="22"/>
        </w:rPr>
        <w:t>exclude</w:t>
      </w:r>
      <w:r w:rsidR="00321D77">
        <w:rPr>
          <w:rFonts w:cs="Arial"/>
          <w:snapToGrid w:val="0"/>
          <w:szCs w:val="22"/>
        </w:rPr>
        <w:t>s</w:t>
      </w:r>
      <w:r w:rsidR="00F86AB3" w:rsidRPr="001D40D4">
        <w:rPr>
          <w:rFonts w:cs="Arial"/>
          <w:snapToGrid w:val="0"/>
          <w:szCs w:val="22"/>
        </w:rPr>
        <w:t xml:space="preserve"> consideration of the serving size statement, a formal cost-benefit analysis,</w:t>
      </w:r>
      <w:r w:rsidR="00984C33">
        <w:rPr>
          <w:rFonts w:cs="Arial"/>
          <w:snapToGrid w:val="0"/>
          <w:szCs w:val="22"/>
        </w:rPr>
        <w:t xml:space="preserve"> and </w:t>
      </w:r>
      <w:r w:rsidR="00F86AB3" w:rsidRPr="001D40D4">
        <w:rPr>
          <w:rFonts w:cs="Arial"/>
          <w:snapToGrid w:val="0"/>
          <w:szCs w:val="22"/>
        </w:rPr>
        <w:t>any other aspects related to the format/content of the NIP including mandating serving sizes</w:t>
      </w:r>
      <w:bookmarkEnd w:id="24"/>
      <w:bookmarkEnd w:id="25"/>
      <w:bookmarkEnd w:id="26"/>
      <w:bookmarkEnd w:id="27"/>
      <w:bookmarkEnd w:id="28"/>
      <w:bookmarkEnd w:id="29"/>
      <w:r w:rsidR="008157D9">
        <w:rPr>
          <w:rFonts w:cs="Arial"/>
          <w:snapToGrid w:val="0"/>
          <w:szCs w:val="22"/>
        </w:rPr>
        <w:t>.</w:t>
      </w:r>
    </w:p>
    <w:p w:rsidR="00FF1E27" w:rsidRDefault="00FF1E27" w:rsidP="00FF1E27">
      <w:pPr>
        <w:pStyle w:val="Heading1"/>
      </w:pPr>
      <w:bookmarkStart w:id="32" w:name="_Toc405365734"/>
      <w:r>
        <w:t>3</w:t>
      </w:r>
      <w:r>
        <w:tab/>
      </w:r>
      <w:r w:rsidR="00E31815">
        <w:t>Uses</w:t>
      </w:r>
      <w:r>
        <w:t xml:space="preserve"> of per serving information on food labels</w:t>
      </w:r>
      <w:bookmarkEnd w:id="32"/>
    </w:p>
    <w:p w:rsidR="00FF1E27" w:rsidRDefault="00FF1E27" w:rsidP="00FF1E27">
      <w:r>
        <w:t>Per serving information on food labels may have a number of uses as follows:</w:t>
      </w:r>
    </w:p>
    <w:p w:rsidR="00FF1E27" w:rsidRDefault="00FF1E27" w:rsidP="00FF1E27"/>
    <w:p w:rsidR="00A07A05" w:rsidRDefault="00FF1E27" w:rsidP="001F0C9A">
      <w:pPr>
        <w:pStyle w:val="FSBullet1"/>
      </w:pPr>
      <w:r>
        <w:t xml:space="preserve">to help consumers evaluate the nutrient content of a particular food in the context of the </w:t>
      </w:r>
      <w:r w:rsidR="00DC43B5">
        <w:t xml:space="preserve">number of servings consumed and the </w:t>
      </w:r>
      <w:r>
        <w:t>whole diet</w:t>
      </w:r>
    </w:p>
    <w:p w:rsidR="00A07A05" w:rsidRDefault="00A07A05" w:rsidP="001F0C9A">
      <w:pPr>
        <w:pStyle w:val="FSBullet1"/>
      </w:pPr>
      <w:r>
        <w:t xml:space="preserve">to facilitate easy comparison of the energy and nutrient content of foods in single serve portions </w:t>
      </w:r>
    </w:p>
    <w:p w:rsidR="00FF1E27" w:rsidRDefault="00FF1E27" w:rsidP="001F0C9A">
      <w:pPr>
        <w:pStyle w:val="FSBullet1"/>
      </w:pPr>
      <w:r>
        <w:t>to provide information needed for enforcement agencies to easily check compliance with the Code, e.g. meeting conditions for nutrition content claims where the conditions are based on per serving amounts</w:t>
      </w:r>
    </w:p>
    <w:p w:rsidR="00FF1E27" w:rsidRDefault="00FF1E27" w:rsidP="001F0C9A">
      <w:pPr>
        <w:pStyle w:val="FSBullet1"/>
      </w:pPr>
      <w:r>
        <w:t xml:space="preserve">to provide information for health professionals when guiding clients with special dietary requirements e.g. </w:t>
      </w:r>
      <w:r w:rsidR="0001690D">
        <w:t>salt intake</w:t>
      </w:r>
      <w:r w:rsidR="00A07A05">
        <w:t xml:space="preserve"> (noting that such information could be calculated using the values in the per 100</w:t>
      </w:r>
      <w:r w:rsidR="00995909">
        <w:t xml:space="preserve"> </w:t>
      </w:r>
      <w:r w:rsidR="00A07A05">
        <w:t>g/100 mL column)</w:t>
      </w:r>
    </w:p>
    <w:p w:rsidR="0001690D" w:rsidRDefault="0001690D" w:rsidP="001F0C9A">
      <w:pPr>
        <w:pStyle w:val="FSBullet1"/>
      </w:pPr>
      <w:proofErr w:type="gramStart"/>
      <w:r>
        <w:t>to</w:t>
      </w:r>
      <w:proofErr w:type="gramEnd"/>
      <w:r>
        <w:t xml:space="preserve"> provide easily available information for </w:t>
      </w:r>
      <w:r w:rsidR="004F02F2">
        <w:t xml:space="preserve">voluntary </w:t>
      </w:r>
      <w:r w:rsidR="00F553CB">
        <w:t xml:space="preserve">labelling </w:t>
      </w:r>
      <w:r>
        <w:t xml:space="preserve">schemes such as the </w:t>
      </w:r>
      <w:proofErr w:type="spellStart"/>
      <w:r w:rsidR="008157D9">
        <w:t>Glycemic</w:t>
      </w:r>
      <w:proofErr w:type="spellEnd"/>
      <w:r w:rsidR="008157D9">
        <w:t xml:space="preserve"> Index (</w:t>
      </w:r>
      <w:r>
        <w:t>GI</w:t>
      </w:r>
      <w:r w:rsidR="008157D9">
        <w:t>)</w:t>
      </w:r>
      <w:r>
        <w:t xml:space="preserve"> symbol program</w:t>
      </w:r>
      <w:r w:rsidR="000B1192">
        <w:t xml:space="preserve"> (in relation to required amoun</w:t>
      </w:r>
      <w:r w:rsidR="005D3B10">
        <w:t>t</w:t>
      </w:r>
      <w:r w:rsidR="000B1192">
        <w:t xml:space="preserve"> of carbohydrate per serving)</w:t>
      </w:r>
      <w:r>
        <w:t>, the Heart Foundation P</w:t>
      </w:r>
      <w:r w:rsidR="005D3B10">
        <w:t>ick-the-T</w:t>
      </w:r>
      <w:r>
        <w:t>ick programme</w:t>
      </w:r>
      <w:r w:rsidR="008157D9">
        <w:rPr>
          <w:rStyle w:val="FootnoteReference"/>
        </w:rPr>
        <w:footnoteReference w:id="2"/>
      </w:r>
      <w:r>
        <w:t xml:space="preserve">, and Healthy Kids </w:t>
      </w:r>
      <w:r w:rsidR="008157D9">
        <w:t xml:space="preserve">Association </w:t>
      </w:r>
      <w:r>
        <w:t>program</w:t>
      </w:r>
      <w:r w:rsidR="008157D9">
        <w:t>s</w:t>
      </w:r>
      <w:r w:rsidR="0054593A">
        <w:t xml:space="preserve"> for food in school canteens</w:t>
      </w:r>
      <w:r w:rsidR="008157D9">
        <w:t xml:space="preserve"> in Australia</w:t>
      </w:r>
      <w:r w:rsidR="008157D9">
        <w:rPr>
          <w:rStyle w:val="FootnoteReference"/>
        </w:rPr>
        <w:footnoteReference w:id="3"/>
      </w:r>
      <w:r>
        <w:t>.</w:t>
      </w:r>
    </w:p>
    <w:p w:rsidR="00921DA5" w:rsidRDefault="00921DA5">
      <w:pPr>
        <w:widowControl/>
      </w:pPr>
      <w:r>
        <w:br w:type="page"/>
      </w:r>
    </w:p>
    <w:tbl>
      <w:tblPr>
        <w:tblStyle w:val="TableGrid"/>
        <w:tblW w:w="0" w:type="auto"/>
        <w:tblLook w:val="04A0" w:firstRow="1" w:lastRow="0" w:firstColumn="1" w:lastColumn="0" w:noHBand="0" w:noVBand="1"/>
      </w:tblPr>
      <w:tblGrid>
        <w:gridCol w:w="9286"/>
      </w:tblGrid>
      <w:tr w:rsidR="00E31815" w:rsidTr="00E31815">
        <w:tc>
          <w:tcPr>
            <w:tcW w:w="9286" w:type="dxa"/>
            <w:shd w:val="clear" w:color="auto" w:fill="D9D9D9" w:themeFill="background1" w:themeFillShade="D9"/>
          </w:tcPr>
          <w:p w:rsidR="00E31815" w:rsidRPr="00E31815" w:rsidRDefault="00E31815" w:rsidP="00E31815">
            <w:pPr>
              <w:rPr>
                <w:b/>
              </w:rPr>
            </w:pPr>
            <w:r w:rsidRPr="00E31815">
              <w:rPr>
                <w:b/>
              </w:rPr>
              <w:lastRenderedPageBreak/>
              <w:t>Question for Submitters</w:t>
            </w:r>
          </w:p>
          <w:p w:rsidR="00E31815" w:rsidRDefault="00E31815" w:rsidP="00E31815"/>
          <w:p w:rsidR="00E31815" w:rsidRDefault="00E31815" w:rsidP="00132D9E">
            <w:pPr>
              <w:ind w:left="567" w:hanging="567"/>
              <w:rPr>
                <w:rFonts w:cs="Arial"/>
              </w:rPr>
            </w:pPr>
            <w:r>
              <w:t>Q1</w:t>
            </w:r>
            <w:r>
              <w:tab/>
            </w:r>
            <w:r>
              <w:rPr>
                <w:rFonts w:cs="Arial"/>
              </w:rPr>
              <w:t>How do you or your organisation use per serving information in the nutrition information panel on food labels?</w:t>
            </w:r>
          </w:p>
          <w:p w:rsidR="00A94EBA" w:rsidRDefault="00A94EBA" w:rsidP="00132D9E">
            <w:pPr>
              <w:ind w:left="567" w:hanging="567"/>
              <w:rPr>
                <w:rFonts w:cs="Arial"/>
              </w:rPr>
            </w:pPr>
          </w:p>
          <w:p w:rsidR="00E31815" w:rsidRDefault="00A94EBA" w:rsidP="001F0C9A">
            <w:pPr>
              <w:ind w:left="567" w:hanging="567"/>
            </w:pPr>
            <w:r>
              <w:rPr>
                <w:rFonts w:cs="Arial"/>
              </w:rPr>
              <w:t>Q2</w:t>
            </w:r>
            <w:r>
              <w:rPr>
                <w:rFonts w:cs="Arial"/>
              </w:rPr>
              <w:tab/>
              <w:t xml:space="preserve">Are there any particular food categories or types of food packages (e.g. single serve packages) for which per serving information is particularly useful? </w:t>
            </w:r>
            <w:r w:rsidR="007F163A">
              <w:rPr>
                <w:rFonts w:cs="Arial"/>
              </w:rPr>
              <w:t>If so, what are they</w:t>
            </w:r>
            <w:r>
              <w:rPr>
                <w:rFonts w:cs="Arial"/>
              </w:rPr>
              <w:t>?</w:t>
            </w:r>
            <w:r w:rsidR="007F163A">
              <w:rPr>
                <w:rFonts w:cs="Arial"/>
              </w:rPr>
              <w:t xml:space="preserve"> Explain why the information is useful.</w:t>
            </w:r>
          </w:p>
        </w:tc>
      </w:tr>
    </w:tbl>
    <w:p w:rsidR="005F7342" w:rsidRPr="00932F14" w:rsidRDefault="00CA55F0" w:rsidP="00E203C2">
      <w:pPr>
        <w:pStyle w:val="Heading1"/>
      </w:pPr>
      <w:bookmarkStart w:id="33" w:name="_Toc405365735"/>
      <w:r>
        <w:t>4</w:t>
      </w:r>
      <w:r w:rsidR="00FB6F5D">
        <w:tab/>
      </w:r>
      <w:r w:rsidR="00166B9B">
        <w:t>Requirements for per</w:t>
      </w:r>
      <w:r w:rsidR="007D65E7">
        <w:t xml:space="preserve"> serving information in the </w:t>
      </w:r>
      <w:r w:rsidR="007D65E7" w:rsidRPr="007D65E7">
        <w:rPr>
          <w:i/>
        </w:rPr>
        <w:t>Australia New Zealand Food Standards Code</w:t>
      </w:r>
      <w:bookmarkEnd w:id="33"/>
    </w:p>
    <w:p w:rsidR="007D65E7" w:rsidRPr="007D65E7" w:rsidRDefault="00CA55F0" w:rsidP="007D65E7">
      <w:pPr>
        <w:pStyle w:val="Heading2"/>
      </w:pPr>
      <w:bookmarkStart w:id="34" w:name="_Toc405365736"/>
      <w:bookmarkStart w:id="35" w:name="_Toc11735643"/>
      <w:bookmarkStart w:id="36" w:name="_Toc29883130"/>
      <w:bookmarkStart w:id="37" w:name="_Toc41906817"/>
      <w:bookmarkStart w:id="38" w:name="_Toc41907564"/>
      <w:bookmarkStart w:id="39" w:name="_Toc43112360"/>
      <w:r>
        <w:t>4</w:t>
      </w:r>
      <w:r w:rsidR="00FB6F5D">
        <w:t>.1</w:t>
      </w:r>
      <w:r w:rsidR="00513177">
        <w:tab/>
      </w:r>
      <w:r w:rsidR="009F5A21">
        <w:t>R</w:t>
      </w:r>
      <w:r w:rsidR="007D65E7">
        <w:t>equirements</w:t>
      </w:r>
      <w:r w:rsidR="00CA47A0">
        <w:t xml:space="preserve"> for per serving information</w:t>
      </w:r>
      <w:bookmarkEnd w:id="34"/>
    </w:p>
    <w:p w:rsidR="007D65E7" w:rsidRDefault="00C3110A" w:rsidP="007D65E7">
      <w:r w:rsidRPr="0098717D">
        <w:t>Standard 1.2.8 – Nutrition Information Requirements</w:t>
      </w:r>
      <w:r>
        <w:t>, sets out the requirements</w:t>
      </w:r>
      <w:r w:rsidR="007D65E7">
        <w:t xml:space="preserve"> for format and content of the NIP.</w:t>
      </w:r>
      <w:r>
        <w:t xml:space="preserve"> </w:t>
      </w:r>
    </w:p>
    <w:p w:rsidR="007D65E7" w:rsidRDefault="007D65E7" w:rsidP="007D65E7">
      <w:pPr>
        <w:pStyle w:val="ListParagraph"/>
        <w:ind w:left="0"/>
      </w:pPr>
    </w:p>
    <w:p w:rsidR="007D65E7" w:rsidRPr="00B601CC" w:rsidRDefault="007D65E7" w:rsidP="007D65E7">
      <w:pPr>
        <w:rPr>
          <w:rFonts w:cs="Arial"/>
        </w:rPr>
      </w:pPr>
      <w:r w:rsidRPr="00B601CC">
        <w:rPr>
          <w:rFonts w:cs="Arial"/>
        </w:rPr>
        <w:t xml:space="preserve">The average </w:t>
      </w:r>
      <w:r>
        <w:rPr>
          <w:rFonts w:cs="Arial"/>
        </w:rPr>
        <w:t>quantity</w:t>
      </w:r>
      <w:r w:rsidRPr="00B601CC">
        <w:rPr>
          <w:rFonts w:cs="Arial"/>
        </w:rPr>
        <w:t xml:space="preserve"> of the following</w:t>
      </w:r>
      <w:r>
        <w:rPr>
          <w:rFonts w:cs="Arial"/>
        </w:rPr>
        <w:t xml:space="preserve"> must be declared pe</w:t>
      </w:r>
      <w:r w:rsidR="0054593A">
        <w:rPr>
          <w:rFonts w:cs="Arial"/>
        </w:rPr>
        <w:t>r serving and per 100</w:t>
      </w:r>
      <w:r w:rsidR="001309CF">
        <w:rPr>
          <w:rFonts w:cs="Arial"/>
        </w:rPr>
        <w:t xml:space="preserve"> </w:t>
      </w:r>
      <w:r w:rsidR="0054593A">
        <w:rPr>
          <w:rFonts w:cs="Arial"/>
        </w:rPr>
        <w:t>g or 100 mL</w:t>
      </w:r>
      <w:r>
        <w:rPr>
          <w:rFonts w:cs="Arial"/>
        </w:rPr>
        <w:t xml:space="preserve"> of the food</w:t>
      </w:r>
      <w:r w:rsidR="00166B9B">
        <w:rPr>
          <w:rFonts w:cs="Arial"/>
        </w:rPr>
        <w:t xml:space="preserve"> in the NIP</w:t>
      </w:r>
      <w:r w:rsidRPr="00B601CC">
        <w:rPr>
          <w:rFonts w:cs="Arial"/>
        </w:rPr>
        <w:t>:</w:t>
      </w:r>
    </w:p>
    <w:p w:rsidR="007D65E7" w:rsidRPr="00B601CC" w:rsidRDefault="007D65E7" w:rsidP="007D65E7">
      <w:pPr>
        <w:rPr>
          <w:rFonts w:cs="Arial"/>
        </w:rPr>
      </w:pPr>
    </w:p>
    <w:p w:rsidR="007D65E7" w:rsidRPr="00B601CC" w:rsidRDefault="007D65E7" w:rsidP="007D65E7">
      <w:pPr>
        <w:pStyle w:val="FSBullet1"/>
        <w:numPr>
          <w:ilvl w:val="0"/>
          <w:numId w:val="7"/>
        </w:numPr>
        <w:tabs>
          <w:tab w:val="num" w:pos="567"/>
        </w:tabs>
        <w:ind w:left="567" w:hanging="567"/>
      </w:pPr>
      <w:r w:rsidRPr="00B601CC">
        <w:t>energy content</w:t>
      </w:r>
      <w:r>
        <w:t xml:space="preserve"> (expressed in kilojoules or in both kilojoules and calories (kilocalories))</w:t>
      </w:r>
    </w:p>
    <w:p w:rsidR="007D65E7" w:rsidRPr="00B601CC" w:rsidRDefault="007D65E7" w:rsidP="007D65E7">
      <w:pPr>
        <w:pStyle w:val="FSBullet1"/>
        <w:numPr>
          <w:ilvl w:val="0"/>
          <w:numId w:val="7"/>
        </w:numPr>
        <w:tabs>
          <w:tab w:val="num" w:pos="567"/>
        </w:tabs>
        <w:ind w:left="567" w:hanging="567"/>
      </w:pPr>
      <w:r w:rsidRPr="00B601CC">
        <w:t>protein</w:t>
      </w:r>
    </w:p>
    <w:p w:rsidR="007D65E7" w:rsidRPr="00B601CC" w:rsidRDefault="007D65E7" w:rsidP="007D65E7">
      <w:pPr>
        <w:pStyle w:val="FSBullet1"/>
        <w:numPr>
          <w:ilvl w:val="0"/>
          <w:numId w:val="7"/>
        </w:numPr>
        <w:tabs>
          <w:tab w:val="num" w:pos="567"/>
        </w:tabs>
        <w:ind w:left="567" w:hanging="567"/>
        <w:rPr>
          <w:szCs w:val="22"/>
        </w:rPr>
      </w:pPr>
      <w:r w:rsidRPr="00B601CC">
        <w:rPr>
          <w:szCs w:val="22"/>
        </w:rPr>
        <w:t>fat</w:t>
      </w:r>
    </w:p>
    <w:p w:rsidR="007D65E7" w:rsidRPr="00B601CC" w:rsidRDefault="007D65E7" w:rsidP="007D65E7">
      <w:pPr>
        <w:pStyle w:val="FSBullet1"/>
        <w:numPr>
          <w:ilvl w:val="0"/>
          <w:numId w:val="7"/>
        </w:numPr>
        <w:tabs>
          <w:tab w:val="num" w:pos="567"/>
        </w:tabs>
        <w:ind w:left="567" w:hanging="567"/>
        <w:rPr>
          <w:szCs w:val="22"/>
        </w:rPr>
      </w:pPr>
      <w:r w:rsidRPr="00B601CC">
        <w:rPr>
          <w:szCs w:val="22"/>
        </w:rPr>
        <w:t>saturated fat</w:t>
      </w:r>
    </w:p>
    <w:p w:rsidR="007D65E7" w:rsidRPr="00B601CC" w:rsidRDefault="007D65E7" w:rsidP="007D65E7">
      <w:pPr>
        <w:pStyle w:val="FSBullet1"/>
        <w:numPr>
          <w:ilvl w:val="0"/>
          <w:numId w:val="7"/>
        </w:numPr>
        <w:tabs>
          <w:tab w:val="num" w:pos="567"/>
        </w:tabs>
        <w:ind w:left="567" w:hanging="567"/>
        <w:rPr>
          <w:szCs w:val="22"/>
        </w:rPr>
      </w:pPr>
      <w:r w:rsidRPr="00B601CC">
        <w:rPr>
          <w:szCs w:val="22"/>
        </w:rPr>
        <w:t>carbohydrate</w:t>
      </w:r>
    </w:p>
    <w:p w:rsidR="007D65E7" w:rsidRPr="00B601CC" w:rsidRDefault="007D65E7" w:rsidP="007D65E7">
      <w:pPr>
        <w:pStyle w:val="FSBullet1"/>
        <w:numPr>
          <w:ilvl w:val="0"/>
          <w:numId w:val="7"/>
        </w:numPr>
        <w:tabs>
          <w:tab w:val="num" w:pos="567"/>
        </w:tabs>
        <w:ind w:left="567" w:hanging="567"/>
        <w:rPr>
          <w:szCs w:val="22"/>
        </w:rPr>
      </w:pPr>
      <w:r w:rsidRPr="00B601CC">
        <w:rPr>
          <w:szCs w:val="22"/>
        </w:rPr>
        <w:t>sugars</w:t>
      </w:r>
    </w:p>
    <w:p w:rsidR="007D65E7" w:rsidRDefault="007D65E7" w:rsidP="007D65E7">
      <w:pPr>
        <w:pStyle w:val="FSBullet1"/>
        <w:numPr>
          <w:ilvl w:val="0"/>
          <w:numId w:val="7"/>
        </w:numPr>
        <w:tabs>
          <w:tab w:val="num" w:pos="567"/>
        </w:tabs>
        <w:ind w:left="567" w:hanging="567"/>
        <w:rPr>
          <w:szCs w:val="22"/>
        </w:rPr>
      </w:pPr>
      <w:r w:rsidRPr="00B601CC">
        <w:rPr>
          <w:szCs w:val="22"/>
        </w:rPr>
        <w:t>sodium</w:t>
      </w:r>
      <w:r>
        <w:rPr>
          <w:szCs w:val="22"/>
        </w:rPr>
        <w:t xml:space="preserve"> (expressed in milligrams; or both milligrams and millimoles), and</w:t>
      </w:r>
    </w:p>
    <w:p w:rsidR="007D65E7" w:rsidRDefault="007D65E7" w:rsidP="007D65E7">
      <w:pPr>
        <w:pStyle w:val="FSBullet1"/>
        <w:numPr>
          <w:ilvl w:val="0"/>
          <w:numId w:val="7"/>
        </w:numPr>
        <w:tabs>
          <w:tab w:val="num" w:pos="567"/>
        </w:tabs>
        <w:ind w:left="567" w:hanging="567"/>
        <w:rPr>
          <w:szCs w:val="22"/>
        </w:rPr>
      </w:pPr>
      <w:proofErr w:type="gramStart"/>
      <w:r w:rsidRPr="003131FD">
        <w:rPr>
          <w:szCs w:val="22"/>
        </w:rPr>
        <w:t>any</w:t>
      </w:r>
      <w:proofErr w:type="gramEnd"/>
      <w:r w:rsidRPr="003131FD">
        <w:rPr>
          <w:szCs w:val="22"/>
        </w:rPr>
        <w:t xml:space="preserve"> other nutrient or biologically active substance</w:t>
      </w:r>
      <w:r>
        <w:rPr>
          <w:rStyle w:val="FootnoteReference"/>
          <w:szCs w:val="22"/>
        </w:rPr>
        <w:footnoteReference w:id="4"/>
      </w:r>
      <w:r w:rsidRPr="003131FD">
        <w:rPr>
          <w:szCs w:val="22"/>
        </w:rPr>
        <w:t xml:space="preserve"> about which </w:t>
      </w:r>
      <w:r w:rsidRPr="006663FA">
        <w:rPr>
          <w:i/>
          <w:szCs w:val="22"/>
        </w:rPr>
        <w:t xml:space="preserve">a claim requiring nutrition information </w:t>
      </w:r>
      <w:r w:rsidRPr="006663FA">
        <w:rPr>
          <w:szCs w:val="22"/>
        </w:rPr>
        <w:t>is made</w:t>
      </w:r>
      <w:r w:rsidR="006663FA">
        <w:rPr>
          <w:rStyle w:val="FootnoteReference"/>
          <w:i/>
          <w:szCs w:val="22"/>
        </w:rPr>
        <w:footnoteReference w:id="5"/>
      </w:r>
      <w:r w:rsidRPr="003131FD">
        <w:rPr>
          <w:szCs w:val="22"/>
        </w:rPr>
        <w:t>.</w:t>
      </w:r>
    </w:p>
    <w:p w:rsidR="009F5A21" w:rsidRDefault="009F5A21" w:rsidP="009F5A21">
      <w:pPr>
        <w:rPr>
          <w:lang w:bidi="ar-SA"/>
        </w:rPr>
      </w:pPr>
    </w:p>
    <w:p w:rsidR="0054593A" w:rsidRDefault="0054593A" w:rsidP="009F5A21">
      <w:pPr>
        <w:rPr>
          <w:rFonts w:cs="Arial"/>
          <w:szCs w:val="22"/>
        </w:rPr>
      </w:pPr>
      <w:r>
        <w:rPr>
          <w:rFonts w:cs="Arial"/>
          <w:szCs w:val="22"/>
        </w:rPr>
        <w:t xml:space="preserve">For foods intended to be prepared or consumed with at least one other food, food businesses have the option of including </w:t>
      </w:r>
      <w:r w:rsidR="00BC5F63" w:rsidRPr="00B601CC">
        <w:rPr>
          <w:rFonts w:cs="Arial"/>
          <w:szCs w:val="22"/>
        </w:rPr>
        <w:t xml:space="preserve">an additional column in </w:t>
      </w:r>
      <w:r w:rsidR="00BC5F63">
        <w:rPr>
          <w:rFonts w:cs="Arial"/>
          <w:szCs w:val="22"/>
        </w:rPr>
        <w:t>the NIP</w:t>
      </w:r>
      <w:r w:rsidR="00BC5F63" w:rsidRPr="00B601CC">
        <w:rPr>
          <w:rFonts w:cs="Arial"/>
          <w:szCs w:val="22"/>
        </w:rPr>
        <w:t xml:space="preserve"> that reflects the food prepa</w:t>
      </w:r>
      <w:r w:rsidR="00BC5F63">
        <w:rPr>
          <w:rFonts w:cs="Arial"/>
          <w:szCs w:val="22"/>
        </w:rPr>
        <w:t>red with other intended foods</w:t>
      </w:r>
      <w:r w:rsidR="0045797A">
        <w:rPr>
          <w:rFonts w:cs="Arial"/>
          <w:szCs w:val="22"/>
        </w:rPr>
        <w:t xml:space="preserve"> (clause 11 of Standard 1.2.8)</w:t>
      </w:r>
      <w:r w:rsidR="00BC5F63">
        <w:rPr>
          <w:rFonts w:cs="Arial"/>
          <w:szCs w:val="22"/>
        </w:rPr>
        <w:t xml:space="preserve">. However if a claim requiring nutrition information is made about a food that is required to be prepared or consumed with at least one other food, the NIP must include this additional column. The </w:t>
      </w:r>
      <w:r w:rsidR="00A07A05">
        <w:rPr>
          <w:rFonts w:cs="Arial"/>
          <w:szCs w:val="22"/>
        </w:rPr>
        <w:t>heading for</w:t>
      </w:r>
      <w:r w:rsidR="00BC5F63">
        <w:rPr>
          <w:rFonts w:cs="Arial"/>
          <w:szCs w:val="22"/>
        </w:rPr>
        <w:t xml:space="preserve"> the additional column </w:t>
      </w:r>
      <w:r w:rsidRPr="00B601CC">
        <w:rPr>
          <w:rFonts w:cs="Arial"/>
          <w:szCs w:val="22"/>
        </w:rPr>
        <w:t>outline</w:t>
      </w:r>
      <w:r w:rsidR="001309CF">
        <w:rPr>
          <w:rFonts w:cs="Arial"/>
          <w:szCs w:val="22"/>
        </w:rPr>
        <w:t>s</w:t>
      </w:r>
      <w:r w:rsidRPr="00B601CC">
        <w:rPr>
          <w:rFonts w:cs="Arial"/>
          <w:szCs w:val="22"/>
        </w:rPr>
        <w:t xml:space="preserve"> what the additional foods are and the quantities o</w:t>
      </w:r>
      <w:r w:rsidR="001309CF">
        <w:rPr>
          <w:rFonts w:cs="Arial"/>
          <w:szCs w:val="22"/>
        </w:rPr>
        <w:t xml:space="preserve">f these foods. The column </w:t>
      </w:r>
      <w:r w:rsidRPr="00B601CC">
        <w:rPr>
          <w:rFonts w:cs="Arial"/>
          <w:szCs w:val="22"/>
        </w:rPr>
        <w:t>then reflect</w:t>
      </w:r>
      <w:r w:rsidR="001309CF">
        <w:rPr>
          <w:rFonts w:cs="Arial"/>
          <w:szCs w:val="22"/>
        </w:rPr>
        <w:t>s</w:t>
      </w:r>
      <w:r w:rsidRPr="00B601CC">
        <w:rPr>
          <w:rFonts w:cs="Arial"/>
          <w:szCs w:val="22"/>
        </w:rPr>
        <w:t xml:space="preserve"> the average quantities of </w:t>
      </w:r>
      <w:r>
        <w:rPr>
          <w:rFonts w:cs="Arial"/>
          <w:szCs w:val="22"/>
        </w:rPr>
        <w:t xml:space="preserve">energy and </w:t>
      </w:r>
      <w:r w:rsidRPr="00B601CC">
        <w:rPr>
          <w:rFonts w:cs="Arial"/>
          <w:szCs w:val="22"/>
        </w:rPr>
        <w:t>nutrients in the food made up with the oth</w:t>
      </w:r>
      <w:r w:rsidR="00BC5F63">
        <w:rPr>
          <w:rFonts w:cs="Arial"/>
          <w:szCs w:val="22"/>
        </w:rPr>
        <w:t>er intended foods. It is at the</w:t>
      </w:r>
      <w:r w:rsidRPr="00B601CC">
        <w:rPr>
          <w:rFonts w:cs="Arial"/>
          <w:szCs w:val="22"/>
        </w:rPr>
        <w:t xml:space="preserve"> discretion</w:t>
      </w:r>
      <w:r w:rsidR="0045797A">
        <w:rPr>
          <w:rFonts w:cs="Arial"/>
          <w:szCs w:val="22"/>
        </w:rPr>
        <w:t xml:space="preserve"> of the food busi</w:t>
      </w:r>
      <w:r w:rsidR="00BC5F63">
        <w:rPr>
          <w:rFonts w:cs="Arial"/>
          <w:szCs w:val="22"/>
        </w:rPr>
        <w:t>ness</w:t>
      </w:r>
      <w:r w:rsidRPr="00B601CC">
        <w:rPr>
          <w:rFonts w:cs="Arial"/>
          <w:szCs w:val="22"/>
        </w:rPr>
        <w:t xml:space="preserve"> whether th</w:t>
      </w:r>
      <w:r w:rsidR="00BC5F63">
        <w:rPr>
          <w:rFonts w:cs="Arial"/>
          <w:szCs w:val="22"/>
        </w:rPr>
        <w:t>is column is displayed per serving</w:t>
      </w:r>
      <w:r w:rsidRPr="00B601CC">
        <w:rPr>
          <w:rFonts w:cs="Arial"/>
          <w:szCs w:val="22"/>
        </w:rPr>
        <w:t xml:space="preserve"> or per 100 g or 100 mL.</w:t>
      </w:r>
    </w:p>
    <w:p w:rsidR="0054593A" w:rsidRDefault="0054593A" w:rsidP="009F5A21">
      <w:pPr>
        <w:rPr>
          <w:rFonts w:cs="Arial"/>
          <w:szCs w:val="22"/>
        </w:rPr>
      </w:pPr>
    </w:p>
    <w:p w:rsidR="00132D9E" w:rsidRDefault="009F5A21" w:rsidP="009F5A21">
      <w:r>
        <w:rPr>
          <w:rFonts w:cs="Arial"/>
          <w:szCs w:val="22"/>
        </w:rPr>
        <w:t>There</w:t>
      </w:r>
      <w:r w:rsidRPr="00F26215">
        <w:rPr>
          <w:rFonts w:cs="Arial"/>
          <w:szCs w:val="22"/>
        </w:rPr>
        <w:t xml:space="preserve"> are </w:t>
      </w:r>
      <w:r>
        <w:rPr>
          <w:rFonts w:cs="Arial"/>
          <w:szCs w:val="22"/>
        </w:rPr>
        <w:t xml:space="preserve">additional information requirements </w:t>
      </w:r>
      <w:r w:rsidRPr="00F26215">
        <w:rPr>
          <w:rFonts w:cs="Arial"/>
          <w:szCs w:val="22"/>
        </w:rPr>
        <w:t xml:space="preserve">in </w:t>
      </w:r>
      <w:r>
        <w:rPr>
          <w:rFonts w:cs="Arial"/>
          <w:szCs w:val="22"/>
        </w:rPr>
        <w:t xml:space="preserve">Standard 1.2.7 </w:t>
      </w:r>
      <w:r w:rsidR="00132D9E">
        <w:rPr>
          <w:rFonts w:cs="Arial"/>
          <w:szCs w:val="22"/>
        </w:rPr>
        <w:t xml:space="preserve">– Nutrition, Health and Related Claims </w:t>
      </w:r>
      <w:r>
        <w:rPr>
          <w:rFonts w:cs="Arial"/>
          <w:szCs w:val="22"/>
        </w:rPr>
        <w:t xml:space="preserve">and </w:t>
      </w:r>
      <w:r w:rsidRPr="00F26215">
        <w:rPr>
          <w:rFonts w:cs="Arial"/>
          <w:szCs w:val="22"/>
        </w:rPr>
        <w:t xml:space="preserve">Standard 1.2.8 associated with making nutrition </w:t>
      </w:r>
      <w:r>
        <w:rPr>
          <w:rFonts w:cs="Arial"/>
          <w:szCs w:val="22"/>
        </w:rPr>
        <w:t xml:space="preserve">content </w:t>
      </w:r>
      <w:r w:rsidRPr="00F26215">
        <w:rPr>
          <w:rFonts w:cs="Arial"/>
          <w:szCs w:val="22"/>
        </w:rPr>
        <w:t xml:space="preserve">claims </w:t>
      </w:r>
      <w:r>
        <w:rPr>
          <w:rFonts w:cs="Arial"/>
          <w:szCs w:val="22"/>
        </w:rPr>
        <w:t xml:space="preserve">and health claims </w:t>
      </w:r>
      <w:r w:rsidRPr="00F26215">
        <w:rPr>
          <w:rFonts w:cs="Arial"/>
          <w:szCs w:val="22"/>
        </w:rPr>
        <w:t>about</w:t>
      </w:r>
      <w:r>
        <w:rPr>
          <w:rFonts w:cs="Arial"/>
          <w:szCs w:val="22"/>
        </w:rPr>
        <w:t xml:space="preserve"> </w:t>
      </w:r>
      <w:r>
        <w:t xml:space="preserve">specific nutrients. For example, </w:t>
      </w:r>
      <w:r>
        <w:rPr>
          <w:rFonts w:cs="Arial"/>
          <w:color w:val="000000"/>
          <w:szCs w:val="22"/>
        </w:rPr>
        <w:t>i</w:t>
      </w:r>
      <w:r w:rsidRPr="00EE6512">
        <w:rPr>
          <w:rFonts w:cs="Arial"/>
          <w:color w:val="000000"/>
          <w:szCs w:val="22"/>
        </w:rPr>
        <w:t xml:space="preserve">f a claim </w:t>
      </w:r>
      <w:r>
        <w:rPr>
          <w:rFonts w:cs="Arial"/>
          <w:color w:val="000000"/>
          <w:szCs w:val="22"/>
        </w:rPr>
        <w:t xml:space="preserve">requiring nutrition information is made </w:t>
      </w:r>
      <w:r w:rsidRPr="00EE6512">
        <w:rPr>
          <w:rFonts w:cs="Arial"/>
          <w:color w:val="000000"/>
          <w:szCs w:val="22"/>
        </w:rPr>
        <w:t xml:space="preserve">about polyunsaturated fatty acids or monounsaturated fatty acids, </w:t>
      </w:r>
      <w:r>
        <w:rPr>
          <w:rFonts w:cs="Arial"/>
          <w:color w:val="000000"/>
          <w:szCs w:val="22"/>
        </w:rPr>
        <w:t xml:space="preserve">the NIP must include declarations of the content of </w:t>
      </w:r>
      <w:proofErr w:type="gramStart"/>
      <w:r w:rsidRPr="00EE6512">
        <w:rPr>
          <w:rFonts w:cs="Arial"/>
          <w:color w:val="000000"/>
          <w:szCs w:val="22"/>
        </w:rPr>
        <w:t>trans</w:t>
      </w:r>
      <w:proofErr w:type="gramEnd"/>
      <w:r w:rsidRPr="00EE6512">
        <w:rPr>
          <w:rFonts w:cs="Arial"/>
          <w:color w:val="000000"/>
          <w:szCs w:val="22"/>
        </w:rPr>
        <w:t xml:space="preserve">, polyunsaturated and monounsaturated fatty acids, in addition to </w:t>
      </w:r>
      <w:r>
        <w:rPr>
          <w:rFonts w:cs="Arial"/>
          <w:color w:val="000000"/>
          <w:szCs w:val="22"/>
        </w:rPr>
        <w:t xml:space="preserve">a declaration of </w:t>
      </w:r>
      <w:r w:rsidRPr="00EE6512">
        <w:rPr>
          <w:rFonts w:cs="Arial"/>
          <w:color w:val="000000"/>
          <w:szCs w:val="22"/>
        </w:rPr>
        <w:t xml:space="preserve">energy </w:t>
      </w:r>
      <w:r>
        <w:rPr>
          <w:rFonts w:cs="Arial"/>
          <w:color w:val="000000"/>
          <w:szCs w:val="22"/>
        </w:rPr>
        <w:t xml:space="preserve">content </w:t>
      </w:r>
      <w:r w:rsidRPr="00EE6512">
        <w:rPr>
          <w:rFonts w:cs="Arial"/>
          <w:color w:val="000000"/>
          <w:szCs w:val="22"/>
        </w:rPr>
        <w:t xml:space="preserve">and the </w:t>
      </w:r>
      <w:r>
        <w:rPr>
          <w:rFonts w:cs="Arial"/>
          <w:color w:val="000000"/>
          <w:szCs w:val="22"/>
        </w:rPr>
        <w:t xml:space="preserve">quantity of the </w:t>
      </w:r>
      <w:r w:rsidRPr="00EE6512">
        <w:rPr>
          <w:rFonts w:cs="Arial"/>
          <w:color w:val="000000"/>
          <w:szCs w:val="22"/>
        </w:rPr>
        <w:t>six mandatory nutrients</w:t>
      </w:r>
      <w:r>
        <w:rPr>
          <w:rFonts w:cs="Arial"/>
          <w:color w:val="000000"/>
          <w:szCs w:val="22"/>
        </w:rPr>
        <w:t>.</w:t>
      </w:r>
      <w:r>
        <w:t xml:space="preserve"> </w:t>
      </w:r>
      <w:r w:rsidR="00DC6229">
        <w:t>In</w:t>
      </w:r>
      <w:r>
        <w:t xml:space="preserve"> all cases, declarations of nutrient content are required per serving and per </w:t>
      </w:r>
    </w:p>
    <w:p w:rsidR="00074C2A" w:rsidRDefault="009F5A21" w:rsidP="009F5A21">
      <w:proofErr w:type="gramStart"/>
      <w:r>
        <w:t xml:space="preserve">100 g/100 </w:t>
      </w:r>
      <w:r w:rsidR="0054593A">
        <w:t>mL</w:t>
      </w:r>
      <w:r>
        <w:t>.</w:t>
      </w:r>
      <w:proofErr w:type="gramEnd"/>
      <w:r w:rsidR="00074C2A">
        <w:br w:type="page"/>
      </w:r>
    </w:p>
    <w:p w:rsidR="008365CC" w:rsidRDefault="009E7454" w:rsidP="009F5A21">
      <w:r>
        <w:lastRenderedPageBreak/>
        <w:t>Standard 2.6.4 – Formulated Caffeinated Beverages</w:t>
      </w:r>
      <w:r w:rsidR="00DC6229">
        <w:t xml:space="preserve"> sets out requirements for the declaration of the amount of caffeine and any substances listed in column 1 of the Table to subclause 2(2) where present, on the label. Such declarations are required per serving and per 100 </w:t>
      </w:r>
      <w:r w:rsidR="0054593A">
        <w:t>mL</w:t>
      </w:r>
      <w:r w:rsidR="00DC6229">
        <w:t xml:space="preserve"> and can be adjacent to or following a NIP provided the declarations are clearly distinguished from the NIP.</w:t>
      </w:r>
    </w:p>
    <w:p w:rsidR="009E7454" w:rsidRDefault="009E7454" w:rsidP="009F5A21"/>
    <w:p w:rsidR="009F5A21" w:rsidRDefault="009F5A21" w:rsidP="009F5A21">
      <w:r>
        <w:t xml:space="preserve">Health claims and some nutrition content claims are only permitted on foods that meet the </w:t>
      </w:r>
      <w:r w:rsidR="00C65AC6">
        <w:t>Nutrient Profiling Scoring Criterion (</w:t>
      </w:r>
      <w:r w:rsidR="0093779F">
        <w:t>NPSC</w:t>
      </w:r>
      <w:r w:rsidR="00C65AC6">
        <w:t>)</w:t>
      </w:r>
      <w:r>
        <w:t xml:space="preserve"> set out in Standard 1.2.7. There are some </w:t>
      </w:r>
      <w:r w:rsidRPr="00B033AE">
        <w:t>additional labelling requirements for fo</w:t>
      </w:r>
      <w:r>
        <w:t xml:space="preserve">ods that carry claims and are required to meet the </w:t>
      </w:r>
      <w:r w:rsidRPr="00B033AE">
        <w:t xml:space="preserve">NPSC in order to make </w:t>
      </w:r>
      <w:r>
        <w:t>the</w:t>
      </w:r>
      <w:r w:rsidRPr="00B033AE">
        <w:t xml:space="preserve"> claim</w:t>
      </w:r>
      <w:r>
        <w:t xml:space="preserve">. For example, if a property of food, such as dietary fibre, is relied upon for the food to meet the NPSC, this property and the amount of this property of food per serving and per 100 g/100 </w:t>
      </w:r>
      <w:r w:rsidR="0054593A">
        <w:t>mL</w:t>
      </w:r>
      <w:r>
        <w:t xml:space="preserve"> must be declared in the NIP.</w:t>
      </w:r>
    </w:p>
    <w:p w:rsidR="009F5A21" w:rsidRDefault="009F5A21" w:rsidP="009F5A21"/>
    <w:p w:rsidR="009F5A21" w:rsidRDefault="009F5A21" w:rsidP="009F5A21">
      <w:pPr>
        <w:rPr>
          <w:rFonts w:cs="Arial"/>
          <w:color w:val="000000"/>
          <w:szCs w:val="22"/>
        </w:rPr>
      </w:pPr>
      <w:r>
        <w:rPr>
          <w:lang w:bidi="ar-SA"/>
        </w:rPr>
        <w:t>Small</w:t>
      </w:r>
      <w:r w:rsidRPr="00B601CC">
        <w:rPr>
          <w:rFonts w:cs="Arial"/>
          <w:szCs w:val="22"/>
        </w:rPr>
        <w:t xml:space="preserve"> packages</w:t>
      </w:r>
      <w:r>
        <w:rPr>
          <w:rStyle w:val="FootnoteReference"/>
          <w:rFonts w:cs="Arial"/>
          <w:szCs w:val="22"/>
        </w:rPr>
        <w:footnoteReference w:id="6"/>
      </w:r>
      <w:r w:rsidRPr="00B601CC">
        <w:rPr>
          <w:rFonts w:cs="Arial"/>
          <w:szCs w:val="22"/>
        </w:rPr>
        <w:t xml:space="preserve"> are exempt from including a </w:t>
      </w:r>
      <w:r>
        <w:rPr>
          <w:rFonts w:cs="Arial"/>
          <w:szCs w:val="22"/>
        </w:rPr>
        <w:t>NIP</w:t>
      </w:r>
      <w:r w:rsidRPr="00B601CC">
        <w:rPr>
          <w:rFonts w:cs="Arial"/>
          <w:szCs w:val="22"/>
        </w:rPr>
        <w:t xml:space="preserve"> on the label. </w:t>
      </w:r>
      <w:r>
        <w:rPr>
          <w:rFonts w:cs="Arial"/>
          <w:szCs w:val="22"/>
        </w:rPr>
        <w:t xml:space="preserve">However, </w:t>
      </w:r>
      <w:r>
        <w:rPr>
          <w:rFonts w:cs="Arial"/>
          <w:color w:val="000000"/>
          <w:szCs w:val="22"/>
        </w:rPr>
        <w:t>if</w:t>
      </w:r>
      <w:r w:rsidRPr="00A0610D">
        <w:rPr>
          <w:rFonts w:cs="Arial"/>
          <w:color w:val="000000"/>
          <w:szCs w:val="22"/>
        </w:rPr>
        <w:t xml:space="preserve"> a claim requiring nutrition information </w:t>
      </w:r>
      <w:r>
        <w:rPr>
          <w:rFonts w:cs="Arial"/>
          <w:color w:val="000000"/>
          <w:szCs w:val="22"/>
        </w:rPr>
        <w:t xml:space="preserve">is made </w:t>
      </w:r>
      <w:r w:rsidRPr="00BA39A6">
        <w:rPr>
          <w:rFonts w:cs="Arial"/>
          <w:color w:val="000000"/>
          <w:szCs w:val="22"/>
        </w:rPr>
        <w:t xml:space="preserve">on or about a food in a small package, the label must include the </w:t>
      </w:r>
      <w:r>
        <w:rPr>
          <w:rFonts w:cs="Arial"/>
          <w:color w:val="000000"/>
          <w:szCs w:val="22"/>
        </w:rPr>
        <w:t>following information:</w:t>
      </w:r>
    </w:p>
    <w:p w:rsidR="009F5A21" w:rsidRDefault="009F5A21" w:rsidP="009F5A21">
      <w:pPr>
        <w:rPr>
          <w:rFonts w:cs="Arial"/>
          <w:color w:val="000000"/>
          <w:szCs w:val="22"/>
        </w:rPr>
      </w:pPr>
    </w:p>
    <w:p w:rsidR="009F5A21" w:rsidRDefault="009F5A21" w:rsidP="001F0C9A">
      <w:pPr>
        <w:pStyle w:val="FSBullet1"/>
      </w:pPr>
      <w:r w:rsidRPr="00D8701B">
        <w:t>serving size</w:t>
      </w:r>
    </w:p>
    <w:p w:rsidR="009F5A21" w:rsidRDefault="009F5A21" w:rsidP="001F0C9A">
      <w:pPr>
        <w:pStyle w:val="FSBullet1"/>
      </w:pPr>
      <w:r>
        <w:t xml:space="preserve">the </w:t>
      </w:r>
      <w:r w:rsidRPr="00D8701B">
        <w:t>average quan</w:t>
      </w:r>
      <w:r>
        <w:t>tity of energy</w:t>
      </w:r>
      <w:r w:rsidR="00F610A5">
        <w:t xml:space="preserve"> and the claimed</w:t>
      </w:r>
      <w:r>
        <w:t xml:space="preserve"> nutrient or biologically active substance present per serving of the food</w:t>
      </w:r>
    </w:p>
    <w:p w:rsidR="009F5A21" w:rsidRPr="00D8701B" w:rsidRDefault="0076114C" w:rsidP="001F0C9A">
      <w:pPr>
        <w:pStyle w:val="FSBullet1"/>
      </w:pPr>
      <w:proofErr w:type="gramStart"/>
      <w:r>
        <w:t>percentage</w:t>
      </w:r>
      <w:proofErr w:type="gramEnd"/>
      <w:r>
        <w:t xml:space="preserve"> Recommended Dietary Intake (%</w:t>
      </w:r>
      <w:r w:rsidR="009F5A21">
        <w:t>RDI</w:t>
      </w:r>
      <w:r>
        <w:t>)</w:t>
      </w:r>
      <w:r w:rsidR="009F5A21">
        <w:t xml:space="preserve"> </w:t>
      </w:r>
      <w:r w:rsidR="00F610A5">
        <w:t xml:space="preserve">contributed by one serving of the food </w:t>
      </w:r>
      <w:r w:rsidR="009F5A21">
        <w:t>for any vitamin or mineral that a claim requiring nutrition information is made.</w:t>
      </w:r>
    </w:p>
    <w:p w:rsidR="009F5A21" w:rsidRDefault="009F5A21" w:rsidP="009F5A21">
      <w:pPr>
        <w:rPr>
          <w:rFonts w:ascii="Garamond" w:hAnsi="Garamond"/>
          <w:color w:val="000000"/>
        </w:rPr>
      </w:pPr>
    </w:p>
    <w:p w:rsidR="009E7454" w:rsidRDefault="00F610A5" w:rsidP="009F5A21">
      <w:pPr>
        <w:rPr>
          <w:rFonts w:cs="Arial"/>
          <w:color w:val="000000"/>
          <w:szCs w:val="22"/>
        </w:rPr>
      </w:pPr>
      <w:r>
        <w:rPr>
          <w:rFonts w:cs="Arial"/>
          <w:color w:val="000000"/>
          <w:szCs w:val="22"/>
        </w:rPr>
        <w:t xml:space="preserve">The </w:t>
      </w:r>
      <w:r w:rsidR="00132D9E">
        <w:rPr>
          <w:rFonts w:cs="Arial"/>
          <w:color w:val="000000"/>
          <w:szCs w:val="22"/>
        </w:rPr>
        <w:t>T</w:t>
      </w:r>
      <w:r w:rsidR="009F5A21">
        <w:rPr>
          <w:rFonts w:cs="Arial"/>
          <w:color w:val="000000"/>
          <w:szCs w:val="22"/>
        </w:rPr>
        <w:t>able to subclause 8(3) of Standard 1.2.8 sets out additional labelling requirements where particular claims requiring nutrition information are made about food in a small package. In all cases, declarations of specified nutrients are required per serving.</w:t>
      </w:r>
    </w:p>
    <w:p w:rsidR="009F5A21" w:rsidRDefault="00CA55F0" w:rsidP="009F5A21">
      <w:pPr>
        <w:pStyle w:val="Heading2"/>
      </w:pPr>
      <w:bookmarkStart w:id="40" w:name="_Toc405365737"/>
      <w:r>
        <w:t>4</w:t>
      </w:r>
      <w:r w:rsidR="009F5A21">
        <w:t>.2</w:t>
      </w:r>
      <w:r w:rsidR="009F5A21">
        <w:tab/>
        <w:t>Requirements for serving size</w:t>
      </w:r>
      <w:bookmarkEnd w:id="40"/>
    </w:p>
    <w:p w:rsidR="007D65E7" w:rsidRPr="001376CF" w:rsidRDefault="007D65E7" w:rsidP="007D65E7">
      <w:pPr>
        <w:rPr>
          <w:rFonts w:cs="Arial"/>
        </w:rPr>
      </w:pPr>
      <w:r>
        <w:rPr>
          <w:rFonts w:cs="Arial"/>
        </w:rPr>
        <w:t>A NIP</w:t>
      </w:r>
      <w:r w:rsidRPr="001376CF">
        <w:rPr>
          <w:rFonts w:cs="Arial"/>
        </w:rPr>
        <w:t xml:space="preserve"> must include the </w:t>
      </w:r>
      <w:r>
        <w:rPr>
          <w:rFonts w:cs="Arial"/>
        </w:rPr>
        <w:t xml:space="preserve">average quantity of food in a serving and the </w:t>
      </w:r>
      <w:r w:rsidRPr="001376CF">
        <w:rPr>
          <w:rFonts w:cs="Arial"/>
        </w:rPr>
        <w:t>number of servings of the food in the package</w:t>
      </w:r>
      <w:r w:rsidR="00F610A5">
        <w:rPr>
          <w:rFonts w:cs="Arial"/>
        </w:rPr>
        <w:t>,</w:t>
      </w:r>
      <w:r w:rsidRPr="001376CF">
        <w:rPr>
          <w:rFonts w:cs="Arial"/>
        </w:rPr>
        <w:t xml:space="preserve"> expressed as either:</w:t>
      </w:r>
    </w:p>
    <w:p w:rsidR="007D65E7" w:rsidRPr="001376CF" w:rsidRDefault="007D65E7" w:rsidP="007D65E7">
      <w:pPr>
        <w:rPr>
          <w:rFonts w:cs="Arial"/>
        </w:rPr>
      </w:pPr>
    </w:p>
    <w:p w:rsidR="007D65E7" w:rsidRPr="001376CF" w:rsidRDefault="007D65E7" w:rsidP="007D65E7">
      <w:pPr>
        <w:pStyle w:val="FSBullet1"/>
        <w:numPr>
          <w:ilvl w:val="0"/>
          <w:numId w:val="7"/>
        </w:numPr>
        <w:tabs>
          <w:tab w:val="num" w:pos="567"/>
        </w:tabs>
        <w:ind w:left="567" w:hanging="567"/>
      </w:pPr>
      <w:r w:rsidRPr="001376CF">
        <w:t>the number of servings of the food, or</w:t>
      </w:r>
    </w:p>
    <w:p w:rsidR="007D65E7" w:rsidRPr="001376CF" w:rsidRDefault="007D65E7" w:rsidP="007D65E7">
      <w:pPr>
        <w:pStyle w:val="FSBullet1"/>
        <w:numPr>
          <w:ilvl w:val="0"/>
          <w:numId w:val="7"/>
        </w:numPr>
        <w:tabs>
          <w:tab w:val="num" w:pos="567"/>
        </w:tabs>
        <w:ind w:left="567" w:hanging="567"/>
      </w:pPr>
      <w:proofErr w:type="gramStart"/>
      <w:r w:rsidRPr="001376CF">
        <w:t>where</w:t>
      </w:r>
      <w:proofErr w:type="gramEnd"/>
      <w:r w:rsidRPr="001376CF">
        <w:t xml:space="preserve"> the weight or volume of the packaged </w:t>
      </w:r>
      <w:r>
        <w:t xml:space="preserve">food is variable, </w:t>
      </w:r>
      <w:r w:rsidRPr="001376CF">
        <w:t>the number of servings of the food per kg, or other units</w:t>
      </w:r>
      <w:r>
        <w:t xml:space="preserve"> as appropriate, </w:t>
      </w:r>
      <w:r w:rsidRPr="00B601CC">
        <w:rPr>
          <w:szCs w:val="22"/>
        </w:rPr>
        <w:t>for example, sausages packed onto trays in a supermarket.</w:t>
      </w:r>
    </w:p>
    <w:p w:rsidR="007D65E7" w:rsidRDefault="007D65E7" w:rsidP="007D65E7">
      <w:pPr>
        <w:rPr>
          <w:rFonts w:cs="Arial"/>
        </w:rPr>
      </w:pPr>
    </w:p>
    <w:p w:rsidR="007D65E7" w:rsidRDefault="007D65E7" w:rsidP="007D65E7">
      <w:pPr>
        <w:rPr>
          <w:rFonts w:cs="Arial"/>
        </w:rPr>
      </w:pPr>
      <w:r w:rsidRPr="00B601CC">
        <w:rPr>
          <w:rFonts w:cs="Arial"/>
        </w:rPr>
        <w:t xml:space="preserve">The word ‘slice’, ‘pack’, or ‘package’ may replace the term ‘serving’. For example, one slice of bread (28 g) may be used to represent a serving. </w:t>
      </w:r>
      <w:r>
        <w:rPr>
          <w:rFonts w:cs="Arial"/>
        </w:rPr>
        <w:t>T</w:t>
      </w:r>
      <w:r w:rsidRPr="00B601CC">
        <w:rPr>
          <w:rFonts w:cs="Arial"/>
        </w:rPr>
        <w:t xml:space="preserve">he word ‘serving’ </w:t>
      </w:r>
      <w:r>
        <w:rPr>
          <w:rFonts w:cs="Arial"/>
        </w:rPr>
        <w:t xml:space="preserve">may also be replaced </w:t>
      </w:r>
      <w:r w:rsidRPr="00B601CC">
        <w:rPr>
          <w:rFonts w:cs="Arial"/>
        </w:rPr>
        <w:t>with any other appropriate word describing a common measure or unit including ‘metric cup’ or ‘metric tablespoon’.</w:t>
      </w:r>
    </w:p>
    <w:p w:rsidR="007D65E7" w:rsidRDefault="007D65E7" w:rsidP="007D65E7">
      <w:pPr>
        <w:rPr>
          <w:rFonts w:cs="Arial"/>
        </w:rPr>
      </w:pPr>
    </w:p>
    <w:p w:rsidR="007D65E7" w:rsidRDefault="007D65E7" w:rsidP="007D65E7">
      <w:pPr>
        <w:rPr>
          <w:rFonts w:cs="Arial"/>
        </w:rPr>
      </w:pPr>
      <w:r w:rsidRPr="00B601CC">
        <w:rPr>
          <w:rFonts w:cs="Arial"/>
        </w:rPr>
        <w:t xml:space="preserve">Clause 5 of Standard 1.2.8 sets out the prescribed format for the </w:t>
      </w:r>
      <w:r w:rsidR="00077E24">
        <w:rPr>
          <w:rFonts w:cs="Arial"/>
        </w:rPr>
        <w:t>NIP</w:t>
      </w:r>
      <w:r w:rsidRPr="00B601CC">
        <w:rPr>
          <w:rFonts w:cs="Arial"/>
        </w:rPr>
        <w:t xml:space="preserve">.  </w:t>
      </w:r>
    </w:p>
    <w:p w:rsidR="007D65E7" w:rsidRPr="00B601CC" w:rsidRDefault="007D65E7" w:rsidP="007D65E7">
      <w:pPr>
        <w:rPr>
          <w:rFonts w:cs="Arial"/>
        </w:rPr>
      </w:pPr>
    </w:p>
    <w:p w:rsidR="007D65E7" w:rsidRPr="00B601CC" w:rsidRDefault="007D65E7" w:rsidP="007D65E7">
      <w:pPr>
        <w:rPr>
          <w:rFonts w:cs="Arial"/>
        </w:rPr>
      </w:pPr>
      <w:r w:rsidRPr="00B601CC">
        <w:rPr>
          <w:rFonts w:cs="Arial"/>
        </w:rPr>
        <w:t xml:space="preserve">The following is an example of how the </w:t>
      </w:r>
      <w:r w:rsidR="00077E24">
        <w:rPr>
          <w:rFonts w:cs="Arial"/>
        </w:rPr>
        <w:t>NIP</w:t>
      </w:r>
      <w:r w:rsidRPr="00B601CC">
        <w:rPr>
          <w:rFonts w:cs="Arial"/>
        </w:rPr>
        <w:t xml:space="preserve"> should be set out</w:t>
      </w:r>
      <w:r>
        <w:rPr>
          <w:rFonts w:cs="Arial"/>
        </w:rPr>
        <w:t>.</w:t>
      </w:r>
      <w:r w:rsidRPr="00B601CC">
        <w:rPr>
          <w:rFonts w:cs="Arial"/>
        </w:rPr>
        <w:t xml:space="preserve"> </w:t>
      </w:r>
    </w:p>
    <w:p w:rsidR="007D65E7" w:rsidRPr="00B601CC" w:rsidRDefault="007D65E7" w:rsidP="007D65E7">
      <w:pPr>
        <w:rPr>
          <w:rFonts w:cs="Arial"/>
        </w:rPr>
      </w:pPr>
    </w:p>
    <w:tbl>
      <w:tblPr>
        <w:tblW w:w="0" w:type="auto"/>
        <w:tblInd w:w="1084"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3220"/>
        <w:gridCol w:w="2116"/>
        <w:gridCol w:w="2176"/>
      </w:tblGrid>
      <w:tr w:rsidR="007D65E7" w:rsidRPr="00B601CC" w:rsidTr="005D3B10">
        <w:trPr>
          <w:cantSplit/>
          <w:trHeight w:val="984"/>
        </w:trPr>
        <w:tc>
          <w:tcPr>
            <w:tcW w:w="7512" w:type="dxa"/>
            <w:gridSpan w:val="3"/>
            <w:tcBorders>
              <w:top w:val="single" w:sz="6" w:space="0" w:color="auto"/>
              <w:bottom w:val="single" w:sz="6" w:space="0" w:color="auto"/>
            </w:tcBorders>
          </w:tcPr>
          <w:p w:rsidR="007D65E7" w:rsidRPr="001F0C9A" w:rsidRDefault="007D65E7" w:rsidP="005D3B10">
            <w:pPr>
              <w:keepNext/>
              <w:jc w:val="center"/>
              <w:rPr>
                <w:rFonts w:cs="Arial"/>
                <w:b/>
                <w:bCs/>
                <w:sz w:val="20"/>
              </w:rPr>
            </w:pPr>
            <w:r w:rsidRPr="001F0C9A">
              <w:rPr>
                <w:rFonts w:cs="Arial"/>
                <w:b/>
                <w:bCs/>
                <w:sz w:val="20"/>
              </w:rPr>
              <w:lastRenderedPageBreak/>
              <w:t>NUTRITION INFORMATION</w:t>
            </w:r>
          </w:p>
          <w:p w:rsidR="007D65E7" w:rsidRPr="001F0C9A" w:rsidRDefault="007D65E7" w:rsidP="005D3B10">
            <w:pPr>
              <w:keepNext/>
              <w:rPr>
                <w:rFonts w:cs="Arial"/>
                <w:sz w:val="20"/>
              </w:rPr>
            </w:pPr>
            <w:r w:rsidRPr="001F0C9A">
              <w:rPr>
                <w:rFonts w:cs="Arial"/>
                <w:sz w:val="20"/>
              </w:rPr>
              <w:t>Servings per package: 25</w:t>
            </w:r>
          </w:p>
          <w:p w:rsidR="007D65E7" w:rsidRPr="001F0C9A" w:rsidRDefault="007D65E7" w:rsidP="005D3B10">
            <w:pPr>
              <w:keepNext/>
              <w:rPr>
                <w:rFonts w:cs="Arial"/>
                <w:sz w:val="20"/>
              </w:rPr>
            </w:pPr>
            <w:r w:rsidRPr="001F0C9A">
              <w:rPr>
                <w:rFonts w:cs="Arial"/>
                <w:sz w:val="20"/>
              </w:rPr>
              <w:t>Serving size: 15 g</w:t>
            </w:r>
          </w:p>
        </w:tc>
      </w:tr>
      <w:tr w:rsidR="007D65E7" w:rsidRPr="00B601CC" w:rsidTr="005D3B10">
        <w:trPr>
          <w:cantSplit/>
        </w:trPr>
        <w:tc>
          <w:tcPr>
            <w:tcW w:w="3220" w:type="dxa"/>
            <w:tcBorders>
              <w:top w:val="single" w:sz="6" w:space="0" w:color="auto"/>
              <w:bottom w:val="single" w:sz="4" w:space="0" w:color="auto"/>
            </w:tcBorders>
          </w:tcPr>
          <w:p w:rsidR="007D65E7" w:rsidRPr="001F0C9A" w:rsidRDefault="007D65E7" w:rsidP="005D3B10">
            <w:pPr>
              <w:keepNext/>
              <w:rPr>
                <w:rFonts w:cs="Arial"/>
                <w:sz w:val="20"/>
              </w:rPr>
            </w:pPr>
          </w:p>
        </w:tc>
        <w:tc>
          <w:tcPr>
            <w:tcW w:w="2116" w:type="dxa"/>
            <w:tcBorders>
              <w:top w:val="single" w:sz="6" w:space="0" w:color="auto"/>
              <w:bottom w:val="single" w:sz="4" w:space="0" w:color="auto"/>
            </w:tcBorders>
          </w:tcPr>
          <w:p w:rsidR="007D65E7" w:rsidRPr="001F0C9A" w:rsidRDefault="007D65E7" w:rsidP="005D3B10">
            <w:pPr>
              <w:keepNext/>
              <w:rPr>
                <w:rFonts w:cs="Arial"/>
                <w:sz w:val="20"/>
              </w:rPr>
            </w:pPr>
            <w:r w:rsidRPr="001F0C9A">
              <w:rPr>
                <w:rFonts w:cs="Arial"/>
                <w:sz w:val="20"/>
              </w:rPr>
              <w:t>Average Quantity per Serving</w:t>
            </w:r>
          </w:p>
        </w:tc>
        <w:tc>
          <w:tcPr>
            <w:tcW w:w="2176" w:type="dxa"/>
            <w:tcBorders>
              <w:top w:val="single" w:sz="6" w:space="0" w:color="auto"/>
              <w:bottom w:val="single" w:sz="4" w:space="0" w:color="auto"/>
            </w:tcBorders>
          </w:tcPr>
          <w:p w:rsidR="007D65E7" w:rsidRPr="001F0C9A" w:rsidRDefault="007D65E7" w:rsidP="005D3B10">
            <w:pPr>
              <w:keepNext/>
              <w:rPr>
                <w:rFonts w:cs="Arial"/>
                <w:sz w:val="20"/>
              </w:rPr>
            </w:pPr>
            <w:r w:rsidRPr="001F0C9A">
              <w:rPr>
                <w:rFonts w:cs="Arial"/>
                <w:sz w:val="20"/>
              </w:rPr>
              <w:t>Average Quantity per 100 g</w:t>
            </w:r>
          </w:p>
        </w:tc>
      </w:tr>
      <w:tr w:rsidR="007D65E7" w:rsidRPr="00B601CC" w:rsidTr="005D3B10">
        <w:trPr>
          <w:cantSplit/>
        </w:trPr>
        <w:tc>
          <w:tcPr>
            <w:tcW w:w="3220" w:type="dxa"/>
            <w:tcBorders>
              <w:top w:val="single" w:sz="4" w:space="0" w:color="auto"/>
            </w:tcBorders>
          </w:tcPr>
          <w:p w:rsidR="007D65E7" w:rsidRPr="001F0C9A" w:rsidRDefault="007D65E7" w:rsidP="005D3B10">
            <w:pPr>
              <w:keepNext/>
              <w:rPr>
                <w:rFonts w:cs="Arial"/>
                <w:sz w:val="20"/>
              </w:rPr>
            </w:pPr>
            <w:r w:rsidRPr="001F0C9A">
              <w:rPr>
                <w:rFonts w:cs="Arial"/>
                <w:sz w:val="20"/>
              </w:rPr>
              <w:t>Energy</w:t>
            </w:r>
          </w:p>
          <w:p w:rsidR="007D65E7" w:rsidRPr="001F0C9A" w:rsidRDefault="007D65E7" w:rsidP="005D3B10">
            <w:pPr>
              <w:keepNext/>
              <w:rPr>
                <w:rFonts w:cs="Arial"/>
                <w:sz w:val="20"/>
              </w:rPr>
            </w:pPr>
          </w:p>
        </w:tc>
        <w:tc>
          <w:tcPr>
            <w:tcW w:w="2116" w:type="dxa"/>
            <w:tcBorders>
              <w:top w:val="single" w:sz="4" w:space="0" w:color="auto"/>
            </w:tcBorders>
          </w:tcPr>
          <w:p w:rsidR="007D65E7" w:rsidRPr="001F0C9A" w:rsidRDefault="007D65E7" w:rsidP="005D3B10">
            <w:pPr>
              <w:keepNext/>
              <w:rPr>
                <w:rFonts w:cs="Arial"/>
                <w:sz w:val="20"/>
              </w:rPr>
            </w:pPr>
            <w:r w:rsidRPr="001F0C9A">
              <w:rPr>
                <w:rFonts w:cs="Arial"/>
                <w:sz w:val="20"/>
              </w:rPr>
              <w:t>384 kJ</w:t>
            </w:r>
          </w:p>
        </w:tc>
        <w:tc>
          <w:tcPr>
            <w:tcW w:w="2176" w:type="dxa"/>
            <w:tcBorders>
              <w:top w:val="single" w:sz="4" w:space="0" w:color="auto"/>
            </w:tcBorders>
          </w:tcPr>
          <w:p w:rsidR="007D65E7" w:rsidRPr="001F0C9A" w:rsidRDefault="007D65E7" w:rsidP="005D3B10">
            <w:pPr>
              <w:keepNext/>
              <w:rPr>
                <w:rFonts w:cs="Arial"/>
                <w:sz w:val="20"/>
              </w:rPr>
            </w:pPr>
            <w:r w:rsidRPr="001F0C9A">
              <w:rPr>
                <w:rFonts w:cs="Arial"/>
                <w:sz w:val="20"/>
              </w:rPr>
              <w:t xml:space="preserve">2560 kJ </w:t>
            </w:r>
          </w:p>
        </w:tc>
      </w:tr>
      <w:tr w:rsidR="007D65E7" w:rsidRPr="00B601CC" w:rsidTr="005D3B10">
        <w:trPr>
          <w:cantSplit/>
        </w:trPr>
        <w:tc>
          <w:tcPr>
            <w:tcW w:w="3220" w:type="dxa"/>
          </w:tcPr>
          <w:p w:rsidR="007D65E7" w:rsidRPr="001F0C9A" w:rsidRDefault="007D65E7" w:rsidP="005D3B10">
            <w:pPr>
              <w:keepNext/>
              <w:rPr>
                <w:rFonts w:cs="Arial"/>
                <w:sz w:val="20"/>
              </w:rPr>
            </w:pPr>
            <w:r w:rsidRPr="001F0C9A">
              <w:rPr>
                <w:rFonts w:cs="Arial"/>
                <w:sz w:val="20"/>
              </w:rPr>
              <w:t>Protein</w:t>
            </w:r>
          </w:p>
          <w:p w:rsidR="007D65E7" w:rsidRPr="001F0C9A" w:rsidRDefault="007D65E7" w:rsidP="005D3B10">
            <w:pPr>
              <w:keepNext/>
              <w:rPr>
                <w:rFonts w:cs="Arial"/>
                <w:sz w:val="20"/>
              </w:rPr>
            </w:pPr>
          </w:p>
        </w:tc>
        <w:tc>
          <w:tcPr>
            <w:tcW w:w="2116" w:type="dxa"/>
          </w:tcPr>
          <w:p w:rsidR="007D65E7" w:rsidRPr="001F0C9A" w:rsidRDefault="007D65E7" w:rsidP="005D3B10">
            <w:pPr>
              <w:keepNext/>
              <w:rPr>
                <w:rFonts w:cs="Arial"/>
                <w:sz w:val="20"/>
              </w:rPr>
            </w:pPr>
            <w:r w:rsidRPr="001F0C9A">
              <w:rPr>
                <w:rFonts w:cs="Arial"/>
                <w:sz w:val="20"/>
              </w:rPr>
              <w:t>4.4 g</w:t>
            </w:r>
          </w:p>
        </w:tc>
        <w:tc>
          <w:tcPr>
            <w:tcW w:w="2176" w:type="dxa"/>
          </w:tcPr>
          <w:p w:rsidR="007D65E7" w:rsidRPr="001F0C9A" w:rsidRDefault="007D65E7" w:rsidP="005D3B10">
            <w:pPr>
              <w:keepNext/>
              <w:rPr>
                <w:rFonts w:cs="Arial"/>
                <w:sz w:val="20"/>
              </w:rPr>
            </w:pPr>
            <w:r w:rsidRPr="001F0C9A">
              <w:rPr>
                <w:rFonts w:cs="Arial"/>
                <w:sz w:val="20"/>
              </w:rPr>
              <w:t>29.3 g</w:t>
            </w:r>
          </w:p>
        </w:tc>
      </w:tr>
      <w:tr w:rsidR="007D65E7" w:rsidRPr="00B601CC" w:rsidTr="005D3B10">
        <w:trPr>
          <w:cantSplit/>
        </w:trPr>
        <w:tc>
          <w:tcPr>
            <w:tcW w:w="3220" w:type="dxa"/>
          </w:tcPr>
          <w:p w:rsidR="007D65E7" w:rsidRPr="001F0C9A" w:rsidRDefault="007D65E7" w:rsidP="005D3B10">
            <w:pPr>
              <w:keepNext/>
              <w:rPr>
                <w:rFonts w:cs="Arial"/>
                <w:sz w:val="20"/>
              </w:rPr>
            </w:pPr>
            <w:r w:rsidRPr="001F0C9A">
              <w:rPr>
                <w:rFonts w:cs="Arial"/>
                <w:sz w:val="20"/>
              </w:rPr>
              <w:t>Fat, total</w:t>
            </w:r>
            <w:r w:rsidRPr="001F0C9A">
              <w:rPr>
                <w:rFonts w:cs="Arial"/>
                <w:sz w:val="20"/>
              </w:rPr>
              <w:br/>
              <w:t>– saturated</w:t>
            </w:r>
          </w:p>
        </w:tc>
        <w:tc>
          <w:tcPr>
            <w:tcW w:w="2116" w:type="dxa"/>
          </w:tcPr>
          <w:p w:rsidR="007D65E7" w:rsidRPr="001F0C9A" w:rsidRDefault="007D65E7" w:rsidP="005D3B10">
            <w:pPr>
              <w:keepNext/>
              <w:rPr>
                <w:rFonts w:cs="Arial"/>
                <w:sz w:val="20"/>
              </w:rPr>
            </w:pPr>
            <w:r w:rsidRPr="001F0C9A">
              <w:rPr>
                <w:rFonts w:cs="Arial"/>
                <w:sz w:val="20"/>
              </w:rPr>
              <w:t>7.6 g</w:t>
            </w:r>
            <w:r w:rsidRPr="001F0C9A">
              <w:rPr>
                <w:rFonts w:cs="Arial"/>
                <w:sz w:val="20"/>
              </w:rPr>
              <w:br/>
              <w:t>1.5 g</w:t>
            </w:r>
          </w:p>
        </w:tc>
        <w:tc>
          <w:tcPr>
            <w:tcW w:w="2176" w:type="dxa"/>
          </w:tcPr>
          <w:p w:rsidR="007D65E7" w:rsidRPr="001F0C9A" w:rsidRDefault="007D65E7" w:rsidP="005D3B10">
            <w:pPr>
              <w:keepNext/>
              <w:rPr>
                <w:rFonts w:cs="Arial"/>
                <w:sz w:val="20"/>
              </w:rPr>
            </w:pPr>
            <w:r w:rsidRPr="001F0C9A">
              <w:rPr>
                <w:rFonts w:cs="Arial"/>
                <w:sz w:val="20"/>
              </w:rPr>
              <w:t>50.7 g</w:t>
            </w:r>
            <w:r w:rsidRPr="001F0C9A">
              <w:rPr>
                <w:rFonts w:cs="Arial"/>
                <w:sz w:val="20"/>
              </w:rPr>
              <w:br/>
              <w:t>10.0 g</w:t>
            </w:r>
          </w:p>
        </w:tc>
      </w:tr>
      <w:tr w:rsidR="007D65E7" w:rsidRPr="00B601CC" w:rsidTr="005D3B10">
        <w:trPr>
          <w:cantSplit/>
        </w:trPr>
        <w:tc>
          <w:tcPr>
            <w:tcW w:w="3220" w:type="dxa"/>
          </w:tcPr>
          <w:p w:rsidR="007D65E7" w:rsidRPr="001F0C9A" w:rsidRDefault="007D65E7" w:rsidP="005D3B10">
            <w:pPr>
              <w:keepNext/>
              <w:rPr>
                <w:rFonts w:cs="Arial"/>
                <w:sz w:val="20"/>
              </w:rPr>
            </w:pPr>
            <w:r w:rsidRPr="001F0C9A">
              <w:rPr>
                <w:rFonts w:cs="Arial"/>
                <w:sz w:val="20"/>
              </w:rPr>
              <w:t>Carbohydrate</w:t>
            </w:r>
            <w:r w:rsidRPr="001F0C9A">
              <w:rPr>
                <w:rFonts w:cs="Arial"/>
                <w:sz w:val="20"/>
              </w:rPr>
              <w:br/>
              <w:t xml:space="preserve"> – sugars</w:t>
            </w:r>
          </w:p>
        </w:tc>
        <w:tc>
          <w:tcPr>
            <w:tcW w:w="2116" w:type="dxa"/>
          </w:tcPr>
          <w:p w:rsidR="007D65E7" w:rsidRPr="001F0C9A" w:rsidRDefault="007D65E7" w:rsidP="005D3B10">
            <w:pPr>
              <w:keepNext/>
              <w:rPr>
                <w:rFonts w:cs="Arial"/>
                <w:sz w:val="20"/>
              </w:rPr>
            </w:pPr>
            <w:r w:rsidRPr="001F0C9A">
              <w:rPr>
                <w:rFonts w:cs="Arial"/>
                <w:sz w:val="20"/>
              </w:rPr>
              <w:t>2.0 g</w:t>
            </w:r>
            <w:r w:rsidRPr="001F0C9A">
              <w:rPr>
                <w:rFonts w:cs="Arial"/>
                <w:sz w:val="20"/>
              </w:rPr>
              <w:br/>
              <w:t>0.9 g</w:t>
            </w:r>
          </w:p>
        </w:tc>
        <w:tc>
          <w:tcPr>
            <w:tcW w:w="2176" w:type="dxa"/>
          </w:tcPr>
          <w:p w:rsidR="007D65E7" w:rsidRPr="001F0C9A" w:rsidRDefault="007D65E7" w:rsidP="005D3B10">
            <w:pPr>
              <w:keepNext/>
              <w:rPr>
                <w:rFonts w:cs="Arial"/>
                <w:sz w:val="20"/>
              </w:rPr>
            </w:pPr>
            <w:r w:rsidRPr="001F0C9A">
              <w:rPr>
                <w:rFonts w:cs="Arial"/>
                <w:sz w:val="20"/>
              </w:rPr>
              <w:t>13.3 g</w:t>
            </w:r>
            <w:r w:rsidRPr="001F0C9A">
              <w:rPr>
                <w:rFonts w:cs="Arial"/>
                <w:sz w:val="20"/>
              </w:rPr>
              <w:br/>
              <w:t>6.0 g</w:t>
            </w:r>
          </w:p>
        </w:tc>
      </w:tr>
      <w:tr w:rsidR="007D65E7" w:rsidRPr="00B601CC" w:rsidTr="005D3B10">
        <w:trPr>
          <w:cantSplit/>
          <w:trHeight w:val="387"/>
        </w:trPr>
        <w:tc>
          <w:tcPr>
            <w:tcW w:w="3220" w:type="dxa"/>
          </w:tcPr>
          <w:p w:rsidR="007D65E7" w:rsidRPr="001F0C9A" w:rsidRDefault="007D65E7" w:rsidP="005D3B10">
            <w:pPr>
              <w:keepNext/>
              <w:rPr>
                <w:rFonts w:cs="Arial"/>
                <w:sz w:val="20"/>
              </w:rPr>
            </w:pPr>
            <w:r w:rsidRPr="001F0C9A">
              <w:rPr>
                <w:rFonts w:cs="Arial"/>
                <w:sz w:val="20"/>
              </w:rPr>
              <w:t>Sodium</w:t>
            </w:r>
          </w:p>
        </w:tc>
        <w:tc>
          <w:tcPr>
            <w:tcW w:w="2116" w:type="dxa"/>
          </w:tcPr>
          <w:p w:rsidR="007D65E7" w:rsidRPr="001F0C9A" w:rsidRDefault="007D65E7" w:rsidP="005D3B10">
            <w:pPr>
              <w:keepNext/>
              <w:rPr>
                <w:rFonts w:cs="Arial"/>
                <w:sz w:val="20"/>
              </w:rPr>
            </w:pPr>
            <w:r w:rsidRPr="001F0C9A">
              <w:rPr>
                <w:rFonts w:cs="Arial"/>
                <w:sz w:val="20"/>
              </w:rPr>
              <w:t xml:space="preserve">41 mg </w:t>
            </w:r>
          </w:p>
        </w:tc>
        <w:tc>
          <w:tcPr>
            <w:tcW w:w="2176" w:type="dxa"/>
          </w:tcPr>
          <w:p w:rsidR="007D65E7" w:rsidRPr="001F0C9A" w:rsidRDefault="007D65E7" w:rsidP="005D3B10">
            <w:pPr>
              <w:keepNext/>
              <w:rPr>
                <w:rFonts w:cs="Arial"/>
                <w:sz w:val="20"/>
              </w:rPr>
            </w:pPr>
            <w:r w:rsidRPr="001F0C9A">
              <w:rPr>
                <w:rFonts w:cs="Arial"/>
                <w:sz w:val="20"/>
              </w:rPr>
              <w:t xml:space="preserve">273 mg </w:t>
            </w:r>
          </w:p>
        </w:tc>
      </w:tr>
    </w:tbl>
    <w:p w:rsidR="007D65E7" w:rsidRDefault="007D65E7" w:rsidP="007D65E7">
      <w:pPr>
        <w:rPr>
          <w:rFonts w:cs="Arial"/>
          <w:b/>
        </w:rPr>
      </w:pPr>
    </w:p>
    <w:p w:rsidR="007D65E7" w:rsidRPr="00B601CC" w:rsidRDefault="007D65E7" w:rsidP="007D65E7">
      <w:pPr>
        <w:rPr>
          <w:rFonts w:cs="Arial"/>
        </w:rPr>
      </w:pPr>
      <w:r>
        <w:rPr>
          <w:rFonts w:cs="Arial"/>
        </w:rPr>
        <w:t>Serving sizes are not defined in the Code and t</w:t>
      </w:r>
      <w:r w:rsidRPr="00B601CC">
        <w:rPr>
          <w:rFonts w:cs="Arial"/>
        </w:rPr>
        <w:t xml:space="preserve">he size of the serving used in </w:t>
      </w:r>
      <w:r>
        <w:rPr>
          <w:rFonts w:cs="Arial"/>
        </w:rPr>
        <w:t xml:space="preserve">the NIP </w:t>
      </w:r>
      <w:r w:rsidRPr="00B601CC">
        <w:rPr>
          <w:rFonts w:cs="Arial"/>
        </w:rPr>
        <w:t>is not prescribed</w:t>
      </w:r>
      <w:r>
        <w:rPr>
          <w:rFonts w:cs="Arial"/>
        </w:rPr>
        <w:t xml:space="preserve">. </w:t>
      </w:r>
      <w:r w:rsidRPr="00B601CC">
        <w:rPr>
          <w:rFonts w:cs="Arial"/>
        </w:rPr>
        <w:t>The serving size must be declared in grams (g) if the food is a solid or semi-solid and in millilitres (</w:t>
      </w:r>
      <w:r w:rsidR="0054593A">
        <w:rPr>
          <w:rFonts w:cs="Arial"/>
        </w:rPr>
        <w:t>mL</w:t>
      </w:r>
      <w:r w:rsidRPr="00B601CC">
        <w:rPr>
          <w:rFonts w:cs="Arial"/>
        </w:rPr>
        <w:t>) if the food is a liquid. The food business determine</w:t>
      </w:r>
      <w:r>
        <w:rPr>
          <w:rFonts w:cs="Arial"/>
        </w:rPr>
        <w:t>s</w:t>
      </w:r>
      <w:r w:rsidRPr="00B601CC">
        <w:rPr>
          <w:rFonts w:cs="Arial"/>
        </w:rPr>
        <w:t xml:space="preserve"> which declaration is appropriate i.e. whether a food is a solid, semi-solid or liquid food. </w:t>
      </w:r>
    </w:p>
    <w:p w:rsidR="007D65E7" w:rsidRDefault="007D65E7" w:rsidP="007D65E7">
      <w:pPr>
        <w:rPr>
          <w:rFonts w:cs="Arial"/>
        </w:rPr>
      </w:pPr>
    </w:p>
    <w:p w:rsidR="007D65E7" w:rsidRDefault="007D65E7" w:rsidP="007D65E7">
      <w:pPr>
        <w:rPr>
          <w:rFonts w:cs="Arial"/>
        </w:rPr>
      </w:pPr>
      <w:r>
        <w:rPr>
          <w:rFonts w:cs="Arial"/>
        </w:rPr>
        <w:t xml:space="preserve">The </w:t>
      </w:r>
      <w:r w:rsidR="00F610A5">
        <w:rPr>
          <w:rFonts w:cs="Arial"/>
        </w:rPr>
        <w:t xml:space="preserve">FSANZ </w:t>
      </w:r>
      <w:r>
        <w:rPr>
          <w:rFonts w:cs="Arial"/>
        </w:rPr>
        <w:t>user guide for Standard 1.2.8</w:t>
      </w:r>
      <w:r w:rsidR="000D0F35">
        <w:rPr>
          <w:rStyle w:val="FootnoteReference"/>
          <w:rFonts w:cs="Arial"/>
        </w:rPr>
        <w:footnoteReference w:id="7"/>
      </w:r>
      <w:r>
        <w:rPr>
          <w:rFonts w:cs="Arial"/>
        </w:rPr>
        <w:t xml:space="preserve"> makes the following suggestions to assist food businesses to determine serving sizes</w:t>
      </w:r>
      <w:r w:rsidRPr="00B601CC">
        <w:rPr>
          <w:rFonts w:cs="Arial"/>
        </w:rPr>
        <w:t xml:space="preserve">.  </w:t>
      </w:r>
    </w:p>
    <w:p w:rsidR="007D65E7" w:rsidRDefault="007D65E7" w:rsidP="007D65E7">
      <w:pPr>
        <w:rPr>
          <w:rFonts w:cs="Arial"/>
        </w:rPr>
      </w:pPr>
    </w:p>
    <w:p w:rsidR="007D65E7" w:rsidRPr="00182C72" w:rsidRDefault="007D65E7" w:rsidP="00132D9E">
      <w:pPr>
        <w:ind w:left="567"/>
        <w:rPr>
          <w:rFonts w:cs="Arial"/>
          <w:i/>
        </w:rPr>
      </w:pPr>
      <w:r w:rsidRPr="00182C72">
        <w:rPr>
          <w:rFonts w:cs="Arial"/>
          <w:i/>
        </w:rPr>
        <w:t xml:space="preserve">Serving sizes specified by the food business should reflect a realistic portion of the food that a person might normally consume on one eating occasion. Other legislation may be applicable in this case, including that the serving size should not be false, misleading or deceptive, or likely to mislead or deceive. </w:t>
      </w:r>
    </w:p>
    <w:p w:rsidR="007D65E7" w:rsidRPr="00182C72" w:rsidRDefault="007D65E7" w:rsidP="00132D9E">
      <w:pPr>
        <w:ind w:left="567"/>
        <w:rPr>
          <w:rFonts w:cs="Arial"/>
          <w:i/>
        </w:rPr>
      </w:pPr>
    </w:p>
    <w:p w:rsidR="007D65E7" w:rsidRPr="00C90FCB" w:rsidRDefault="007D65E7" w:rsidP="00132D9E">
      <w:pPr>
        <w:ind w:left="567"/>
        <w:rPr>
          <w:rFonts w:cs="Arial"/>
          <w:i/>
        </w:rPr>
      </w:pPr>
      <w:r w:rsidRPr="00182C72">
        <w:rPr>
          <w:rFonts w:cs="Arial"/>
          <w:i/>
        </w:rPr>
        <w:t>If the serving size is equal to 100 g, the two columns are still required to be displayed in the nutrition informat</w:t>
      </w:r>
      <w:r w:rsidR="001309CF">
        <w:rPr>
          <w:rFonts w:cs="Arial"/>
          <w:i/>
        </w:rPr>
        <w:t>ion panel, namely the ‘per serving</w:t>
      </w:r>
      <w:r w:rsidRPr="00182C72">
        <w:rPr>
          <w:rFonts w:cs="Arial"/>
          <w:i/>
        </w:rPr>
        <w:t xml:space="preserve">’ and ‘per 100 g’ (or per 100 </w:t>
      </w:r>
      <w:r w:rsidR="0054593A">
        <w:rPr>
          <w:rFonts w:cs="Arial"/>
          <w:i/>
        </w:rPr>
        <w:t>mL</w:t>
      </w:r>
      <w:r w:rsidRPr="00182C72">
        <w:rPr>
          <w:rFonts w:cs="Arial"/>
          <w:i/>
        </w:rPr>
        <w:t>) columns.</w:t>
      </w:r>
    </w:p>
    <w:p w:rsidR="00C90FCB" w:rsidRDefault="00CA55F0" w:rsidP="00C90FCB">
      <w:pPr>
        <w:pStyle w:val="Heading2"/>
      </w:pPr>
      <w:bookmarkStart w:id="41" w:name="_Toc405365738"/>
      <w:r>
        <w:t>4.3</w:t>
      </w:r>
      <w:r w:rsidR="00C90FCB">
        <w:tab/>
        <w:t>Daily intake claims</w:t>
      </w:r>
      <w:bookmarkEnd w:id="41"/>
    </w:p>
    <w:p w:rsidR="00ED357B" w:rsidRDefault="00C90FCB" w:rsidP="00ED357B">
      <w:pPr>
        <w:tabs>
          <w:tab w:val="left" w:pos="7088"/>
        </w:tabs>
      </w:pPr>
      <w:r>
        <w:rPr>
          <w:lang w:bidi="ar-SA"/>
        </w:rPr>
        <w:t xml:space="preserve">Recommendation 17 refers to the </w:t>
      </w:r>
      <w:r w:rsidRPr="00C90FCB">
        <w:t>amount of nutrients per serving being</w:t>
      </w:r>
      <w:r w:rsidRPr="00834441">
        <w:rPr>
          <w:i/>
        </w:rPr>
        <w:t xml:space="preserve"> no longer mandatory unless a </w:t>
      </w:r>
      <w:r w:rsidRPr="00C90FCB">
        <w:rPr>
          <w:b/>
          <w:i/>
        </w:rPr>
        <w:t>daily intake claim</w:t>
      </w:r>
      <w:r w:rsidRPr="00834441">
        <w:rPr>
          <w:i/>
        </w:rPr>
        <w:t xml:space="preserve"> is made.</w:t>
      </w:r>
      <w:r>
        <w:rPr>
          <w:i/>
        </w:rPr>
        <w:t xml:space="preserve"> </w:t>
      </w:r>
      <w:r w:rsidR="00ED357B">
        <w:t xml:space="preserve">For the purposes of this project FSANZ </w:t>
      </w:r>
      <w:r w:rsidR="00917CD3">
        <w:t>assumes</w:t>
      </w:r>
      <w:r w:rsidR="00ED357B">
        <w:t xml:space="preserve"> that </w:t>
      </w:r>
      <w:r w:rsidR="00ED357B" w:rsidRPr="00C90FCB">
        <w:rPr>
          <w:b/>
          <w:i/>
        </w:rPr>
        <w:t>daily intake claim</w:t>
      </w:r>
      <w:r w:rsidR="00ED357B" w:rsidRPr="00834441">
        <w:rPr>
          <w:i/>
        </w:rPr>
        <w:t xml:space="preserve"> </w:t>
      </w:r>
      <w:r w:rsidR="00ED357B">
        <w:t xml:space="preserve">refers to </w:t>
      </w:r>
      <w:r w:rsidR="00ED357B" w:rsidRPr="006B3310">
        <w:t>both percentage daily intake (</w:t>
      </w:r>
      <w:r w:rsidR="009B2455" w:rsidRPr="006B3310">
        <w:t>%</w:t>
      </w:r>
      <w:r w:rsidR="00ED357B" w:rsidRPr="006B3310">
        <w:t>DI)</w:t>
      </w:r>
      <w:r w:rsidR="00ED357B">
        <w:t xml:space="preserve"> information and percentage recommended dietary intake (</w:t>
      </w:r>
      <w:r w:rsidR="009B2455">
        <w:t>%</w:t>
      </w:r>
      <w:r w:rsidR="00ED357B">
        <w:t>RDI) information.</w:t>
      </w:r>
    </w:p>
    <w:p w:rsidR="00ED357B" w:rsidRDefault="00CA55F0" w:rsidP="00ED357B">
      <w:pPr>
        <w:pStyle w:val="Heading3"/>
      </w:pPr>
      <w:bookmarkStart w:id="42" w:name="_Toc251760527"/>
      <w:r>
        <w:t>4.3</w:t>
      </w:r>
      <w:r w:rsidR="00ED357B">
        <w:t>.1</w:t>
      </w:r>
      <w:r w:rsidR="00ED357B">
        <w:tab/>
      </w:r>
      <w:r w:rsidR="00ED357B" w:rsidRPr="00096128">
        <w:t xml:space="preserve">Percentage </w:t>
      </w:r>
      <w:r w:rsidR="00ED357B">
        <w:t>daily intake</w:t>
      </w:r>
      <w:r w:rsidR="00ED357B" w:rsidRPr="00096128">
        <w:t xml:space="preserve"> information</w:t>
      </w:r>
    </w:p>
    <w:p w:rsidR="00ED357B" w:rsidRPr="00D73877" w:rsidRDefault="00ED357B" w:rsidP="00ED357B">
      <w:pPr>
        <w:rPr>
          <w:rFonts w:cs="Arial"/>
          <w:szCs w:val="22"/>
        </w:rPr>
      </w:pPr>
      <w:r>
        <w:t xml:space="preserve">Percentage </w:t>
      </w:r>
      <w:r w:rsidR="0089344B">
        <w:t>daily intake</w:t>
      </w:r>
      <w:r>
        <w:t xml:space="preserve"> information</w:t>
      </w:r>
      <w:r w:rsidRPr="00096128">
        <w:t xml:space="preserve"> may be voluntarily provided in the </w:t>
      </w:r>
      <w:r>
        <w:t>NIP</w:t>
      </w:r>
      <w:r w:rsidRPr="00096128">
        <w:t>.</w:t>
      </w:r>
      <w:bookmarkEnd w:id="42"/>
      <w:r w:rsidRPr="00096128">
        <w:t xml:space="preserve"> Where such information is provided, there are mandatory requirements governing its use.</w:t>
      </w:r>
      <w:r w:rsidR="00D73877">
        <w:t xml:space="preserve"> </w:t>
      </w:r>
    </w:p>
    <w:p w:rsidR="00ED357B" w:rsidRDefault="00ED357B" w:rsidP="00ED357B">
      <w:pPr>
        <w:rPr>
          <w:rFonts w:cs="Arial"/>
          <w:color w:val="000000"/>
          <w:szCs w:val="22"/>
        </w:rPr>
      </w:pPr>
    </w:p>
    <w:p w:rsidR="00074C2A" w:rsidRDefault="00D73877" w:rsidP="00D73877">
      <w:pPr>
        <w:rPr>
          <w:rFonts w:cs="Arial"/>
          <w:szCs w:val="22"/>
        </w:rPr>
      </w:pPr>
      <w:r w:rsidRPr="00190EE5">
        <w:rPr>
          <w:rFonts w:cs="Arial"/>
          <w:szCs w:val="22"/>
        </w:rPr>
        <w:t xml:space="preserve">Daily intake reference values provide information on the total amount of energy, </w:t>
      </w:r>
      <w:r>
        <w:rPr>
          <w:rFonts w:cs="Arial"/>
          <w:szCs w:val="22"/>
        </w:rPr>
        <w:t>protein, fat, saturated fatty acids, carbohydrate, sugars, dietary fibre</w:t>
      </w:r>
      <w:r w:rsidRPr="00190EE5">
        <w:rPr>
          <w:rFonts w:cs="Arial"/>
          <w:szCs w:val="22"/>
        </w:rPr>
        <w:t xml:space="preserve"> and sodium to be consumed daily by an ‘average’ adult, based on an 8700 kJ diet that is in accordance with national dietary guidelines. Percentage </w:t>
      </w:r>
      <w:r w:rsidR="009B2455">
        <w:rPr>
          <w:rFonts w:cs="Arial"/>
          <w:szCs w:val="22"/>
        </w:rPr>
        <w:t>DI</w:t>
      </w:r>
      <w:r w:rsidRPr="00190EE5">
        <w:rPr>
          <w:rFonts w:cs="Arial"/>
          <w:szCs w:val="22"/>
        </w:rPr>
        <w:t xml:space="preserve"> information therefore expresses the percentage of the daily intake for </w:t>
      </w:r>
      <w:r>
        <w:rPr>
          <w:rFonts w:cs="Arial"/>
          <w:szCs w:val="22"/>
        </w:rPr>
        <w:t>these particular nutrients and energy</w:t>
      </w:r>
      <w:r w:rsidRPr="00190EE5">
        <w:rPr>
          <w:rFonts w:cs="Arial"/>
          <w:szCs w:val="22"/>
        </w:rPr>
        <w:t xml:space="preserve"> that will be obtained from consuming one serving of the food. Percentage </w:t>
      </w:r>
      <w:r w:rsidR="009B2455">
        <w:rPr>
          <w:rFonts w:cs="Arial"/>
          <w:szCs w:val="22"/>
        </w:rPr>
        <w:t>DI</w:t>
      </w:r>
      <w:r w:rsidRPr="00190EE5">
        <w:rPr>
          <w:rFonts w:cs="Arial"/>
          <w:szCs w:val="22"/>
        </w:rPr>
        <w:t xml:space="preserve"> values must be calculated using the daily intake reference values stated in the Table to subclause 7(3) of Standard 1.2.8. </w:t>
      </w:r>
      <w:r w:rsidR="00074C2A">
        <w:rPr>
          <w:rFonts w:cs="Arial"/>
          <w:szCs w:val="22"/>
        </w:rPr>
        <w:br w:type="page"/>
      </w:r>
    </w:p>
    <w:p w:rsidR="00D73877" w:rsidRDefault="00D73877" w:rsidP="00D73877">
      <w:pPr>
        <w:rPr>
          <w:rFonts w:cs="Arial"/>
          <w:szCs w:val="22"/>
        </w:rPr>
      </w:pPr>
      <w:r w:rsidRPr="00190EE5">
        <w:rPr>
          <w:rFonts w:cs="Arial"/>
          <w:szCs w:val="22"/>
        </w:rPr>
        <w:lastRenderedPageBreak/>
        <w:t xml:space="preserve">Percentage </w:t>
      </w:r>
      <w:r>
        <w:rPr>
          <w:rFonts w:cs="Arial"/>
          <w:szCs w:val="22"/>
        </w:rPr>
        <w:t>DI</w:t>
      </w:r>
      <w:r w:rsidRPr="00190EE5">
        <w:rPr>
          <w:rFonts w:cs="Arial"/>
          <w:szCs w:val="22"/>
        </w:rPr>
        <w:t xml:space="preserve"> information differs from </w:t>
      </w:r>
      <w:r w:rsidR="009B2455">
        <w:rPr>
          <w:rFonts w:cs="Arial"/>
          <w:szCs w:val="22"/>
        </w:rPr>
        <w:t>%</w:t>
      </w:r>
      <w:r w:rsidRPr="00190EE5">
        <w:rPr>
          <w:rFonts w:cs="Arial"/>
          <w:szCs w:val="22"/>
        </w:rPr>
        <w:t>RDI information which specifically app</w:t>
      </w:r>
      <w:r>
        <w:rPr>
          <w:rFonts w:cs="Arial"/>
          <w:szCs w:val="22"/>
        </w:rPr>
        <w:t xml:space="preserve">lies to vitamins and minerals. </w:t>
      </w:r>
    </w:p>
    <w:p w:rsidR="00D73877" w:rsidRDefault="00D73877" w:rsidP="00D73877">
      <w:pPr>
        <w:rPr>
          <w:rFonts w:cs="Arial"/>
          <w:szCs w:val="22"/>
        </w:rPr>
      </w:pPr>
    </w:p>
    <w:p w:rsidR="00D73877" w:rsidRPr="00190EE5" w:rsidRDefault="00D73877" w:rsidP="00D73877">
      <w:pPr>
        <w:rPr>
          <w:rFonts w:cs="Arial"/>
          <w:szCs w:val="22"/>
        </w:rPr>
      </w:pPr>
      <w:r>
        <w:rPr>
          <w:rFonts w:cs="Arial"/>
          <w:szCs w:val="22"/>
        </w:rPr>
        <w:t xml:space="preserve">Where </w:t>
      </w:r>
      <w:r w:rsidR="009B2455">
        <w:rPr>
          <w:rFonts w:cs="Arial"/>
          <w:szCs w:val="22"/>
        </w:rPr>
        <w:t>%</w:t>
      </w:r>
      <w:r w:rsidRPr="00190EE5">
        <w:rPr>
          <w:rFonts w:cs="Arial"/>
          <w:szCs w:val="22"/>
        </w:rPr>
        <w:t xml:space="preserve">DI values are displayed in </w:t>
      </w:r>
      <w:r>
        <w:rPr>
          <w:rFonts w:cs="Arial"/>
          <w:szCs w:val="22"/>
        </w:rPr>
        <w:t>the NIP</w:t>
      </w:r>
      <w:r w:rsidRPr="00190EE5">
        <w:rPr>
          <w:rFonts w:cs="Arial"/>
          <w:szCs w:val="22"/>
        </w:rPr>
        <w:t xml:space="preserve">, </w:t>
      </w:r>
      <w:r>
        <w:rPr>
          <w:rFonts w:cs="Arial"/>
          <w:szCs w:val="22"/>
        </w:rPr>
        <w:t>the</w:t>
      </w:r>
      <w:r w:rsidRPr="00190EE5">
        <w:rPr>
          <w:rFonts w:cs="Arial"/>
          <w:szCs w:val="22"/>
        </w:rPr>
        <w:t xml:space="preserve"> %DI for energy, protein, fat, saturated fatty acids, carbohydrate, sugars, and sodium provided by the food</w:t>
      </w:r>
      <w:r>
        <w:rPr>
          <w:rFonts w:cs="Arial"/>
          <w:szCs w:val="22"/>
        </w:rPr>
        <w:t xml:space="preserve"> must all be included</w:t>
      </w:r>
      <w:r w:rsidRPr="00190EE5">
        <w:rPr>
          <w:rFonts w:cs="Arial"/>
          <w:szCs w:val="22"/>
        </w:rPr>
        <w:t xml:space="preserve">. It is at the discretion of the food business whether %DI for dietary fibre is included. </w:t>
      </w:r>
    </w:p>
    <w:p w:rsidR="00D73877" w:rsidRPr="00190EE5" w:rsidRDefault="00D73877" w:rsidP="00D73877">
      <w:pPr>
        <w:rPr>
          <w:rFonts w:cs="Arial"/>
          <w:szCs w:val="22"/>
        </w:rPr>
      </w:pPr>
    </w:p>
    <w:p w:rsidR="00D73877" w:rsidRPr="00190EE5" w:rsidRDefault="00D73877" w:rsidP="00D73877">
      <w:pPr>
        <w:rPr>
          <w:rFonts w:cs="Arial"/>
          <w:szCs w:val="22"/>
        </w:rPr>
      </w:pPr>
      <w:r>
        <w:rPr>
          <w:rFonts w:cs="Arial"/>
          <w:szCs w:val="22"/>
        </w:rPr>
        <w:t>Either of t</w:t>
      </w:r>
      <w:r w:rsidRPr="00190EE5">
        <w:rPr>
          <w:rFonts w:cs="Arial"/>
          <w:szCs w:val="22"/>
        </w:rPr>
        <w:t>he following statement</w:t>
      </w:r>
      <w:r>
        <w:rPr>
          <w:rFonts w:cs="Arial"/>
          <w:szCs w:val="22"/>
        </w:rPr>
        <w:t>s</w:t>
      </w:r>
      <w:r w:rsidRPr="00190EE5">
        <w:rPr>
          <w:rFonts w:cs="Arial"/>
          <w:szCs w:val="22"/>
        </w:rPr>
        <w:t xml:space="preserve"> must also be included in </w:t>
      </w:r>
      <w:r>
        <w:rPr>
          <w:rFonts w:cs="Arial"/>
          <w:szCs w:val="22"/>
        </w:rPr>
        <w:t>the NIP</w:t>
      </w:r>
      <w:r w:rsidRPr="00190EE5">
        <w:rPr>
          <w:rFonts w:cs="Arial"/>
          <w:szCs w:val="22"/>
        </w:rPr>
        <w:t xml:space="preserve"> where %DI values are included: </w:t>
      </w:r>
    </w:p>
    <w:p w:rsidR="00D73877" w:rsidRPr="00190EE5" w:rsidRDefault="00D73877" w:rsidP="00D73877">
      <w:pPr>
        <w:rPr>
          <w:rFonts w:cs="Arial"/>
          <w:szCs w:val="22"/>
        </w:rPr>
      </w:pPr>
    </w:p>
    <w:p w:rsidR="00D73877" w:rsidRPr="00190EE5" w:rsidRDefault="006707DE" w:rsidP="00132D9E">
      <w:pPr>
        <w:ind w:left="567"/>
        <w:rPr>
          <w:rFonts w:cs="Arial"/>
          <w:szCs w:val="22"/>
        </w:rPr>
      </w:pPr>
      <w:r>
        <w:rPr>
          <w:rFonts w:cs="Arial"/>
          <w:szCs w:val="22"/>
        </w:rPr>
        <w:t>‘</w:t>
      </w:r>
      <w:proofErr w:type="gramStart"/>
      <w:r w:rsidR="00D73877">
        <w:rPr>
          <w:rFonts w:cs="Arial"/>
          <w:szCs w:val="22"/>
        </w:rPr>
        <w:t>based</w:t>
      </w:r>
      <w:proofErr w:type="gramEnd"/>
      <w:r w:rsidR="00D73877">
        <w:rPr>
          <w:rFonts w:cs="Arial"/>
          <w:szCs w:val="22"/>
        </w:rPr>
        <w:t xml:space="preserve"> on an average adult diet of 8700 kJ’</w:t>
      </w:r>
      <w:r w:rsidR="00D73877" w:rsidRPr="00190EE5">
        <w:rPr>
          <w:rFonts w:cs="Arial"/>
          <w:szCs w:val="22"/>
        </w:rPr>
        <w:t xml:space="preserve"> </w:t>
      </w:r>
    </w:p>
    <w:p w:rsidR="00D73877" w:rsidRPr="00D73877" w:rsidRDefault="006707DE" w:rsidP="00132D9E">
      <w:pPr>
        <w:ind w:left="567"/>
        <w:rPr>
          <w:rFonts w:cs="Arial"/>
          <w:szCs w:val="22"/>
        </w:rPr>
      </w:pPr>
      <w:r>
        <w:rPr>
          <w:rFonts w:cs="Arial"/>
          <w:szCs w:val="22"/>
        </w:rPr>
        <w:t>‘</w:t>
      </w:r>
      <w:r w:rsidR="00D73877" w:rsidRPr="00190EE5">
        <w:rPr>
          <w:rFonts w:cs="Arial"/>
          <w:szCs w:val="22"/>
        </w:rPr>
        <w:t>Percentage daily intakes are based on an average adult diet of 8700 kJ.’</w:t>
      </w:r>
    </w:p>
    <w:p w:rsidR="00544D39" w:rsidRDefault="006966B2" w:rsidP="00544D39">
      <w:pPr>
        <w:pStyle w:val="Heading3"/>
      </w:pPr>
      <w:r>
        <w:t>4</w:t>
      </w:r>
      <w:r w:rsidR="00CA55F0">
        <w:t>.3</w:t>
      </w:r>
      <w:r w:rsidR="00D73877">
        <w:t>.</w:t>
      </w:r>
      <w:r w:rsidR="00544D39">
        <w:t>2</w:t>
      </w:r>
      <w:r w:rsidR="00544D39">
        <w:tab/>
        <w:t>Percentage recommended dietary intake information</w:t>
      </w:r>
    </w:p>
    <w:p w:rsidR="00D73877" w:rsidRDefault="00ED357B" w:rsidP="00D73877">
      <w:pPr>
        <w:tabs>
          <w:tab w:val="left" w:pos="7088"/>
        </w:tabs>
        <w:rPr>
          <w:rFonts w:cs="Arial"/>
          <w:color w:val="000000"/>
          <w:szCs w:val="22"/>
        </w:rPr>
      </w:pPr>
      <w:r w:rsidRPr="00BA139D">
        <w:rPr>
          <w:rFonts w:cs="Arial"/>
          <w:color w:val="000000"/>
          <w:szCs w:val="22"/>
        </w:rPr>
        <w:t xml:space="preserve">Percentage </w:t>
      </w:r>
      <w:r w:rsidR="00544D39" w:rsidRPr="00BA139D">
        <w:rPr>
          <w:rFonts w:cs="Arial"/>
          <w:color w:val="000000"/>
          <w:szCs w:val="22"/>
        </w:rPr>
        <w:t>RDI</w:t>
      </w:r>
      <w:r>
        <w:rPr>
          <w:rFonts w:cs="Arial"/>
          <w:color w:val="000000"/>
          <w:szCs w:val="22"/>
        </w:rPr>
        <w:t xml:space="preserve"> information must be provided</w:t>
      </w:r>
      <w:r w:rsidR="00503A85">
        <w:rPr>
          <w:rFonts w:cs="Arial"/>
          <w:color w:val="000000"/>
          <w:szCs w:val="22"/>
        </w:rPr>
        <w:t xml:space="preserve"> in the NIP</w:t>
      </w:r>
      <w:r>
        <w:rPr>
          <w:rFonts w:cs="Arial"/>
          <w:color w:val="000000"/>
          <w:szCs w:val="22"/>
        </w:rPr>
        <w:t xml:space="preserve"> if a claim requiring nutrition information is made about a vitamin or mineral that has an RDI</w:t>
      </w:r>
      <w:r w:rsidR="00503A85">
        <w:rPr>
          <w:rFonts w:cs="Arial"/>
          <w:color w:val="000000"/>
          <w:szCs w:val="22"/>
        </w:rPr>
        <w:t xml:space="preserve"> listed in the Code</w:t>
      </w:r>
      <w:r>
        <w:rPr>
          <w:rFonts w:cs="Arial"/>
          <w:color w:val="000000"/>
          <w:szCs w:val="22"/>
        </w:rPr>
        <w:t>.</w:t>
      </w:r>
      <w:r w:rsidR="00D73877">
        <w:rPr>
          <w:rFonts w:cs="Arial"/>
          <w:color w:val="000000"/>
          <w:szCs w:val="22"/>
        </w:rPr>
        <w:t xml:space="preserve"> </w:t>
      </w:r>
      <w:r w:rsidR="00D73877" w:rsidRPr="00190EE5">
        <w:rPr>
          <w:rFonts w:cs="Arial"/>
          <w:szCs w:val="22"/>
        </w:rPr>
        <w:t xml:space="preserve">Percentage </w:t>
      </w:r>
      <w:r w:rsidR="00D73877">
        <w:rPr>
          <w:rFonts w:cs="Arial"/>
          <w:szCs w:val="22"/>
        </w:rPr>
        <w:t>RDI</w:t>
      </w:r>
      <w:r w:rsidR="00D73877" w:rsidRPr="00190EE5">
        <w:rPr>
          <w:rFonts w:cs="Arial"/>
          <w:szCs w:val="22"/>
        </w:rPr>
        <w:t xml:space="preserve"> information expresses the percentage of the </w:t>
      </w:r>
      <w:r w:rsidR="00D73877">
        <w:rPr>
          <w:rFonts w:cs="Arial"/>
          <w:szCs w:val="22"/>
        </w:rPr>
        <w:t>RDI of</w:t>
      </w:r>
      <w:r w:rsidR="00D73877" w:rsidRPr="00190EE5">
        <w:rPr>
          <w:rFonts w:cs="Arial"/>
          <w:szCs w:val="22"/>
        </w:rPr>
        <w:t xml:space="preserve"> </w:t>
      </w:r>
      <w:r w:rsidR="00503A85">
        <w:rPr>
          <w:rFonts w:cs="Arial"/>
          <w:szCs w:val="22"/>
        </w:rPr>
        <w:t>certain vitamins and minerals</w:t>
      </w:r>
      <w:r w:rsidR="00D73877" w:rsidRPr="00190EE5">
        <w:rPr>
          <w:rFonts w:cs="Arial"/>
          <w:szCs w:val="22"/>
        </w:rPr>
        <w:t xml:space="preserve"> that will be obtained from consuming one serving of the</w:t>
      </w:r>
      <w:r w:rsidR="00D73877">
        <w:rPr>
          <w:rFonts w:cs="Arial"/>
          <w:szCs w:val="22"/>
        </w:rPr>
        <w:t xml:space="preserve"> food. </w:t>
      </w:r>
      <w:r w:rsidR="00BA139D">
        <w:rPr>
          <w:rFonts w:cs="Arial"/>
          <w:szCs w:val="22"/>
        </w:rPr>
        <w:t xml:space="preserve">This information is required irrespective of whether %DI information is voluntarily included and is not required to be declared per 100 g/mL. </w:t>
      </w:r>
      <w:r w:rsidR="00D73877">
        <w:rPr>
          <w:rFonts w:cs="Arial"/>
          <w:color w:val="000000"/>
          <w:szCs w:val="22"/>
        </w:rPr>
        <w:t xml:space="preserve">The vitamins and minerals </w:t>
      </w:r>
      <w:r w:rsidR="00D73877" w:rsidRPr="008660C6">
        <w:rPr>
          <w:rFonts w:cs="Arial"/>
          <w:color w:val="000000"/>
          <w:szCs w:val="22"/>
        </w:rPr>
        <w:t xml:space="preserve">with </w:t>
      </w:r>
      <w:r w:rsidR="00F53913" w:rsidRPr="008660C6">
        <w:rPr>
          <w:rFonts w:cs="Arial"/>
          <w:color w:val="000000"/>
          <w:szCs w:val="22"/>
        </w:rPr>
        <w:t xml:space="preserve">(regulatory) </w:t>
      </w:r>
      <w:r w:rsidR="00D73877" w:rsidRPr="008660C6">
        <w:rPr>
          <w:rFonts w:cs="Arial"/>
          <w:color w:val="000000"/>
          <w:szCs w:val="22"/>
        </w:rPr>
        <w:t>RDIs are listed in the Schedule to Standard 1.1.1</w:t>
      </w:r>
      <w:r w:rsidR="00132D9E">
        <w:rPr>
          <w:rFonts w:cs="Arial"/>
          <w:color w:val="000000"/>
          <w:szCs w:val="22"/>
        </w:rPr>
        <w:t xml:space="preserve"> – Preliminary Provisions – Application, Interpretation and General Prohibitions</w:t>
      </w:r>
      <w:r w:rsidR="00D73877" w:rsidRPr="008660C6">
        <w:rPr>
          <w:rFonts w:cs="Arial"/>
          <w:color w:val="000000"/>
          <w:szCs w:val="22"/>
        </w:rPr>
        <w:t>.</w:t>
      </w:r>
      <w:r w:rsidR="00D73877">
        <w:rPr>
          <w:rFonts w:cs="Arial"/>
          <w:color w:val="000000"/>
          <w:szCs w:val="22"/>
        </w:rPr>
        <w:t xml:space="preserve"> </w:t>
      </w:r>
    </w:p>
    <w:p w:rsidR="00503A85" w:rsidRDefault="00503A85" w:rsidP="00D73877">
      <w:pPr>
        <w:tabs>
          <w:tab w:val="left" w:pos="7088"/>
        </w:tabs>
        <w:rPr>
          <w:rFonts w:cs="Arial"/>
          <w:color w:val="000000"/>
          <w:szCs w:val="22"/>
        </w:rPr>
      </w:pPr>
    </w:p>
    <w:p w:rsidR="00BA139D" w:rsidRDefault="00503A85" w:rsidP="00ED357B">
      <w:pPr>
        <w:tabs>
          <w:tab w:val="left" w:pos="7088"/>
        </w:tabs>
        <w:rPr>
          <w:rFonts w:cs="Arial"/>
          <w:color w:val="000000"/>
          <w:szCs w:val="22"/>
        </w:rPr>
      </w:pPr>
      <w:r>
        <w:rPr>
          <w:rFonts w:cs="Arial"/>
          <w:color w:val="000000"/>
          <w:szCs w:val="22"/>
        </w:rPr>
        <w:t>Percentage RDI information is not required for a food for infants (standardised by Standard 2.9.2</w:t>
      </w:r>
      <w:r w:rsidR="008C4B84">
        <w:rPr>
          <w:rFonts w:cs="Arial"/>
          <w:color w:val="000000"/>
          <w:szCs w:val="22"/>
        </w:rPr>
        <w:t xml:space="preserve"> – Food for Infants</w:t>
      </w:r>
      <w:r>
        <w:rPr>
          <w:rFonts w:cs="Arial"/>
          <w:color w:val="000000"/>
          <w:szCs w:val="22"/>
        </w:rPr>
        <w:t>)</w:t>
      </w:r>
      <w:proofErr w:type="gramStart"/>
      <w:r>
        <w:rPr>
          <w:rFonts w:cs="Arial"/>
          <w:color w:val="000000"/>
          <w:szCs w:val="22"/>
        </w:rPr>
        <w:t>,</w:t>
      </w:r>
      <w:proofErr w:type="gramEnd"/>
      <w:r>
        <w:rPr>
          <w:rFonts w:cs="Arial"/>
          <w:color w:val="000000"/>
          <w:szCs w:val="22"/>
        </w:rPr>
        <w:t xml:space="preserve"> however</w:t>
      </w:r>
      <w:r w:rsidR="00132D9E">
        <w:rPr>
          <w:rFonts w:cs="Arial"/>
          <w:color w:val="000000"/>
          <w:szCs w:val="22"/>
        </w:rPr>
        <w:t>,</w:t>
      </w:r>
      <w:r>
        <w:rPr>
          <w:rFonts w:cs="Arial"/>
          <w:color w:val="000000"/>
          <w:szCs w:val="22"/>
        </w:rPr>
        <w:t xml:space="preserve"> it may voluntarily be provided in the NIP of these foods.</w:t>
      </w:r>
    </w:p>
    <w:p w:rsidR="00503A85" w:rsidRDefault="006966B2" w:rsidP="00503A85">
      <w:pPr>
        <w:pStyle w:val="Heading3"/>
      </w:pPr>
      <w:r>
        <w:t>4</w:t>
      </w:r>
      <w:r w:rsidR="00CA55F0">
        <w:t>.3</w:t>
      </w:r>
      <w:r w:rsidR="00503A85">
        <w:t>.</w:t>
      </w:r>
      <w:r w:rsidR="0076114C">
        <w:t>3</w:t>
      </w:r>
      <w:r w:rsidR="005E101C">
        <w:tab/>
      </w:r>
      <w:r w:rsidR="00D95787">
        <w:t>Presenting</w:t>
      </w:r>
      <w:r w:rsidR="00503A85">
        <w:t xml:space="preserve"> </w:t>
      </w:r>
      <w:r w:rsidR="009B2455">
        <w:t>%</w:t>
      </w:r>
      <w:r w:rsidR="00503A85">
        <w:t xml:space="preserve">DI and </w:t>
      </w:r>
      <w:r w:rsidR="009B2455">
        <w:t>%</w:t>
      </w:r>
      <w:r w:rsidR="00503A85">
        <w:t>RDI information</w:t>
      </w:r>
      <w:r w:rsidR="00D95787">
        <w:t xml:space="preserve"> in and outside the NIP</w:t>
      </w:r>
    </w:p>
    <w:p w:rsidR="00503A85" w:rsidRPr="00190EE5" w:rsidRDefault="00503A85" w:rsidP="00503A85">
      <w:pPr>
        <w:rPr>
          <w:rFonts w:cs="Arial"/>
          <w:szCs w:val="22"/>
        </w:rPr>
      </w:pPr>
      <w:r w:rsidRPr="00190EE5">
        <w:rPr>
          <w:rFonts w:cs="Arial"/>
          <w:szCs w:val="22"/>
        </w:rPr>
        <w:t xml:space="preserve">The following is an example of a </w:t>
      </w:r>
      <w:r>
        <w:rPr>
          <w:rFonts w:cs="Arial"/>
          <w:szCs w:val="22"/>
        </w:rPr>
        <w:t>NIP</w:t>
      </w:r>
      <w:r w:rsidR="00D95787">
        <w:rPr>
          <w:rFonts w:cs="Arial"/>
          <w:szCs w:val="22"/>
        </w:rPr>
        <w:t xml:space="preserve"> containing</w:t>
      </w:r>
      <w:r>
        <w:rPr>
          <w:rFonts w:cs="Arial"/>
          <w:szCs w:val="22"/>
        </w:rPr>
        <w:t xml:space="preserve"> </w:t>
      </w:r>
      <w:r w:rsidR="009B2455">
        <w:rPr>
          <w:rFonts w:cs="Arial"/>
          <w:szCs w:val="22"/>
        </w:rPr>
        <w:t>%</w:t>
      </w:r>
      <w:r w:rsidRPr="00190EE5">
        <w:rPr>
          <w:rFonts w:cs="Arial"/>
          <w:szCs w:val="22"/>
        </w:rPr>
        <w:t xml:space="preserve">DI </w:t>
      </w:r>
      <w:r w:rsidR="00FD35DC">
        <w:rPr>
          <w:rFonts w:cs="Arial"/>
          <w:szCs w:val="22"/>
        </w:rPr>
        <w:t>and</w:t>
      </w:r>
      <w:r>
        <w:rPr>
          <w:rFonts w:cs="Arial"/>
          <w:szCs w:val="22"/>
        </w:rPr>
        <w:t xml:space="preserve"> </w:t>
      </w:r>
      <w:r w:rsidR="009B2455">
        <w:rPr>
          <w:rFonts w:cs="Arial"/>
          <w:szCs w:val="22"/>
        </w:rPr>
        <w:t>%</w:t>
      </w:r>
      <w:r>
        <w:rPr>
          <w:rFonts w:cs="Arial"/>
          <w:szCs w:val="22"/>
        </w:rPr>
        <w:t xml:space="preserve">RDI </w:t>
      </w:r>
      <w:r w:rsidRPr="00190EE5">
        <w:rPr>
          <w:rFonts w:cs="Arial"/>
          <w:szCs w:val="22"/>
        </w:rPr>
        <w:t>values.</w:t>
      </w:r>
    </w:p>
    <w:p w:rsidR="00503A85" w:rsidRPr="00190EE5" w:rsidRDefault="00503A85" w:rsidP="00503A85">
      <w:pPr>
        <w:rPr>
          <w:rFonts w:cs="Arial"/>
          <w:szCs w:val="22"/>
        </w:rPr>
      </w:pPr>
    </w:p>
    <w:tbl>
      <w:tblPr>
        <w:tblW w:w="8444" w:type="dxa"/>
        <w:tblLayout w:type="fixed"/>
        <w:tblCellMar>
          <w:left w:w="80" w:type="dxa"/>
          <w:right w:w="80" w:type="dxa"/>
        </w:tblCellMar>
        <w:tblLook w:val="0000" w:firstRow="0" w:lastRow="0" w:firstColumn="0" w:lastColumn="0" w:noHBand="0" w:noVBand="0"/>
      </w:tblPr>
      <w:tblGrid>
        <w:gridCol w:w="2670"/>
        <w:gridCol w:w="1440"/>
        <w:gridCol w:w="1985"/>
        <w:gridCol w:w="142"/>
        <w:gridCol w:w="2207"/>
      </w:tblGrid>
      <w:tr w:rsidR="00503A85" w:rsidRPr="00190EE5" w:rsidTr="00696AA7">
        <w:trPr>
          <w:cantSplit/>
        </w:trPr>
        <w:tc>
          <w:tcPr>
            <w:tcW w:w="8444" w:type="dxa"/>
            <w:gridSpan w:val="5"/>
            <w:tcBorders>
              <w:top w:val="single" w:sz="2" w:space="0" w:color="auto"/>
              <w:left w:val="single" w:sz="2" w:space="0" w:color="auto"/>
              <w:bottom w:val="single" w:sz="2" w:space="0" w:color="auto"/>
              <w:right w:val="single" w:sz="4" w:space="0" w:color="auto"/>
            </w:tcBorders>
          </w:tcPr>
          <w:p w:rsidR="00503A85" w:rsidRPr="001F0C9A" w:rsidRDefault="00503A85" w:rsidP="005D3B10">
            <w:pPr>
              <w:keepNext/>
              <w:jc w:val="center"/>
              <w:rPr>
                <w:rFonts w:cs="Arial"/>
                <w:b/>
                <w:bCs/>
                <w:sz w:val="20"/>
                <w:szCs w:val="22"/>
              </w:rPr>
            </w:pPr>
            <w:r w:rsidRPr="001F0C9A">
              <w:rPr>
                <w:rFonts w:cs="Arial"/>
                <w:b/>
                <w:bCs/>
                <w:sz w:val="20"/>
                <w:szCs w:val="22"/>
              </w:rPr>
              <w:t>NUTRITION INFORMATION</w:t>
            </w:r>
          </w:p>
          <w:p w:rsidR="00503A85" w:rsidRPr="001F0C9A" w:rsidRDefault="00503A85" w:rsidP="005D3B10">
            <w:pPr>
              <w:keepNext/>
              <w:rPr>
                <w:rFonts w:cs="Arial"/>
                <w:sz w:val="20"/>
                <w:szCs w:val="22"/>
              </w:rPr>
            </w:pPr>
            <w:r w:rsidRPr="001F0C9A">
              <w:rPr>
                <w:rFonts w:cs="Arial"/>
                <w:sz w:val="20"/>
                <w:szCs w:val="22"/>
              </w:rPr>
              <w:t>Servings per package: (insert number of servings)</w:t>
            </w:r>
          </w:p>
          <w:p w:rsidR="00503A85" w:rsidRPr="001F0C9A" w:rsidRDefault="00503A85" w:rsidP="005D3B10">
            <w:pPr>
              <w:keepNext/>
              <w:rPr>
                <w:rFonts w:cs="Arial"/>
                <w:sz w:val="20"/>
                <w:szCs w:val="22"/>
              </w:rPr>
            </w:pPr>
            <w:r w:rsidRPr="001F0C9A">
              <w:rPr>
                <w:rFonts w:cs="Arial"/>
                <w:sz w:val="20"/>
                <w:szCs w:val="22"/>
              </w:rPr>
              <w:t xml:space="preserve">Serving size: g (or </w:t>
            </w:r>
            <w:r w:rsidR="0054593A" w:rsidRPr="001F0C9A">
              <w:rPr>
                <w:rFonts w:cs="Arial"/>
                <w:sz w:val="20"/>
                <w:szCs w:val="22"/>
              </w:rPr>
              <w:t>mL</w:t>
            </w:r>
            <w:r w:rsidRPr="001F0C9A">
              <w:rPr>
                <w:rFonts w:cs="Arial"/>
                <w:sz w:val="20"/>
                <w:szCs w:val="22"/>
              </w:rPr>
              <w:t xml:space="preserve"> or other units as appropriate)</w:t>
            </w:r>
          </w:p>
        </w:tc>
      </w:tr>
      <w:tr w:rsidR="00503A85" w:rsidRPr="00190EE5" w:rsidTr="00696AA7">
        <w:trPr>
          <w:cantSplit/>
        </w:trPr>
        <w:tc>
          <w:tcPr>
            <w:tcW w:w="2670" w:type="dxa"/>
            <w:tcBorders>
              <w:top w:val="single" w:sz="2" w:space="0" w:color="auto"/>
              <w:left w:val="single" w:sz="2" w:space="0" w:color="auto"/>
              <w:bottom w:val="single" w:sz="4" w:space="0" w:color="auto"/>
            </w:tcBorders>
          </w:tcPr>
          <w:p w:rsidR="00503A85" w:rsidRPr="00190EE5" w:rsidRDefault="00503A85" w:rsidP="005D3B10">
            <w:pPr>
              <w:keepNext/>
              <w:rPr>
                <w:rFonts w:cs="Arial"/>
                <w:szCs w:val="22"/>
              </w:rPr>
            </w:pPr>
          </w:p>
        </w:tc>
        <w:tc>
          <w:tcPr>
            <w:tcW w:w="1440" w:type="dxa"/>
            <w:tcBorders>
              <w:top w:val="single" w:sz="2" w:space="0" w:color="auto"/>
              <w:bottom w:val="single" w:sz="4" w:space="0" w:color="auto"/>
            </w:tcBorders>
          </w:tcPr>
          <w:p w:rsidR="00503A85" w:rsidRPr="001F0C9A" w:rsidRDefault="00503A85" w:rsidP="005D3B10">
            <w:pPr>
              <w:keepNext/>
              <w:rPr>
                <w:rFonts w:cs="Arial"/>
                <w:sz w:val="20"/>
                <w:szCs w:val="22"/>
              </w:rPr>
            </w:pPr>
            <w:r w:rsidRPr="001F0C9A">
              <w:rPr>
                <w:rFonts w:cs="Arial"/>
                <w:sz w:val="20"/>
                <w:szCs w:val="22"/>
              </w:rPr>
              <w:t xml:space="preserve">Average Quantity per Serving </w:t>
            </w:r>
          </w:p>
        </w:tc>
        <w:tc>
          <w:tcPr>
            <w:tcW w:w="1985" w:type="dxa"/>
            <w:tcBorders>
              <w:top w:val="single" w:sz="2" w:space="0" w:color="auto"/>
              <w:bottom w:val="single" w:sz="4" w:space="0" w:color="auto"/>
            </w:tcBorders>
          </w:tcPr>
          <w:p w:rsidR="00503A85" w:rsidRPr="001F0C9A" w:rsidRDefault="00503A85" w:rsidP="005D3B10">
            <w:pPr>
              <w:keepNext/>
              <w:rPr>
                <w:rFonts w:cs="Arial"/>
                <w:sz w:val="20"/>
                <w:szCs w:val="22"/>
              </w:rPr>
            </w:pPr>
            <w:r w:rsidRPr="001F0C9A">
              <w:rPr>
                <w:rFonts w:cs="Arial"/>
                <w:sz w:val="20"/>
                <w:szCs w:val="22"/>
              </w:rPr>
              <w:t>% Daily Intake*</w:t>
            </w:r>
            <w:r w:rsidRPr="001F0C9A">
              <w:rPr>
                <w:rFonts w:cs="Arial"/>
                <w:sz w:val="20"/>
                <w:szCs w:val="22"/>
              </w:rPr>
              <w:br/>
              <w:t>(per Serving)</w:t>
            </w:r>
          </w:p>
        </w:tc>
        <w:tc>
          <w:tcPr>
            <w:tcW w:w="2349" w:type="dxa"/>
            <w:gridSpan w:val="2"/>
            <w:tcBorders>
              <w:top w:val="single" w:sz="2" w:space="0" w:color="auto"/>
              <w:bottom w:val="single" w:sz="4" w:space="0" w:color="auto"/>
              <w:right w:val="single" w:sz="4" w:space="0" w:color="auto"/>
            </w:tcBorders>
          </w:tcPr>
          <w:p w:rsidR="00503A85" w:rsidRPr="001F0C9A" w:rsidRDefault="00503A85" w:rsidP="00BA26E3">
            <w:pPr>
              <w:keepNext/>
              <w:ind w:left="204"/>
              <w:rPr>
                <w:rFonts w:cs="Arial"/>
                <w:sz w:val="20"/>
                <w:szCs w:val="22"/>
              </w:rPr>
            </w:pPr>
            <w:r w:rsidRPr="001F0C9A">
              <w:rPr>
                <w:rFonts w:cs="Arial"/>
                <w:sz w:val="20"/>
                <w:szCs w:val="22"/>
              </w:rPr>
              <w:t xml:space="preserve">Average Quantity per 100 g </w:t>
            </w:r>
            <w:r w:rsidRPr="001F0C9A">
              <w:rPr>
                <w:rFonts w:cs="Arial"/>
                <w:sz w:val="20"/>
                <w:szCs w:val="22"/>
              </w:rPr>
              <w:br/>
              <w:t xml:space="preserve">(or 100 </w:t>
            </w:r>
            <w:r w:rsidR="0054593A" w:rsidRPr="001F0C9A">
              <w:rPr>
                <w:rFonts w:cs="Arial"/>
                <w:sz w:val="20"/>
                <w:szCs w:val="22"/>
              </w:rPr>
              <w:t>mL</w:t>
            </w:r>
            <w:r w:rsidRPr="001F0C9A">
              <w:rPr>
                <w:rFonts w:cs="Arial"/>
                <w:sz w:val="20"/>
                <w:szCs w:val="22"/>
              </w:rPr>
              <w:t>)</w:t>
            </w:r>
          </w:p>
        </w:tc>
      </w:tr>
      <w:tr w:rsidR="00503A85" w:rsidRPr="00190EE5" w:rsidTr="00696AA7">
        <w:trPr>
          <w:cantSplit/>
        </w:trPr>
        <w:tc>
          <w:tcPr>
            <w:tcW w:w="2670" w:type="dxa"/>
            <w:tcBorders>
              <w:top w:val="single" w:sz="4" w:space="0" w:color="auto"/>
              <w:left w:val="single" w:sz="2" w:space="0" w:color="auto"/>
            </w:tcBorders>
          </w:tcPr>
          <w:p w:rsidR="00503A85" w:rsidRPr="001F0C9A" w:rsidRDefault="00503A85" w:rsidP="005D3B10">
            <w:pPr>
              <w:keepNext/>
              <w:rPr>
                <w:rFonts w:cs="Arial"/>
                <w:sz w:val="20"/>
                <w:szCs w:val="22"/>
              </w:rPr>
            </w:pPr>
            <w:r w:rsidRPr="001F0C9A">
              <w:rPr>
                <w:rFonts w:cs="Arial"/>
                <w:sz w:val="20"/>
                <w:szCs w:val="22"/>
              </w:rPr>
              <w:t>Energy</w:t>
            </w:r>
          </w:p>
          <w:p w:rsidR="00503A85" w:rsidRPr="001F0C9A" w:rsidRDefault="00503A85" w:rsidP="005D3B10">
            <w:pPr>
              <w:keepNext/>
              <w:rPr>
                <w:rFonts w:cs="Arial"/>
                <w:sz w:val="20"/>
                <w:szCs w:val="22"/>
              </w:rPr>
            </w:pPr>
          </w:p>
        </w:tc>
        <w:tc>
          <w:tcPr>
            <w:tcW w:w="1440" w:type="dxa"/>
            <w:tcBorders>
              <w:top w:val="single" w:sz="4" w:space="0" w:color="auto"/>
            </w:tcBorders>
          </w:tcPr>
          <w:p w:rsidR="00503A85" w:rsidRPr="001F0C9A" w:rsidRDefault="00503A85" w:rsidP="005D3B10">
            <w:pPr>
              <w:keepNext/>
              <w:rPr>
                <w:rFonts w:cs="Arial"/>
                <w:sz w:val="20"/>
                <w:szCs w:val="22"/>
              </w:rPr>
            </w:pPr>
            <w:r w:rsidRPr="001F0C9A">
              <w:rPr>
                <w:rFonts w:cs="Arial"/>
                <w:sz w:val="20"/>
                <w:szCs w:val="22"/>
              </w:rPr>
              <w:t>kJ (Cal)</w:t>
            </w:r>
          </w:p>
        </w:tc>
        <w:tc>
          <w:tcPr>
            <w:tcW w:w="1985" w:type="dxa"/>
            <w:tcBorders>
              <w:top w:val="single" w:sz="4" w:space="0" w:color="auto"/>
            </w:tcBorders>
          </w:tcPr>
          <w:p w:rsidR="00503A85" w:rsidRPr="001F0C9A" w:rsidRDefault="00503A85" w:rsidP="005D3B10">
            <w:pPr>
              <w:keepNext/>
              <w:rPr>
                <w:rFonts w:cs="Arial"/>
                <w:sz w:val="20"/>
                <w:szCs w:val="22"/>
              </w:rPr>
            </w:pPr>
            <w:r w:rsidRPr="001F0C9A">
              <w:rPr>
                <w:rFonts w:cs="Arial"/>
                <w:sz w:val="20"/>
                <w:szCs w:val="22"/>
              </w:rPr>
              <w:t>%</w:t>
            </w:r>
          </w:p>
        </w:tc>
        <w:tc>
          <w:tcPr>
            <w:tcW w:w="2349" w:type="dxa"/>
            <w:gridSpan w:val="2"/>
            <w:tcBorders>
              <w:top w:val="single" w:sz="4" w:space="0" w:color="auto"/>
              <w:right w:val="single" w:sz="4" w:space="0" w:color="auto"/>
            </w:tcBorders>
          </w:tcPr>
          <w:p w:rsidR="00503A85" w:rsidRPr="001F0C9A" w:rsidRDefault="00503A85" w:rsidP="00BA26E3">
            <w:pPr>
              <w:keepNext/>
              <w:ind w:left="204"/>
              <w:rPr>
                <w:rFonts w:cs="Arial"/>
                <w:sz w:val="20"/>
                <w:szCs w:val="22"/>
              </w:rPr>
            </w:pPr>
            <w:r w:rsidRPr="001F0C9A">
              <w:rPr>
                <w:rFonts w:cs="Arial"/>
                <w:sz w:val="20"/>
                <w:szCs w:val="22"/>
              </w:rPr>
              <w:t>kJ (Cal)</w:t>
            </w:r>
          </w:p>
        </w:tc>
      </w:tr>
      <w:tr w:rsidR="00503A85" w:rsidRPr="00190EE5" w:rsidTr="00696AA7">
        <w:trPr>
          <w:cantSplit/>
        </w:trPr>
        <w:tc>
          <w:tcPr>
            <w:tcW w:w="2670" w:type="dxa"/>
            <w:tcBorders>
              <w:left w:val="single" w:sz="2" w:space="0" w:color="auto"/>
            </w:tcBorders>
          </w:tcPr>
          <w:p w:rsidR="00503A85" w:rsidRPr="001F0C9A" w:rsidRDefault="00503A85" w:rsidP="005D3B10">
            <w:pPr>
              <w:keepNext/>
              <w:rPr>
                <w:rFonts w:cs="Arial"/>
                <w:sz w:val="20"/>
                <w:szCs w:val="22"/>
              </w:rPr>
            </w:pPr>
            <w:r w:rsidRPr="001F0C9A">
              <w:rPr>
                <w:rFonts w:cs="Arial"/>
                <w:sz w:val="20"/>
                <w:szCs w:val="22"/>
              </w:rPr>
              <w:t>Protein</w:t>
            </w:r>
          </w:p>
          <w:p w:rsidR="00503A85" w:rsidRPr="001F0C9A" w:rsidRDefault="00503A85" w:rsidP="005D3B10">
            <w:pPr>
              <w:keepNext/>
              <w:rPr>
                <w:rFonts w:cs="Arial"/>
                <w:sz w:val="20"/>
                <w:szCs w:val="22"/>
              </w:rPr>
            </w:pPr>
          </w:p>
        </w:tc>
        <w:tc>
          <w:tcPr>
            <w:tcW w:w="1440" w:type="dxa"/>
          </w:tcPr>
          <w:p w:rsidR="00503A85" w:rsidRPr="001F0C9A" w:rsidRDefault="00503A85" w:rsidP="005D3B10">
            <w:pPr>
              <w:keepNext/>
              <w:rPr>
                <w:rFonts w:cs="Arial"/>
                <w:sz w:val="20"/>
                <w:szCs w:val="22"/>
              </w:rPr>
            </w:pPr>
            <w:r w:rsidRPr="001F0C9A">
              <w:rPr>
                <w:rFonts w:cs="Arial"/>
                <w:sz w:val="20"/>
                <w:szCs w:val="22"/>
              </w:rPr>
              <w:t>g</w:t>
            </w:r>
          </w:p>
        </w:tc>
        <w:tc>
          <w:tcPr>
            <w:tcW w:w="1985" w:type="dxa"/>
          </w:tcPr>
          <w:p w:rsidR="00503A85" w:rsidRPr="001F0C9A" w:rsidRDefault="00503A85" w:rsidP="005D3B10">
            <w:pPr>
              <w:keepNext/>
              <w:rPr>
                <w:rFonts w:cs="Arial"/>
                <w:sz w:val="20"/>
                <w:szCs w:val="22"/>
              </w:rPr>
            </w:pPr>
            <w:r w:rsidRPr="001F0C9A">
              <w:rPr>
                <w:rFonts w:cs="Arial"/>
                <w:sz w:val="20"/>
                <w:szCs w:val="22"/>
              </w:rPr>
              <w:t>%</w:t>
            </w:r>
          </w:p>
        </w:tc>
        <w:tc>
          <w:tcPr>
            <w:tcW w:w="2349" w:type="dxa"/>
            <w:gridSpan w:val="2"/>
            <w:tcBorders>
              <w:right w:val="single" w:sz="4" w:space="0" w:color="auto"/>
            </w:tcBorders>
          </w:tcPr>
          <w:p w:rsidR="00503A85" w:rsidRPr="001F0C9A" w:rsidRDefault="00503A85" w:rsidP="00BA26E3">
            <w:pPr>
              <w:keepNext/>
              <w:ind w:left="204"/>
              <w:rPr>
                <w:rFonts w:cs="Arial"/>
                <w:sz w:val="20"/>
                <w:szCs w:val="22"/>
              </w:rPr>
            </w:pPr>
            <w:r w:rsidRPr="001F0C9A">
              <w:rPr>
                <w:rFonts w:cs="Arial"/>
                <w:sz w:val="20"/>
                <w:szCs w:val="22"/>
              </w:rPr>
              <w:t>g</w:t>
            </w:r>
          </w:p>
        </w:tc>
      </w:tr>
      <w:tr w:rsidR="00503A85" w:rsidRPr="00190EE5" w:rsidTr="00696AA7">
        <w:trPr>
          <w:cantSplit/>
        </w:trPr>
        <w:tc>
          <w:tcPr>
            <w:tcW w:w="2670" w:type="dxa"/>
            <w:tcBorders>
              <w:left w:val="single" w:sz="2" w:space="0" w:color="auto"/>
            </w:tcBorders>
          </w:tcPr>
          <w:p w:rsidR="00503A85" w:rsidRPr="001F0C9A" w:rsidRDefault="00503A85" w:rsidP="005D3B10">
            <w:pPr>
              <w:keepNext/>
              <w:rPr>
                <w:rFonts w:cs="Arial"/>
                <w:sz w:val="20"/>
                <w:szCs w:val="22"/>
              </w:rPr>
            </w:pPr>
            <w:r w:rsidRPr="001F0C9A">
              <w:rPr>
                <w:rFonts w:cs="Arial"/>
                <w:sz w:val="20"/>
                <w:szCs w:val="22"/>
              </w:rPr>
              <w:t>Fat, total</w:t>
            </w:r>
          </w:p>
        </w:tc>
        <w:tc>
          <w:tcPr>
            <w:tcW w:w="1440" w:type="dxa"/>
          </w:tcPr>
          <w:p w:rsidR="00503A85" w:rsidRPr="001F0C9A" w:rsidRDefault="00503A85" w:rsidP="005D3B10">
            <w:pPr>
              <w:keepNext/>
              <w:rPr>
                <w:rFonts w:cs="Arial"/>
                <w:sz w:val="20"/>
                <w:szCs w:val="22"/>
              </w:rPr>
            </w:pPr>
            <w:r w:rsidRPr="001F0C9A">
              <w:rPr>
                <w:rFonts w:cs="Arial"/>
                <w:sz w:val="20"/>
                <w:szCs w:val="22"/>
              </w:rPr>
              <w:t>g</w:t>
            </w:r>
          </w:p>
        </w:tc>
        <w:tc>
          <w:tcPr>
            <w:tcW w:w="1985" w:type="dxa"/>
          </w:tcPr>
          <w:p w:rsidR="00503A85" w:rsidRPr="001F0C9A" w:rsidRDefault="00503A85" w:rsidP="005D3B10">
            <w:pPr>
              <w:keepNext/>
              <w:rPr>
                <w:rFonts w:cs="Arial"/>
                <w:sz w:val="20"/>
                <w:szCs w:val="22"/>
              </w:rPr>
            </w:pPr>
            <w:r w:rsidRPr="001F0C9A">
              <w:rPr>
                <w:rFonts w:cs="Arial"/>
                <w:sz w:val="20"/>
                <w:szCs w:val="22"/>
              </w:rPr>
              <w:t>%</w:t>
            </w:r>
          </w:p>
        </w:tc>
        <w:tc>
          <w:tcPr>
            <w:tcW w:w="2349" w:type="dxa"/>
            <w:gridSpan w:val="2"/>
            <w:tcBorders>
              <w:right w:val="single" w:sz="4" w:space="0" w:color="auto"/>
            </w:tcBorders>
          </w:tcPr>
          <w:p w:rsidR="00503A85" w:rsidRPr="001F0C9A" w:rsidRDefault="00503A85" w:rsidP="00BA26E3">
            <w:pPr>
              <w:keepNext/>
              <w:ind w:left="204"/>
              <w:rPr>
                <w:rFonts w:cs="Arial"/>
                <w:sz w:val="20"/>
                <w:szCs w:val="22"/>
              </w:rPr>
            </w:pPr>
            <w:r w:rsidRPr="001F0C9A">
              <w:rPr>
                <w:rFonts w:cs="Arial"/>
                <w:sz w:val="20"/>
                <w:szCs w:val="22"/>
              </w:rPr>
              <w:t>g</w:t>
            </w:r>
          </w:p>
        </w:tc>
      </w:tr>
      <w:tr w:rsidR="00503A85" w:rsidRPr="00190EE5" w:rsidTr="00696AA7">
        <w:trPr>
          <w:cantSplit/>
        </w:trPr>
        <w:tc>
          <w:tcPr>
            <w:tcW w:w="2670" w:type="dxa"/>
            <w:tcBorders>
              <w:left w:val="single" w:sz="2" w:space="0" w:color="auto"/>
            </w:tcBorders>
          </w:tcPr>
          <w:p w:rsidR="00503A85" w:rsidRPr="001F0C9A" w:rsidRDefault="00503A85" w:rsidP="005D3B10">
            <w:pPr>
              <w:keepNext/>
              <w:rPr>
                <w:rFonts w:cs="Arial"/>
                <w:sz w:val="20"/>
                <w:szCs w:val="22"/>
              </w:rPr>
            </w:pPr>
            <w:r w:rsidRPr="001F0C9A">
              <w:rPr>
                <w:rFonts w:cs="Arial"/>
                <w:sz w:val="20"/>
                <w:szCs w:val="22"/>
              </w:rPr>
              <w:t xml:space="preserve">      – saturated</w:t>
            </w:r>
          </w:p>
        </w:tc>
        <w:tc>
          <w:tcPr>
            <w:tcW w:w="1440" w:type="dxa"/>
          </w:tcPr>
          <w:p w:rsidR="00503A85" w:rsidRPr="001F0C9A" w:rsidRDefault="00503A85" w:rsidP="005D3B10">
            <w:pPr>
              <w:keepNext/>
              <w:rPr>
                <w:rFonts w:cs="Arial"/>
                <w:sz w:val="20"/>
                <w:szCs w:val="22"/>
              </w:rPr>
            </w:pPr>
            <w:r w:rsidRPr="001F0C9A">
              <w:rPr>
                <w:rFonts w:cs="Arial"/>
                <w:sz w:val="20"/>
                <w:szCs w:val="22"/>
              </w:rPr>
              <w:t>g</w:t>
            </w:r>
          </w:p>
        </w:tc>
        <w:tc>
          <w:tcPr>
            <w:tcW w:w="1985" w:type="dxa"/>
          </w:tcPr>
          <w:p w:rsidR="00503A85" w:rsidRPr="001F0C9A" w:rsidRDefault="00503A85" w:rsidP="005D3B10">
            <w:pPr>
              <w:keepNext/>
              <w:rPr>
                <w:rFonts w:cs="Arial"/>
                <w:sz w:val="20"/>
                <w:szCs w:val="22"/>
              </w:rPr>
            </w:pPr>
            <w:r w:rsidRPr="001F0C9A">
              <w:rPr>
                <w:rFonts w:cs="Arial"/>
                <w:sz w:val="20"/>
                <w:szCs w:val="22"/>
              </w:rPr>
              <w:t>%</w:t>
            </w:r>
          </w:p>
        </w:tc>
        <w:tc>
          <w:tcPr>
            <w:tcW w:w="2349" w:type="dxa"/>
            <w:gridSpan w:val="2"/>
            <w:tcBorders>
              <w:right w:val="single" w:sz="4" w:space="0" w:color="auto"/>
            </w:tcBorders>
          </w:tcPr>
          <w:p w:rsidR="00503A85" w:rsidRPr="001F0C9A" w:rsidRDefault="00503A85" w:rsidP="00BA26E3">
            <w:pPr>
              <w:keepNext/>
              <w:ind w:left="204"/>
              <w:rPr>
                <w:rFonts w:cs="Arial"/>
                <w:sz w:val="20"/>
                <w:szCs w:val="22"/>
              </w:rPr>
            </w:pPr>
            <w:r w:rsidRPr="001F0C9A">
              <w:rPr>
                <w:rFonts w:cs="Arial"/>
                <w:sz w:val="20"/>
                <w:szCs w:val="22"/>
              </w:rPr>
              <w:t>g</w:t>
            </w:r>
          </w:p>
        </w:tc>
      </w:tr>
      <w:tr w:rsidR="00503A85" w:rsidRPr="00190EE5" w:rsidTr="00696AA7">
        <w:trPr>
          <w:cantSplit/>
        </w:trPr>
        <w:tc>
          <w:tcPr>
            <w:tcW w:w="2670" w:type="dxa"/>
            <w:tcBorders>
              <w:left w:val="single" w:sz="2" w:space="0" w:color="auto"/>
            </w:tcBorders>
          </w:tcPr>
          <w:p w:rsidR="00503A85" w:rsidRPr="001F0C9A" w:rsidRDefault="00503A85" w:rsidP="005D3B10">
            <w:pPr>
              <w:keepNext/>
              <w:rPr>
                <w:rFonts w:cs="Arial"/>
                <w:sz w:val="20"/>
                <w:szCs w:val="22"/>
              </w:rPr>
            </w:pPr>
            <w:r w:rsidRPr="001F0C9A">
              <w:rPr>
                <w:rFonts w:cs="Arial"/>
                <w:sz w:val="20"/>
                <w:szCs w:val="22"/>
              </w:rPr>
              <w:t>Carbohydrate</w:t>
            </w:r>
          </w:p>
          <w:p w:rsidR="00503A85" w:rsidRPr="001F0C9A" w:rsidRDefault="00503A85" w:rsidP="005D3B10">
            <w:pPr>
              <w:keepNext/>
              <w:rPr>
                <w:rFonts w:cs="Arial"/>
                <w:sz w:val="20"/>
                <w:szCs w:val="22"/>
              </w:rPr>
            </w:pPr>
            <w:r w:rsidRPr="001F0C9A">
              <w:rPr>
                <w:rFonts w:cs="Arial"/>
                <w:sz w:val="20"/>
                <w:szCs w:val="22"/>
              </w:rPr>
              <w:t xml:space="preserve">      – sugars</w:t>
            </w:r>
          </w:p>
        </w:tc>
        <w:tc>
          <w:tcPr>
            <w:tcW w:w="1440" w:type="dxa"/>
          </w:tcPr>
          <w:p w:rsidR="00503A85" w:rsidRPr="001F0C9A" w:rsidRDefault="00503A85" w:rsidP="005D3B10">
            <w:pPr>
              <w:keepNext/>
              <w:rPr>
                <w:rFonts w:cs="Arial"/>
                <w:sz w:val="20"/>
                <w:szCs w:val="22"/>
              </w:rPr>
            </w:pPr>
            <w:r w:rsidRPr="001F0C9A">
              <w:rPr>
                <w:rFonts w:cs="Arial"/>
                <w:sz w:val="20"/>
                <w:szCs w:val="22"/>
              </w:rPr>
              <w:t>g</w:t>
            </w:r>
          </w:p>
          <w:p w:rsidR="00503A85" w:rsidRPr="001F0C9A" w:rsidRDefault="00503A85" w:rsidP="005D3B10">
            <w:pPr>
              <w:keepNext/>
              <w:rPr>
                <w:rFonts w:cs="Arial"/>
                <w:sz w:val="20"/>
                <w:szCs w:val="22"/>
              </w:rPr>
            </w:pPr>
            <w:r w:rsidRPr="001F0C9A">
              <w:rPr>
                <w:rFonts w:cs="Arial"/>
                <w:sz w:val="20"/>
                <w:szCs w:val="22"/>
              </w:rPr>
              <w:t>g</w:t>
            </w:r>
          </w:p>
        </w:tc>
        <w:tc>
          <w:tcPr>
            <w:tcW w:w="1985" w:type="dxa"/>
          </w:tcPr>
          <w:p w:rsidR="00503A85" w:rsidRPr="001F0C9A" w:rsidRDefault="00503A85" w:rsidP="005D3B10">
            <w:pPr>
              <w:keepNext/>
              <w:rPr>
                <w:rFonts w:cs="Arial"/>
                <w:sz w:val="20"/>
                <w:szCs w:val="22"/>
              </w:rPr>
            </w:pPr>
            <w:r w:rsidRPr="001F0C9A">
              <w:rPr>
                <w:rFonts w:cs="Arial"/>
                <w:sz w:val="20"/>
                <w:szCs w:val="22"/>
              </w:rPr>
              <w:t>%</w:t>
            </w:r>
          </w:p>
          <w:p w:rsidR="00503A85" w:rsidRPr="001F0C9A" w:rsidRDefault="00503A85" w:rsidP="005D3B10">
            <w:pPr>
              <w:keepNext/>
              <w:rPr>
                <w:rFonts w:cs="Arial"/>
                <w:sz w:val="20"/>
                <w:szCs w:val="22"/>
              </w:rPr>
            </w:pPr>
            <w:r w:rsidRPr="001F0C9A">
              <w:rPr>
                <w:rFonts w:cs="Arial"/>
                <w:sz w:val="20"/>
                <w:szCs w:val="22"/>
              </w:rPr>
              <w:t>%</w:t>
            </w:r>
          </w:p>
        </w:tc>
        <w:tc>
          <w:tcPr>
            <w:tcW w:w="2349" w:type="dxa"/>
            <w:gridSpan w:val="2"/>
            <w:tcBorders>
              <w:right w:val="single" w:sz="4" w:space="0" w:color="auto"/>
            </w:tcBorders>
          </w:tcPr>
          <w:p w:rsidR="00503A85" w:rsidRPr="001F0C9A" w:rsidRDefault="00503A85" w:rsidP="00BA26E3">
            <w:pPr>
              <w:keepNext/>
              <w:ind w:left="204"/>
              <w:rPr>
                <w:rFonts w:cs="Arial"/>
                <w:sz w:val="20"/>
                <w:szCs w:val="22"/>
              </w:rPr>
            </w:pPr>
            <w:r w:rsidRPr="001F0C9A">
              <w:rPr>
                <w:rFonts w:cs="Arial"/>
                <w:sz w:val="20"/>
                <w:szCs w:val="22"/>
              </w:rPr>
              <w:t>g</w:t>
            </w:r>
          </w:p>
          <w:p w:rsidR="00503A85" w:rsidRPr="001F0C9A" w:rsidRDefault="00503A85" w:rsidP="00BA26E3">
            <w:pPr>
              <w:keepNext/>
              <w:ind w:left="204"/>
              <w:rPr>
                <w:rFonts w:cs="Arial"/>
                <w:sz w:val="20"/>
                <w:szCs w:val="22"/>
              </w:rPr>
            </w:pPr>
            <w:r w:rsidRPr="001F0C9A">
              <w:rPr>
                <w:rFonts w:cs="Arial"/>
                <w:sz w:val="20"/>
                <w:szCs w:val="22"/>
              </w:rPr>
              <w:t>g</w:t>
            </w:r>
          </w:p>
        </w:tc>
      </w:tr>
      <w:tr w:rsidR="00503A85" w:rsidRPr="00132D9E" w:rsidTr="00696AA7">
        <w:trPr>
          <w:cantSplit/>
        </w:trPr>
        <w:tc>
          <w:tcPr>
            <w:tcW w:w="2670" w:type="dxa"/>
            <w:tcBorders>
              <w:left w:val="single" w:sz="2" w:space="0" w:color="auto"/>
            </w:tcBorders>
          </w:tcPr>
          <w:p w:rsidR="00503A85" w:rsidRPr="001F0C9A" w:rsidRDefault="00503A85" w:rsidP="005D3B10">
            <w:pPr>
              <w:keepNext/>
              <w:rPr>
                <w:rFonts w:cs="Arial"/>
                <w:sz w:val="20"/>
                <w:szCs w:val="22"/>
              </w:rPr>
            </w:pPr>
            <w:r w:rsidRPr="001F0C9A">
              <w:rPr>
                <w:rFonts w:cs="Arial"/>
                <w:sz w:val="20"/>
                <w:szCs w:val="22"/>
              </w:rPr>
              <w:t>Sodium</w:t>
            </w:r>
          </w:p>
          <w:p w:rsidR="00503A85" w:rsidRPr="001F0C9A" w:rsidRDefault="00503A85" w:rsidP="005D3B10">
            <w:pPr>
              <w:keepNext/>
              <w:rPr>
                <w:rFonts w:cs="Arial"/>
                <w:sz w:val="20"/>
                <w:szCs w:val="22"/>
              </w:rPr>
            </w:pPr>
          </w:p>
          <w:p w:rsidR="00503A85" w:rsidRPr="001F0C9A" w:rsidRDefault="00503A85" w:rsidP="005D3B10">
            <w:pPr>
              <w:keepNext/>
              <w:rPr>
                <w:rFonts w:cs="Arial"/>
                <w:sz w:val="20"/>
                <w:szCs w:val="22"/>
              </w:rPr>
            </w:pPr>
          </w:p>
          <w:p w:rsidR="00503A85" w:rsidRPr="001F0C9A" w:rsidRDefault="00503A85" w:rsidP="005D3B10">
            <w:pPr>
              <w:keepNext/>
              <w:rPr>
                <w:rFonts w:cs="Arial"/>
                <w:sz w:val="20"/>
                <w:szCs w:val="22"/>
              </w:rPr>
            </w:pPr>
          </w:p>
          <w:p w:rsidR="00503A85" w:rsidRPr="001F0C9A" w:rsidRDefault="00503A85" w:rsidP="005D3B10">
            <w:pPr>
              <w:keepNext/>
              <w:rPr>
                <w:rFonts w:cs="Arial"/>
                <w:sz w:val="20"/>
                <w:szCs w:val="22"/>
              </w:rPr>
            </w:pPr>
            <w:r w:rsidRPr="001F0C9A">
              <w:rPr>
                <w:rFonts w:cs="Arial"/>
                <w:sz w:val="20"/>
                <w:szCs w:val="22"/>
              </w:rPr>
              <w:t>Vitamin C</w:t>
            </w:r>
          </w:p>
          <w:p w:rsidR="00503A85" w:rsidRPr="001F0C9A" w:rsidRDefault="00503A85" w:rsidP="005D3B10">
            <w:pPr>
              <w:keepNext/>
              <w:rPr>
                <w:rFonts w:cs="Arial"/>
                <w:sz w:val="20"/>
                <w:szCs w:val="22"/>
              </w:rPr>
            </w:pPr>
            <w:r w:rsidRPr="001F0C9A">
              <w:rPr>
                <w:rFonts w:cs="Arial"/>
                <w:sz w:val="20"/>
                <w:szCs w:val="22"/>
              </w:rPr>
              <w:t>Calcium</w:t>
            </w:r>
          </w:p>
        </w:tc>
        <w:tc>
          <w:tcPr>
            <w:tcW w:w="1440" w:type="dxa"/>
          </w:tcPr>
          <w:p w:rsidR="00503A85" w:rsidRPr="001F0C9A" w:rsidRDefault="00503A85" w:rsidP="005D3B10">
            <w:pPr>
              <w:keepNext/>
              <w:rPr>
                <w:rFonts w:cs="Arial"/>
                <w:sz w:val="20"/>
                <w:szCs w:val="22"/>
              </w:rPr>
            </w:pPr>
            <w:r w:rsidRPr="001F0C9A">
              <w:rPr>
                <w:rFonts w:cs="Arial"/>
                <w:sz w:val="20"/>
                <w:szCs w:val="22"/>
              </w:rPr>
              <w:t>mg (mmol)</w:t>
            </w:r>
          </w:p>
          <w:p w:rsidR="00503A85" w:rsidRPr="001F0C9A" w:rsidRDefault="00503A85" w:rsidP="005D3B10">
            <w:pPr>
              <w:keepNext/>
              <w:rPr>
                <w:rFonts w:cs="Arial"/>
                <w:sz w:val="20"/>
                <w:szCs w:val="22"/>
              </w:rPr>
            </w:pPr>
          </w:p>
          <w:p w:rsidR="00503A85" w:rsidRPr="001F0C9A" w:rsidRDefault="00503A85" w:rsidP="005D3B10">
            <w:pPr>
              <w:keepNext/>
              <w:rPr>
                <w:rFonts w:cs="Arial"/>
                <w:sz w:val="20"/>
                <w:szCs w:val="22"/>
              </w:rPr>
            </w:pPr>
          </w:p>
          <w:p w:rsidR="00503A85" w:rsidRPr="001F0C9A" w:rsidRDefault="00503A85" w:rsidP="005D3B10">
            <w:pPr>
              <w:keepNext/>
              <w:rPr>
                <w:rFonts w:cs="Arial"/>
                <w:sz w:val="20"/>
                <w:szCs w:val="22"/>
              </w:rPr>
            </w:pPr>
          </w:p>
          <w:p w:rsidR="00503A85" w:rsidRPr="001F0C9A" w:rsidRDefault="00503A85" w:rsidP="005D3B10">
            <w:pPr>
              <w:keepNext/>
              <w:rPr>
                <w:rFonts w:cs="Arial"/>
                <w:sz w:val="20"/>
                <w:szCs w:val="22"/>
              </w:rPr>
            </w:pPr>
            <w:r w:rsidRPr="001F0C9A">
              <w:rPr>
                <w:rFonts w:cs="Arial"/>
                <w:sz w:val="20"/>
                <w:szCs w:val="22"/>
              </w:rPr>
              <w:t>mg</w:t>
            </w:r>
          </w:p>
          <w:p w:rsidR="00503A85" w:rsidRPr="001F0C9A" w:rsidRDefault="00503A85" w:rsidP="005D3B10">
            <w:pPr>
              <w:keepNext/>
              <w:rPr>
                <w:rFonts w:cs="Arial"/>
                <w:sz w:val="20"/>
                <w:szCs w:val="22"/>
              </w:rPr>
            </w:pPr>
            <w:r w:rsidRPr="001F0C9A">
              <w:rPr>
                <w:rFonts w:cs="Arial"/>
                <w:sz w:val="20"/>
                <w:szCs w:val="22"/>
              </w:rPr>
              <w:t>mg</w:t>
            </w:r>
          </w:p>
        </w:tc>
        <w:tc>
          <w:tcPr>
            <w:tcW w:w="2127" w:type="dxa"/>
            <w:gridSpan w:val="2"/>
          </w:tcPr>
          <w:p w:rsidR="00503A85" w:rsidRPr="001F0C9A" w:rsidRDefault="00503A85" w:rsidP="001D2D15">
            <w:pPr>
              <w:keepNext/>
              <w:rPr>
                <w:rFonts w:cs="Arial"/>
                <w:sz w:val="20"/>
                <w:szCs w:val="22"/>
              </w:rPr>
            </w:pPr>
            <w:r w:rsidRPr="001F0C9A">
              <w:rPr>
                <w:rFonts w:cs="Arial"/>
                <w:sz w:val="20"/>
                <w:szCs w:val="22"/>
              </w:rPr>
              <w:t>%</w:t>
            </w:r>
          </w:p>
          <w:p w:rsidR="00503A85" w:rsidRPr="001F0C9A" w:rsidRDefault="00503A85" w:rsidP="00BA26E3">
            <w:pPr>
              <w:keepNext/>
              <w:ind w:left="62"/>
              <w:rPr>
                <w:rFonts w:cs="Arial"/>
                <w:sz w:val="20"/>
                <w:szCs w:val="22"/>
              </w:rPr>
            </w:pPr>
          </w:p>
          <w:p w:rsidR="001D2D15" w:rsidRPr="001F0C9A" w:rsidRDefault="001D2D15" w:rsidP="00BA26E3">
            <w:pPr>
              <w:keepNext/>
              <w:ind w:left="62"/>
              <w:rPr>
                <w:rFonts w:cs="Arial"/>
                <w:sz w:val="20"/>
                <w:szCs w:val="22"/>
              </w:rPr>
            </w:pPr>
          </w:p>
          <w:p w:rsidR="00503A85" w:rsidRPr="001F0C9A" w:rsidRDefault="00503A85" w:rsidP="001D2D15">
            <w:pPr>
              <w:keepNext/>
              <w:ind w:right="-317"/>
              <w:rPr>
                <w:rFonts w:cs="Arial"/>
                <w:sz w:val="20"/>
                <w:szCs w:val="22"/>
              </w:rPr>
            </w:pPr>
            <w:r w:rsidRPr="001F0C9A">
              <w:rPr>
                <w:rFonts w:cs="Arial"/>
                <w:sz w:val="20"/>
                <w:szCs w:val="22"/>
              </w:rPr>
              <w:t>% RDI (per serving)</w:t>
            </w:r>
          </w:p>
          <w:p w:rsidR="00503A85" w:rsidRPr="001F0C9A" w:rsidRDefault="00503A85" w:rsidP="001D2D15">
            <w:pPr>
              <w:keepNext/>
              <w:rPr>
                <w:rFonts w:cs="Arial"/>
                <w:sz w:val="20"/>
                <w:szCs w:val="22"/>
              </w:rPr>
            </w:pPr>
            <w:r w:rsidRPr="001F0C9A">
              <w:rPr>
                <w:rFonts w:cs="Arial"/>
                <w:sz w:val="20"/>
                <w:szCs w:val="22"/>
              </w:rPr>
              <w:t>%</w:t>
            </w:r>
          </w:p>
          <w:p w:rsidR="00503A85" w:rsidRPr="001F0C9A" w:rsidRDefault="00503A85" w:rsidP="001D2D15">
            <w:pPr>
              <w:keepNext/>
              <w:rPr>
                <w:rFonts w:cs="Arial"/>
                <w:sz w:val="20"/>
                <w:szCs w:val="22"/>
              </w:rPr>
            </w:pPr>
            <w:r w:rsidRPr="001F0C9A">
              <w:rPr>
                <w:rFonts w:cs="Arial"/>
                <w:sz w:val="20"/>
                <w:szCs w:val="22"/>
              </w:rPr>
              <w:t>%</w:t>
            </w:r>
          </w:p>
        </w:tc>
        <w:tc>
          <w:tcPr>
            <w:tcW w:w="2207" w:type="dxa"/>
            <w:tcBorders>
              <w:right w:val="single" w:sz="4" w:space="0" w:color="auto"/>
            </w:tcBorders>
          </w:tcPr>
          <w:p w:rsidR="00503A85" w:rsidRPr="001F0C9A" w:rsidRDefault="001D2D15" w:rsidP="00BA26E3">
            <w:pPr>
              <w:keepNext/>
              <w:ind w:left="62"/>
              <w:rPr>
                <w:rFonts w:cs="Arial"/>
                <w:sz w:val="20"/>
                <w:szCs w:val="22"/>
              </w:rPr>
            </w:pPr>
            <w:r w:rsidRPr="001F0C9A">
              <w:rPr>
                <w:rFonts w:cs="Arial"/>
                <w:sz w:val="20"/>
                <w:szCs w:val="22"/>
              </w:rPr>
              <w:t>mg (mmol)</w:t>
            </w:r>
          </w:p>
          <w:p w:rsidR="00503A85" w:rsidRPr="001F0C9A" w:rsidRDefault="00503A85" w:rsidP="00BA26E3">
            <w:pPr>
              <w:keepNext/>
              <w:ind w:left="62"/>
              <w:rPr>
                <w:rFonts w:cs="Arial"/>
                <w:sz w:val="20"/>
                <w:szCs w:val="22"/>
              </w:rPr>
            </w:pPr>
          </w:p>
          <w:p w:rsidR="00503A85" w:rsidRPr="001F0C9A" w:rsidRDefault="00503A85" w:rsidP="00BA26E3">
            <w:pPr>
              <w:keepNext/>
              <w:ind w:left="62"/>
              <w:rPr>
                <w:rFonts w:cs="Arial"/>
                <w:sz w:val="20"/>
                <w:szCs w:val="22"/>
              </w:rPr>
            </w:pPr>
          </w:p>
          <w:p w:rsidR="00503A85" w:rsidRPr="001F0C9A" w:rsidRDefault="00503A85" w:rsidP="00BA26E3">
            <w:pPr>
              <w:keepNext/>
              <w:ind w:left="62"/>
              <w:rPr>
                <w:rFonts w:cs="Arial"/>
                <w:sz w:val="20"/>
                <w:szCs w:val="22"/>
              </w:rPr>
            </w:pPr>
          </w:p>
          <w:p w:rsidR="00503A85" w:rsidRPr="001F0C9A" w:rsidRDefault="00503A85" w:rsidP="00BA26E3">
            <w:pPr>
              <w:keepNext/>
              <w:ind w:left="62"/>
              <w:rPr>
                <w:rFonts w:cs="Arial"/>
                <w:sz w:val="20"/>
                <w:szCs w:val="22"/>
              </w:rPr>
            </w:pPr>
            <w:r w:rsidRPr="001F0C9A">
              <w:rPr>
                <w:rFonts w:cs="Arial"/>
                <w:sz w:val="20"/>
                <w:szCs w:val="22"/>
              </w:rPr>
              <w:t>mg</w:t>
            </w:r>
          </w:p>
          <w:p w:rsidR="00503A85" w:rsidRPr="001F0C9A" w:rsidRDefault="00503A85" w:rsidP="00BA26E3">
            <w:pPr>
              <w:keepNext/>
              <w:ind w:left="62"/>
              <w:rPr>
                <w:rFonts w:cs="Arial"/>
                <w:sz w:val="20"/>
                <w:szCs w:val="22"/>
              </w:rPr>
            </w:pPr>
            <w:r w:rsidRPr="001F0C9A">
              <w:rPr>
                <w:rFonts w:cs="Arial"/>
                <w:sz w:val="20"/>
                <w:szCs w:val="22"/>
              </w:rPr>
              <w:t>mg</w:t>
            </w:r>
          </w:p>
        </w:tc>
      </w:tr>
      <w:tr w:rsidR="00503A85" w:rsidRPr="00190EE5" w:rsidTr="00696AA7">
        <w:trPr>
          <w:cantSplit/>
        </w:trPr>
        <w:tc>
          <w:tcPr>
            <w:tcW w:w="2670" w:type="dxa"/>
            <w:tcBorders>
              <w:left w:val="single" w:sz="2" w:space="0" w:color="auto"/>
            </w:tcBorders>
          </w:tcPr>
          <w:p w:rsidR="00503A85" w:rsidRPr="00190EE5" w:rsidRDefault="00503A85" w:rsidP="005D3B10">
            <w:pPr>
              <w:keepNext/>
              <w:rPr>
                <w:rFonts w:cs="Arial"/>
                <w:szCs w:val="22"/>
              </w:rPr>
            </w:pPr>
          </w:p>
        </w:tc>
        <w:tc>
          <w:tcPr>
            <w:tcW w:w="1440" w:type="dxa"/>
          </w:tcPr>
          <w:p w:rsidR="00503A85" w:rsidRPr="001F0C9A" w:rsidRDefault="00503A85" w:rsidP="005D3B10">
            <w:pPr>
              <w:keepNext/>
              <w:rPr>
                <w:rFonts w:cs="Arial"/>
                <w:sz w:val="20"/>
                <w:szCs w:val="22"/>
              </w:rPr>
            </w:pPr>
          </w:p>
        </w:tc>
        <w:tc>
          <w:tcPr>
            <w:tcW w:w="1985" w:type="dxa"/>
          </w:tcPr>
          <w:p w:rsidR="00503A85" w:rsidRPr="001F0C9A" w:rsidRDefault="00503A85" w:rsidP="005D3B10">
            <w:pPr>
              <w:keepNext/>
              <w:rPr>
                <w:rFonts w:cs="Arial"/>
                <w:sz w:val="20"/>
                <w:szCs w:val="22"/>
              </w:rPr>
            </w:pPr>
          </w:p>
        </w:tc>
        <w:tc>
          <w:tcPr>
            <w:tcW w:w="2349" w:type="dxa"/>
            <w:gridSpan w:val="2"/>
            <w:tcBorders>
              <w:right w:val="single" w:sz="4" w:space="0" w:color="auto"/>
            </w:tcBorders>
          </w:tcPr>
          <w:p w:rsidR="00503A85" w:rsidRPr="001F0C9A" w:rsidRDefault="00503A85" w:rsidP="00BA26E3">
            <w:pPr>
              <w:keepNext/>
              <w:ind w:left="299"/>
              <w:rPr>
                <w:rFonts w:cs="Arial"/>
                <w:sz w:val="20"/>
                <w:szCs w:val="22"/>
              </w:rPr>
            </w:pPr>
          </w:p>
        </w:tc>
      </w:tr>
      <w:tr w:rsidR="00503A85" w:rsidRPr="00190EE5" w:rsidTr="00696AA7">
        <w:trPr>
          <w:cantSplit/>
        </w:trPr>
        <w:tc>
          <w:tcPr>
            <w:tcW w:w="8444" w:type="dxa"/>
            <w:gridSpan w:val="5"/>
            <w:tcBorders>
              <w:left w:val="single" w:sz="2" w:space="0" w:color="auto"/>
              <w:bottom w:val="single" w:sz="2" w:space="0" w:color="auto"/>
              <w:right w:val="single" w:sz="4" w:space="0" w:color="auto"/>
            </w:tcBorders>
          </w:tcPr>
          <w:p w:rsidR="00503A85" w:rsidRPr="001F0C9A" w:rsidRDefault="00503A85" w:rsidP="005D3B10">
            <w:pPr>
              <w:keepNext/>
              <w:rPr>
                <w:rFonts w:cs="Arial"/>
                <w:sz w:val="20"/>
                <w:szCs w:val="22"/>
              </w:rPr>
            </w:pPr>
            <w:r w:rsidRPr="001F0C9A">
              <w:rPr>
                <w:rFonts w:cs="Arial"/>
                <w:sz w:val="20"/>
                <w:szCs w:val="22"/>
              </w:rPr>
              <w:t xml:space="preserve">*Percentage daily intakes are based on an average adult diet of 8700 kJ. </w:t>
            </w:r>
          </w:p>
        </w:tc>
      </w:tr>
    </w:tbl>
    <w:p w:rsidR="00503A85" w:rsidRDefault="00503A85" w:rsidP="00ED357B">
      <w:pPr>
        <w:tabs>
          <w:tab w:val="left" w:pos="7088"/>
        </w:tabs>
        <w:rPr>
          <w:lang w:bidi="ar-SA"/>
        </w:rPr>
      </w:pPr>
    </w:p>
    <w:p w:rsidR="00074C2A" w:rsidRDefault="00D95787" w:rsidP="00D95787">
      <w:pPr>
        <w:rPr>
          <w:rFonts w:cs="Arial"/>
          <w:szCs w:val="22"/>
        </w:rPr>
      </w:pPr>
      <w:r>
        <w:rPr>
          <w:rFonts w:cs="Arial"/>
          <w:szCs w:val="22"/>
        </w:rPr>
        <w:t xml:space="preserve">Certain rules apply if the </w:t>
      </w:r>
      <w:r w:rsidR="00964792">
        <w:rPr>
          <w:rFonts w:cs="Arial"/>
          <w:szCs w:val="22"/>
        </w:rPr>
        <w:t>%</w:t>
      </w:r>
      <w:r>
        <w:rPr>
          <w:rFonts w:cs="Arial"/>
          <w:szCs w:val="22"/>
        </w:rPr>
        <w:t xml:space="preserve">DI or </w:t>
      </w:r>
      <w:r w:rsidR="00964792">
        <w:rPr>
          <w:rFonts w:cs="Arial"/>
          <w:szCs w:val="22"/>
        </w:rPr>
        <w:t>%</w:t>
      </w:r>
      <w:r>
        <w:rPr>
          <w:rFonts w:cs="Arial"/>
          <w:szCs w:val="22"/>
        </w:rPr>
        <w:t xml:space="preserve">RDI information provided in the NIP as outlined above is also presented outside the NIP, for example on the front of a food label. </w:t>
      </w:r>
      <w:r w:rsidR="00074C2A">
        <w:rPr>
          <w:rFonts w:cs="Arial"/>
          <w:szCs w:val="22"/>
        </w:rPr>
        <w:br w:type="page"/>
      </w:r>
    </w:p>
    <w:p w:rsidR="00470A64" w:rsidRDefault="00D95787" w:rsidP="00D95787">
      <w:pPr>
        <w:rPr>
          <w:rFonts w:cs="Arial"/>
          <w:szCs w:val="22"/>
        </w:rPr>
      </w:pPr>
      <w:r>
        <w:rPr>
          <w:rFonts w:cs="Arial"/>
          <w:szCs w:val="22"/>
        </w:rPr>
        <w:lastRenderedPageBreak/>
        <w:t xml:space="preserve">The %DI and %RDI information must be presented together with the serving size of the food. If more than one %DI or %RDI value is presented outside the NIP, those values must be presented together. Information that is presented in accordance with these requirements is not considered to be a nutrition content claim. </w:t>
      </w:r>
    </w:p>
    <w:p w:rsidR="007A06C4" w:rsidRDefault="007A06C4" w:rsidP="00D95787">
      <w:pPr>
        <w:rPr>
          <w:rFonts w:cs="Arial"/>
          <w:szCs w:val="22"/>
        </w:rPr>
      </w:pPr>
    </w:p>
    <w:tbl>
      <w:tblPr>
        <w:tblStyle w:val="TableGrid"/>
        <w:tblW w:w="0" w:type="auto"/>
        <w:tblLook w:val="04A0" w:firstRow="1" w:lastRow="0" w:firstColumn="1" w:lastColumn="0" w:noHBand="0" w:noVBand="1"/>
      </w:tblPr>
      <w:tblGrid>
        <w:gridCol w:w="9286"/>
      </w:tblGrid>
      <w:tr w:rsidR="007A06C4" w:rsidTr="007A06C4">
        <w:tc>
          <w:tcPr>
            <w:tcW w:w="9286" w:type="dxa"/>
            <w:shd w:val="clear" w:color="auto" w:fill="D9D9D9" w:themeFill="background1" w:themeFillShade="D9"/>
          </w:tcPr>
          <w:p w:rsidR="007A06C4" w:rsidRPr="00A94EBA" w:rsidRDefault="007A06C4" w:rsidP="007A06C4">
            <w:pPr>
              <w:rPr>
                <w:rFonts w:cs="Arial"/>
                <w:b/>
                <w:szCs w:val="22"/>
              </w:rPr>
            </w:pPr>
            <w:r w:rsidRPr="00A94EBA">
              <w:rPr>
                <w:rFonts w:cs="Arial"/>
                <w:b/>
                <w:szCs w:val="22"/>
              </w:rPr>
              <w:t>Question for Submitters</w:t>
            </w:r>
          </w:p>
          <w:p w:rsidR="007A06C4" w:rsidRPr="007A06C4" w:rsidRDefault="007A06C4" w:rsidP="007A06C4">
            <w:pPr>
              <w:rPr>
                <w:rFonts w:cs="Arial"/>
                <w:szCs w:val="22"/>
              </w:rPr>
            </w:pPr>
          </w:p>
          <w:p w:rsidR="007A06C4" w:rsidRDefault="00A94EBA" w:rsidP="007A06C4">
            <w:pPr>
              <w:ind w:left="567" w:hanging="567"/>
              <w:rPr>
                <w:rFonts w:cs="Arial"/>
              </w:rPr>
            </w:pPr>
            <w:r>
              <w:rPr>
                <w:rFonts w:cs="Arial"/>
                <w:szCs w:val="22"/>
              </w:rPr>
              <w:t>Q3</w:t>
            </w:r>
            <w:r w:rsidR="007A06C4" w:rsidRPr="007A06C4">
              <w:rPr>
                <w:rFonts w:cs="Arial"/>
                <w:szCs w:val="22"/>
              </w:rPr>
              <w:tab/>
            </w:r>
            <w:r w:rsidR="007A06C4">
              <w:rPr>
                <w:rFonts w:cs="Arial"/>
              </w:rPr>
              <w:t xml:space="preserve">The Labelling Review recommendation suggests that per serving information be voluntary </w:t>
            </w:r>
            <w:r w:rsidR="007A06C4" w:rsidRPr="004E4510">
              <w:rPr>
                <w:rFonts w:cs="Arial"/>
                <w:i/>
              </w:rPr>
              <w:t>unless a daily intake claim is made</w:t>
            </w:r>
            <w:r w:rsidR="007A06C4">
              <w:rPr>
                <w:rFonts w:cs="Arial"/>
              </w:rPr>
              <w:t xml:space="preserve">. </w:t>
            </w:r>
          </w:p>
          <w:p w:rsidR="007A06C4" w:rsidRDefault="007A06C4" w:rsidP="007A06C4">
            <w:pPr>
              <w:ind w:left="567" w:hanging="567"/>
              <w:rPr>
                <w:rFonts w:cs="Arial"/>
              </w:rPr>
            </w:pPr>
          </w:p>
          <w:p w:rsidR="007A06C4" w:rsidRDefault="007A06C4" w:rsidP="00A94EBA">
            <w:pPr>
              <w:ind w:left="567" w:hanging="567"/>
              <w:rPr>
                <w:rFonts w:cs="Arial"/>
              </w:rPr>
            </w:pPr>
            <w:r>
              <w:rPr>
                <w:rFonts w:cs="Arial"/>
              </w:rPr>
              <w:tab/>
            </w:r>
            <w:r w:rsidR="00306C24">
              <w:rPr>
                <w:rFonts w:cs="Arial"/>
              </w:rPr>
              <w:t xml:space="preserve">Do you </w:t>
            </w:r>
            <w:r w:rsidR="00817B3A">
              <w:rPr>
                <w:rFonts w:cs="Arial"/>
              </w:rPr>
              <w:t>support</w:t>
            </w:r>
            <w:r w:rsidR="00306C24">
              <w:rPr>
                <w:rFonts w:cs="Arial"/>
              </w:rPr>
              <w:t xml:space="preserve"> </w:t>
            </w:r>
            <w:r w:rsidR="00DA2423">
              <w:rPr>
                <w:rFonts w:cs="Arial"/>
              </w:rPr>
              <w:t>this</w:t>
            </w:r>
            <w:r w:rsidR="00306C24">
              <w:rPr>
                <w:rFonts w:cs="Arial"/>
              </w:rPr>
              <w:t xml:space="preserve"> approach? That is, d</w:t>
            </w:r>
            <w:r w:rsidRPr="007A06C4">
              <w:rPr>
                <w:rFonts w:cs="Arial"/>
              </w:rPr>
              <w:t>o you think declaration of per serving information in the nutrition information panel should be mandatory if a daily intake claim is made (e.g. %DI or %RDI)? Give reasons for your answer.</w:t>
            </w:r>
          </w:p>
          <w:p w:rsidR="00B52669" w:rsidRDefault="00B52669" w:rsidP="00A94EBA">
            <w:pPr>
              <w:ind w:left="567" w:hanging="567"/>
              <w:rPr>
                <w:rFonts w:cs="Arial"/>
              </w:rPr>
            </w:pPr>
          </w:p>
          <w:p w:rsidR="007A06C4" w:rsidRDefault="00B52669" w:rsidP="001F0C9A">
            <w:pPr>
              <w:ind w:left="567" w:hanging="567"/>
              <w:rPr>
                <w:rFonts w:cs="Arial"/>
                <w:szCs w:val="22"/>
              </w:rPr>
            </w:pPr>
            <w:r>
              <w:rPr>
                <w:rFonts w:cs="Arial"/>
              </w:rPr>
              <w:t>Q4</w:t>
            </w:r>
            <w:r>
              <w:rPr>
                <w:rFonts w:cs="Arial"/>
              </w:rPr>
              <w:tab/>
              <w:t>As noted above</w:t>
            </w:r>
            <w:r w:rsidR="00B236C4">
              <w:rPr>
                <w:rFonts w:cs="Arial"/>
              </w:rPr>
              <w:t xml:space="preserve">, </w:t>
            </w:r>
            <w:r>
              <w:rPr>
                <w:rFonts w:cs="Arial"/>
              </w:rPr>
              <w:t xml:space="preserve">there is </w:t>
            </w:r>
            <w:r w:rsidR="00715A00">
              <w:rPr>
                <w:rFonts w:cs="Arial"/>
              </w:rPr>
              <w:t xml:space="preserve">currently </w:t>
            </w:r>
            <w:r>
              <w:rPr>
                <w:rFonts w:cs="Arial"/>
              </w:rPr>
              <w:t xml:space="preserve">variation in the format of NIPs on food labels because of voluntary permissions for the use of %DI labelling and </w:t>
            </w:r>
            <w:r w:rsidR="009506B3">
              <w:rPr>
                <w:rFonts w:cs="Arial"/>
              </w:rPr>
              <w:t>the option to include a third column for</w:t>
            </w:r>
            <w:r w:rsidR="009506B3">
              <w:rPr>
                <w:rFonts w:cs="Arial"/>
                <w:szCs w:val="22"/>
              </w:rPr>
              <w:t xml:space="preserve"> foods intended to be prepared or consumed with at least one other food. </w:t>
            </w:r>
            <w:r w:rsidR="009506B3">
              <w:rPr>
                <w:rFonts w:cs="Arial"/>
              </w:rPr>
              <w:t>If per serving information in the NIP was voluntary this would result in more variability in the format of NIPs across the food supply. Do you think this would be a problem? Why/why not?</w:t>
            </w:r>
          </w:p>
        </w:tc>
      </w:tr>
    </w:tbl>
    <w:p w:rsidR="00470A64" w:rsidRDefault="006966B2" w:rsidP="00470A64">
      <w:pPr>
        <w:pStyle w:val="Heading2"/>
      </w:pPr>
      <w:bookmarkStart w:id="43" w:name="_Toc405365739"/>
      <w:r>
        <w:t>4</w:t>
      </w:r>
      <w:r w:rsidR="00CA55F0">
        <w:t>.4</w:t>
      </w:r>
      <w:r w:rsidR="00470A64">
        <w:tab/>
        <w:t>Qualifying criteria for nutrition content claims</w:t>
      </w:r>
      <w:bookmarkEnd w:id="43"/>
    </w:p>
    <w:p w:rsidR="00470A64" w:rsidRDefault="00470A64" w:rsidP="00D95787">
      <w:r>
        <w:t xml:space="preserve">Qualifying criteria for nutrition content claims about </w:t>
      </w:r>
      <w:r w:rsidR="005E101C">
        <w:t xml:space="preserve">vitamins, minerals, </w:t>
      </w:r>
      <w:r>
        <w:t>die</w:t>
      </w:r>
      <w:r w:rsidR="00044552">
        <w:t>tary fibre, omega-3 fatty acids and</w:t>
      </w:r>
      <w:r>
        <w:t xml:space="preserve"> protein set out in Schedule 1 of Standard 1.2.7 are based on per serving amounts. </w:t>
      </w:r>
      <w:r w:rsidR="00044552">
        <w:t>Whether there would be any merit in requiring per serving information</w:t>
      </w:r>
      <w:r w:rsidR="00F91812">
        <w:t xml:space="preserve"> in the NIP</w:t>
      </w:r>
      <w:r w:rsidR="00044552">
        <w:t xml:space="preserve"> when nutrition content claims about </w:t>
      </w:r>
      <w:r w:rsidR="005E101C">
        <w:t xml:space="preserve">these nutrients </w:t>
      </w:r>
      <w:r w:rsidR="00044552">
        <w:t xml:space="preserve">are made is an issue that could be considered in the context of per serving information being voluntary. The labelling review panel did not refer to this issue in </w:t>
      </w:r>
      <w:r w:rsidR="00044552" w:rsidRPr="00F02866">
        <w:rPr>
          <w:i/>
        </w:rPr>
        <w:t>Labelling Logic</w:t>
      </w:r>
      <w:r w:rsidR="00044552">
        <w:t>.</w:t>
      </w:r>
    </w:p>
    <w:p w:rsidR="00A94EBA" w:rsidRDefault="00A94EBA" w:rsidP="00D95787"/>
    <w:tbl>
      <w:tblPr>
        <w:tblStyle w:val="TableGrid"/>
        <w:tblW w:w="0" w:type="auto"/>
        <w:tblLook w:val="04A0" w:firstRow="1" w:lastRow="0" w:firstColumn="1" w:lastColumn="0" w:noHBand="0" w:noVBand="1"/>
      </w:tblPr>
      <w:tblGrid>
        <w:gridCol w:w="9286"/>
      </w:tblGrid>
      <w:tr w:rsidR="007A06C4" w:rsidTr="00091681">
        <w:tc>
          <w:tcPr>
            <w:tcW w:w="9286" w:type="dxa"/>
            <w:shd w:val="clear" w:color="auto" w:fill="D9D9D9" w:themeFill="background1" w:themeFillShade="D9"/>
          </w:tcPr>
          <w:p w:rsidR="007A06C4" w:rsidRPr="00A94EBA" w:rsidRDefault="007A06C4" w:rsidP="00091681">
            <w:pPr>
              <w:rPr>
                <w:rFonts w:cs="Arial"/>
                <w:b/>
                <w:szCs w:val="22"/>
              </w:rPr>
            </w:pPr>
            <w:r w:rsidRPr="00A94EBA">
              <w:rPr>
                <w:rFonts w:cs="Arial"/>
                <w:b/>
                <w:szCs w:val="22"/>
              </w:rPr>
              <w:t>Question for Submitters</w:t>
            </w:r>
          </w:p>
          <w:p w:rsidR="007A06C4" w:rsidRPr="007A06C4" w:rsidRDefault="007A06C4" w:rsidP="00091681">
            <w:pPr>
              <w:rPr>
                <w:rFonts w:cs="Arial"/>
                <w:szCs w:val="22"/>
              </w:rPr>
            </w:pPr>
          </w:p>
          <w:p w:rsidR="003346C1" w:rsidRPr="007A06C4" w:rsidRDefault="009506B3" w:rsidP="00132D9E">
            <w:pPr>
              <w:ind w:left="567" w:hanging="567"/>
              <w:rPr>
                <w:rFonts w:cs="Arial"/>
                <w:szCs w:val="22"/>
              </w:rPr>
            </w:pPr>
            <w:r>
              <w:rPr>
                <w:rFonts w:cs="Arial"/>
                <w:szCs w:val="22"/>
              </w:rPr>
              <w:t>Q5</w:t>
            </w:r>
            <w:r w:rsidR="007A06C4" w:rsidRPr="007A06C4">
              <w:rPr>
                <w:rFonts w:cs="Arial"/>
                <w:szCs w:val="22"/>
              </w:rPr>
              <w:tab/>
            </w:r>
            <w:r w:rsidR="00034764">
              <w:rPr>
                <w:rFonts w:cs="Arial"/>
                <w:szCs w:val="22"/>
              </w:rPr>
              <w:t>If per serving information in the nutrition information panel was voluntary</w:t>
            </w:r>
            <w:r w:rsidR="003346C1">
              <w:rPr>
                <w:rFonts w:cs="Arial"/>
                <w:szCs w:val="22"/>
              </w:rPr>
              <w:t>,</w:t>
            </w:r>
            <w:r w:rsidR="00034764">
              <w:rPr>
                <w:rFonts w:cs="Arial"/>
              </w:rPr>
              <w:t xml:space="preserve"> </w:t>
            </w:r>
            <w:r w:rsidR="003346C1">
              <w:rPr>
                <w:rFonts w:cs="Arial"/>
              </w:rPr>
              <w:t xml:space="preserve">do you think </w:t>
            </w:r>
            <w:r w:rsidR="00034764">
              <w:rPr>
                <w:rFonts w:cs="Arial"/>
              </w:rPr>
              <w:t>the inclusion of</w:t>
            </w:r>
            <w:r w:rsidR="007A06C4" w:rsidRPr="007A06C4">
              <w:rPr>
                <w:rFonts w:cs="Arial"/>
              </w:rPr>
              <w:t xml:space="preserve"> per serving information in the nutrition information panel should be mandatory when a nutrition content claim about </w:t>
            </w:r>
            <w:r w:rsidR="00750D73">
              <w:rPr>
                <w:rFonts w:cs="Arial"/>
              </w:rPr>
              <w:t xml:space="preserve">vitamins, minerals, </w:t>
            </w:r>
            <w:r w:rsidR="007A06C4" w:rsidRPr="007A06C4">
              <w:rPr>
                <w:rFonts w:cs="Arial"/>
              </w:rPr>
              <w:t>protein</w:t>
            </w:r>
            <w:r w:rsidR="00034764">
              <w:rPr>
                <w:rFonts w:cs="Arial"/>
              </w:rPr>
              <w:t>, omega-3-fatty acids</w:t>
            </w:r>
            <w:r w:rsidR="007A06C4" w:rsidRPr="007A06C4">
              <w:rPr>
                <w:rFonts w:cs="Arial"/>
              </w:rPr>
              <w:t xml:space="preserve"> or dietary</w:t>
            </w:r>
            <w:r w:rsidR="00750D73">
              <w:rPr>
                <w:rFonts w:cs="Arial"/>
              </w:rPr>
              <w:t xml:space="preserve"> </w:t>
            </w:r>
            <w:r w:rsidR="00F91812">
              <w:rPr>
                <w:rFonts w:cs="Arial"/>
              </w:rPr>
              <w:t>fibre is made?</w:t>
            </w:r>
            <w:r w:rsidR="007A06C4" w:rsidRPr="007A06C4">
              <w:rPr>
                <w:rFonts w:cs="Arial"/>
              </w:rPr>
              <w:t xml:space="preserve"> </w:t>
            </w:r>
            <w:r w:rsidR="003346C1" w:rsidRPr="007A06C4">
              <w:rPr>
                <w:rFonts w:cs="Arial"/>
              </w:rPr>
              <w:t>Give reasons for your answer.</w:t>
            </w:r>
          </w:p>
          <w:p w:rsidR="003346C1" w:rsidRDefault="003346C1" w:rsidP="00132D9E">
            <w:pPr>
              <w:ind w:left="567" w:hanging="567"/>
              <w:rPr>
                <w:rFonts w:cs="Arial"/>
              </w:rPr>
            </w:pPr>
          </w:p>
          <w:p w:rsidR="007A06C4" w:rsidRDefault="00386512" w:rsidP="00132D9E">
            <w:pPr>
              <w:ind w:left="567" w:hanging="567"/>
              <w:rPr>
                <w:rFonts w:cs="Arial"/>
                <w:szCs w:val="22"/>
              </w:rPr>
            </w:pPr>
            <w:r>
              <w:rPr>
                <w:rFonts w:cs="Arial"/>
              </w:rPr>
              <w:t>Q</w:t>
            </w:r>
            <w:r w:rsidR="00953815">
              <w:rPr>
                <w:rFonts w:cs="Arial"/>
              </w:rPr>
              <w:t>6</w:t>
            </w:r>
            <w:r w:rsidR="009506B3">
              <w:rPr>
                <w:rFonts w:cs="Arial"/>
              </w:rPr>
              <w:tab/>
            </w:r>
            <w:r w:rsidR="009506B3">
              <w:rPr>
                <w:rFonts w:cs="Arial"/>
                <w:szCs w:val="22"/>
              </w:rPr>
              <w:t>If per serving information in the nutrition information panel was voluntary,</w:t>
            </w:r>
            <w:r w:rsidR="009506B3">
              <w:rPr>
                <w:rFonts w:cs="Arial"/>
              </w:rPr>
              <w:t xml:space="preserve"> do you think the </w:t>
            </w:r>
            <w:r w:rsidR="003346C1">
              <w:rPr>
                <w:rFonts w:cs="Arial"/>
              </w:rPr>
              <w:t>inclus</w:t>
            </w:r>
            <w:r>
              <w:rPr>
                <w:rFonts w:cs="Arial"/>
              </w:rPr>
              <w:t>ion</w:t>
            </w:r>
            <w:r w:rsidR="009506B3">
              <w:rPr>
                <w:rFonts w:cs="Arial"/>
              </w:rPr>
              <w:t xml:space="preserve"> of per serving information in </w:t>
            </w:r>
            <w:r>
              <w:rPr>
                <w:rFonts w:cs="Arial"/>
              </w:rPr>
              <w:t xml:space="preserve">the NIP </w:t>
            </w:r>
            <w:r w:rsidR="009506B3">
              <w:rPr>
                <w:rFonts w:cs="Arial"/>
              </w:rPr>
              <w:t xml:space="preserve">should be </w:t>
            </w:r>
            <w:r w:rsidR="003346C1">
              <w:rPr>
                <w:rFonts w:cs="Arial"/>
              </w:rPr>
              <w:t>mandatory</w:t>
            </w:r>
            <w:r w:rsidR="009506B3">
              <w:rPr>
                <w:rFonts w:cs="Arial"/>
              </w:rPr>
              <w:t xml:space="preserve"> in any other specific </w:t>
            </w:r>
            <w:r w:rsidR="000402EB">
              <w:rPr>
                <w:rFonts w:cs="Arial"/>
              </w:rPr>
              <w:t xml:space="preserve">regulatory </w:t>
            </w:r>
            <w:r w:rsidR="009506B3">
              <w:rPr>
                <w:rFonts w:cs="Arial"/>
              </w:rPr>
              <w:t>situations</w:t>
            </w:r>
            <w:r w:rsidR="003346C1">
              <w:rPr>
                <w:rFonts w:cs="Arial"/>
              </w:rPr>
              <w:t xml:space="preserve">? </w:t>
            </w:r>
            <w:r>
              <w:rPr>
                <w:rFonts w:cs="Arial"/>
              </w:rPr>
              <w:t xml:space="preserve">Explain </w:t>
            </w:r>
            <w:r w:rsidR="003346C1" w:rsidRPr="007A06C4">
              <w:rPr>
                <w:rFonts w:cs="Arial"/>
              </w:rPr>
              <w:t>your answer.</w:t>
            </w:r>
          </w:p>
        </w:tc>
      </w:tr>
    </w:tbl>
    <w:p w:rsidR="00950546" w:rsidRDefault="006966B2" w:rsidP="00950546">
      <w:pPr>
        <w:pStyle w:val="Heading1"/>
      </w:pPr>
      <w:bookmarkStart w:id="44" w:name="_Toc405365740"/>
      <w:r>
        <w:t>5</w:t>
      </w:r>
      <w:r w:rsidR="00950546" w:rsidRPr="00E75054">
        <w:tab/>
      </w:r>
      <w:r w:rsidR="00950546">
        <w:t xml:space="preserve">International approaches </w:t>
      </w:r>
      <w:r w:rsidR="00C50B54">
        <w:t>to</w:t>
      </w:r>
      <w:r w:rsidR="00950546">
        <w:t xml:space="preserve"> NIP information</w:t>
      </w:r>
      <w:bookmarkEnd w:id="44"/>
    </w:p>
    <w:p w:rsidR="007E761C" w:rsidRDefault="00571D42" w:rsidP="007E761C">
      <w:pPr>
        <w:rPr>
          <w:rFonts w:cs="Arial"/>
        </w:rPr>
      </w:pPr>
      <w:r>
        <w:rPr>
          <w:rFonts w:cs="Arial"/>
        </w:rPr>
        <w:t>A</w:t>
      </w:r>
      <w:r w:rsidR="007E761C">
        <w:rPr>
          <w:rFonts w:cs="Arial"/>
        </w:rPr>
        <w:t xml:space="preserve"> summary of requirements for the </w:t>
      </w:r>
      <w:r w:rsidR="007E761C" w:rsidRPr="00345844">
        <w:rPr>
          <w:rFonts w:cs="Arial"/>
        </w:rPr>
        <w:t xml:space="preserve">declaration of energy and nutrients in </w:t>
      </w:r>
      <w:r w:rsidR="007E761C">
        <w:rPr>
          <w:rFonts w:cs="Arial"/>
        </w:rPr>
        <w:t>NIPs (or similar)</w:t>
      </w:r>
      <w:r w:rsidR="007E761C" w:rsidRPr="00345844">
        <w:rPr>
          <w:rFonts w:cs="Arial"/>
        </w:rPr>
        <w:t xml:space="preserve"> in Austra</w:t>
      </w:r>
      <w:r>
        <w:rPr>
          <w:rFonts w:cs="Arial"/>
        </w:rPr>
        <w:t xml:space="preserve">lia/New Zealand, Canada, the </w:t>
      </w:r>
      <w:r w:rsidR="00AC52C0">
        <w:rPr>
          <w:rFonts w:cs="Arial"/>
        </w:rPr>
        <w:t>U</w:t>
      </w:r>
      <w:r>
        <w:rPr>
          <w:rFonts w:cs="Arial"/>
        </w:rPr>
        <w:t>S</w:t>
      </w:r>
      <w:r w:rsidR="00132D9E">
        <w:rPr>
          <w:rFonts w:cs="Arial"/>
        </w:rPr>
        <w:t>A</w:t>
      </w:r>
      <w:r w:rsidR="007E761C" w:rsidRPr="00345844">
        <w:rPr>
          <w:rFonts w:cs="Arial"/>
        </w:rPr>
        <w:t>, the E</w:t>
      </w:r>
      <w:r w:rsidR="00AC52C0">
        <w:rPr>
          <w:rFonts w:cs="Arial"/>
        </w:rPr>
        <w:t xml:space="preserve">uropean </w:t>
      </w:r>
      <w:r w:rsidR="007E761C" w:rsidRPr="00345844">
        <w:rPr>
          <w:rFonts w:cs="Arial"/>
        </w:rPr>
        <w:t>U</w:t>
      </w:r>
      <w:r w:rsidR="00AC52C0">
        <w:rPr>
          <w:rFonts w:cs="Arial"/>
        </w:rPr>
        <w:t>nion (EU)</w:t>
      </w:r>
      <w:r w:rsidR="007E761C" w:rsidRPr="00345844">
        <w:rPr>
          <w:rFonts w:cs="Arial"/>
        </w:rPr>
        <w:t xml:space="preserve"> and from </w:t>
      </w:r>
      <w:r w:rsidR="007E761C">
        <w:rPr>
          <w:rFonts w:cs="Arial"/>
        </w:rPr>
        <w:t xml:space="preserve">the </w:t>
      </w:r>
      <w:r w:rsidR="007E761C" w:rsidRPr="00345844">
        <w:rPr>
          <w:rFonts w:cs="Arial"/>
        </w:rPr>
        <w:t>Codex</w:t>
      </w:r>
      <w:r w:rsidR="007E761C">
        <w:rPr>
          <w:rFonts w:cs="Arial"/>
        </w:rPr>
        <w:t xml:space="preserve"> guidelines</w:t>
      </w:r>
      <w:r>
        <w:rPr>
          <w:rFonts w:cs="Arial"/>
        </w:rPr>
        <w:t xml:space="preserve"> </w:t>
      </w:r>
      <w:r w:rsidRPr="00034A9F">
        <w:rPr>
          <w:rFonts w:cs="Arial"/>
        </w:rPr>
        <w:t>is at Attachment A</w:t>
      </w:r>
      <w:r w:rsidR="007E761C" w:rsidRPr="00034A9F">
        <w:rPr>
          <w:rFonts w:cs="Arial"/>
        </w:rPr>
        <w:t>.</w:t>
      </w:r>
      <w:r w:rsidR="007E761C">
        <w:rPr>
          <w:rFonts w:cs="Arial"/>
        </w:rPr>
        <w:t xml:space="preserve"> </w:t>
      </w:r>
    </w:p>
    <w:p w:rsidR="007E761C" w:rsidRDefault="007E761C" w:rsidP="007E761C">
      <w:pPr>
        <w:rPr>
          <w:rFonts w:cs="Arial"/>
        </w:rPr>
      </w:pPr>
    </w:p>
    <w:p w:rsidR="00074C2A" w:rsidRDefault="00571D42" w:rsidP="007E761C">
      <w:pPr>
        <w:rPr>
          <w:rFonts w:cs="Arial"/>
          <w:szCs w:val="22"/>
        </w:rPr>
      </w:pPr>
      <w:r>
        <w:rPr>
          <w:rFonts w:cs="Arial"/>
          <w:szCs w:val="22"/>
        </w:rPr>
        <w:t>In Canada and the US</w:t>
      </w:r>
      <w:r w:rsidR="00132D9E">
        <w:rPr>
          <w:rFonts w:cs="Arial"/>
          <w:szCs w:val="22"/>
        </w:rPr>
        <w:t>A</w:t>
      </w:r>
      <w:r w:rsidR="007E761C">
        <w:rPr>
          <w:rFonts w:cs="Arial"/>
          <w:szCs w:val="22"/>
        </w:rPr>
        <w:t>, energy and mandated nutrients and any other nutrients in the nutrition facts table/panel are required to be listed per serving. Percent Daily Value</w:t>
      </w:r>
      <w:r w:rsidR="007E761C">
        <w:rPr>
          <w:rStyle w:val="FootnoteReference"/>
          <w:rFonts w:cs="Arial"/>
          <w:szCs w:val="22"/>
        </w:rPr>
        <w:footnoteReference w:id="8"/>
      </w:r>
      <w:r w:rsidR="007E761C">
        <w:rPr>
          <w:rFonts w:cs="Arial"/>
          <w:szCs w:val="22"/>
        </w:rPr>
        <w:t xml:space="preserve"> amounts are also required for specified nutrients. </w:t>
      </w:r>
      <w:r w:rsidR="00074C2A">
        <w:rPr>
          <w:rFonts w:cs="Arial"/>
          <w:szCs w:val="22"/>
        </w:rPr>
        <w:br w:type="page"/>
      </w:r>
    </w:p>
    <w:p w:rsidR="007E761C" w:rsidRDefault="007E761C" w:rsidP="007E761C">
      <w:pPr>
        <w:rPr>
          <w:rFonts w:cs="Arial"/>
          <w:szCs w:val="22"/>
        </w:rPr>
      </w:pPr>
      <w:r>
        <w:rPr>
          <w:rFonts w:cs="Arial"/>
          <w:szCs w:val="22"/>
        </w:rPr>
        <w:lastRenderedPageBreak/>
        <w:t xml:space="preserve">While declarations of energy and nutrients are not required per 100 g/100 mL as they are in Australia/New Zealand, </w:t>
      </w:r>
      <w:r w:rsidR="00AC52C0">
        <w:rPr>
          <w:rFonts w:cs="Arial"/>
          <w:szCs w:val="22"/>
        </w:rPr>
        <w:t>in the US</w:t>
      </w:r>
      <w:r w:rsidR="00F02866">
        <w:rPr>
          <w:rFonts w:cs="Arial"/>
          <w:szCs w:val="22"/>
        </w:rPr>
        <w:t>A</w:t>
      </w:r>
      <w:r w:rsidR="00AC52C0">
        <w:rPr>
          <w:rFonts w:cs="Arial"/>
          <w:szCs w:val="22"/>
        </w:rPr>
        <w:t xml:space="preserve"> </w:t>
      </w:r>
      <w:r w:rsidRPr="00AC52C0">
        <w:rPr>
          <w:rFonts w:cs="Arial"/>
          <w:szCs w:val="22"/>
        </w:rPr>
        <w:t>such values can be included voluntarily if a product is both sold locally and exported.</w:t>
      </w:r>
    </w:p>
    <w:p w:rsidR="007E761C" w:rsidRDefault="007E761C" w:rsidP="007E761C">
      <w:pPr>
        <w:rPr>
          <w:rFonts w:cs="Arial"/>
          <w:szCs w:val="22"/>
        </w:rPr>
      </w:pPr>
    </w:p>
    <w:p w:rsidR="00132D9E" w:rsidRDefault="007E761C" w:rsidP="007E761C">
      <w:pPr>
        <w:rPr>
          <w:lang w:val="en" w:eastAsia="en-NZ" w:bidi="ar-SA"/>
        </w:rPr>
      </w:pPr>
      <w:r>
        <w:rPr>
          <w:lang w:val="en" w:eastAsia="en-NZ" w:bidi="ar-SA"/>
        </w:rPr>
        <w:t xml:space="preserve">In the EU, energy and nutrients in the nutrition table are required to be declared per </w:t>
      </w:r>
    </w:p>
    <w:p w:rsidR="007E761C" w:rsidRDefault="007E761C" w:rsidP="007E761C">
      <w:pPr>
        <w:rPr>
          <w:lang w:val="en" w:eastAsia="en-NZ" w:bidi="ar-SA"/>
        </w:rPr>
      </w:pPr>
      <w:r>
        <w:rPr>
          <w:lang w:val="en" w:eastAsia="en-NZ" w:bidi="ar-SA"/>
        </w:rPr>
        <w:t>100 g/100 mL and when vitamins or minerals are included, they must also be expressed as a percentage of reference intakes per 100 g/100 mL. Energy and nutrients may also be expressed per serving. Inclusion of percentage of reference amounts (% Guideline Daily Amount (GDA)) for energy and nutrients in the nutrition table is voluntary</w:t>
      </w:r>
      <w:r w:rsidR="00550DC1">
        <w:rPr>
          <w:lang w:val="en" w:eastAsia="en-NZ" w:bidi="ar-SA"/>
        </w:rPr>
        <w:t xml:space="preserve"> and can either be expressed on a per serving or per 100 g/100 mL basis</w:t>
      </w:r>
      <w:r>
        <w:rPr>
          <w:lang w:val="en" w:eastAsia="en-NZ" w:bidi="ar-SA"/>
        </w:rPr>
        <w:t>.</w:t>
      </w:r>
    </w:p>
    <w:p w:rsidR="007E761C" w:rsidRDefault="007E761C" w:rsidP="007E761C">
      <w:pPr>
        <w:rPr>
          <w:lang w:val="en" w:eastAsia="en-NZ" w:bidi="ar-SA"/>
        </w:rPr>
      </w:pPr>
    </w:p>
    <w:p w:rsidR="007E761C" w:rsidRDefault="007E761C" w:rsidP="007E761C">
      <w:pPr>
        <w:rPr>
          <w:lang w:val="en" w:eastAsia="en-NZ" w:bidi="ar-SA"/>
        </w:rPr>
      </w:pPr>
      <w:r>
        <w:rPr>
          <w:lang w:val="en" w:eastAsia="en-NZ" w:bidi="ar-SA"/>
        </w:rPr>
        <w:t>The Codex Guidelines for Nutrition Labelling state that energy and the amounts of protein, carbohydrate and fats should be expressed per 100 g/100 mL or per package if the package only contains one serving. Per serving information may also be provided. The amounts of vitamins and minerals should be expressed in metric units or as a percentage of a nutrient reference value per 100 g/100 mL or per package or per serving. It is also stated that in countries where serving sizes are normally used, information may be given per serving only.</w:t>
      </w:r>
    </w:p>
    <w:p w:rsidR="007E761C" w:rsidRDefault="007E761C" w:rsidP="007E761C">
      <w:pPr>
        <w:rPr>
          <w:rFonts w:cs="Arial"/>
        </w:rPr>
      </w:pPr>
    </w:p>
    <w:p w:rsidR="007E761C" w:rsidRDefault="007E761C" w:rsidP="00A8723B">
      <w:pPr>
        <w:tabs>
          <w:tab w:val="left" w:pos="5812"/>
        </w:tabs>
        <w:rPr>
          <w:rFonts w:cs="Arial"/>
          <w:szCs w:val="22"/>
        </w:rPr>
      </w:pPr>
      <w:r>
        <w:rPr>
          <w:rFonts w:cs="Arial"/>
          <w:szCs w:val="22"/>
        </w:rPr>
        <w:t xml:space="preserve">Although the approach of mandating serving sizes for use on food labels is not the subject of this consultation, in </w:t>
      </w:r>
      <w:r w:rsidRPr="00F02866">
        <w:rPr>
          <w:rFonts w:cs="Arial"/>
          <w:i/>
          <w:szCs w:val="22"/>
        </w:rPr>
        <w:t>Labelling Logic</w:t>
      </w:r>
      <w:r>
        <w:rPr>
          <w:rFonts w:cs="Arial"/>
          <w:szCs w:val="22"/>
        </w:rPr>
        <w:t>, the labelling review panel referred to the use of ma</w:t>
      </w:r>
      <w:r w:rsidR="00571D42">
        <w:rPr>
          <w:rFonts w:cs="Arial"/>
          <w:szCs w:val="22"/>
        </w:rPr>
        <w:t>ndatory serving sizes in the US</w:t>
      </w:r>
      <w:r w:rsidR="00132D9E">
        <w:rPr>
          <w:rFonts w:cs="Arial"/>
          <w:szCs w:val="22"/>
        </w:rPr>
        <w:t>A</w:t>
      </w:r>
      <w:r>
        <w:rPr>
          <w:rFonts w:cs="Arial"/>
          <w:szCs w:val="22"/>
        </w:rPr>
        <w:t>. It is of interest to note that the regulatory approaches taken for industry determina</w:t>
      </w:r>
      <w:r w:rsidR="00AC52C0">
        <w:rPr>
          <w:rFonts w:cs="Arial"/>
          <w:szCs w:val="22"/>
        </w:rPr>
        <w:t>tion of serving sizes in the US</w:t>
      </w:r>
      <w:r w:rsidR="00F02866">
        <w:rPr>
          <w:rFonts w:cs="Arial"/>
          <w:szCs w:val="22"/>
        </w:rPr>
        <w:t>A</w:t>
      </w:r>
      <w:r>
        <w:rPr>
          <w:rFonts w:cs="Arial"/>
          <w:szCs w:val="22"/>
        </w:rPr>
        <w:t xml:space="preserve"> and Canada may in fact result in some variability in serving sizes within food categories. Information on the requirements for </w:t>
      </w:r>
      <w:r w:rsidR="00B63578">
        <w:rPr>
          <w:rFonts w:cs="Arial"/>
          <w:szCs w:val="22"/>
        </w:rPr>
        <w:t>determining</w:t>
      </w:r>
      <w:r w:rsidR="00AC52C0">
        <w:rPr>
          <w:rFonts w:cs="Arial"/>
          <w:szCs w:val="22"/>
        </w:rPr>
        <w:t xml:space="preserve"> serving sizes in the US</w:t>
      </w:r>
      <w:r w:rsidR="00132D9E">
        <w:rPr>
          <w:rFonts w:cs="Arial"/>
          <w:szCs w:val="22"/>
        </w:rPr>
        <w:t>A</w:t>
      </w:r>
      <w:r>
        <w:rPr>
          <w:rFonts w:cs="Arial"/>
          <w:szCs w:val="22"/>
        </w:rPr>
        <w:t xml:space="preserve"> and Canada, along with proposed changes, is </w:t>
      </w:r>
      <w:r w:rsidRPr="00034A9F">
        <w:rPr>
          <w:rFonts w:cs="Arial"/>
          <w:szCs w:val="22"/>
        </w:rPr>
        <w:t>provided at Attachment B.</w:t>
      </w:r>
    </w:p>
    <w:p w:rsidR="00E02CC0" w:rsidRDefault="006966B2" w:rsidP="00FA1B47">
      <w:pPr>
        <w:pStyle w:val="Heading1"/>
      </w:pPr>
      <w:bookmarkStart w:id="45" w:name="_Toc405365741"/>
      <w:r>
        <w:t>6</w:t>
      </w:r>
      <w:r w:rsidR="00C3110A">
        <w:tab/>
      </w:r>
      <w:r w:rsidR="007D65E7">
        <w:t xml:space="preserve">Previous </w:t>
      </w:r>
      <w:r w:rsidR="00655DCF">
        <w:t xml:space="preserve">FSANZ </w:t>
      </w:r>
      <w:r w:rsidR="007D65E7">
        <w:t xml:space="preserve">consideration of </w:t>
      </w:r>
      <w:r w:rsidR="00980EE8">
        <w:t xml:space="preserve">per serving </w:t>
      </w:r>
      <w:r w:rsidR="007D65E7">
        <w:t>information in the NIP</w:t>
      </w:r>
      <w:bookmarkStart w:id="46" w:name="_Toc11735642"/>
      <w:bookmarkStart w:id="47" w:name="_Toc29883129"/>
      <w:bookmarkStart w:id="48" w:name="_Toc41906816"/>
      <w:bookmarkStart w:id="49" w:name="_Toc41907563"/>
      <w:bookmarkStart w:id="50" w:name="_Toc120358595"/>
      <w:bookmarkStart w:id="51" w:name="_Toc175381457"/>
      <w:bookmarkStart w:id="52" w:name="_Toc300761918"/>
      <w:bookmarkStart w:id="53" w:name="_Toc300933450"/>
      <w:bookmarkEnd w:id="45"/>
    </w:p>
    <w:p w:rsidR="00FF7190" w:rsidRDefault="00FF7190" w:rsidP="00143783">
      <w:pPr>
        <w:ind w:right="-286"/>
        <w:rPr>
          <w:lang w:bidi="ar-SA"/>
        </w:rPr>
      </w:pPr>
      <w:r>
        <w:rPr>
          <w:lang w:bidi="ar-SA"/>
        </w:rPr>
        <w:t xml:space="preserve">Per serving information has been provided in </w:t>
      </w:r>
      <w:r w:rsidR="00756D5E">
        <w:rPr>
          <w:lang w:bidi="ar-SA"/>
        </w:rPr>
        <w:t xml:space="preserve">mandatory </w:t>
      </w:r>
      <w:r>
        <w:rPr>
          <w:lang w:bidi="ar-SA"/>
        </w:rPr>
        <w:t xml:space="preserve">NIPs in both </w:t>
      </w:r>
      <w:r w:rsidR="00C85A97">
        <w:rPr>
          <w:lang w:bidi="ar-SA"/>
        </w:rPr>
        <w:t xml:space="preserve">Australia and </w:t>
      </w:r>
      <w:r>
        <w:rPr>
          <w:lang w:bidi="ar-SA"/>
        </w:rPr>
        <w:t>New Zealand</w:t>
      </w:r>
      <w:r w:rsidR="00F1658D">
        <w:rPr>
          <w:lang w:bidi="ar-SA"/>
        </w:rPr>
        <w:t xml:space="preserve"> </w:t>
      </w:r>
      <w:r w:rsidR="00F1658D" w:rsidRPr="00ED6387">
        <w:rPr>
          <w:lang w:bidi="ar-SA"/>
        </w:rPr>
        <w:t>since 2002</w:t>
      </w:r>
      <w:r w:rsidR="00F1658D">
        <w:rPr>
          <w:lang w:bidi="ar-SA"/>
        </w:rPr>
        <w:t xml:space="preserve"> when the </w:t>
      </w:r>
      <w:r w:rsidR="00C3131B">
        <w:rPr>
          <w:lang w:bidi="ar-SA"/>
        </w:rPr>
        <w:t xml:space="preserve">joint </w:t>
      </w:r>
      <w:r w:rsidR="00F1658D">
        <w:rPr>
          <w:lang w:bidi="ar-SA"/>
        </w:rPr>
        <w:t>Code was fully implemented</w:t>
      </w:r>
      <w:r>
        <w:rPr>
          <w:lang w:bidi="ar-SA"/>
        </w:rPr>
        <w:t xml:space="preserve">. Before </w:t>
      </w:r>
      <w:r w:rsidR="00B63578">
        <w:rPr>
          <w:lang w:bidi="ar-SA"/>
        </w:rPr>
        <w:t xml:space="preserve">preparing </w:t>
      </w:r>
      <w:r>
        <w:rPr>
          <w:lang w:bidi="ar-SA"/>
        </w:rPr>
        <w:t xml:space="preserve">the </w:t>
      </w:r>
      <w:r w:rsidR="00C3131B">
        <w:rPr>
          <w:lang w:bidi="ar-SA"/>
        </w:rPr>
        <w:t xml:space="preserve">joint </w:t>
      </w:r>
      <w:r>
        <w:rPr>
          <w:lang w:bidi="ar-SA"/>
        </w:rPr>
        <w:t>Code in the late 1990s, nutrition information presented in a NIP was voluntary for all foods, except for infant formula, and mandatory for all foods carrying nutrition claims, in both countries.</w:t>
      </w:r>
      <w:r w:rsidR="0051090C">
        <w:rPr>
          <w:lang w:bidi="ar-SA"/>
        </w:rPr>
        <w:t xml:space="preserve"> Although the nutrients required to be declared differed in Australia and New Zealand, declarations had to be expressed per industry nominated serving and per 100 g/100 </w:t>
      </w:r>
      <w:r w:rsidR="0054593A">
        <w:rPr>
          <w:lang w:bidi="ar-SA"/>
        </w:rPr>
        <w:t>mL</w:t>
      </w:r>
      <w:r w:rsidR="0051090C">
        <w:rPr>
          <w:lang w:bidi="ar-SA"/>
        </w:rPr>
        <w:t>.</w:t>
      </w:r>
    </w:p>
    <w:p w:rsidR="00FF7190" w:rsidRDefault="00FF7190" w:rsidP="00DC6229">
      <w:pPr>
        <w:rPr>
          <w:lang w:bidi="ar-SA"/>
        </w:rPr>
      </w:pPr>
    </w:p>
    <w:p w:rsidR="00143B38" w:rsidRDefault="0051090C" w:rsidP="00BA743D">
      <w:pPr>
        <w:spacing w:after="200"/>
        <w:ind w:right="-440"/>
        <w:rPr>
          <w:rFonts w:cs="Arial"/>
        </w:rPr>
      </w:pPr>
      <w:r>
        <w:t xml:space="preserve">As part of the development of the joint Code, </w:t>
      </w:r>
      <w:r>
        <w:rPr>
          <w:lang w:bidi="ar-SA"/>
        </w:rPr>
        <w:t>i</w:t>
      </w:r>
      <w:r w:rsidR="00FF7190">
        <w:rPr>
          <w:lang w:bidi="ar-SA"/>
        </w:rPr>
        <w:t xml:space="preserve">n 1997 </w:t>
      </w:r>
      <w:r w:rsidR="00477856">
        <w:rPr>
          <w:lang w:bidi="ar-SA"/>
        </w:rPr>
        <w:t>the then</w:t>
      </w:r>
      <w:r w:rsidR="00A10F5D">
        <w:rPr>
          <w:lang w:bidi="ar-SA"/>
        </w:rPr>
        <w:t xml:space="preserve"> </w:t>
      </w:r>
      <w:r w:rsidR="00477856">
        <w:rPr>
          <w:lang w:bidi="ar-SA"/>
        </w:rPr>
        <w:t>Austra</w:t>
      </w:r>
      <w:r w:rsidR="000D1EA3">
        <w:rPr>
          <w:lang w:bidi="ar-SA"/>
        </w:rPr>
        <w:t>lia New Zealand Food Authority</w:t>
      </w:r>
      <w:r w:rsidR="00A10F5D">
        <w:rPr>
          <w:lang w:bidi="ar-SA"/>
        </w:rPr>
        <w:t xml:space="preserve"> (ANZFA) </w:t>
      </w:r>
      <w:r w:rsidR="00D65079">
        <w:rPr>
          <w:lang w:bidi="ar-SA"/>
        </w:rPr>
        <w:t xml:space="preserve">released a </w:t>
      </w:r>
      <w:r w:rsidR="00BE7E2A">
        <w:rPr>
          <w:lang w:bidi="ar-SA"/>
        </w:rPr>
        <w:t xml:space="preserve">consultation </w:t>
      </w:r>
      <w:r w:rsidR="00D65079">
        <w:rPr>
          <w:lang w:bidi="ar-SA"/>
        </w:rPr>
        <w:t xml:space="preserve">paper </w:t>
      </w:r>
      <w:r w:rsidR="00D65079" w:rsidRPr="00D65079">
        <w:rPr>
          <w:rFonts w:cs="Arial"/>
        </w:rPr>
        <w:t xml:space="preserve">under </w:t>
      </w:r>
      <w:r w:rsidR="00B852E3">
        <w:rPr>
          <w:rFonts w:cs="Arial"/>
        </w:rPr>
        <w:t xml:space="preserve">Proposal </w:t>
      </w:r>
      <w:r w:rsidR="00D65079" w:rsidRPr="00D65079">
        <w:rPr>
          <w:rFonts w:cs="Arial"/>
        </w:rPr>
        <w:t xml:space="preserve">P167 – Nutrition Labelling (Preliminary Assessment Report). </w:t>
      </w:r>
      <w:r w:rsidR="00A10F5D">
        <w:rPr>
          <w:rFonts w:cs="Arial"/>
        </w:rPr>
        <w:t>ANZFA</w:t>
      </w:r>
      <w:r w:rsidR="00D65079" w:rsidRPr="00D65079">
        <w:rPr>
          <w:rFonts w:cs="Arial"/>
        </w:rPr>
        <w:t xml:space="preserve"> </w:t>
      </w:r>
      <w:r w:rsidR="00EE7228">
        <w:rPr>
          <w:rFonts w:cs="Arial"/>
        </w:rPr>
        <w:t xml:space="preserve">specifically sought </w:t>
      </w:r>
      <w:r w:rsidR="00BA743D">
        <w:rPr>
          <w:rFonts w:cs="Arial"/>
        </w:rPr>
        <w:t>p</w:t>
      </w:r>
      <w:r w:rsidR="00D65079" w:rsidRPr="00D65079">
        <w:rPr>
          <w:rFonts w:cs="Arial"/>
        </w:rPr>
        <w:t xml:space="preserve">ublic comment </w:t>
      </w:r>
      <w:r w:rsidR="00BA743D">
        <w:rPr>
          <w:rFonts w:cs="Arial"/>
        </w:rPr>
        <w:t xml:space="preserve">on </w:t>
      </w:r>
      <w:r w:rsidR="00B63578">
        <w:rPr>
          <w:rFonts w:cs="Arial"/>
        </w:rPr>
        <w:t>continuing</w:t>
      </w:r>
      <w:r w:rsidR="00B63578">
        <w:t xml:space="preserve"> </w:t>
      </w:r>
      <w:r w:rsidR="00D65079">
        <w:t>the use of per serving as a reference unit for declaring nutrition information</w:t>
      </w:r>
      <w:r w:rsidR="00BA743D">
        <w:t>.</w:t>
      </w:r>
      <w:r w:rsidR="00BA743D">
        <w:rPr>
          <w:rFonts w:cs="Arial"/>
        </w:rPr>
        <w:t xml:space="preserve"> </w:t>
      </w:r>
      <w:r w:rsidR="00A37713">
        <w:rPr>
          <w:rFonts w:cs="Arial"/>
        </w:rPr>
        <w:t>As reported in the subsequent Full Assessment Report for P167, t</w:t>
      </w:r>
      <w:r w:rsidR="00143B38" w:rsidRPr="00143B38">
        <w:rPr>
          <w:rFonts w:cs="Arial"/>
        </w:rPr>
        <w:t>he majority of submitters</w:t>
      </w:r>
      <w:r w:rsidR="0031306E">
        <w:rPr>
          <w:rFonts w:cs="Arial"/>
        </w:rPr>
        <w:t>, including most industry groups,</w:t>
      </w:r>
      <w:r w:rsidR="00143B38" w:rsidRPr="00143B38">
        <w:rPr>
          <w:rFonts w:cs="Arial"/>
        </w:rPr>
        <w:t xml:space="preserve"> supported </w:t>
      </w:r>
      <w:r w:rsidR="00B852E3">
        <w:rPr>
          <w:rFonts w:cs="Arial"/>
        </w:rPr>
        <w:t>continuing</w:t>
      </w:r>
      <w:r w:rsidR="00143B38" w:rsidRPr="00143B38">
        <w:rPr>
          <w:rFonts w:cs="Arial"/>
        </w:rPr>
        <w:t xml:space="preserve"> the use of </w:t>
      </w:r>
      <w:r w:rsidR="00143B38">
        <w:rPr>
          <w:rFonts w:cs="Arial"/>
        </w:rPr>
        <w:t>per serving</w:t>
      </w:r>
      <w:r w:rsidR="00143B38" w:rsidRPr="00143B38">
        <w:rPr>
          <w:rFonts w:cs="Arial"/>
        </w:rPr>
        <w:t xml:space="preserve"> as a reference unit for declaring nutrient content. Consumer familiarity and consistency with Codex were the main reasons given</w:t>
      </w:r>
      <w:r w:rsidR="00A37713">
        <w:rPr>
          <w:rFonts w:cs="Arial"/>
        </w:rPr>
        <w:t xml:space="preserve">, although Codex </w:t>
      </w:r>
      <w:r w:rsidR="00A37713">
        <w:t xml:space="preserve">provides for a choice between either per serving or per 100 g/100 </w:t>
      </w:r>
      <w:r w:rsidR="0054593A">
        <w:t>mL</w:t>
      </w:r>
      <w:r w:rsidR="00A37713">
        <w:t xml:space="preserve">. </w:t>
      </w:r>
      <w:r w:rsidR="00143B38" w:rsidRPr="00143B38">
        <w:rPr>
          <w:rFonts w:cs="Arial"/>
        </w:rPr>
        <w:t>The Dietitian Association of Australia also noted the usefulness of this measure for placing nutrient intake in the context of the whole diet.</w:t>
      </w:r>
      <w:r w:rsidR="00143B38">
        <w:rPr>
          <w:rFonts w:cs="Arial"/>
        </w:rPr>
        <w:t xml:space="preserve"> The Australian Food and Grocery Council</w:t>
      </w:r>
      <w:r w:rsidR="0031306E">
        <w:rPr>
          <w:rFonts w:cs="Arial"/>
        </w:rPr>
        <w:t xml:space="preserve"> </w:t>
      </w:r>
      <w:r w:rsidR="00A207C0">
        <w:rPr>
          <w:rFonts w:cs="Arial"/>
        </w:rPr>
        <w:t xml:space="preserve">(AFGC) </w:t>
      </w:r>
      <w:r w:rsidR="0031306E" w:rsidRPr="0031306E">
        <w:rPr>
          <w:rFonts w:cs="Arial"/>
        </w:rPr>
        <w:t>requested that</w:t>
      </w:r>
      <w:r w:rsidR="00256DC2">
        <w:rPr>
          <w:rFonts w:cs="Arial"/>
        </w:rPr>
        <w:t>,</w:t>
      </w:r>
      <w:r w:rsidR="0031306E" w:rsidRPr="0031306E">
        <w:rPr>
          <w:rFonts w:cs="Arial"/>
        </w:rPr>
        <w:t xml:space="preserve"> for single serve packages</w:t>
      </w:r>
      <w:r w:rsidR="00256DC2">
        <w:rPr>
          <w:rFonts w:cs="Arial"/>
        </w:rPr>
        <w:t>,</w:t>
      </w:r>
      <w:r w:rsidR="0031306E" w:rsidRPr="0031306E">
        <w:rPr>
          <w:rFonts w:cs="Arial"/>
        </w:rPr>
        <w:t xml:space="preserve"> the word ‘pack’ or similar should be allowed to replace the word serve. </w:t>
      </w:r>
      <w:r w:rsidR="00BA743D">
        <w:rPr>
          <w:rFonts w:cs="Arial"/>
        </w:rPr>
        <w:t xml:space="preserve">In response, </w:t>
      </w:r>
      <w:r w:rsidR="00A10F5D">
        <w:rPr>
          <w:rFonts w:cs="Arial"/>
        </w:rPr>
        <w:t xml:space="preserve">ANZFA </w:t>
      </w:r>
      <w:r w:rsidR="00A37713">
        <w:rPr>
          <w:rFonts w:cs="Arial"/>
        </w:rPr>
        <w:t>proposed</w:t>
      </w:r>
      <w:r w:rsidR="0031306E">
        <w:rPr>
          <w:rFonts w:cs="Arial"/>
        </w:rPr>
        <w:t xml:space="preserve"> to continue </w:t>
      </w:r>
      <w:r w:rsidR="0031306E">
        <w:t>use of per serving as a reference unit for declaring nutrition information</w:t>
      </w:r>
      <w:r w:rsidR="0031306E">
        <w:rPr>
          <w:rFonts w:cs="Arial"/>
        </w:rPr>
        <w:t xml:space="preserve"> and permit </w:t>
      </w:r>
      <w:r w:rsidR="0031306E" w:rsidRPr="0031306E">
        <w:rPr>
          <w:rFonts w:cs="Arial"/>
        </w:rPr>
        <w:t xml:space="preserve">the word ‘pack’ or similar for single serve packages </w:t>
      </w:r>
      <w:r w:rsidR="0031306E">
        <w:rPr>
          <w:rFonts w:cs="Arial"/>
        </w:rPr>
        <w:t>to</w:t>
      </w:r>
      <w:r w:rsidR="0031306E" w:rsidRPr="0031306E">
        <w:rPr>
          <w:rFonts w:cs="Arial"/>
        </w:rPr>
        <w:t xml:space="preserve"> be used.</w:t>
      </w:r>
      <w:r w:rsidR="00E54AB6">
        <w:rPr>
          <w:rFonts w:cs="Arial"/>
        </w:rPr>
        <w:t xml:space="preserve"> </w:t>
      </w:r>
    </w:p>
    <w:p w:rsidR="00074C2A" w:rsidRDefault="00E54AB6" w:rsidP="00BA743D">
      <w:pPr>
        <w:spacing w:after="200"/>
        <w:ind w:right="-440"/>
        <w:rPr>
          <w:rFonts w:cs="Arial"/>
        </w:rPr>
      </w:pPr>
      <w:r>
        <w:rPr>
          <w:rFonts w:cs="Arial"/>
        </w:rPr>
        <w:t>In the Full Assessment Report</w:t>
      </w:r>
      <w:r w:rsidR="00A10F5D">
        <w:rPr>
          <w:rFonts w:cs="Arial"/>
        </w:rPr>
        <w:t>,</w:t>
      </w:r>
      <w:r>
        <w:rPr>
          <w:rFonts w:cs="Arial"/>
        </w:rPr>
        <w:t xml:space="preserve"> </w:t>
      </w:r>
      <w:r w:rsidR="00A10F5D">
        <w:rPr>
          <w:rFonts w:cs="Arial"/>
        </w:rPr>
        <w:t xml:space="preserve">ANZFA </w:t>
      </w:r>
      <w:r>
        <w:rPr>
          <w:rFonts w:cs="Arial"/>
        </w:rPr>
        <w:t>reported findings of a study undertaken in 1998 on the inclusion of %DI labelling in the NIP (Scott et al. 1999).</w:t>
      </w:r>
      <w:r w:rsidR="0043457A">
        <w:rPr>
          <w:rFonts w:cs="Arial"/>
        </w:rPr>
        <w:t xml:space="preserve"> </w:t>
      </w:r>
      <w:r w:rsidR="00074C2A">
        <w:rPr>
          <w:rFonts w:cs="Arial"/>
        </w:rPr>
        <w:br w:type="page"/>
      </w:r>
    </w:p>
    <w:p w:rsidR="00542457" w:rsidRDefault="0043457A" w:rsidP="00BA743D">
      <w:pPr>
        <w:spacing w:after="200"/>
        <w:ind w:right="-440"/>
        <w:rPr>
          <w:rFonts w:cs="Arial"/>
        </w:rPr>
      </w:pPr>
      <w:r>
        <w:rPr>
          <w:rFonts w:cs="Arial"/>
        </w:rPr>
        <w:lastRenderedPageBreak/>
        <w:t>The main objective of this study was to evaluate consumer reactions to the inclusion of %DI information</w:t>
      </w:r>
      <w:r w:rsidR="00550DC1">
        <w:rPr>
          <w:rFonts w:cs="Arial"/>
        </w:rPr>
        <w:t xml:space="preserve"> (on a per serving basis)</w:t>
      </w:r>
      <w:r>
        <w:rPr>
          <w:rFonts w:cs="Arial"/>
        </w:rPr>
        <w:t xml:space="preserve"> in three different NIPs</w:t>
      </w:r>
      <w:r w:rsidR="00542457">
        <w:rPr>
          <w:rFonts w:cs="Arial"/>
        </w:rPr>
        <w:t>, however</w:t>
      </w:r>
      <w:r w:rsidR="00074C2A">
        <w:rPr>
          <w:rFonts w:cs="Arial"/>
        </w:rPr>
        <w:t>,</w:t>
      </w:r>
      <w:r w:rsidR="00542457">
        <w:rPr>
          <w:rFonts w:cs="Arial"/>
        </w:rPr>
        <w:t xml:space="preserve"> focus group participants</w:t>
      </w:r>
      <w:r w:rsidR="00C12202">
        <w:rPr>
          <w:rFonts w:cs="Arial"/>
        </w:rPr>
        <w:t xml:space="preserve"> (n=27)</w:t>
      </w:r>
      <w:r w:rsidR="00542457">
        <w:rPr>
          <w:rFonts w:cs="Arial"/>
        </w:rPr>
        <w:t xml:space="preserve"> made the following comments on the use of </w:t>
      </w:r>
      <w:r w:rsidR="004F32F3">
        <w:rPr>
          <w:rFonts w:cs="Arial"/>
        </w:rPr>
        <w:t xml:space="preserve">serving size and </w:t>
      </w:r>
      <w:r w:rsidR="00542457">
        <w:rPr>
          <w:rFonts w:cs="Arial"/>
        </w:rPr>
        <w:t>per serving information:</w:t>
      </w:r>
    </w:p>
    <w:p w:rsidR="00E54AB6" w:rsidRDefault="00542457" w:rsidP="000D0F35">
      <w:pPr>
        <w:pStyle w:val="FSBullet1"/>
      </w:pPr>
      <w:r>
        <w:t>serving sizes vary from one person to another</w:t>
      </w:r>
    </w:p>
    <w:p w:rsidR="00542457" w:rsidRDefault="00542457" w:rsidP="000D0F35">
      <w:pPr>
        <w:pStyle w:val="FSBullet1"/>
      </w:pPr>
      <w:r>
        <w:t>serving sizes are difficult to visualise even if they are defined</w:t>
      </w:r>
    </w:p>
    <w:p w:rsidR="00542457" w:rsidRDefault="00542457" w:rsidP="000D0F35">
      <w:pPr>
        <w:pStyle w:val="FSBullet1"/>
      </w:pPr>
      <w:r>
        <w:t>serving sizes on packages can be smaller than actual portions eaten</w:t>
      </w:r>
    </w:p>
    <w:p w:rsidR="00542457" w:rsidRDefault="00542457" w:rsidP="000D0F35">
      <w:pPr>
        <w:pStyle w:val="FSBullet1"/>
      </w:pPr>
      <w:r>
        <w:t>serving sizes are merely a guide</w:t>
      </w:r>
    </w:p>
    <w:p w:rsidR="00542457" w:rsidRDefault="00542457" w:rsidP="000D0F35">
      <w:pPr>
        <w:pStyle w:val="FSBullet1"/>
      </w:pPr>
      <w:r>
        <w:t>unsure how serving sizes relate to daily nutrition</w:t>
      </w:r>
    </w:p>
    <w:p w:rsidR="00542457" w:rsidRDefault="00542457" w:rsidP="000D0F35">
      <w:pPr>
        <w:pStyle w:val="FSBullet1"/>
      </w:pPr>
      <w:r>
        <w:t>per serving column is for people who need to accurately know their intakes because of specific health problems, but unsure if column is used in this manner</w:t>
      </w:r>
    </w:p>
    <w:p w:rsidR="004F32F3" w:rsidRPr="004F32F3" w:rsidRDefault="004F32F3" w:rsidP="000D0F35">
      <w:pPr>
        <w:pStyle w:val="FSBullet1"/>
      </w:pPr>
      <w:proofErr w:type="gramStart"/>
      <w:r>
        <w:t>per</w:t>
      </w:r>
      <w:proofErr w:type="gramEnd"/>
      <w:r>
        <w:t xml:space="preserve"> serving information not for comparing products; per 100 g is best used for comparing products.</w:t>
      </w:r>
    </w:p>
    <w:p w:rsidR="00542457" w:rsidRPr="00542457" w:rsidRDefault="00542457" w:rsidP="00542457"/>
    <w:p w:rsidR="00E54AB6" w:rsidRDefault="00A10F5D" w:rsidP="00BA743D">
      <w:pPr>
        <w:spacing w:after="200"/>
        <w:ind w:right="-440"/>
        <w:rPr>
          <w:rFonts w:cs="Arial"/>
        </w:rPr>
      </w:pPr>
      <w:r>
        <w:rPr>
          <w:rFonts w:cs="Arial"/>
        </w:rPr>
        <w:t>ANZFA</w:t>
      </w:r>
      <w:r w:rsidR="004F32F3">
        <w:rPr>
          <w:rFonts w:cs="Arial"/>
        </w:rPr>
        <w:t xml:space="preserve"> also noted that half the focus group participants said they used per 100 g information to compare products with different serving sizes while the other half said they used per serving information, noting that it was harder to do.</w:t>
      </w:r>
    </w:p>
    <w:p w:rsidR="008E1403" w:rsidRDefault="008E1403" w:rsidP="00BA743D">
      <w:pPr>
        <w:spacing w:after="200"/>
        <w:ind w:right="-440"/>
        <w:rPr>
          <w:rFonts w:cs="Arial"/>
        </w:rPr>
      </w:pPr>
      <w:r>
        <w:rPr>
          <w:rFonts w:cs="Arial"/>
        </w:rPr>
        <w:t>The three NIP formats evaluated in the study were as follows:</w:t>
      </w:r>
    </w:p>
    <w:p w:rsidR="008E1403" w:rsidRDefault="008E1403" w:rsidP="00C12202">
      <w:pPr>
        <w:pStyle w:val="FSBullet"/>
        <w:numPr>
          <w:ilvl w:val="0"/>
          <w:numId w:val="14"/>
        </w:numPr>
        <w:ind w:left="567" w:hanging="567"/>
      </w:pPr>
      <w:r>
        <w:t xml:space="preserve">NIP information expressed using per serving and per 100 g/100 </w:t>
      </w:r>
      <w:r w:rsidR="0054593A">
        <w:t>mL</w:t>
      </w:r>
    </w:p>
    <w:p w:rsidR="008E1403" w:rsidRDefault="008E1403" w:rsidP="00C12202">
      <w:pPr>
        <w:pStyle w:val="FSBullet"/>
        <w:numPr>
          <w:ilvl w:val="0"/>
          <w:numId w:val="14"/>
        </w:numPr>
        <w:ind w:left="567" w:hanging="567"/>
      </w:pPr>
      <w:r>
        <w:t xml:space="preserve">NIP information expressed using per serving, per 100 g/100 </w:t>
      </w:r>
      <w:r w:rsidR="0054593A">
        <w:t>mL</w:t>
      </w:r>
      <w:r>
        <w:t xml:space="preserve"> and %DI</w:t>
      </w:r>
    </w:p>
    <w:p w:rsidR="00C12202" w:rsidRDefault="00C12202" w:rsidP="00C12202">
      <w:pPr>
        <w:pStyle w:val="FSBullet"/>
        <w:numPr>
          <w:ilvl w:val="0"/>
          <w:numId w:val="14"/>
        </w:numPr>
        <w:ind w:left="567" w:hanging="567"/>
      </w:pPr>
      <w:r>
        <w:t>NIP information expressed using per serving and %DI</w:t>
      </w:r>
    </w:p>
    <w:p w:rsidR="00C12202" w:rsidRDefault="00C12202" w:rsidP="00C12202">
      <w:pPr>
        <w:pStyle w:val="FSBullet"/>
        <w:numPr>
          <w:ilvl w:val="0"/>
          <w:numId w:val="0"/>
        </w:numPr>
      </w:pPr>
    </w:p>
    <w:p w:rsidR="00C15FB0" w:rsidRDefault="00DB4C43" w:rsidP="00CF4E27">
      <w:pPr>
        <w:pStyle w:val="FSBullet"/>
        <w:numPr>
          <w:ilvl w:val="0"/>
          <w:numId w:val="0"/>
        </w:numPr>
        <w:rPr>
          <w:szCs w:val="22"/>
        </w:rPr>
      </w:pPr>
      <w:r>
        <w:t>Study</w:t>
      </w:r>
      <w:r w:rsidR="00C12202">
        <w:t xml:space="preserve"> participants disliked NIP format 3 the most because it did not have the per 100 g/100 </w:t>
      </w:r>
      <w:r w:rsidR="0054593A">
        <w:t>mL</w:t>
      </w:r>
      <w:r w:rsidR="00C12202">
        <w:t xml:space="preserve"> column which was considered to </w:t>
      </w:r>
      <w:r w:rsidR="00BB4F63">
        <w:t xml:space="preserve">be </w:t>
      </w:r>
      <w:r w:rsidR="00C12202">
        <w:t xml:space="preserve">the only useful expression for comparing products. </w:t>
      </w:r>
      <w:r>
        <w:t>Participants</w:t>
      </w:r>
      <w:r w:rsidR="00C12202">
        <w:t xml:space="preserve"> also thought that per serving information was redundant because ‘it stretches the mental powers’ too much. In response to this finding, </w:t>
      </w:r>
      <w:r w:rsidR="00A10F5D">
        <w:t xml:space="preserve">ANZFA </w:t>
      </w:r>
      <w:r w:rsidR="00A37713">
        <w:t>invited comment on the possible inclusion of %DI information in the NIP instead of per serving information in the Full Assessment Report.</w:t>
      </w:r>
      <w:r w:rsidR="00C12202">
        <w:t xml:space="preserve"> </w:t>
      </w:r>
      <w:r w:rsidR="00CC190E">
        <w:t xml:space="preserve">In response to submissions, </w:t>
      </w:r>
      <w:r w:rsidR="00A10F5D">
        <w:t xml:space="preserve">ANZFA </w:t>
      </w:r>
      <w:r w:rsidR="00CC190E">
        <w:t xml:space="preserve">concluded there was little support for replacing per serving with %DI information. There was strong resistance to making %DI mandatory primarily because it is not possible to have </w:t>
      </w:r>
      <w:r w:rsidR="00CC190E" w:rsidRPr="00CC190E">
        <w:t xml:space="preserve">generic </w:t>
      </w:r>
      <w:r w:rsidR="00CC190E">
        <w:t>%DI values</w:t>
      </w:r>
      <w:r w:rsidR="00CC190E" w:rsidRPr="00CC190E">
        <w:t xml:space="preserve"> for all a</w:t>
      </w:r>
      <w:r w:rsidR="00CC190E">
        <w:t xml:space="preserve">dults and children over 4 years and that the concept itself could be confusing. There was no specific discussion on the merits of having %DI information alongside per serving information given the former </w:t>
      </w:r>
      <w:r w:rsidR="00CC190E" w:rsidRPr="00190EE5">
        <w:rPr>
          <w:szCs w:val="22"/>
        </w:rPr>
        <w:t xml:space="preserve">expresses the percentage of the daily intake for </w:t>
      </w:r>
      <w:r w:rsidR="00CC190E">
        <w:rPr>
          <w:szCs w:val="22"/>
        </w:rPr>
        <w:t>particular nutrients and energy</w:t>
      </w:r>
      <w:r w:rsidR="00CC190E" w:rsidRPr="00190EE5">
        <w:rPr>
          <w:szCs w:val="22"/>
        </w:rPr>
        <w:t xml:space="preserve"> that will be obtained from consuming one serving of the food.</w:t>
      </w:r>
      <w:r w:rsidR="00CC190E">
        <w:rPr>
          <w:szCs w:val="22"/>
        </w:rPr>
        <w:t xml:space="preserve"> </w:t>
      </w:r>
      <w:proofErr w:type="gramStart"/>
      <w:r w:rsidR="00CC190E">
        <w:rPr>
          <w:szCs w:val="22"/>
        </w:rPr>
        <w:t>Labelling Review Recommendation 17 states that per serving information should be retained in the NIP</w:t>
      </w:r>
      <w:r w:rsidR="00597751">
        <w:rPr>
          <w:szCs w:val="22"/>
        </w:rPr>
        <w:t xml:space="preserve"> when</w:t>
      </w:r>
      <w:r w:rsidR="00CC190E">
        <w:rPr>
          <w:szCs w:val="22"/>
        </w:rPr>
        <w:t xml:space="preserve"> %DI information is voluntarily included.</w:t>
      </w:r>
      <w:proofErr w:type="gramEnd"/>
    </w:p>
    <w:p w:rsidR="004C06F0" w:rsidRDefault="004C06F0" w:rsidP="004C06F0"/>
    <w:p w:rsidR="004C06F0" w:rsidRPr="004C06F0" w:rsidRDefault="004C06F0" w:rsidP="004C06F0">
      <w:r>
        <w:t>FSANZ has not formally considered per serving information in the NIP since P167 was completed in 1999. FSANZ has</w:t>
      </w:r>
      <w:r w:rsidR="00A10F5D">
        <w:t>,</w:t>
      </w:r>
      <w:r>
        <w:t xml:space="preserve"> however</w:t>
      </w:r>
      <w:r w:rsidR="00D11485">
        <w:t>,</w:t>
      </w:r>
      <w:r>
        <w:t xml:space="preserve"> commissioned research studies on various aspects of the NIP. Findings relevant to this current project are presented in the following section.</w:t>
      </w:r>
    </w:p>
    <w:p w:rsidR="00667FA4" w:rsidRPr="00667FA4" w:rsidRDefault="006966B2" w:rsidP="00946D59">
      <w:pPr>
        <w:pStyle w:val="Heading1"/>
      </w:pPr>
      <w:bookmarkStart w:id="54" w:name="_Toc405365742"/>
      <w:r>
        <w:t>7</w:t>
      </w:r>
      <w:r w:rsidR="00CF4E27">
        <w:tab/>
      </w:r>
      <w:r w:rsidR="004C06F0">
        <w:t>Consumer use and understanding of per serving information</w:t>
      </w:r>
      <w:bookmarkEnd w:id="54"/>
    </w:p>
    <w:p w:rsidR="00667FA4" w:rsidRDefault="006966B2" w:rsidP="004C06F0">
      <w:pPr>
        <w:pStyle w:val="Heading2"/>
      </w:pPr>
      <w:bookmarkStart w:id="55" w:name="_Toc405365743"/>
      <w:r>
        <w:t>7</w:t>
      </w:r>
      <w:r w:rsidR="004C06F0">
        <w:t>.1</w:t>
      </w:r>
      <w:r w:rsidR="004C06F0">
        <w:tab/>
      </w:r>
      <w:r w:rsidR="00667FA4">
        <w:t>Introduction</w:t>
      </w:r>
      <w:bookmarkEnd w:id="55"/>
    </w:p>
    <w:p w:rsidR="00946D59" w:rsidRDefault="00946D59" w:rsidP="00946D59">
      <w:pPr>
        <w:rPr>
          <w:lang w:bidi="ar-SA"/>
        </w:rPr>
      </w:pPr>
      <w:r>
        <w:rPr>
          <w:lang w:bidi="ar-SA"/>
        </w:rPr>
        <w:t xml:space="preserve">As noted earlier, it is anticipated that FSANZ will prepare a literature review on consumer use and understanding of per serving information. Evidence supplied by submitters </w:t>
      </w:r>
      <w:r w:rsidR="00F1658D">
        <w:rPr>
          <w:lang w:bidi="ar-SA"/>
        </w:rPr>
        <w:t>will</w:t>
      </w:r>
      <w:r>
        <w:rPr>
          <w:lang w:bidi="ar-SA"/>
        </w:rPr>
        <w:t xml:space="preserve"> be considered in such a literature review. </w:t>
      </w:r>
    </w:p>
    <w:p w:rsidR="00946D59" w:rsidRDefault="00946D59" w:rsidP="00946D59">
      <w:pPr>
        <w:rPr>
          <w:lang w:bidi="ar-SA"/>
        </w:rPr>
      </w:pPr>
    </w:p>
    <w:p w:rsidR="00074C2A" w:rsidRDefault="00074C2A" w:rsidP="00946D59">
      <w:pPr>
        <w:rPr>
          <w:lang w:bidi="ar-SA"/>
        </w:rPr>
      </w:pPr>
      <w:r>
        <w:rPr>
          <w:lang w:bidi="ar-SA"/>
        </w:rPr>
        <w:br w:type="page"/>
      </w:r>
    </w:p>
    <w:p w:rsidR="00946D59" w:rsidRPr="00946D59" w:rsidRDefault="00946D59" w:rsidP="00946D59">
      <w:pPr>
        <w:rPr>
          <w:lang w:bidi="ar-SA"/>
        </w:rPr>
      </w:pPr>
      <w:r>
        <w:rPr>
          <w:lang w:bidi="ar-SA"/>
        </w:rPr>
        <w:lastRenderedPageBreak/>
        <w:t xml:space="preserve">This section provides </w:t>
      </w:r>
      <w:r w:rsidR="004B3AC0">
        <w:rPr>
          <w:lang w:bidi="ar-SA"/>
        </w:rPr>
        <w:t xml:space="preserve">a brief discussion of </w:t>
      </w:r>
      <w:r>
        <w:rPr>
          <w:lang w:bidi="ar-SA"/>
        </w:rPr>
        <w:t>consumer</w:t>
      </w:r>
      <w:r w:rsidR="004B3AC0">
        <w:rPr>
          <w:lang w:bidi="ar-SA"/>
        </w:rPr>
        <w:t>s’</w:t>
      </w:r>
      <w:r>
        <w:rPr>
          <w:lang w:bidi="ar-SA"/>
        </w:rPr>
        <w:t xml:space="preserve"> use and understanding of the NIP in general</w:t>
      </w:r>
      <w:r w:rsidR="004B3AC0">
        <w:rPr>
          <w:lang w:bidi="ar-SA"/>
        </w:rPr>
        <w:t>,</w:t>
      </w:r>
      <w:r>
        <w:rPr>
          <w:lang w:bidi="ar-SA"/>
        </w:rPr>
        <w:t xml:space="preserve"> and </w:t>
      </w:r>
      <w:r w:rsidR="004B3AC0">
        <w:rPr>
          <w:lang w:bidi="ar-SA"/>
        </w:rPr>
        <w:t xml:space="preserve">of </w:t>
      </w:r>
      <w:r>
        <w:rPr>
          <w:lang w:bidi="ar-SA"/>
        </w:rPr>
        <w:t xml:space="preserve">per serving information. </w:t>
      </w:r>
      <w:r w:rsidR="004B3AC0">
        <w:rPr>
          <w:lang w:bidi="ar-SA"/>
        </w:rPr>
        <w:t>It provides</w:t>
      </w:r>
      <w:r>
        <w:rPr>
          <w:lang w:bidi="ar-SA"/>
        </w:rPr>
        <w:t xml:space="preserve"> context for submitters to consider the value of per serving information in the NIP, but is not a comprehensive review of relevant literature.</w:t>
      </w:r>
    </w:p>
    <w:p w:rsidR="004C06F0" w:rsidRDefault="006966B2" w:rsidP="004C06F0">
      <w:pPr>
        <w:pStyle w:val="Heading2"/>
      </w:pPr>
      <w:bookmarkStart w:id="56" w:name="_Toc405365744"/>
      <w:r>
        <w:t>7</w:t>
      </w:r>
      <w:r w:rsidR="00BA697B">
        <w:t>.2</w:t>
      </w:r>
      <w:r w:rsidR="004C06F0">
        <w:tab/>
        <w:t>Consumer use and understanding of the NIP</w:t>
      </w:r>
      <w:bookmarkEnd w:id="56"/>
    </w:p>
    <w:p w:rsidR="004C06F0" w:rsidRDefault="004C06F0" w:rsidP="004C06F0">
      <w:r>
        <w:t xml:space="preserve">Two studies of Australians and New Zealanders, conducted before the </w:t>
      </w:r>
      <w:r w:rsidR="006B599F">
        <w:t>mandatory requirements for the NIP were</w:t>
      </w:r>
      <w:r>
        <w:t xml:space="preserve"> </w:t>
      </w:r>
      <w:r w:rsidR="006B599F">
        <w:t>fully implemented,</w:t>
      </w:r>
      <w:r>
        <w:t xml:space="preserve"> found that people used the NIP </w:t>
      </w:r>
      <w:r w:rsidRPr="007573E3">
        <w:t>periodically when buying a product for the first time</w:t>
      </w:r>
      <w:r>
        <w:t xml:space="preserve"> </w:t>
      </w:r>
      <w:r>
        <w:fldChar w:fldCharType="begin" w:fldLock="1"/>
      </w:r>
      <w:r>
        <w:instrText>ADDIN CSL_CITATION { "citationItems" : [ { "id" : "ITEM-1", "itemData" : { "author" : [ { "dropping-particle" : "", "family" : "NFO Donovan Research", "given" : "", "non-dropping-particle" : "", "parse-names" : false, "suffix" : "" } ], "id" : "ITEM-1", "issue" : "December", "issued" : { "date-parts" : [ [ "2001" ] ] }, "publisher-place" : "Canberra", "title" : "Food Labelling Issues - Consumer Qualitative Research", "type" : "report" }, "uris" : [ "http://www.mendeley.com/documents/?uuid=08e76664-c605-4fdd-96bd-6f3db019ae89" ] }, { "id" : "ITEM-2", "itemData" : { "author" : [ { "dropping-particle" : "", "family" : "Scott", "given" : "Vicky", "non-dropping-particle" : "", "parse-names" : false, "suffix" : "" }, { "dropping-particle" : "", "family" : "Allen", "given" : "Jane", "non-dropping-particle" : "", "parse-names" : false, "suffix" : "" }, { "dropping-particle" : "", "family" : "Cumming", "given" : "Fiona", "non-dropping-particle" : "", "parse-names" : false, "suffix" : "" } ], "id" : "ITEM-2", "issue" : "March", "issued" : { "date-parts" : [ [ "1999" ] ] }, "publisher-place" : "Canberra", "title" : "Consumer Reactions to Three Different Nutrition Information Panel Formats", "type" : "report" }, "uris" : [ "http://www.mendeley.com/documents/?uuid=9ec471ea-e2f2-41f5-965f-2c9b565b10d6" ] } ], "mendeley" : { "previouslyFormattedCitation" : "(NFO Donovan Research 2001; Scott et al. 1999)" }, "properties" : { "noteIndex" : 0 }, "schema" : "https://github.com/citation-style-language/schema/raw/master/csl-citation.json" }</w:instrText>
      </w:r>
      <w:r>
        <w:fldChar w:fldCharType="separate"/>
      </w:r>
      <w:r w:rsidRPr="002B3785">
        <w:rPr>
          <w:noProof/>
        </w:rPr>
        <w:t>(NFO Donovan Research 2001; Scott et al. 1999)</w:t>
      </w:r>
      <w:r>
        <w:fldChar w:fldCharType="end"/>
      </w:r>
      <w:r>
        <w:t xml:space="preserve">. Most participants strongly supported the NIP being present on food products </w:t>
      </w:r>
      <w:r>
        <w:fldChar w:fldCharType="begin" w:fldLock="1"/>
      </w:r>
      <w:r>
        <w:instrText>ADDIN CSL_CITATION { "citationItems" : [ { "id" : "ITEM-1", "itemData" : { "author" : [ { "dropping-particle" : "", "family" : "NFO Donovan Research", "given" : "", "non-dropping-particle" : "", "parse-names" : false, "suffix" : "" } ], "id" : "ITEM-1", "issue" : "December", "issued" : { "date-parts" : [ [ "2001" ] ] }, "publisher-place" : "Canberra", "title" : "Food Labelling Issues - Consumer Qualitative Research", "type" : "report" }, "uris" : [ "http://www.mendeley.com/documents/?uuid=08e76664-c605-4fdd-96bd-6f3db019ae89" ] } ], "mendeley" : { "previouslyFormattedCitation" : "(NFO Donovan Research 2001)" }, "properties" : { "noteIndex" : 0 }, "schema" : "https://github.com/citation-style-language/schema/raw/master/csl-citation.json" }</w:instrText>
      </w:r>
      <w:r>
        <w:fldChar w:fldCharType="separate"/>
      </w:r>
      <w:r w:rsidRPr="002B3785">
        <w:rPr>
          <w:noProof/>
        </w:rPr>
        <w:t>(NFO Donovan Research 2001)</w:t>
      </w:r>
      <w:r>
        <w:fldChar w:fldCharType="end"/>
      </w:r>
      <w:r>
        <w:t xml:space="preserve">, and use was higher when the shopper was not time-constrained </w:t>
      </w:r>
      <w:r>
        <w:fldChar w:fldCharType="begin" w:fldLock="1"/>
      </w:r>
      <w:r>
        <w:instrText>ADDIN CSL_CITATION { "citationItems" : [ { "id" : "ITEM-1", "itemData" : { "author" : [ { "dropping-particle" : "", "family" : "Scott", "given" : "Vicky", "non-dropping-particle" : "", "parse-names" : false, "suffix" : "" }, { "dropping-particle" : "", "family" : "Allen", "given" : "Jane", "non-dropping-particle" : "", "parse-names" : false, "suffix" : "" }, { "dropping-particle" : "", "family" : "Cumming", "given" : "Fiona", "non-dropping-particle" : "", "parse-names" : false, "suffix" : "" } ], "id" : "ITEM-1", "issue" : "March", "issued" : { "date-parts" : [ [ "1999" ] ] }, "publisher-place" : "Canberra", "title" : "Consumer Reactions to Three Different Nutrition Information Panel Formats", "type" : "report" }, "uris" : [ "http://www.mendeley.com/documents/?uuid=9ec471ea-e2f2-41f5-965f-2c9b565b10d6" ] } ], "mendeley" : { "previouslyFormattedCitation" : "(Scott et al. 1999)" }, "properties" : { "noteIndex" : 0 }, "schema" : "https://github.com/citation-style-language/schema/raw/master/csl-citation.json" }</w:instrText>
      </w:r>
      <w:r>
        <w:fldChar w:fldCharType="separate"/>
      </w:r>
      <w:r w:rsidRPr="002B3785">
        <w:rPr>
          <w:noProof/>
        </w:rPr>
        <w:t>(Scott et al. 1999)</w:t>
      </w:r>
      <w:r>
        <w:fldChar w:fldCharType="end"/>
      </w:r>
      <w:r>
        <w:t xml:space="preserve">. People who reported having nutrient restrictions for health and/or religious reasons viewed the NIP as very important </w:t>
      </w:r>
      <w:r>
        <w:fldChar w:fldCharType="begin" w:fldLock="1"/>
      </w:r>
      <w:r>
        <w:instrText>ADDIN CSL_CITATION { "citationItems" : [ { "id" : "ITEM-1", "itemData" : { "author" : [ { "dropping-particle" : "", "family" : "NFO Donovan Research", "given" : "", "non-dropping-particle" : "", "parse-names" : false, "suffix" : "" } ], "id" : "ITEM-1", "issue" : "December", "issued" : { "date-parts" : [ [ "2001" ] ] }, "publisher-place" : "Canberra", "title" : "Food Labelling Issues - Consumer Qualitative Research", "type" : "report" }, "uris" : [ "http://www.mendeley.com/documents/?uuid=08e76664-c605-4fdd-96bd-6f3db019ae89" ] } ], "mendeley" : { "previouslyFormattedCitation" : "(NFO Donovan Research 2001)" }, "properties" : { "noteIndex" : 0 }, "schema" : "https://github.com/citation-style-language/schema/raw/master/csl-citation.json" }</w:instrText>
      </w:r>
      <w:r>
        <w:fldChar w:fldCharType="separate"/>
      </w:r>
      <w:r w:rsidRPr="002B3785">
        <w:rPr>
          <w:noProof/>
        </w:rPr>
        <w:t>(NFO Donovan Research 2001)</w:t>
      </w:r>
      <w:r>
        <w:fldChar w:fldCharType="end"/>
      </w:r>
      <w:r>
        <w:t xml:space="preserve">. </w:t>
      </w:r>
    </w:p>
    <w:p w:rsidR="004C06F0" w:rsidRDefault="004C06F0" w:rsidP="004C06F0">
      <w:r>
        <w:t xml:space="preserve"> </w:t>
      </w:r>
    </w:p>
    <w:p w:rsidR="004C06F0" w:rsidRDefault="0048075D" w:rsidP="004C06F0">
      <w:r>
        <w:t xml:space="preserve">A survey conducted in 2002 found a </w:t>
      </w:r>
      <w:r w:rsidR="004C06F0">
        <w:t xml:space="preserve">high awareness </w:t>
      </w:r>
      <w:r w:rsidR="00B811C7">
        <w:t xml:space="preserve">of the NIP on food packaging </w:t>
      </w:r>
      <w:r w:rsidR="004C06F0">
        <w:t xml:space="preserve">by consumers in both Australia and New Zealand </w:t>
      </w:r>
      <w:r w:rsidR="004C06F0">
        <w:fldChar w:fldCharType="begin" w:fldLock="1"/>
      </w:r>
      <w:r w:rsidR="004C06F0">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NO . 4", "type" : "report" }, "uris" : [ "http://www.mendeley.com/documents/?uuid=cad2961b-e75c-48a5-8a78-bb8c4dbc0c4f" ] } ], "mendeley" : { "previouslyFormattedCitation" : "(NFO Donovan Research 2003)" }, "properties" : { "noteIndex" : 0 }, "schema" : "https://github.com/citation-style-language/schema/raw/master/csl-citation.json" }</w:instrText>
      </w:r>
      <w:r w:rsidR="004C06F0">
        <w:fldChar w:fldCharType="separate"/>
      </w:r>
      <w:r w:rsidR="004C06F0" w:rsidRPr="00BC6610">
        <w:rPr>
          <w:noProof/>
        </w:rPr>
        <w:t>(NFO Donovan Research 2003)</w:t>
      </w:r>
      <w:r w:rsidR="004C06F0">
        <w:fldChar w:fldCharType="end"/>
      </w:r>
      <w:r w:rsidR="004C06F0">
        <w:t xml:space="preserve">. When asked </w:t>
      </w:r>
      <w:r w:rsidR="004C06F0" w:rsidRPr="00F10735">
        <w:rPr>
          <w:i/>
        </w:rPr>
        <w:t>what kinds of information can be found on packaged food and drink products?</w:t>
      </w:r>
      <w:r w:rsidR="004C06F0" w:rsidRPr="00F10735">
        <w:rPr>
          <w:rStyle w:val="FootnoteReference"/>
          <w:i/>
        </w:rPr>
        <w:footnoteReference w:id="9"/>
      </w:r>
      <w:r w:rsidR="004C06F0">
        <w:t xml:space="preserve"> 40% of consumers mentioned the NIP. When later shown a picture of a NIP, the level of recognition increased to 86%. Sixty-six per cent reported that they used the NIP, at least occasionally. Of respondents who reported using at least three label elements (including voluntary elements such as nutrition content claims), 52% identified the NIP as one of their top three elements used. Of the twelve food categories used in the research, the NIP was most commonly used for breakfast cereals (65%), dairy products (56%), and oils, butter, margarine, dairy spreads and other fats (56%).</w:t>
      </w:r>
      <w:r w:rsidR="004C06F0">
        <w:rPr>
          <w:rStyle w:val="FootnoteReference"/>
        </w:rPr>
        <w:footnoteReference w:id="10"/>
      </w:r>
    </w:p>
    <w:p w:rsidR="004C06F0" w:rsidRDefault="004C06F0" w:rsidP="004C06F0"/>
    <w:p w:rsidR="004C06F0" w:rsidRDefault="004C06F0" w:rsidP="004C06F0">
      <w:r>
        <w:t>The FSANZ Consumer Attitudes Survey 2007 found that at least</w:t>
      </w:r>
      <w:r>
        <w:rPr>
          <w:rStyle w:val="FootnoteReference"/>
        </w:rPr>
        <w:footnoteReference w:id="11"/>
      </w:r>
      <w:r>
        <w:t xml:space="preserve"> 62% of Australians and 56% of New Zealanders reported using the NIP when purchasing a product for the first time </w:t>
      </w:r>
      <w:r>
        <w:fldChar w:fldCharType="begin" w:fldLock="1"/>
      </w:r>
      <w:r>
        <w:instrText>ADDIN CSL_CITATION { "citationItems" : [ { "id" : "ITEM-1", "itemData" : { "ISBN" : "9780642345561", "author" : [ { "dropping-particle" : "", "family" : "TNS Social Research", "given" : "", "non-dropping-particle" : "", "parse-names" : false, "suffix" : "" } ], "id" : "ITEM-1", "issue" : "January", "issued" : { "date-parts" : [ [ "2008" ] ] }, "publisher-place" : "Canberra", "title" : "Consumer Attitudes Survey 2007", "type" : "report" }, "uris" : [ "http://www.mendeley.com/documents/?uuid=e7aab446-8ad7-4939-a835-f2e6288919db" ] } ], "mendeley" : { "previouslyFormattedCitation" : "(TNS Social Research 2008)" }, "properties" : { "noteIndex" : 0 }, "schema" : "https://github.com/citation-style-language/schema/raw/master/csl-citation.json" }</w:instrText>
      </w:r>
      <w:r>
        <w:fldChar w:fldCharType="separate"/>
      </w:r>
      <w:r w:rsidRPr="003F6A97">
        <w:rPr>
          <w:noProof/>
        </w:rPr>
        <w:t>(TNS Social Research 2008)</w:t>
      </w:r>
      <w:r>
        <w:fldChar w:fldCharType="end"/>
      </w:r>
      <w:r>
        <w:t xml:space="preserve">. An Australian study of grocery shoppers found that only 42% of grocery shoppers could use the NIP to correctly rank three breads in ascending order for salt content, although 62% were able to use the NIP to accurately identify which of two breakfast cereals had the highest salt content </w:t>
      </w:r>
      <w:r>
        <w:fldChar w:fldCharType="begin" w:fldLock="1"/>
      </w:r>
      <w:r>
        <w:instrText>ADDIN CSL_CITATION { "citationItems" : [ { "id" : "ITEM-1", "itemData" : { "DOI" : "10.1016/j.appet.2009.06.007", "ISSN" : "1095-8304", "PMID" : "19540891", "abstract" : "The objective of this study was to investigate consumers' knowledge of health risks of high salt intake and frequency of use and understanding of labelled salt information. We conducted a cross-sectional survey in shopping centres within Metropolitan Melbourne. A sample of 493 subjects was recruited. The questionnaire assessed salt related shopping behaviours, attitudes to salt intake and health and their ability to interpret labelled sodium information. Four hundred and seventy four valid surveys were collected (65% female, 64% being the main shopper). Most participants knew of the relationship between salt intake and high blood pressure (88%). Sixty five percent of participants were unable to correctly identify the relationship between salt and sodium. Sixty nine percent reported reading the salt content of food products when shopping. Salt label usage was significantly related to shoppers concern about the amount of salt in their diet and the belief that their health could improve by lowering salt intake. Approximately half of the sample was unable to accurately use labelled sodium information to pick low salt options. Raising consumer awareness of the health risks associated with high salt consumption may increase salt label usage and purchases of low salt foods. However, for food labels to be effective in helping consumers select low salt foods a more 'user friendly' labelling format is needed.", "author" : [ { "dropping-particle" : "", "family" : "Grimes", "given" : "Carley a", "non-dropping-particle" : "", "parse-names" : false, "suffix" : "" }, { "dropping-particle" : "", "family" : "Riddell", "given" : "Lynn J", "non-dropping-particle" : "", "parse-names" : false, "suffix" : "" }, { "dropping-particle" : "", "family" : "Nowson", "given" : "Caryl a", "non-dropping-particle" : "", "parse-names" : false, "suffix" : "" } ], "container-title" : "Appetite", "id" : "ITEM-1", "issue" : "2", "issued" : { "date-parts" : [ [ "2009", "10" ] ] }, "page" : "189-94", "title" : "Consumer knowledge and attitudes to salt intake and labelled salt information.", "type" : "article-journal", "volume" : "53" }, "uris" : [ "http://www.mendeley.com/documents/?uuid=b0a085c3-d96c-4124-a78e-87d8ff95a37e" ] } ], "mendeley" : { "previouslyFormattedCitation" : "(Grimes et al. 2009)" }, "properties" : { "noteIndex" : 0 }, "schema" : "https://github.com/citation-style-language/schema/raw/master/csl-citation.json" }</w:instrText>
      </w:r>
      <w:r>
        <w:fldChar w:fldCharType="separate"/>
      </w:r>
      <w:r w:rsidRPr="004619D8">
        <w:rPr>
          <w:noProof/>
        </w:rPr>
        <w:t>(Grimes et al. 2009)</w:t>
      </w:r>
      <w:r>
        <w:fldChar w:fldCharType="end"/>
      </w:r>
      <w:r>
        <w:t>.</w:t>
      </w:r>
    </w:p>
    <w:p w:rsidR="00F10297" w:rsidRDefault="00F10297" w:rsidP="004C06F0"/>
    <w:p w:rsidR="004C06F0" w:rsidRDefault="004C06F0" w:rsidP="004C06F0">
      <w:r>
        <w:t xml:space="preserve">A New Zealand study found that around two-thirds of grocery shoppers appear to be able to correctly read both the NIP values for per serving and </w:t>
      </w:r>
      <w:r w:rsidRPr="002F7090">
        <w:t>per 100 g/100 ml</w:t>
      </w:r>
      <w:r w:rsidRPr="002F7090" w:rsidDel="002F7090">
        <w:t xml:space="preserve"> </w:t>
      </w:r>
      <w:r>
        <w:t xml:space="preserve">when asked to locate values for specific nutrients </w:t>
      </w:r>
      <w:r>
        <w:fldChar w:fldCharType="begin" w:fldLock="1"/>
      </w:r>
      <w:r>
        <w:instrText>ADDIN CSL_CITATION { "citationItems" : [ { "id" : "ITEM-1", "itemData" : { "DOI" : "10.1017/S1368980008004059", "ISSN" : "1475-2727", "PMID" : "19087382", "abstract" : "OBJECTIVE: Effective nutrition labels are part of a supportive environment that encourages healthier food choices. The present study examined the use, understanding and preferences regarding nutrition labels among ethnically diverse shoppers in New Zealand.\n\nDESIGN AND SETTING: A survey was carried out at twenty-five supermarkets in Auckland, New Zealand, between February and April 2007. Recruitment was stratified by ethnicity. Questions assessed nutrition label use, understanding of the mandatory Nutrition Information Panel (NIP), and preference for and understanding of four nutrition label formats: multiple traffic light (MTL), simple traffic light (STL), NIP and percentage of daily intake (%DI).\n\nSUBJECTS: In total 1525 shoppers completed the survey: 401 Maori, 347 Pacific, 372 Asian and 395 New Zealand European and Other ethnicities (ten did not state ethnicity).\n\nRESULTS: Reported use of nutrition labels (always, regularly, sometimes) ranged from 66% to 87% by ethnicity. There was little difference in ability to obtain information from the NIP according to ethnicity or income. However, there were marked ethnic differences in ability to use the NIP to determine if a food was healthy, with lesser differences by income. Of the four label formats tested, STL and MTL labels were best understood across all ethnic and income groups, and MTL labels were most frequently preferred.\n\nCONCLUSIONS: There are clear ethnic and income disparities in ability to use the current mandatory food labels in New Zealand (NIP) to determine if foods are healthy. Conversely, MTL and STL label formats demonstrated high levels of understanding and acceptance across ethnic and income groups.", "author" : [ { "dropping-particle" : "", "family" : "Gorton", "given" : "Delvina", "non-dropping-particle" : "", "parse-names" : false, "suffix" : "" }, { "dropping-particle" : "", "family" : "Ni Mhurchu", "given" : "Cliona", "non-dropping-particle" : "", "parse-names" : false, "suffix" : "" }, { "dropping-particle" : "", "family" : "Chen", "given" : "Mei-Hua", "non-dropping-particle" : "", "parse-names" : false, "suffix" : "" }, { "dropping-particle" : "", "family" : "Dixon", "given" : "Robyn", "non-dropping-particle" : "", "parse-names" : false, "suffix" : "" } ], "container-title" : "Public health nutrition", "id" : "ITEM-1", "issue" : "9", "issued" : { "date-parts" : [ [ "2009", "9" ] ] }, "page" : "1359-65", "title" : "Nutrition labels: a survey of use, understanding and preferences among ethnically diverse shoppers in New Zealand.", "type" : "article-journal", "volume" : "12" }, "uris" : [ "http://www.mendeley.com/documents/?uuid=1c4b2c05-b00a-4c62-afd0-30499549dfa5" ] } ], "mendeley" : { "previouslyFormattedCitation" : "(Gorton et al. 2009)" }, "properties" : { "noteIndex" : 0 }, "schema" : "https://github.com/citation-style-language/schema/raw/master/csl-citation.json" }</w:instrText>
      </w:r>
      <w:r>
        <w:fldChar w:fldCharType="separate"/>
      </w:r>
      <w:r w:rsidRPr="004619D8">
        <w:rPr>
          <w:noProof/>
        </w:rPr>
        <w:t>(Gorton et al. 2009)</w:t>
      </w:r>
      <w:r>
        <w:fldChar w:fldCharType="end"/>
      </w:r>
      <w:r>
        <w:t>. As part of this research, the shoppers were asked to use a NIP to decide whether a mock cracker product was healthy: only 36% of Māori shoppers a</w:t>
      </w:r>
      <w:r w:rsidR="00B811C7">
        <w:t>nd 64% of New Zealand European/o</w:t>
      </w:r>
      <w:r>
        <w:t>ther shoppers were able to correctly assess the product using the NIP.</w:t>
      </w:r>
    </w:p>
    <w:p w:rsidR="004C06F0" w:rsidRDefault="006966B2" w:rsidP="004C06F0">
      <w:pPr>
        <w:pStyle w:val="Heading2"/>
      </w:pPr>
      <w:bookmarkStart w:id="57" w:name="_Toc405365745"/>
      <w:r>
        <w:t>7</w:t>
      </w:r>
      <w:r w:rsidR="00BA697B">
        <w:t>.3</w:t>
      </w:r>
      <w:r w:rsidR="004C06F0">
        <w:tab/>
        <w:t>Consumer use and understanding of per serving information</w:t>
      </w:r>
      <w:bookmarkEnd w:id="57"/>
    </w:p>
    <w:p w:rsidR="00074C2A" w:rsidRDefault="00F10297" w:rsidP="00074C2A">
      <w:pPr>
        <w:ind w:right="-286"/>
      </w:pPr>
      <w:r>
        <w:t>There is some evidence that</w:t>
      </w:r>
      <w:r w:rsidR="004C06F0">
        <w:t xml:space="preserve"> per serving </w:t>
      </w:r>
      <w:r>
        <w:t>information in the NIP</w:t>
      </w:r>
      <w:r w:rsidR="004C06F0">
        <w:t xml:space="preserve"> may be confusing some consumers. </w:t>
      </w:r>
      <w:r w:rsidR="00B811C7">
        <w:t>In a qualitative study</w:t>
      </w:r>
      <w:r w:rsidR="004C06F0">
        <w:t xml:space="preserve"> conducted before the NIP was standardised, people were confused over the per serving</w:t>
      </w:r>
      <w:r w:rsidR="004C06F0" w:rsidRPr="007573E3">
        <w:t xml:space="preserve"> and </w:t>
      </w:r>
      <w:r>
        <w:t>per 100 g/100 mL</w:t>
      </w:r>
      <w:r w:rsidR="004C06F0" w:rsidRPr="002F7090" w:rsidDel="002F7090">
        <w:t xml:space="preserve"> </w:t>
      </w:r>
      <w:r w:rsidR="004C06F0" w:rsidRPr="007573E3">
        <w:t>columns</w:t>
      </w:r>
      <w:r w:rsidR="004C06F0">
        <w:t xml:space="preserve"> </w:t>
      </w:r>
      <w:r w:rsidR="004C06F0">
        <w:fldChar w:fldCharType="begin" w:fldLock="1"/>
      </w:r>
      <w:r w:rsidR="004C06F0">
        <w:instrText>ADDIN CSL_CITATION { "citationItems" : [ { "id" : "ITEM-1", "itemData" : { "author" : [ { "dropping-particle" : "", "family" : "NFO Donovan Research", "given" : "", "non-dropping-particle" : "", "parse-names" : false, "suffix" : "" } ], "id" : "ITEM-1", "issue" : "December", "issued" : { "date-parts" : [ [ "2001" ] ] }, "publisher-place" : "Canberra", "title" : "Food Labelling Issues - Consumer Qualitative Research", "type" : "report" }, "uris" : [ "http://www.mendeley.com/documents/?uuid=08e76664-c605-4fdd-96bd-6f3db019ae89" ] } ], "mendeley" : { "previouslyFormattedCitation" : "(NFO Donovan Research 2001)" }, "properties" : { "noteIndex" : 0 }, "schema" : "https://github.com/citation-style-language/schema/raw/master/csl-citation.json" }</w:instrText>
      </w:r>
      <w:r w:rsidR="004C06F0">
        <w:fldChar w:fldCharType="separate"/>
      </w:r>
      <w:r w:rsidR="004C06F0" w:rsidRPr="00532341">
        <w:rPr>
          <w:noProof/>
        </w:rPr>
        <w:t>(NFO Donovan Research 2001)</w:t>
      </w:r>
      <w:r w:rsidR="004C06F0">
        <w:fldChar w:fldCharType="end"/>
      </w:r>
      <w:r w:rsidR="00F10735">
        <w:t xml:space="preserve">. </w:t>
      </w:r>
      <w:r w:rsidR="00074C2A">
        <w:br w:type="page"/>
      </w:r>
    </w:p>
    <w:p w:rsidR="004C06F0" w:rsidRDefault="00F10735" w:rsidP="00074C2A">
      <w:pPr>
        <w:ind w:right="-286"/>
      </w:pPr>
      <w:r>
        <w:lastRenderedPageBreak/>
        <w:t xml:space="preserve">The research concluded </w:t>
      </w:r>
      <w:r w:rsidR="003542CB">
        <w:t xml:space="preserve">that </w:t>
      </w:r>
      <w:r w:rsidR="004C06F0" w:rsidRPr="00F10735">
        <w:rPr>
          <w:i/>
        </w:rPr>
        <w:t>although participants were divided in their preferences for information to be presented per 100</w:t>
      </w:r>
      <w:r w:rsidR="00F10297" w:rsidRPr="00F10735">
        <w:rPr>
          <w:i/>
        </w:rPr>
        <w:t xml:space="preserve"> g (%) or per serving</w:t>
      </w:r>
      <w:r w:rsidR="004C06F0" w:rsidRPr="00F10735">
        <w:rPr>
          <w:i/>
        </w:rPr>
        <w:t>, the overall preference tended to be for 100</w:t>
      </w:r>
      <w:r w:rsidR="00F10297" w:rsidRPr="00F10735">
        <w:rPr>
          <w:i/>
        </w:rPr>
        <w:t xml:space="preserve"> </w:t>
      </w:r>
      <w:r w:rsidR="004C06F0" w:rsidRPr="00F10735">
        <w:rPr>
          <w:i/>
        </w:rPr>
        <w:t>g as this was viewed as easier to work with. Nonetheless, having both was viewed as an acceptable format and of value in different circumstances</w:t>
      </w:r>
      <w:r w:rsidR="004C06F0">
        <w:t xml:space="preserve"> (p.34). In particular, </w:t>
      </w:r>
      <w:proofErr w:type="gramStart"/>
      <w:r w:rsidR="004C06F0">
        <w:t>the per</w:t>
      </w:r>
      <w:proofErr w:type="gramEnd"/>
      <w:r w:rsidR="004C06F0">
        <w:t xml:space="preserve"> serving </w:t>
      </w:r>
      <w:r w:rsidR="00B811C7">
        <w:t xml:space="preserve">column </w:t>
      </w:r>
      <w:r w:rsidR="004C06F0">
        <w:t>was viewed as providing information on the nutrient amounts that the person would actually consume.</w:t>
      </w:r>
    </w:p>
    <w:p w:rsidR="004C06F0" w:rsidRDefault="004C06F0" w:rsidP="004C06F0"/>
    <w:p w:rsidR="004C06F0" w:rsidRDefault="004C06F0" w:rsidP="004C06F0">
      <w:r>
        <w:t>When asked to make nutrition assessments of various foods us</w:t>
      </w:r>
      <w:r w:rsidR="00F10297">
        <w:t xml:space="preserve">ing experimental NIP formats, </w:t>
      </w:r>
      <w:r>
        <w:t xml:space="preserve">Australian and New Zealand research participants were more likely to use the per serving information than the </w:t>
      </w:r>
      <w:r w:rsidR="00F10297">
        <w:t>per 100 g/100 mL</w:t>
      </w:r>
      <w:r w:rsidRPr="002F7090" w:rsidDel="002F7090">
        <w:t xml:space="preserve"> </w:t>
      </w:r>
      <w:r>
        <w:t xml:space="preserve">information (50% use compared to 39% use) </w:t>
      </w:r>
      <w:r>
        <w:fldChar w:fldCharType="begin" w:fldLock="1"/>
      </w:r>
      <w:r>
        <w:instrText>ADDIN CSL_CITATION { "citationItems" : [ { "id" : "ITEM-1", "itemData" : { "author" : [ { "dropping-particle" : "", "family" : "Scott", "given" : "Vicky", "non-dropping-particle" : "", "parse-names" : false, "suffix" : "" }, { "dropping-particle" : "", "family" : "Allen", "given" : "Jane", "non-dropping-particle" : "", "parse-names" : false, "suffix" : "" }, { "dropping-particle" : "", "family" : "Cumming", "given" : "Fiona", "non-dropping-particle" : "", "parse-names" : false, "suffix" : "" } ], "id" : "ITEM-1", "issue" : "March", "issued" : { "date-parts" : [ [ "1999" ] ] }, "publisher-place" : "Canberra", "title" : "Consumer Reactions to Three Different Nutrition Information Panel Formats", "type" : "report" }, "uris" : [ "http://www.mendeley.com/documents/?uuid=9ec471ea-e2f2-41f5-965f-2c9b565b10d6" ] } ], "mendeley" : { "previouslyFormattedCitation" : "(Scott et al. 1999)" }, "properties" : { "noteIndex" : 0 }, "schema" : "https://github.com/citation-style-language/schema/raw/master/csl-citation.json" }</w:instrText>
      </w:r>
      <w:r>
        <w:fldChar w:fldCharType="separate"/>
      </w:r>
      <w:r w:rsidRPr="007F4A66">
        <w:rPr>
          <w:noProof/>
        </w:rPr>
        <w:t>(Scott et al. 1999)</w:t>
      </w:r>
      <w:r>
        <w:fldChar w:fldCharType="end"/>
      </w:r>
      <w:r>
        <w:t>. Participa</w:t>
      </w:r>
      <w:r w:rsidR="00F10297">
        <w:t xml:space="preserve">nts were more likely to use </w:t>
      </w:r>
      <w:proofErr w:type="gramStart"/>
      <w:r w:rsidR="00F10297">
        <w:t xml:space="preserve">the </w:t>
      </w:r>
      <w:r>
        <w:t>per</w:t>
      </w:r>
      <w:proofErr w:type="gramEnd"/>
      <w:r>
        <w:t xml:space="preserve"> serving </w:t>
      </w:r>
      <w:r w:rsidR="00F10297">
        <w:t>column</w:t>
      </w:r>
      <w:r>
        <w:t xml:space="preserve"> both for making judgements about a single food (48% compared to 35% who used </w:t>
      </w:r>
      <w:r w:rsidR="00F10297">
        <w:t>per 100 g/100 mL</w:t>
      </w:r>
      <w:r>
        <w:t xml:space="preserve">) and for comparing two foods (52% compared to 43% who used </w:t>
      </w:r>
      <w:r w:rsidR="00F10297">
        <w:t>per 100 g/100 mL</w:t>
      </w:r>
      <w:r>
        <w:t xml:space="preserve">). However, the percentage of correct nutritional judgements was unaffected by which column of information was used (65% correct judgements for both). The more recent Australian study of grocery shoppers found that, of the 58% who had incorrectly ranked the breads based on salt information in the NIP, 19% had used the per serving column to perform the rankings </w:t>
      </w:r>
      <w:r>
        <w:fldChar w:fldCharType="begin" w:fldLock="1"/>
      </w:r>
      <w:r>
        <w:instrText>ADDIN CSL_CITATION { "citationItems" : [ { "id" : "ITEM-1", "itemData" : { "DOI" : "10.1016/j.appet.2009.06.007", "ISSN" : "1095-8304", "PMID" : "19540891", "abstract" : "The objective of this study was to investigate consumers' knowledge of health risks of high salt intake and frequency of use and understanding of labelled salt information. We conducted a cross-sectional survey in shopping centres within Metropolitan Melbourne. A sample of 493 subjects was recruited. The questionnaire assessed salt related shopping behaviours, attitudes to salt intake and health and their ability to interpret labelled sodium information. Four hundred and seventy four valid surveys were collected (65% female, 64% being the main shopper). Most participants knew of the relationship between salt intake and high blood pressure (88%). Sixty five percent of participants were unable to correctly identify the relationship between salt and sodium. Sixty nine percent reported reading the salt content of food products when shopping. Salt label usage was significantly related to shoppers concern about the amount of salt in their diet and the belief that their health could improve by lowering salt intake. Approximately half of the sample was unable to accurately use labelled sodium information to pick low salt options. Raising consumer awareness of the health risks associated with high salt consumption may increase salt label usage and purchases of low salt foods. However, for food labels to be effective in helping consumers select low salt foods a more 'user friendly' labelling format is needed.", "author" : [ { "dropping-particle" : "", "family" : "Grimes", "given" : "Carley a", "non-dropping-particle" : "", "parse-names" : false, "suffix" : "" }, { "dropping-particle" : "", "family" : "Riddell", "given" : "Lynn J", "non-dropping-particle" : "", "parse-names" : false, "suffix" : "" }, { "dropping-particle" : "", "family" : "Nowson", "given" : "Caryl a", "non-dropping-particle" : "", "parse-names" : false, "suffix" : "" } ], "container-title" : "Appetite", "id" : "ITEM-1", "issue" : "2", "issued" : { "date-parts" : [ [ "2009", "10" ] ] }, "page" : "189-94", "title" : "Consumer knowledge and attitudes to salt intake and labelled salt information.", "type" : "article-journal", "volume" : "53" }, "uris" : [ "http://www.mendeley.com/documents/?uuid=b0a085c3-d96c-4124-a78e-87d8ff95a37e" ] } ], "mendeley" : { "previouslyFormattedCitation" : "(Grimes et al. 2009)" }, "properties" : { "noteIndex" : 0 }, "schema" : "https://github.com/citation-style-language/schema/raw/master/csl-citation.json" }</w:instrText>
      </w:r>
      <w:r>
        <w:fldChar w:fldCharType="separate"/>
      </w:r>
      <w:r w:rsidRPr="004619D8">
        <w:rPr>
          <w:noProof/>
        </w:rPr>
        <w:t>(Grimes et al. 2009)</w:t>
      </w:r>
      <w:r>
        <w:fldChar w:fldCharType="end"/>
      </w:r>
      <w:r>
        <w:t>.</w:t>
      </w:r>
    </w:p>
    <w:p w:rsidR="004C06F0" w:rsidRDefault="004C06F0" w:rsidP="004C06F0"/>
    <w:p w:rsidR="004C06F0" w:rsidRDefault="004C06F0" w:rsidP="004C06F0">
      <w:r>
        <w:t xml:space="preserve">When shown a picture of the nutrition information for a tub of yoghurt and asked what pieces of information they would use when considering purchasing, 4% of Australian and New Zealand respondents mentioned the per serving column </w:t>
      </w:r>
      <w:r>
        <w:fldChar w:fldCharType="begin" w:fldLock="1"/>
      </w:r>
      <w:r>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NO . 4", "type" : "report" }, "uris" : [ "http://www.mendeley.com/documents/?uuid=cad2961b-e75c-48a5-8a78-bb8c4dbc0c4f" ] } ], "mendeley" : { "previouslyFormattedCitation" : "(NFO Donovan Research 2003)" }, "properties" : { "noteIndex" : 0 }, "schema" : "https://github.com/citation-style-language/schema/raw/master/csl-citation.json" }</w:instrText>
      </w:r>
      <w:r>
        <w:fldChar w:fldCharType="separate"/>
      </w:r>
      <w:r w:rsidRPr="000B6090">
        <w:rPr>
          <w:noProof/>
        </w:rPr>
        <w:t>(NFO Donovan Research 2003)</w:t>
      </w:r>
      <w:r>
        <w:fldChar w:fldCharType="end"/>
      </w:r>
      <w:r>
        <w:t xml:space="preserve">. However, when asked to choose the healthier product based on two snack food NIPs, where the serving size was the same, 54% reported that they mainly used the per serving column. Only 30% reported using </w:t>
      </w:r>
      <w:proofErr w:type="gramStart"/>
      <w:r>
        <w:t xml:space="preserve">the </w:t>
      </w:r>
      <w:r w:rsidRPr="002F7090">
        <w:t>per</w:t>
      </w:r>
      <w:proofErr w:type="gramEnd"/>
      <w:r w:rsidRPr="002F7090">
        <w:t xml:space="preserve"> 100 g/</w:t>
      </w:r>
      <w:r w:rsidR="00F10297">
        <w:t>100 mL</w:t>
      </w:r>
      <w:r>
        <w:t xml:space="preserve"> column, and 15% reported using both columns. In a subsequent evaluation for crackers, where the serving sizes differed between the two products, 55% reported using per </w:t>
      </w:r>
      <w:r w:rsidRPr="007E6AF4">
        <w:t xml:space="preserve">serving </w:t>
      </w:r>
      <w:r w:rsidR="00F10297">
        <w:t>information compared with</w:t>
      </w:r>
      <w:r w:rsidRPr="007E6AF4">
        <w:t xml:space="preserve"> 31% who used the </w:t>
      </w:r>
      <w:r w:rsidR="00F10297">
        <w:t>per 100 g/100 mL</w:t>
      </w:r>
      <w:r w:rsidRPr="007E6AF4" w:rsidDel="002F7090">
        <w:t xml:space="preserve"> </w:t>
      </w:r>
      <w:r w:rsidRPr="007E6AF4">
        <w:t>column. However, there was no</w:t>
      </w:r>
      <w:r>
        <w:t xml:space="preserve"> significant effect of column use on whether the correct (healthier) choice was selected.</w:t>
      </w:r>
    </w:p>
    <w:p w:rsidR="004C06F0" w:rsidRDefault="004C06F0" w:rsidP="004C06F0"/>
    <w:p w:rsidR="004C06F0" w:rsidRDefault="004C06F0" w:rsidP="004C06F0">
      <w:r>
        <w:t xml:space="preserve">The FSANZ Consumer Attitudes Survey 2007 asked respondents about both use of </w:t>
      </w:r>
      <w:proofErr w:type="gramStart"/>
      <w:r>
        <w:t>the per</w:t>
      </w:r>
      <w:proofErr w:type="gramEnd"/>
      <w:r>
        <w:t xml:space="preserve"> serving column and use of the </w:t>
      </w:r>
      <w:r w:rsidR="00F10297">
        <w:t>per 100 g/100 mL</w:t>
      </w:r>
      <w:r w:rsidRPr="002F7090" w:rsidDel="002F7090">
        <w:t xml:space="preserve"> </w:t>
      </w:r>
      <w:r>
        <w:t xml:space="preserve">column. Use of the </w:t>
      </w:r>
      <w:r w:rsidRPr="002F7090">
        <w:t>pe</w:t>
      </w:r>
      <w:r w:rsidR="00F10297">
        <w:t xml:space="preserve">r 100 g/100 mL </w:t>
      </w:r>
      <w:r>
        <w:t>column was slightly more common: 24% of Australians and 19% of New Zealanders reported using this information when purchasing a product</w:t>
      </w:r>
      <w:r w:rsidR="00F10297">
        <w:t xml:space="preserve"> for the first time, compared with</w:t>
      </w:r>
      <w:r>
        <w:t xml:space="preserve"> 21% and 13%, respectively, for the per serving column </w:t>
      </w:r>
      <w:r>
        <w:fldChar w:fldCharType="begin" w:fldLock="1"/>
      </w:r>
      <w:r>
        <w:instrText>ADDIN CSL_CITATION { "citationItems" : [ { "id" : "ITEM-1", "itemData" : { "ISBN" : "9780642345561", "author" : [ { "dropping-particle" : "", "family" : "TNS Social Research", "given" : "", "non-dropping-particle" : "", "parse-names" : false, "suffix" : "" } ], "id" : "ITEM-1", "issue" : "January", "issued" : { "date-parts" : [ [ "2008" ] ] }, "publisher-place" : "Canberra", "title" : "Consumer Attitudes Survey 2007", "type" : "report" }, "uris" : [ "http://www.mendeley.com/documents/?uuid=e7aab446-8ad7-4939-a835-f2e6288919db" ] } ], "mendeley" : { "previouslyFormattedCitation" : "(TNS Social Research 2008)" }, "properties" : { "noteIndex" : 0 }, "schema" : "https://github.com/citation-style-language/schema/raw/master/csl-citation.json" }</w:instrText>
      </w:r>
      <w:r>
        <w:fldChar w:fldCharType="separate"/>
      </w:r>
      <w:r w:rsidRPr="00BC6610">
        <w:rPr>
          <w:noProof/>
        </w:rPr>
        <w:t>(TNS Social Research 2008)</w:t>
      </w:r>
      <w:r>
        <w:fldChar w:fldCharType="end"/>
      </w:r>
      <w:r>
        <w:t xml:space="preserve">. </w:t>
      </w:r>
    </w:p>
    <w:p w:rsidR="004C06F0" w:rsidRDefault="004C06F0" w:rsidP="004C06F0"/>
    <w:p w:rsidR="004C06F0" w:rsidRDefault="004C06F0" w:rsidP="004C06F0">
      <w:r>
        <w:t xml:space="preserve">An American experiment that required participants to read the Nutrition Facts panel (NFP) on a packet of candies found that non-dieters exposed to a two-column NFP containing both per serving and per-package information ate significantly fewer candies on average compared to non-dieters who only saw a one-column NFP containing only the per serving information </w:t>
      </w:r>
      <w:r>
        <w:fldChar w:fldCharType="begin" w:fldLock="1"/>
      </w:r>
      <w:r>
        <w:instrText>ADDIN CSL_CITATION { "citationItems" : [ { "id" : "ITEM-1", "itemData" : { "DOI" : "10.1016/j.jneb.2006.05.016", "ISSN" : "1499-4046", "PMID" : "17142193", "abstract" : "OBJECTIVE: Increasing serving sizes have been identified as contributors to the obesity epidemic. Researchers suggest that consumers are in need of cues that provide norms for the appropriate amount of food to consume. The impact of one potential cue, the provision of nutritional information for a single serving as well as the entire package (\"dual-column labels\") versus single-serving nutritional information only (\"single-column labels\"), was investigated on the consumption of a snack food for dieters and nondieters.\n\nDESIGN: In a between-subjects experimental design, participants were provided with a snack food product and nutrition label. After the opportunity for consumption, they were provided with a survey instrument.\n\nSETTING: The study took place in a classroom setting.\n\nPARTICIPANTS: Undergraduate students were randomly assigned to the single-column versus dual-column label treatment groups and were classified as dieters (n = 45) or nondieters (n = 67) based on self-reported dieting behavior.\n\nINTERVENTION: Participants were exposed to either a single-column or dual-column nutrition label.\n\nMAIN OUTCOME MEASURES: Perceptions of consumption norms; use, importance, and understanding of nutrition labels; and the actual amount consumed by each individual were measured.\n\nANALYSIS: Analysis of variance was used to analyze data from the study.\n\nRESULTS: Nondieting participants, but not dieting participants, ate significantly less when exposed to the dual-column label compared to the single-column label (P &lt; .05). Although there was a significant difference in the amount consumed by dieters and nondieters in the case of the single-column label (P &lt; .05), the presence of a dual-column label attenuated this effect. In addition, dieters reported paying greater attention to (P &lt; .01), better perceived the necessity of (P &lt; .01), and had better understanding of (P &lt; .05) label information than nondieters. In addition, dieters considered the provided serving to be more adequate than nondieters (P &lt; .05).\n\nIMPLICATIONS FOR RESEARCH AND PRACTICE: Compared to standard, single-column labels, dual-column nutritional labels have a greater impact on the snack food consumption of nondieters.", "author" : [ { "dropping-particle" : "", "family" : "Antonuk", "given" : "Beth", "non-dropping-particle" : "", "parse-names" : false, "suffix" : "" }, { "dropping-particle" : "", "family" : "Block", "given" : "Lauren G", "non-dropping-particle" : "", "parse-names" : false, "suffix" : "" } ], "container-title" : "Journal of nutrition education and behavior", "id" : "ITEM-1", "issue" : "6", "issued" : { "date-parts" : [ [ "2006" ] ] }, "page" : "365-70", "title" : "The effect of single serving versus entire package nutritional information on consumption norms and actual consumption of a snack food.", "type" : "article-journal", "volume" : "38" }, "uris" : [ "http://www.mendeley.com/documents/?uuid=c0fdc08d-9041-42e9-a833-ecf3e6f7b61a" ] } ], "mendeley" : { "previouslyFormattedCitation" : "(Antonuk &amp; Block 2006)" }, "properties" : { "noteIndex" : 0 }, "schema" : "https://github.com/citation-style-language/schema/raw/master/csl-citation.json" }</w:instrText>
      </w:r>
      <w:r>
        <w:fldChar w:fldCharType="separate"/>
      </w:r>
      <w:r w:rsidRPr="004619D8">
        <w:rPr>
          <w:noProof/>
        </w:rPr>
        <w:t>(Antonuk &amp; Block 2006)</w:t>
      </w:r>
      <w:r>
        <w:fldChar w:fldCharType="end"/>
      </w:r>
      <w:r>
        <w:t xml:space="preserve">. There was no equivalent effect for dieting participants. However, as the package contained exactly 50 candies, and each candy weighed less than 1 g, the per-package information provided to participants was not equivalent to the </w:t>
      </w:r>
      <w:r w:rsidR="00F10297">
        <w:t>per 100 g/100 mL</w:t>
      </w:r>
      <w:r w:rsidRPr="002F7090" w:rsidDel="002F7090">
        <w:t xml:space="preserve"> </w:t>
      </w:r>
      <w:r>
        <w:t xml:space="preserve">information used in Australia and New Zealand. Additionally, the only one-column format that was tested was </w:t>
      </w:r>
      <w:proofErr w:type="gramStart"/>
      <w:r>
        <w:t>the per</w:t>
      </w:r>
      <w:proofErr w:type="gramEnd"/>
      <w:r>
        <w:t xml:space="preserve"> serving information.</w:t>
      </w:r>
    </w:p>
    <w:p w:rsidR="004C06F0" w:rsidRDefault="006966B2" w:rsidP="00667FA4">
      <w:pPr>
        <w:pStyle w:val="Heading2"/>
      </w:pPr>
      <w:bookmarkStart w:id="58" w:name="_Toc405365746"/>
      <w:r>
        <w:t>7</w:t>
      </w:r>
      <w:r w:rsidR="00BA697B">
        <w:t>.4</w:t>
      </w:r>
      <w:r w:rsidR="00667FA4">
        <w:tab/>
      </w:r>
      <w:r w:rsidR="004C06F0">
        <w:t>Other considerations</w:t>
      </w:r>
      <w:bookmarkEnd w:id="58"/>
    </w:p>
    <w:p w:rsidR="00074C2A" w:rsidRDefault="004C06F0" w:rsidP="002432EE">
      <w:r>
        <w:t xml:space="preserve">While the NIP is a source of nutrient information for consumers, health professionals also use the information. One qualitative study of health professionals in Australia and New Zealand examined this issue </w:t>
      </w:r>
      <w:r>
        <w:fldChar w:fldCharType="begin" w:fldLock="1"/>
      </w:r>
      <w:r>
        <w:instrText>ADDIN CSL_CITATION { "citationItems" : [ { "id" : "ITEM-1", "itemData" : { "author" : [ { "dropping-particle" : "", "family" : "NFO Donovan Research", "given" : "", "non-dropping-particle" : "", "parse-names" : false, "suffix" : "" } ], "id" : "ITEM-1", "issue" : "April", "issued" : { "date-parts" : [ [ "2002" ] ] }, "publisher-place" : "Canberra", "title" : "Food Labelling Issues - Stakeholder Qualitative Research", "type" : "report" }, "uris" : [ "http://www.mendeley.com/documents/?uuid=8165c9bc-b5c4-4086-a8e7-e28787a2f2cb" ] } ], "mendeley" : { "previouslyFormattedCitation" : "(NFO Donovan Research 2002)" }, "properties" : { "noteIndex" : 0 }, "schema" : "https://github.com/citation-style-language/schema/raw/master/csl-citation.json" }</w:instrText>
      </w:r>
      <w:r>
        <w:fldChar w:fldCharType="separate"/>
      </w:r>
      <w:r w:rsidRPr="00DC263A">
        <w:rPr>
          <w:noProof/>
        </w:rPr>
        <w:t>(NFO Donovan Research 2002)</w:t>
      </w:r>
      <w:r>
        <w:fldChar w:fldCharType="end"/>
      </w:r>
      <w:r>
        <w:t xml:space="preserve">. Nutritionists used the NIP to educate clients about key nutrients such as fat, sugar and fibre, assist in weight-loss discussions, and to explain and contextualise nutrient content claims. Nutritionists wanted both columns, although they had a preference for the </w:t>
      </w:r>
      <w:r w:rsidR="00F10297">
        <w:t>per 100 g/100 mL</w:t>
      </w:r>
      <w:r w:rsidRPr="002F7090" w:rsidDel="002F7090">
        <w:t xml:space="preserve"> </w:t>
      </w:r>
      <w:r>
        <w:t xml:space="preserve">column, as </w:t>
      </w:r>
      <w:r w:rsidR="00306C24">
        <w:t xml:space="preserve">this column provides </w:t>
      </w:r>
      <w:r>
        <w:t>a standardised basis for comparisons b</w:t>
      </w:r>
      <w:r w:rsidR="00306C24">
        <w:t xml:space="preserve">etween products and brands. </w:t>
      </w:r>
      <w:r w:rsidR="00074C2A">
        <w:br w:type="page"/>
      </w:r>
    </w:p>
    <w:p w:rsidR="00345844" w:rsidRDefault="00306C24" w:rsidP="002432EE">
      <w:proofErr w:type="gramStart"/>
      <w:r>
        <w:lastRenderedPageBreak/>
        <w:t xml:space="preserve">The </w:t>
      </w:r>
      <w:r w:rsidR="004C06F0">
        <w:t>per</w:t>
      </w:r>
      <w:proofErr w:type="gramEnd"/>
      <w:r w:rsidR="004C06F0">
        <w:t xml:space="preserve"> serving column was viewed as useful only when the serving size was practical and realistic. Another criticism of the per serving column was the units used, as some nutritionists in New Zealand felt that a cup-based measurement would more accurately reflect how consumers measure out food. General practitioners (GPs) tended to use the NIP when counselling clients on weight management. Again, while GPs found both columns in the NIP useful, the per serving column was viewed as not helpful when the amount was unrealistic in terms of how much would actually be consumed by a client.</w:t>
      </w:r>
      <w:bookmarkEnd w:id="46"/>
      <w:bookmarkEnd w:id="47"/>
      <w:bookmarkEnd w:id="48"/>
      <w:bookmarkEnd w:id="49"/>
      <w:bookmarkEnd w:id="50"/>
      <w:bookmarkEnd w:id="51"/>
      <w:bookmarkEnd w:id="52"/>
      <w:bookmarkEnd w:id="53"/>
    </w:p>
    <w:p w:rsidR="0066507C" w:rsidRDefault="0066507C" w:rsidP="002432EE"/>
    <w:tbl>
      <w:tblPr>
        <w:tblStyle w:val="TableGrid"/>
        <w:tblW w:w="0" w:type="auto"/>
        <w:tblLook w:val="04A0" w:firstRow="1" w:lastRow="0" w:firstColumn="1" w:lastColumn="0" w:noHBand="0" w:noVBand="1"/>
      </w:tblPr>
      <w:tblGrid>
        <w:gridCol w:w="9286"/>
      </w:tblGrid>
      <w:tr w:rsidR="0066507C" w:rsidTr="00CA55F0">
        <w:tc>
          <w:tcPr>
            <w:tcW w:w="9286" w:type="dxa"/>
            <w:shd w:val="clear" w:color="auto" w:fill="D9D9D9" w:themeFill="background1" w:themeFillShade="D9"/>
          </w:tcPr>
          <w:p w:rsidR="0066507C" w:rsidRPr="00A94EBA" w:rsidRDefault="0066507C" w:rsidP="00CA55F0">
            <w:pPr>
              <w:rPr>
                <w:rFonts w:cs="Arial"/>
                <w:b/>
                <w:szCs w:val="22"/>
              </w:rPr>
            </w:pPr>
            <w:r w:rsidRPr="00A94EBA">
              <w:rPr>
                <w:rFonts w:cs="Arial"/>
                <w:b/>
                <w:szCs w:val="22"/>
              </w:rPr>
              <w:t>Question</w:t>
            </w:r>
            <w:r w:rsidR="00567B96">
              <w:rPr>
                <w:rFonts w:cs="Arial"/>
                <w:b/>
                <w:szCs w:val="22"/>
              </w:rPr>
              <w:t>s</w:t>
            </w:r>
            <w:r w:rsidRPr="00A94EBA">
              <w:rPr>
                <w:rFonts w:cs="Arial"/>
                <w:b/>
                <w:szCs w:val="22"/>
              </w:rPr>
              <w:t xml:space="preserve"> for Submitters</w:t>
            </w:r>
          </w:p>
          <w:p w:rsidR="0066507C" w:rsidRPr="007A06C4" w:rsidRDefault="0066507C" w:rsidP="00CA55F0">
            <w:pPr>
              <w:rPr>
                <w:rFonts w:cs="Arial"/>
                <w:szCs w:val="22"/>
              </w:rPr>
            </w:pPr>
          </w:p>
          <w:p w:rsidR="0066507C" w:rsidRDefault="00953815" w:rsidP="003542CB">
            <w:pPr>
              <w:ind w:left="567" w:hanging="567"/>
              <w:rPr>
                <w:rFonts w:cs="Arial"/>
                <w:szCs w:val="22"/>
              </w:rPr>
            </w:pPr>
            <w:r>
              <w:rPr>
                <w:rFonts w:cs="Arial"/>
                <w:szCs w:val="22"/>
              </w:rPr>
              <w:t>Q7</w:t>
            </w:r>
            <w:r w:rsidR="0066507C" w:rsidRPr="007A06C4">
              <w:rPr>
                <w:rFonts w:cs="Arial"/>
                <w:szCs w:val="22"/>
              </w:rPr>
              <w:tab/>
            </w:r>
            <w:r w:rsidR="0066507C">
              <w:rPr>
                <w:rFonts w:cs="Arial"/>
              </w:rPr>
              <w:t xml:space="preserve">What </w:t>
            </w:r>
            <w:r w:rsidR="000A02B6">
              <w:rPr>
                <w:rFonts w:cs="Arial"/>
              </w:rPr>
              <w:t xml:space="preserve">additional </w:t>
            </w:r>
            <w:r w:rsidR="0066507C">
              <w:rPr>
                <w:rFonts w:cs="Arial"/>
              </w:rPr>
              <w:t>studies examine consumer use and understanding of per serving information in the nutrition information panel on food labels? Please provide a copy of studies where possible.</w:t>
            </w:r>
          </w:p>
        </w:tc>
      </w:tr>
    </w:tbl>
    <w:p w:rsidR="003B7A83" w:rsidRDefault="006966B2" w:rsidP="007D65E7">
      <w:pPr>
        <w:pStyle w:val="Heading1"/>
      </w:pPr>
      <w:bookmarkStart w:id="59" w:name="_Toc405365747"/>
      <w:r>
        <w:t>8</w:t>
      </w:r>
      <w:r w:rsidR="003B7A83" w:rsidRPr="005B01E7">
        <w:tab/>
      </w:r>
      <w:r w:rsidR="00FA1B47">
        <w:t>Per</w:t>
      </w:r>
      <w:r w:rsidR="003B7A83">
        <w:t xml:space="preserve"> serving information and front-of pack labelling</w:t>
      </w:r>
      <w:bookmarkEnd w:id="59"/>
    </w:p>
    <w:p w:rsidR="00050DB4" w:rsidRDefault="00050DB4" w:rsidP="00B10758">
      <w:pPr>
        <w:rPr>
          <w:lang w:bidi="ar-SA"/>
        </w:rPr>
      </w:pPr>
      <w:r>
        <w:rPr>
          <w:lang w:bidi="ar-SA"/>
        </w:rPr>
        <w:t xml:space="preserve">In response to the comment from the labelling review panel in </w:t>
      </w:r>
      <w:r w:rsidRPr="00F02866">
        <w:rPr>
          <w:i/>
          <w:lang w:bidi="ar-SA"/>
        </w:rPr>
        <w:t>Labelling Logic</w:t>
      </w:r>
      <w:r w:rsidR="00A94EBA">
        <w:rPr>
          <w:lang w:bidi="ar-SA"/>
        </w:rPr>
        <w:t xml:space="preserve"> </w:t>
      </w:r>
      <w:r>
        <w:rPr>
          <w:lang w:bidi="ar-SA"/>
        </w:rPr>
        <w:t>that Recommendation 17</w:t>
      </w:r>
      <w:r w:rsidR="00660208">
        <w:rPr>
          <w:lang w:bidi="ar-SA"/>
        </w:rPr>
        <w:t xml:space="preserve"> </w:t>
      </w:r>
      <w:r w:rsidR="00A94EBA" w:rsidRPr="00A94EBA">
        <w:rPr>
          <w:i/>
          <w:lang w:bidi="ar-SA"/>
        </w:rPr>
        <w:t>should be considered</w:t>
      </w:r>
      <w:r w:rsidR="00A94EBA">
        <w:rPr>
          <w:lang w:bidi="ar-SA"/>
        </w:rPr>
        <w:t xml:space="preserve"> </w:t>
      </w:r>
      <w:r w:rsidR="00A94EBA">
        <w:rPr>
          <w:i/>
          <w:lang w:bidi="ar-SA"/>
        </w:rPr>
        <w:t>within the context of other, more easily understood nutrition</w:t>
      </w:r>
      <w:r>
        <w:rPr>
          <w:i/>
          <w:lang w:bidi="ar-SA"/>
        </w:rPr>
        <w:t xml:space="preserve"> advice being on the food label, </w:t>
      </w:r>
      <w:r>
        <w:rPr>
          <w:lang w:bidi="ar-SA"/>
        </w:rPr>
        <w:t xml:space="preserve">a description of </w:t>
      </w:r>
      <w:r w:rsidR="00743BCC">
        <w:rPr>
          <w:lang w:bidi="ar-SA"/>
        </w:rPr>
        <w:t xml:space="preserve">voluntary </w:t>
      </w:r>
      <w:r>
        <w:rPr>
          <w:lang w:bidi="ar-SA"/>
        </w:rPr>
        <w:t>front-of-pack labelling</w:t>
      </w:r>
      <w:r w:rsidR="00A94EBA">
        <w:rPr>
          <w:i/>
          <w:lang w:bidi="ar-SA"/>
        </w:rPr>
        <w:t xml:space="preserve"> </w:t>
      </w:r>
      <w:r>
        <w:rPr>
          <w:lang w:bidi="ar-SA"/>
        </w:rPr>
        <w:t>currently in use in Australia</w:t>
      </w:r>
      <w:r w:rsidR="001E5E87">
        <w:rPr>
          <w:lang w:bidi="ar-SA"/>
        </w:rPr>
        <w:t xml:space="preserve"> and </w:t>
      </w:r>
      <w:r>
        <w:rPr>
          <w:lang w:bidi="ar-SA"/>
        </w:rPr>
        <w:t xml:space="preserve">New Zealand is included in this section. It is of interest to consider whether or not voluntary inclusion of per serving information in the NIP would </w:t>
      </w:r>
      <w:r w:rsidR="00560AF6">
        <w:rPr>
          <w:lang w:bidi="ar-SA"/>
        </w:rPr>
        <w:t>affect</w:t>
      </w:r>
      <w:r>
        <w:rPr>
          <w:lang w:bidi="ar-SA"/>
        </w:rPr>
        <w:t xml:space="preserve"> </w:t>
      </w:r>
      <w:r w:rsidR="00560AF6">
        <w:rPr>
          <w:lang w:bidi="ar-SA"/>
        </w:rPr>
        <w:t>the use of</w:t>
      </w:r>
      <w:r>
        <w:rPr>
          <w:lang w:bidi="ar-SA"/>
        </w:rPr>
        <w:t xml:space="preserve"> front-of-pack labelling.</w:t>
      </w:r>
      <w:r w:rsidR="00560AF6">
        <w:rPr>
          <w:lang w:bidi="ar-SA"/>
        </w:rPr>
        <w:t xml:space="preserve"> Consumer use of information in the NIP in the context of front-of-pack labelling is clearly also of interest but there is </w:t>
      </w:r>
      <w:r w:rsidR="00560AF6" w:rsidRPr="0089344B">
        <w:rPr>
          <w:lang w:bidi="ar-SA"/>
        </w:rPr>
        <w:t>currently little</w:t>
      </w:r>
      <w:r w:rsidR="00560AF6">
        <w:rPr>
          <w:lang w:bidi="ar-SA"/>
        </w:rPr>
        <w:t xml:space="preserve"> information available in the Australia/New Zealand context.</w:t>
      </w:r>
    </w:p>
    <w:p w:rsidR="00560AF6" w:rsidRDefault="006966B2" w:rsidP="00560AF6">
      <w:pPr>
        <w:pStyle w:val="Heading2"/>
      </w:pPr>
      <w:bookmarkStart w:id="60" w:name="_Toc405365748"/>
      <w:r>
        <w:t>8</w:t>
      </w:r>
      <w:r w:rsidR="00560AF6">
        <w:t>.1</w:t>
      </w:r>
      <w:r w:rsidR="00560AF6">
        <w:tab/>
        <w:t>Percentage daily intake front-of-pack labelling</w:t>
      </w:r>
      <w:bookmarkEnd w:id="60"/>
    </w:p>
    <w:p w:rsidR="00660208" w:rsidRDefault="006966B2" w:rsidP="00660208">
      <w:pPr>
        <w:rPr>
          <w:lang w:bidi="ar-SA"/>
        </w:rPr>
      </w:pPr>
      <w:r>
        <w:rPr>
          <w:lang w:bidi="ar-SA"/>
        </w:rPr>
        <w:t xml:space="preserve">As noted earlier, where food businesses choose to present %DI </w:t>
      </w:r>
      <w:r w:rsidR="009E4832">
        <w:rPr>
          <w:lang w:bidi="ar-SA"/>
        </w:rPr>
        <w:t>and/</w:t>
      </w:r>
      <w:r>
        <w:rPr>
          <w:lang w:bidi="ar-SA"/>
        </w:rPr>
        <w:t>or %RDI information outside the NIP, for example, on the front of the product, certain requirements for such labelling in the Code</w:t>
      </w:r>
      <w:r w:rsidR="00921DA5">
        <w:rPr>
          <w:lang w:bidi="ar-SA"/>
        </w:rPr>
        <w:t xml:space="preserve"> must be followed</w:t>
      </w:r>
      <w:r>
        <w:rPr>
          <w:lang w:bidi="ar-SA"/>
        </w:rPr>
        <w:t xml:space="preserve"> (</w:t>
      </w:r>
      <w:r w:rsidR="00595A0C">
        <w:rPr>
          <w:lang w:bidi="ar-SA"/>
        </w:rPr>
        <w:t xml:space="preserve">see </w:t>
      </w:r>
      <w:r>
        <w:rPr>
          <w:lang w:bidi="ar-SA"/>
        </w:rPr>
        <w:t>section 4.3.3). The main requi</w:t>
      </w:r>
      <w:r w:rsidR="00921DA5">
        <w:rPr>
          <w:lang w:bidi="ar-SA"/>
        </w:rPr>
        <w:t>rement is that</w:t>
      </w:r>
      <w:r w:rsidR="00DA3191">
        <w:rPr>
          <w:lang w:bidi="ar-SA"/>
        </w:rPr>
        <w:t xml:space="preserve"> </w:t>
      </w:r>
      <w:r w:rsidR="00270B3C">
        <w:rPr>
          <w:lang w:bidi="ar-SA"/>
        </w:rPr>
        <w:t>if %DI information is us</w:t>
      </w:r>
      <w:r w:rsidR="00921DA5">
        <w:rPr>
          <w:lang w:bidi="ar-SA"/>
        </w:rPr>
        <w:t xml:space="preserve">ed on the front of products then serving size must also be presented and </w:t>
      </w:r>
      <w:r w:rsidR="009E4832">
        <w:rPr>
          <w:lang w:bidi="ar-SA"/>
        </w:rPr>
        <w:t xml:space="preserve">the </w:t>
      </w:r>
      <w:r w:rsidR="00270B3C">
        <w:rPr>
          <w:lang w:bidi="ar-SA"/>
        </w:rPr>
        <w:t xml:space="preserve">%DI information must </w:t>
      </w:r>
      <w:r w:rsidR="009E4832">
        <w:rPr>
          <w:lang w:bidi="ar-SA"/>
        </w:rPr>
        <w:t>be included in the NIP.</w:t>
      </w:r>
      <w:r w:rsidR="00DA3191">
        <w:rPr>
          <w:lang w:bidi="ar-SA"/>
        </w:rPr>
        <w:t xml:space="preserve"> If </w:t>
      </w:r>
      <w:r w:rsidR="001E5E87">
        <w:rPr>
          <w:lang w:bidi="ar-SA"/>
        </w:rPr>
        <w:t>more than one piece of</w:t>
      </w:r>
      <w:r w:rsidR="009E4832">
        <w:rPr>
          <w:lang w:bidi="ar-SA"/>
        </w:rPr>
        <w:t xml:space="preserve"> </w:t>
      </w:r>
      <w:r w:rsidR="00DA3191">
        <w:rPr>
          <w:lang w:bidi="ar-SA"/>
        </w:rPr>
        <w:t xml:space="preserve">%RDI </w:t>
      </w:r>
      <w:r w:rsidR="001E5E87">
        <w:rPr>
          <w:lang w:bidi="ar-SA"/>
        </w:rPr>
        <w:t>or</w:t>
      </w:r>
      <w:r w:rsidR="009E4832">
        <w:rPr>
          <w:lang w:bidi="ar-SA"/>
        </w:rPr>
        <w:t xml:space="preserve"> %DI </w:t>
      </w:r>
      <w:r w:rsidR="00DA3191">
        <w:rPr>
          <w:lang w:bidi="ar-SA"/>
        </w:rPr>
        <w:t xml:space="preserve">information </w:t>
      </w:r>
      <w:r w:rsidR="001E5E87">
        <w:rPr>
          <w:lang w:bidi="ar-SA"/>
        </w:rPr>
        <w:t xml:space="preserve">is </w:t>
      </w:r>
      <w:r w:rsidR="00DA3191">
        <w:rPr>
          <w:lang w:bidi="ar-SA"/>
        </w:rPr>
        <w:t xml:space="preserve">presented outside of the NIP, then </w:t>
      </w:r>
      <w:r w:rsidR="009E4832">
        <w:rPr>
          <w:lang w:bidi="ar-SA"/>
        </w:rPr>
        <w:t>th</w:t>
      </w:r>
      <w:r w:rsidR="001E5E87">
        <w:rPr>
          <w:lang w:bidi="ar-SA"/>
        </w:rPr>
        <w:t>at</w:t>
      </w:r>
      <w:r w:rsidR="00DA3191">
        <w:rPr>
          <w:lang w:bidi="ar-SA"/>
        </w:rPr>
        <w:t xml:space="preserve"> information must be presented </w:t>
      </w:r>
      <w:r w:rsidR="009E4832">
        <w:rPr>
          <w:lang w:bidi="ar-SA"/>
        </w:rPr>
        <w:t>together</w:t>
      </w:r>
      <w:r w:rsidR="00DA3191">
        <w:rPr>
          <w:lang w:bidi="ar-SA"/>
        </w:rPr>
        <w:t>.</w:t>
      </w:r>
    </w:p>
    <w:p w:rsidR="00DA3191" w:rsidRDefault="00DA3191" w:rsidP="00660208">
      <w:pPr>
        <w:rPr>
          <w:lang w:bidi="ar-SA"/>
        </w:rPr>
      </w:pPr>
    </w:p>
    <w:p w:rsidR="00DA3191" w:rsidRDefault="00DA3191" w:rsidP="00660208">
      <w:pPr>
        <w:rPr>
          <w:lang w:bidi="ar-SA"/>
        </w:rPr>
      </w:pPr>
      <w:r>
        <w:rPr>
          <w:lang w:bidi="ar-SA"/>
        </w:rPr>
        <w:t xml:space="preserve">The </w:t>
      </w:r>
      <w:r w:rsidR="001E5E87">
        <w:rPr>
          <w:lang w:bidi="ar-SA"/>
        </w:rPr>
        <w:t xml:space="preserve">AFGC </w:t>
      </w:r>
      <w:r>
        <w:rPr>
          <w:lang w:bidi="ar-SA"/>
        </w:rPr>
        <w:t>have developed a Code of Practice</w:t>
      </w:r>
      <w:r w:rsidR="00F12AC3">
        <w:rPr>
          <w:rStyle w:val="FootnoteReference"/>
          <w:lang w:bidi="ar-SA"/>
        </w:rPr>
        <w:footnoteReference w:id="12"/>
      </w:r>
      <w:r>
        <w:rPr>
          <w:lang w:bidi="ar-SA"/>
        </w:rPr>
        <w:t xml:space="preserve"> covering the use of %DI information on the front of packages</w:t>
      </w:r>
      <w:r w:rsidR="0088403D">
        <w:rPr>
          <w:lang w:bidi="ar-SA"/>
        </w:rPr>
        <w:t xml:space="preserve"> </w:t>
      </w:r>
      <w:r w:rsidR="009E4832">
        <w:rPr>
          <w:lang w:bidi="ar-SA"/>
        </w:rPr>
        <w:t>and</w:t>
      </w:r>
      <w:r w:rsidR="0088403D">
        <w:rPr>
          <w:lang w:bidi="ar-SA"/>
        </w:rPr>
        <w:t xml:space="preserve"> call </w:t>
      </w:r>
      <w:r w:rsidR="009E4832">
        <w:rPr>
          <w:lang w:bidi="ar-SA"/>
        </w:rPr>
        <w:t xml:space="preserve">it </w:t>
      </w:r>
      <w:r w:rsidR="0088403D">
        <w:rPr>
          <w:lang w:bidi="ar-SA"/>
        </w:rPr>
        <w:t xml:space="preserve">the </w:t>
      </w:r>
      <w:r w:rsidR="0088403D" w:rsidRPr="0088403D">
        <w:rPr>
          <w:i/>
          <w:lang w:bidi="ar-SA"/>
        </w:rPr>
        <w:t>Daily Intake Guide</w:t>
      </w:r>
      <w:r w:rsidR="0088403D">
        <w:rPr>
          <w:lang w:bidi="ar-SA"/>
        </w:rPr>
        <w:t xml:space="preserve"> (DIG)</w:t>
      </w:r>
      <w:r>
        <w:rPr>
          <w:lang w:bidi="ar-SA"/>
        </w:rPr>
        <w:t>.</w:t>
      </w:r>
      <w:r w:rsidR="0088403D">
        <w:rPr>
          <w:lang w:bidi="ar-SA"/>
        </w:rPr>
        <w:t xml:space="preserve"> In addition, information on the DIG for consumers is provided on the AFGC’s My Daily Intake Webpage</w:t>
      </w:r>
      <w:r w:rsidR="0088403D">
        <w:rPr>
          <w:rStyle w:val="FootnoteReference"/>
          <w:lang w:bidi="ar-SA"/>
        </w:rPr>
        <w:footnoteReference w:id="13"/>
      </w:r>
      <w:r w:rsidR="0088403D">
        <w:rPr>
          <w:lang w:bidi="ar-SA"/>
        </w:rPr>
        <w:t>.</w:t>
      </w:r>
      <w:r w:rsidR="00737674">
        <w:rPr>
          <w:lang w:bidi="ar-SA"/>
        </w:rPr>
        <w:t xml:space="preserve"> The Code of Practice presents several formats of DIG labelling that can be</w:t>
      </w:r>
      <w:r w:rsidR="00B811C7">
        <w:rPr>
          <w:lang w:bidi="ar-SA"/>
        </w:rPr>
        <w:t xml:space="preserve"> used, all of which include </w:t>
      </w:r>
      <w:r w:rsidR="00737674">
        <w:rPr>
          <w:lang w:bidi="ar-SA"/>
        </w:rPr>
        <w:t xml:space="preserve">serving size. </w:t>
      </w:r>
    </w:p>
    <w:p w:rsidR="00560AF6" w:rsidRDefault="006966B2" w:rsidP="00560AF6">
      <w:pPr>
        <w:pStyle w:val="Heading2"/>
      </w:pPr>
      <w:bookmarkStart w:id="61" w:name="_Toc405365749"/>
      <w:r>
        <w:t>8</w:t>
      </w:r>
      <w:r w:rsidR="00560AF6">
        <w:t>.2</w:t>
      </w:r>
      <w:r w:rsidR="00560AF6">
        <w:tab/>
        <w:t>Health Star Rating System</w:t>
      </w:r>
      <w:bookmarkEnd w:id="61"/>
    </w:p>
    <w:p w:rsidR="00660208" w:rsidRPr="00AD187C" w:rsidRDefault="00660208" w:rsidP="00660208">
      <w:pPr>
        <w:rPr>
          <w:szCs w:val="22"/>
          <w:lang w:val="en-AU"/>
        </w:rPr>
      </w:pPr>
      <w:r w:rsidRPr="00660208">
        <w:t>The Health Star Rating System</w:t>
      </w:r>
      <w:r w:rsidR="00D20DA9">
        <w:t xml:space="preserve"> (HSR</w:t>
      </w:r>
      <w:r w:rsidR="00A93994">
        <w:t>)</w:t>
      </w:r>
      <w:r w:rsidR="00D20DA9">
        <w:t xml:space="preserve"> System</w:t>
      </w:r>
      <w:r w:rsidR="003F6567">
        <w:rPr>
          <w:rStyle w:val="FootnoteReference"/>
        </w:rPr>
        <w:footnoteReference w:id="14"/>
      </w:r>
      <w:r w:rsidRPr="00660208">
        <w:t xml:space="preserve"> provides nutritional information on the food label and assigns individual foods a star rating, with healthier foods being assigned more stars than less healthy options. </w:t>
      </w:r>
      <w:r w:rsidR="00AD187C">
        <w:rPr>
          <w:rFonts w:ascii="Helvetica" w:hAnsi="Helvetica" w:cs="Helvetica"/>
          <w:color w:val="222222"/>
          <w:lang w:val="en-AU"/>
        </w:rPr>
        <w:t xml:space="preserve">The Forum </w:t>
      </w:r>
      <w:r w:rsidR="00743BCC">
        <w:rPr>
          <w:rFonts w:ascii="Helvetica" w:hAnsi="Helvetica" w:cs="Helvetica"/>
          <w:color w:val="222222"/>
          <w:lang w:val="en-AU"/>
        </w:rPr>
        <w:t xml:space="preserve">has </w:t>
      </w:r>
      <w:r w:rsidR="00AD187C">
        <w:rPr>
          <w:rFonts w:ascii="Helvetica" w:hAnsi="Helvetica" w:cs="Helvetica"/>
          <w:color w:val="222222"/>
          <w:lang w:val="en-AU"/>
        </w:rPr>
        <w:t>agreed that the HSR</w:t>
      </w:r>
      <w:r w:rsidR="00D20DA9">
        <w:rPr>
          <w:rFonts w:ascii="Helvetica" w:hAnsi="Helvetica" w:cs="Helvetica"/>
          <w:color w:val="222222"/>
          <w:lang w:val="en-AU"/>
        </w:rPr>
        <w:t xml:space="preserve"> System</w:t>
      </w:r>
      <w:r w:rsidR="00AD187C">
        <w:rPr>
          <w:rFonts w:ascii="Helvetica" w:hAnsi="Helvetica" w:cs="Helvetica"/>
          <w:color w:val="222222"/>
          <w:lang w:val="en-AU"/>
        </w:rPr>
        <w:t xml:space="preserve"> should be implemented voluntarily </w:t>
      </w:r>
      <w:r w:rsidR="001E5E87">
        <w:rPr>
          <w:rFonts w:ascii="Helvetica" w:hAnsi="Helvetica" w:cs="Helvetica"/>
          <w:color w:val="222222"/>
          <w:lang w:val="en-AU"/>
        </w:rPr>
        <w:t>in Australia</w:t>
      </w:r>
      <w:r w:rsidR="00743BCC">
        <w:rPr>
          <w:rFonts w:ascii="Helvetica" w:hAnsi="Helvetica" w:cs="Helvetica"/>
          <w:color w:val="222222"/>
          <w:lang w:val="en-AU"/>
        </w:rPr>
        <w:t xml:space="preserve"> and New Zealand </w:t>
      </w:r>
      <w:r w:rsidR="00AD187C">
        <w:rPr>
          <w:rFonts w:ascii="Helvetica" w:hAnsi="Helvetica" w:cs="Helvetica"/>
          <w:color w:val="222222"/>
          <w:lang w:val="en-AU"/>
        </w:rPr>
        <w:t>over the next five years</w:t>
      </w:r>
    </w:p>
    <w:p w:rsidR="00AE3196" w:rsidRDefault="00AE3196" w:rsidP="00660208">
      <w:r>
        <w:br w:type="page"/>
      </w:r>
    </w:p>
    <w:p w:rsidR="00A93994" w:rsidRDefault="00A93994" w:rsidP="00A93994">
      <w:pPr>
        <w:pStyle w:val="FSBullet1"/>
        <w:numPr>
          <w:ilvl w:val="0"/>
          <w:numId w:val="0"/>
        </w:numPr>
      </w:pPr>
      <w:r w:rsidRPr="00B34EE7">
        <w:lastRenderedPageBreak/>
        <w:t xml:space="preserve">The </w:t>
      </w:r>
      <w:r>
        <w:t>HSR</w:t>
      </w:r>
      <w:r w:rsidR="00D20DA9">
        <w:t xml:space="preserve"> </w:t>
      </w:r>
      <w:r>
        <w:t>S</w:t>
      </w:r>
      <w:r w:rsidR="00D20DA9">
        <w:t>ystem</w:t>
      </w:r>
      <w:r w:rsidRPr="00B34EE7">
        <w:t xml:space="preserve"> has three elements:</w:t>
      </w:r>
    </w:p>
    <w:p w:rsidR="00A93994" w:rsidRPr="00814BA6" w:rsidRDefault="00A93994" w:rsidP="00A93994"/>
    <w:p w:rsidR="00A93994" w:rsidRDefault="00A93994" w:rsidP="00143783">
      <w:pPr>
        <w:pStyle w:val="FSBullet1"/>
      </w:pPr>
      <w:r w:rsidRPr="00B34EE7">
        <w:rPr>
          <w:b/>
        </w:rPr>
        <w:t>Health Star Rating</w:t>
      </w:r>
      <w:r w:rsidRPr="00B34EE7">
        <w:t xml:space="preserve"> – an overall evaluation of the food based on its nutrient profile, presented as a</w:t>
      </w:r>
      <w:r>
        <w:t xml:space="preserve"> star rating graphic and </w:t>
      </w:r>
      <w:r w:rsidR="00D20DA9">
        <w:t>numeric</w:t>
      </w:r>
    </w:p>
    <w:p w:rsidR="00AE3196" w:rsidRPr="00AE3196" w:rsidRDefault="00AE3196" w:rsidP="00AE3196">
      <w:pPr>
        <w:rPr>
          <w:lang w:bidi="ar-SA"/>
        </w:rPr>
      </w:pPr>
    </w:p>
    <w:p w:rsidR="00D20DA9" w:rsidRDefault="00A93994" w:rsidP="00143783">
      <w:pPr>
        <w:pStyle w:val="FSBullet1"/>
      </w:pPr>
      <w:r w:rsidRPr="00D20DA9">
        <w:rPr>
          <w:b/>
        </w:rPr>
        <w:t>Energy Declaration</w:t>
      </w:r>
      <w:r w:rsidRPr="00B34EE7">
        <w:t xml:space="preserve"> – the energy content of the food on a per 100</w:t>
      </w:r>
      <w:r w:rsidR="00D20DA9">
        <w:t xml:space="preserve"> </w:t>
      </w:r>
      <w:r w:rsidRPr="00B34EE7">
        <w:t>g or 100</w:t>
      </w:r>
      <w:r w:rsidR="00D20DA9">
        <w:t xml:space="preserve"> </w:t>
      </w:r>
      <w:r w:rsidR="0054593A">
        <w:t>mL</w:t>
      </w:r>
      <w:r w:rsidRPr="00B34EE7">
        <w:t xml:space="preserve"> basis or per pack when pre</w:t>
      </w:r>
      <w:r w:rsidR="009B30B0">
        <w:t>sented as a single serve</w:t>
      </w:r>
      <w:r w:rsidR="00D20DA9">
        <w:t xml:space="preserve"> package intended for consumption in a single sitting</w:t>
      </w:r>
      <w:r w:rsidR="009B30B0">
        <w:t>,</w:t>
      </w:r>
      <w:r w:rsidRPr="00B34EE7">
        <w:t xml:space="preserve"> or </w:t>
      </w:r>
      <w:r w:rsidR="00D20DA9">
        <w:t xml:space="preserve">per reference portion (such as per single pack, per bottle) when presented as part of a multipack </w:t>
      </w:r>
    </w:p>
    <w:p w:rsidR="00AE3196" w:rsidRPr="00AE3196" w:rsidRDefault="00AE3196" w:rsidP="00AE3196">
      <w:pPr>
        <w:rPr>
          <w:lang w:bidi="ar-SA"/>
        </w:rPr>
      </w:pPr>
    </w:p>
    <w:p w:rsidR="00A93994" w:rsidRDefault="00A93994" w:rsidP="00143783">
      <w:pPr>
        <w:pStyle w:val="FSBullet1"/>
      </w:pPr>
      <w:r w:rsidRPr="00D20DA9">
        <w:rPr>
          <w:b/>
        </w:rPr>
        <w:t>Nutrient content declarations</w:t>
      </w:r>
      <w:r w:rsidR="00B811C7">
        <w:t xml:space="preserve"> – i</w:t>
      </w:r>
      <w:r w:rsidRPr="00B34EE7">
        <w:t>ndividual label icons indicating the amount of prescribed nutrients per 100</w:t>
      </w:r>
      <w:r w:rsidR="003A31B3">
        <w:t xml:space="preserve"> </w:t>
      </w:r>
      <w:r w:rsidRPr="00B34EE7">
        <w:t>g or 100</w:t>
      </w:r>
      <w:r w:rsidR="003A31B3">
        <w:t xml:space="preserve"> </w:t>
      </w:r>
      <w:r w:rsidR="0054593A">
        <w:t>mL</w:t>
      </w:r>
      <w:r w:rsidRPr="00B34EE7">
        <w:t xml:space="preserve"> basis or per pack when presented as a single serve package or packages with discrete portions.</w:t>
      </w:r>
    </w:p>
    <w:p w:rsidR="00A93994" w:rsidRPr="00B34EE7" w:rsidRDefault="00A93994" w:rsidP="00A93994"/>
    <w:p w:rsidR="00A93994" w:rsidRDefault="00A93994" w:rsidP="003F6567">
      <w:pPr>
        <w:pStyle w:val="FSBullet1"/>
        <w:numPr>
          <w:ilvl w:val="0"/>
          <w:numId w:val="0"/>
        </w:numPr>
      </w:pPr>
      <w:r w:rsidRPr="00B34EE7">
        <w:t>The HSR</w:t>
      </w:r>
      <w:r w:rsidR="00D20DA9">
        <w:t xml:space="preserve"> System</w:t>
      </w:r>
      <w:r w:rsidRPr="00B34EE7">
        <w:t xml:space="preserve"> is designed to assist consumers to discriminate between foods in the same food category and to compare foods across different food categories, with a possibility of 10 different star ratings ranging from ½ star (least healthy) to 5 stars (most healthy).</w:t>
      </w:r>
      <w:r w:rsidR="00D20DA9">
        <w:t xml:space="preserve"> The HSR S</w:t>
      </w:r>
      <w:r w:rsidR="00D20DA9" w:rsidRPr="00B34EE7">
        <w:t xml:space="preserve">ystem is </w:t>
      </w:r>
      <w:r w:rsidR="00D20DA9" w:rsidRPr="00D20DA9">
        <w:t>not designed</w:t>
      </w:r>
      <w:r w:rsidR="00D20DA9" w:rsidRPr="00B34EE7">
        <w:t xml:space="preserve"> to give information on the quantity of each food t</w:t>
      </w:r>
      <w:r w:rsidR="00D20DA9">
        <w:t>o be consumed in a healthy diet.</w:t>
      </w:r>
    </w:p>
    <w:p w:rsidR="00D20DA9" w:rsidRDefault="00D20DA9" w:rsidP="00D20DA9">
      <w:pPr>
        <w:rPr>
          <w:lang w:bidi="ar-SA"/>
        </w:rPr>
      </w:pPr>
    </w:p>
    <w:p w:rsidR="00D20DA9" w:rsidRDefault="00D20DA9" w:rsidP="00143783">
      <w:pPr>
        <w:ind w:right="-286"/>
        <w:rPr>
          <w:lang w:bidi="ar-SA"/>
        </w:rPr>
      </w:pPr>
      <w:r>
        <w:rPr>
          <w:lang w:bidi="ar-SA"/>
        </w:rPr>
        <w:t>The full HSR System graphic consists of the Health Star Rating, the energy icon, three prescribed nutrient icons and one optional nutrient icon. Food businesses can determine whether to include all elements of the graphic or some of them.</w:t>
      </w:r>
      <w:r w:rsidR="001E7419">
        <w:rPr>
          <w:lang w:bidi="ar-SA"/>
        </w:rPr>
        <w:t xml:space="preserve"> Amounts of energy and nutrients are declared per 100 g/100 </w:t>
      </w:r>
      <w:r w:rsidR="0054593A">
        <w:rPr>
          <w:lang w:bidi="ar-SA"/>
        </w:rPr>
        <w:t>mL</w:t>
      </w:r>
      <w:r w:rsidR="003A31B3">
        <w:rPr>
          <w:lang w:bidi="ar-SA"/>
        </w:rPr>
        <w:t xml:space="preserve">, </w:t>
      </w:r>
      <w:r w:rsidR="001E7419">
        <w:rPr>
          <w:lang w:bidi="ar-SA"/>
        </w:rPr>
        <w:t>per pack</w:t>
      </w:r>
      <w:r w:rsidR="003A31B3">
        <w:rPr>
          <w:lang w:bidi="ar-SA"/>
        </w:rPr>
        <w:t xml:space="preserve"> or per in</w:t>
      </w:r>
      <w:r w:rsidR="009B30B0">
        <w:rPr>
          <w:lang w:bidi="ar-SA"/>
        </w:rPr>
        <w:t>dustry agreed standardised serving</w:t>
      </w:r>
      <w:r w:rsidR="003A31B3">
        <w:rPr>
          <w:lang w:bidi="ar-SA"/>
        </w:rPr>
        <w:t xml:space="preserve"> sizes. The reference amount is shown on the HSR graphic. As of </w:t>
      </w:r>
      <w:r w:rsidR="00172662">
        <w:rPr>
          <w:lang w:bidi="ar-SA"/>
        </w:rPr>
        <w:t>June</w:t>
      </w:r>
      <w:r w:rsidR="003A31B3">
        <w:rPr>
          <w:lang w:bidi="ar-SA"/>
        </w:rPr>
        <w:t xml:space="preserve"> 2014, only two food categories </w:t>
      </w:r>
      <w:r w:rsidR="00A207C0">
        <w:rPr>
          <w:lang w:bidi="ar-SA"/>
        </w:rPr>
        <w:t>have agreed serving</w:t>
      </w:r>
      <w:r w:rsidR="003A31B3">
        <w:rPr>
          <w:lang w:bidi="ar-SA"/>
        </w:rPr>
        <w:t xml:space="preserve"> sizes; beverages and chocolate/sugar confectionery. In </w:t>
      </w:r>
      <w:r w:rsidR="00A207C0">
        <w:rPr>
          <w:lang w:bidi="ar-SA"/>
        </w:rPr>
        <w:t>relation to beverages, for</w:t>
      </w:r>
      <w:r w:rsidR="003A31B3">
        <w:rPr>
          <w:lang w:bidi="ar-SA"/>
        </w:rPr>
        <w:t xml:space="preserve"> </w:t>
      </w:r>
      <w:r w:rsidR="00A207C0">
        <w:rPr>
          <w:lang w:bidi="ar-SA"/>
        </w:rPr>
        <w:t>packages</w:t>
      </w:r>
      <w:r w:rsidR="003A31B3">
        <w:rPr>
          <w:lang w:bidi="ar-SA"/>
        </w:rPr>
        <w:t xml:space="preserve"> </w:t>
      </w:r>
      <w:r w:rsidR="00A207C0">
        <w:rPr>
          <w:lang w:bidi="ar-SA"/>
        </w:rPr>
        <w:t xml:space="preserve">containing </w:t>
      </w:r>
      <w:r w:rsidR="003A31B3">
        <w:rPr>
          <w:lang w:bidi="ar-SA"/>
        </w:rPr>
        <w:t>less than or equal to 600 mL</w:t>
      </w:r>
      <w:r w:rsidR="00A207C0">
        <w:rPr>
          <w:lang w:bidi="ar-SA"/>
        </w:rPr>
        <w:t xml:space="preserve">, the serving size </w:t>
      </w:r>
      <w:r w:rsidR="003A31B3">
        <w:rPr>
          <w:lang w:bidi="ar-SA"/>
        </w:rPr>
        <w:t xml:space="preserve">is the entire </w:t>
      </w:r>
      <w:r w:rsidR="00A207C0">
        <w:rPr>
          <w:lang w:bidi="ar-SA"/>
        </w:rPr>
        <w:t>package,</w:t>
      </w:r>
      <w:r w:rsidR="003A31B3">
        <w:rPr>
          <w:lang w:bidi="ar-SA"/>
        </w:rPr>
        <w:t xml:space="preserve"> while for </w:t>
      </w:r>
      <w:r w:rsidR="00A207C0">
        <w:rPr>
          <w:lang w:bidi="ar-SA"/>
        </w:rPr>
        <w:t>packages containing greater than 600 mL, the serving</w:t>
      </w:r>
      <w:r w:rsidR="00B811C7">
        <w:rPr>
          <w:lang w:bidi="ar-SA"/>
        </w:rPr>
        <w:t xml:space="preserve"> size is 250 mL. The serving</w:t>
      </w:r>
      <w:r w:rsidR="003A31B3">
        <w:rPr>
          <w:lang w:bidi="ar-SA"/>
        </w:rPr>
        <w:t xml:space="preserve"> size for chocolate/sugar confectionery is 25 g.</w:t>
      </w:r>
    </w:p>
    <w:p w:rsidR="003A31B3" w:rsidRDefault="003A31B3" w:rsidP="00D20DA9">
      <w:pPr>
        <w:rPr>
          <w:lang w:bidi="ar-SA"/>
        </w:rPr>
      </w:pPr>
    </w:p>
    <w:p w:rsidR="0066507C" w:rsidRDefault="003A31B3" w:rsidP="00D20DA9">
      <w:pPr>
        <w:rPr>
          <w:lang w:bidi="ar-SA"/>
        </w:rPr>
      </w:pPr>
      <w:r>
        <w:rPr>
          <w:lang w:bidi="ar-SA"/>
        </w:rPr>
        <w:t>Under the HSR System, %DI information can only be included in</w:t>
      </w:r>
      <w:r w:rsidR="00172662">
        <w:rPr>
          <w:lang w:bidi="ar-SA"/>
        </w:rPr>
        <w:t xml:space="preserve"> the graphic for energy and only when the amount of energy is given per pack (not per 100 g/100 mL). In addition, when %DI information is provided, %DI information for energy and all mandated nutrients</w:t>
      </w:r>
      <w:r w:rsidR="00034A9F">
        <w:rPr>
          <w:lang w:bidi="ar-SA"/>
        </w:rPr>
        <w:t xml:space="preserve"> (protein, fat, saturated fat, carbohydrate, sugars, </w:t>
      </w:r>
      <w:proofErr w:type="gramStart"/>
      <w:r w:rsidR="00034A9F">
        <w:rPr>
          <w:lang w:bidi="ar-SA"/>
        </w:rPr>
        <w:t>sodium</w:t>
      </w:r>
      <w:proofErr w:type="gramEnd"/>
      <w:r w:rsidR="00034A9F">
        <w:rPr>
          <w:lang w:bidi="ar-SA"/>
        </w:rPr>
        <w:t>)</w:t>
      </w:r>
      <w:r w:rsidR="00172662">
        <w:rPr>
          <w:lang w:bidi="ar-SA"/>
        </w:rPr>
        <w:t xml:space="preserve"> must </w:t>
      </w:r>
      <w:r w:rsidR="00595A0C">
        <w:rPr>
          <w:lang w:bidi="ar-SA"/>
        </w:rPr>
        <w:t>be</w:t>
      </w:r>
      <w:r w:rsidR="00172662">
        <w:rPr>
          <w:lang w:bidi="ar-SA"/>
        </w:rPr>
        <w:t xml:space="preserve"> included in the NIP. Although not specifically mentioned in the HSR System Style Guide</w:t>
      </w:r>
      <w:r w:rsidR="00172662">
        <w:rPr>
          <w:rStyle w:val="FootnoteReference"/>
          <w:lang w:bidi="ar-SA"/>
        </w:rPr>
        <w:footnoteReference w:id="15"/>
      </w:r>
      <w:r w:rsidR="00172662">
        <w:rPr>
          <w:lang w:bidi="ar-SA"/>
        </w:rPr>
        <w:t>, presumably %DI for energy could also be provided on packages</w:t>
      </w:r>
      <w:r w:rsidR="009B30B0">
        <w:rPr>
          <w:lang w:bidi="ar-SA"/>
        </w:rPr>
        <w:t xml:space="preserve"> using the industry agreed serving</w:t>
      </w:r>
      <w:r w:rsidR="00172662">
        <w:rPr>
          <w:lang w:bidi="ar-SA"/>
        </w:rPr>
        <w:t xml:space="preserve"> size as the reference value stated in the graphic.</w:t>
      </w:r>
    </w:p>
    <w:p w:rsidR="0066507C" w:rsidRDefault="006966B2" w:rsidP="0066507C">
      <w:pPr>
        <w:pStyle w:val="Heading2"/>
      </w:pPr>
      <w:bookmarkStart w:id="62" w:name="_Toc405365750"/>
      <w:r>
        <w:t>8</w:t>
      </w:r>
      <w:r w:rsidR="0066507C">
        <w:t>.3</w:t>
      </w:r>
      <w:r w:rsidR="0066507C">
        <w:tab/>
        <w:t>Recommendation 17 and front-of-pack labelling</w:t>
      </w:r>
      <w:bookmarkEnd w:id="62"/>
    </w:p>
    <w:p w:rsidR="00477856" w:rsidRDefault="00477856" w:rsidP="00D20DA9">
      <w:pPr>
        <w:rPr>
          <w:lang w:bidi="ar-SA"/>
        </w:rPr>
      </w:pPr>
      <w:r>
        <w:rPr>
          <w:lang w:bidi="ar-SA"/>
        </w:rPr>
        <w:t>Under the proposed approach for Recommendation 17, if %DI values are used in the NIP, the inclusion of per serving inf</w:t>
      </w:r>
      <w:r w:rsidR="00A1630C">
        <w:rPr>
          <w:lang w:bidi="ar-SA"/>
        </w:rPr>
        <w:t xml:space="preserve">ormation would be mandatory. </w:t>
      </w:r>
      <w:r w:rsidR="00270B3C">
        <w:rPr>
          <w:lang w:bidi="ar-SA"/>
        </w:rPr>
        <w:t xml:space="preserve">DIG </w:t>
      </w:r>
      <w:r>
        <w:rPr>
          <w:lang w:bidi="ar-SA"/>
        </w:rPr>
        <w:t>front-of-pack labelling</w:t>
      </w:r>
      <w:r w:rsidR="00270B3C">
        <w:rPr>
          <w:lang w:bidi="ar-SA"/>
        </w:rPr>
        <w:t xml:space="preserve"> requires the inc</w:t>
      </w:r>
      <w:r>
        <w:rPr>
          <w:lang w:bidi="ar-SA"/>
        </w:rPr>
        <w:t>lusion of %DI values in the NIP</w:t>
      </w:r>
      <w:r w:rsidR="00A1630C">
        <w:rPr>
          <w:lang w:bidi="ar-SA"/>
        </w:rPr>
        <w:t xml:space="preserve">. This means that if Recommendation 17 was implemented per serving information would always be included in the NIP where DIG is </w:t>
      </w:r>
      <w:r w:rsidR="00743BCC">
        <w:rPr>
          <w:lang w:bidi="ar-SA"/>
        </w:rPr>
        <w:t xml:space="preserve">voluntarily </w:t>
      </w:r>
      <w:r w:rsidR="00A1630C">
        <w:rPr>
          <w:lang w:bidi="ar-SA"/>
        </w:rPr>
        <w:t>used.</w:t>
      </w:r>
      <w:r>
        <w:rPr>
          <w:lang w:bidi="ar-SA"/>
        </w:rPr>
        <w:t xml:space="preserve"> </w:t>
      </w:r>
      <w:r w:rsidR="00270B3C">
        <w:rPr>
          <w:lang w:bidi="ar-SA"/>
        </w:rPr>
        <w:t xml:space="preserve"> </w:t>
      </w:r>
    </w:p>
    <w:p w:rsidR="00477856" w:rsidRDefault="00477856" w:rsidP="00D20DA9">
      <w:pPr>
        <w:rPr>
          <w:lang w:bidi="ar-SA"/>
        </w:rPr>
      </w:pPr>
    </w:p>
    <w:p w:rsidR="00AE3196" w:rsidRDefault="00270B3C" w:rsidP="00D20DA9">
      <w:pPr>
        <w:rPr>
          <w:lang w:bidi="ar-SA"/>
        </w:rPr>
      </w:pPr>
      <w:r w:rsidRPr="007C3AAB">
        <w:rPr>
          <w:lang w:bidi="ar-SA"/>
        </w:rPr>
        <w:t>In relation to the use of the HSR System, if the inclusion of per serving information in the NIP was voluntary, then situations could arise where amounts of energy, saturated fat, sugars and sodium are presented per pack (i.e. per serving)</w:t>
      </w:r>
      <w:r w:rsidR="00C231CD" w:rsidRPr="007C3AAB">
        <w:rPr>
          <w:lang w:bidi="ar-SA"/>
        </w:rPr>
        <w:t xml:space="preserve"> or per industry agreed serving size</w:t>
      </w:r>
      <w:r w:rsidRPr="007C3AAB">
        <w:rPr>
          <w:lang w:bidi="ar-SA"/>
        </w:rPr>
        <w:t xml:space="preserve"> in the HSR graphic, </w:t>
      </w:r>
      <w:r w:rsidR="00C231CD" w:rsidRPr="007C3AAB">
        <w:rPr>
          <w:lang w:bidi="ar-SA"/>
        </w:rPr>
        <w:t>but not be available</w:t>
      </w:r>
      <w:r w:rsidR="00A2472D" w:rsidRPr="007C3AAB">
        <w:rPr>
          <w:lang w:bidi="ar-SA"/>
        </w:rPr>
        <w:t xml:space="preserve"> per serving</w:t>
      </w:r>
      <w:r w:rsidR="00C231CD" w:rsidRPr="007C3AAB">
        <w:rPr>
          <w:lang w:bidi="ar-SA"/>
        </w:rPr>
        <w:t xml:space="preserve"> in the NIP</w:t>
      </w:r>
      <w:r w:rsidR="00A2472D" w:rsidRPr="007C3AAB">
        <w:rPr>
          <w:lang w:bidi="ar-SA"/>
        </w:rPr>
        <w:t xml:space="preserve">. </w:t>
      </w:r>
      <w:r w:rsidR="00AE3196">
        <w:rPr>
          <w:lang w:bidi="ar-SA"/>
        </w:rPr>
        <w:br w:type="page"/>
      </w:r>
    </w:p>
    <w:p w:rsidR="00270B3C" w:rsidRPr="00D20DA9" w:rsidRDefault="00A2472D" w:rsidP="00D20DA9">
      <w:pPr>
        <w:rPr>
          <w:lang w:bidi="ar-SA"/>
        </w:rPr>
      </w:pPr>
      <w:r w:rsidRPr="007C3AAB">
        <w:rPr>
          <w:lang w:bidi="ar-SA"/>
        </w:rPr>
        <w:lastRenderedPageBreak/>
        <w:t xml:space="preserve">In this scenario, per serving amounts of the other </w:t>
      </w:r>
      <w:r w:rsidR="008205E1">
        <w:rPr>
          <w:lang w:bidi="ar-SA"/>
        </w:rPr>
        <w:t xml:space="preserve">(NIP) </w:t>
      </w:r>
      <w:r w:rsidRPr="007C3AAB">
        <w:rPr>
          <w:lang w:bidi="ar-SA"/>
        </w:rPr>
        <w:t xml:space="preserve">mandated nutrients would also </w:t>
      </w:r>
      <w:r w:rsidR="000F28BB">
        <w:rPr>
          <w:lang w:bidi="ar-SA"/>
        </w:rPr>
        <w:t xml:space="preserve">not </w:t>
      </w:r>
      <w:r w:rsidRPr="007C3AAB">
        <w:rPr>
          <w:lang w:bidi="ar-SA"/>
        </w:rPr>
        <w:t>be included in the NIP</w:t>
      </w:r>
      <w:r w:rsidR="00C231CD" w:rsidRPr="007C3AAB">
        <w:rPr>
          <w:lang w:bidi="ar-SA"/>
        </w:rPr>
        <w:t xml:space="preserve">. Whether such a </w:t>
      </w:r>
      <w:r w:rsidR="00E46064" w:rsidRPr="007C3AAB">
        <w:rPr>
          <w:lang w:bidi="ar-SA"/>
        </w:rPr>
        <w:t>scenario</w:t>
      </w:r>
      <w:r w:rsidR="00C231CD" w:rsidRPr="007C3AAB">
        <w:rPr>
          <w:lang w:bidi="ar-SA"/>
        </w:rPr>
        <w:t xml:space="preserve"> is problematic for consumers </w:t>
      </w:r>
      <w:r w:rsidR="008D16D2" w:rsidRPr="007C3AAB">
        <w:rPr>
          <w:lang w:bidi="ar-SA"/>
        </w:rPr>
        <w:t>could</w:t>
      </w:r>
      <w:r w:rsidR="00C231CD" w:rsidRPr="007C3AAB">
        <w:rPr>
          <w:lang w:bidi="ar-SA"/>
        </w:rPr>
        <w:t xml:space="preserve"> be considered in any further work on Recommendation 17.</w:t>
      </w:r>
    </w:p>
    <w:p w:rsidR="00B10758" w:rsidRPr="00D43B3C" w:rsidRDefault="006966B2" w:rsidP="00D43B3C">
      <w:pPr>
        <w:pStyle w:val="Heading1"/>
      </w:pPr>
      <w:bookmarkStart w:id="63" w:name="_Toc405365751"/>
      <w:r>
        <w:t>9</w:t>
      </w:r>
      <w:r w:rsidR="00F86AB3">
        <w:tab/>
        <w:t>Other projects in Australia and New Zealand related to serving size</w:t>
      </w:r>
      <w:bookmarkEnd w:id="63"/>
    </w:p>
    <w:p w:rsidR="008F29D4" w:rsidRDefault="00CA55F0" w:rsidP="008F29D4">
      <w:r>
        <w:t>In New Zealand</w:t>
      </w:r>
      <w:r w:rsidR="003542CB">
        <w:t>,</w:t>
      </w:r>
      <w:r>
        <w:t xml:space="preserve"> the Ministry of Health is reviewing serving sizes used in its series of</w:t>
      </w:r>
      <w:r w:rsidR="008F29D4" w:rsidRPr="00C73387">
        <w:t xml:space="preserve"> </w:t>
      </w:r>
      <w:r w:rsidR="008F29D4" w:rsidRPr="00C73387">
        <w:rPr>
          <w:i/>
        </w:rPr>
        <w:t>Food and Nutrition Guidelines</w:t>
      </w:r>
      <w:r w:rsidR="008F29D4" w:rsidRPr="00C73387">
        <w:t xml:space="preserve"> f</w:t>
      </w:r>
      <w:r w:rsidR="008F29D4">
        <w:t>or different population groups.</w:t>
      </w:r>
      <w:r w:rsidR="008F29D4" w:rsidRPr="00C73387">
        <w:t xml:space="preserve"> </w:t>
      </w:r>
      <w:r w:rsidRPr="00C73387">
        <w:t>The guidelines and related resources support policy makers, health practitioners, educators, health promoters and consumers to promo</w:t>
      </w:r>
      <w:r>
        <w:t>te and consume a healthy diet</w:t>
      </w:r>
      <w:r w:rsidR="008F29D4">
        <w:t xml:space="preserve">. </w:t>
      </w:r>
      <w:r w:rsidR="008F29D4" w:rsidRPr="00C73387">
        <w:t>Current New Zealand serving sizes</w:t>
      </w:r>
      <w:r w:rsidR="00A1630C">
        <w:t xml:space="preserve"> used in the guidelines</w:t>
      </w:r>
      <w:r w:rsidR="008F29D4" w:rsidRPr="00C73387">
        <w:t xml:space="preserve"> were developed in the 1990s</w:t>
      </w:r>
      <w:r w:rsidR="00620BFA">
        <w:t>. The Ministry of Health conside</w:t>
      </w:r>
      <w:r w:rsidR="00B621C8">
        <w:t>rs</w:t>
      </w:r>
      <w:r w:rsidR="008F29D4" w:rsidRPr="00C73387">
        <w:t xml:space="preserve"> </w:t>
      </w:r>
      <w:r w:rsidR="00620BFA">
        <w:t>there is a</w:t>
      </w:r>
      <w:r w:rsidR="008F29D4" w:rsidRPr="00C73387">
        <w:t xml:space="preserve"> need to </w:t>
      </w:r>
      <w:r w:rsidR="00B621C8">
        <w:t>update serving sizes</w:t>
      </w:r>
      <w:r w:rsidR="008F29D4" w:rsidRPr="00C73387">
        <w:t xml:space="preserve"> to reflect the development of new nutrient requirements, </w:t>
      </w:r>
      <w:r w:rsidR="00B621C8" w:rsidRPr="00C73387">
        <w:t>changes in eating patterns</w:t>
      </w:r>
      <w:r w:rsidR="00B621C8">
        <w:t xml:space="preserve"> and </w:t>
      </w:r>
      <w:r w:rsidR="00B621C8" w:rsidRPr="00C73387">
        <w:t>New Zealand’s cultural make-up</w:t>
      </w:r>
      <w:r w:rsidR="00B621C8">
        <w:t>, and to support education initiatives focussed on choosing</w:t>
      </w:r>
      <w:r w:rsidR="008F29D4" w:rsidRPr="00C73387">
        <w:t xml:space="preserve"> optimal diets for health and wellbeing</w:t>
      </w:r>
      <w:r w:rsidR="00B621C8">
        <w:t>.</w:t>
      </w:r>
      <w:r w:rsidR="008F29D4" w:rsidRPr="00C73387">
        <w:t xml:space="preserve"> </w:t>
      </w:r>
    </w:p>
    <w:p w:rsidR="00CA55F0" w:rsidRDefault="00CA55F0" w:rsidP="008F29D4"/>
    <w:p w:rsidR="003C5A33" w:rsidRDefault="003C5A33" w:rsidP="008F29D4">
      <w:r>
        <w:t>The Food and Health Dialogue (the Dialogue)</w:t>
      </w:r>
      <w:r>
        <w:rPr>
          <w:rStyle w:val="FootnoteReference"/>
          <w:lang w:val="en"/>
        </w:rPr>
        <w:footnoteReference w:id="16"/>
      </w:r>
      <w:r>
        <w:t xml:space="preserve"> was established in March 2009 by the Australian Government with the primary focus being food innovation. This includes a voluntary reformulation program to reduce the salt, added sugar, saturated fat and energy, and increase the fibre, wholegrain, fruit and vegetable content of commonly consumed foods. The future of the Dialogue is currently being considered by the Government, including possible activities aimed at broadening the focus </w:t>
      </w:r>
      <w:r w:rsidR="00A1630C">
        <w:t>of the Dialogue to include serving</w:t>
      </w:r>
      <w:r>
        <w:t xml:space="preserve"> size</w:t>
      </w:r>
      <w:r w:rsidR="00A1630C">
        <w:t xml:space="preserve"> used on food labels</w:t>
      </w:r>
      <w:r>
        <w:t xml:space="preserve"> and physical activity. </w:t>
      </w:r>
    </w:p>
    <w:p w:rsidR="00567B96" w:rsidRDefault="006966B2" w:rsidP="00023B05">
      <w:pPr>
        <w:pStyle w:val="Heading1"/>
      </w:pPr>
      <w:bookmarkStart w:id="64" w:name="_Toc405365752"/>
      <w:r>
        <w:t>10</w:t>
      </w:r>
      <w:r w:rsidR="00023B05">
        <w:tab/>
      </w:r>
      <w:r w:rsidR="00220CDC">
        <w:t>Advantages and disadvantages</w:t>
      </w:r>
      <w:r w:rsidR="00567B96">
        <w:t xml:space="preserve"> of </w:t>
      </w:r>
      <w:r w:rsidR="00A1630C">
        <w:t>Recommendation 17</w:t>
      </w:r>
      <w:bookmarkEnd w:id="64"/>
    </w:p>
    <w:p w:rsidR="000402EB" w:rsidRDefault="000402EB" w:rsidP="000402EB">
      <w:pPr>
        <w:rPr>
          <w:lang w:bidi="ar-SA"/>
        </w:rPr>
      </w:pPr>
      <w:r>
        <w:rPr>
          <w:lang w:bidi="ar-SA"/>
        </w:rPr>
        <w:t>We are interested to know what</w:t>
      </w:r>
      <w:r w:rsidR="001A720D">
        <w:rPr>
          <w:lang w:bidi="ar-SA"/>
        </w:rPr>
        <w:t xml:space="preserve"> food businesses, enforcement agencies</w:t>
      </w:r>
      <w:r>
        <w:rPr>
          <w:lang w:bidi="ar-SA"/>
        </w:rPr>
        <w:t>, consumer</w:t>
      </w:r>
      <w:r w:rsidR="00A645ED">
        <w:rPr>
          <w:lang w:bidi="ar-SA"/>
        </w:rPr>
        <w:t>s</w:t>
      </w:r>
      <w:r>
        <w:rPr>
          <w:lang w:bidi="ar-SA"/>
        </w:rPr>
        <w:t xml:space="preserve"> and public health </w:t>
      </w:r>
      <w:r w:rsidR="00A645ED">
        <w:rPr>
          <w:lang w:bidi="ar-SA"/>
        </w:rPr>
        <w:t>professionals</w:t>
      </w:r>
      <w:r>
        <w:rPr>
          <w:lang w:bidi="ar-SA"/>
        </w:rPr>
        <w:t xml:space="preserve"> </w:t>
      </w:r>
      <w:r w:rsidR="001A720D">
        <w:rPr>
          <w:lang w:bidi="ar-SA"/>
        </w:rPr>
        <w:t xml:space="preserve">think are advantages and disadvantages of </w:t>
      </w:r>
      <w:r w:rsidR="00A1630C">
        <w:rPr>
          <w:lang w:bidi="ar-SA"/>
        </w:rPr>
        <w:t>removing the mandatory requirement for</w:t>
      </w:r>
      <w:r w:rsidR="00B633B6">
        <w:rPr>
          <w:lang w:bidi="ar-SA"/>
        </w:rPr>
        <w:t xml:space="preserve"> </w:t>
      </w:r>
      <w:r w:rsidR="001A720D">
        <w:rPr>
          <w:lang w:bidi="ar-SA"/>
        </w:rPr>
        <w:t xml:space="preserve">per serving information in the NIP. </w:t>
      </w:r>
    </w:p>
    <w:p w:rsidR="00BC70F9" w:rsidRDefault="00BC70F9" w:rsidP="000402EB">
      <w:pPr>
        <w:rPr>
          <w:lang w:bidi="ar-SA"/>
        </w:rPr>
      </w:pPr>
    </w:p>
    <w:p w:rsidR="00BC70F9" w:rsidRPr="00E15563" w:rsidRDefault="00E15563" w:rsidP="000402EB">
      <w:pPr>
        <w:rPr>
          <w:lang w:val="en-US"/>
        </w:rPr>
      </w:pPr>
      <w:r w:rsidRPr="005718FB">
        <w:rPr>
          <w:lang w:bidi="ar-SA"/>
        </w:rPr>
        <w:t xml:space="preserve">As noted in Section 1.2 of this report, the Forum </w:t>
      </w:r>
      <w:proofErr w:type="spellStart"/>
      <w:r w:rsidRPr="005718FB">
        <w:rPr>
          <w:lang w:val="en-US"/>
        </w:rPr>
        <w:t>recognised</w:t>
      </w:r>
      <w:proofErr w:type="spellEnd"/>
      <w:r w:rsidRPr="005718FB">
        <w:rPr>
          <w:lang w:val="en-US"/>
        </w:rPr>
        <w:t xml:space="preserve"> that food labels are a finite space for providing information to consumers and that Recommendation 17 aims to simplify the requirements for consumers and reduce the regulatory burden on industry. We invite submitters to provide comment on these </w:t>
      </w:r>
      <w:r w:rsidR="00BF23DA" w:rsidRPr="005718FB">
        <w:rPr>
          <w:lang w:val="en-US"/>
        </w:rPr>
        <w:t>points</w:t>
      </w:r>
      <w:r w:rsidRPr="005718FB">
        <w:rPr>
          <w:lang w:val="en-US"/>
        </w:rPr>
        <w:t xml:space="preserve"> under Question 8 given below.</w:t>
      </w:r>
    </w:p>
    <w:p w:rsidR="000402EB" w:rsidRPr="000402EB" w:rsidRDefault="000402EB" w:rsidP="000402EB">
      <w:pPr>
        <w:rPr>
          <w:lang w:bidi="ar-SA"/>
        </w:rPr>
      </w:pPr>
    </w:p>
    <w:tbl>
      <w:tblPr>
        <w:tblStyle w:val="TableGrid"/>
        <w:tblW w:w="0" w:type="auto"/>
        <w:tblLook w:val="04A0" w:firstRow="1" w:lastRow="0" w:firstColumn="1" w:lastColumn="0" w:noHBand="0" w:noVBand="1"/>
      </w:tblPr>
      <w:tblGrid>
        <w:gridCol w:w="9286"/>
      </w:tblGrid>
      <w:tr w:rsidR="00567B96" w:rsidTr="00CA55F0">
        <w:tc>
          <w:tcPr>
            <w:tcW w:w="9286" w:type="dxa"/>
            <w:shd w:val="clear" w:color="auto" w:fill="D9D9D9" w:themeFill="background1" w:themeFillShade="D9"/>
          </w:tcPr>
          <w:p w:rsidR="00567B96" w:rsidRPr="00A94EBA" w:rsidRDefault="00567B96" w:rsidP="00CA55F0">
            <w:pPr>
              <w:rPr>
                <w:rFonts w:cs="Arial"/>
                <w:b/>
                <w:szCs w:val="22"/>
              </w:rPr>
            </w:pPr>
            <w:r w:rsidRPr="00A94EBA">
              <w:rPr>
                <w:rFonts w:cs="Arial"/>
                <w:b/>
                <w:szCs w:val="22"/>
              </w:rPr>
              <w:t>Question for Submitters</w:t>
            </w:r>
          </w:p>
          <w:p w:rsidR="00567B96" w:rsidRPr="007A06C4" w:rsidRDefault="00567B96" w:rsidP="00CA55F0">
            <w:pPr>
              <w:rPr>
                <w:rFonts w:cs="Arial"/>
                <w:szCs w:val="22"/>
              </w:rPr>
            </w:pPr>
          </w:p>
          <w:p w:rsidR="00567B96" w:rsidRDefault="00953815" w:rsidP="00143783">
            <w:pPr>
              <w:ind w:left="567" w:hanging="567"/>
              <w:rPr>
                <w:rFonts w:cs="Arial"/>
              </w:rPr>
            </w:pPr>
            <w:r>
              <w:rPr>
                <w:rFonts w:cs="Arial"/>
                <w:szCs w:val="22"/>
              </w:rPr>
              <w:t>Q8</w:t>
            </w:r>
            <w:r w:rsidR="00567B96" w:rsidRPr="007A06C4">
              <w:rPr>
                <w:rFonts w:cs="Arial"/>
                <w:szCs w:val="22"/>
              </w:rPr>
              <w:tab/>
            </w:r>
            <w:r w:rsidR="00567B96">
              <w:rPr>
                <w:rFonts w:cs="Arial"/>
              </w:rPr>
              <w:t>From your perspective, what are the advantages and disadvantages of per serving</w:t>
            </w:r>
            <w:r w:rsidR="003542CB">
              <w:rPr>
                <w:rFonts w:cs="Arial"/>
              </w:rPr>
              <w:t xml:space="preserve"> </w:t>
            </w:r>
            <w:r w:rsidR="00567B96">
              <w:rPr>
                <w:rFonts w:cs="Arial"/>
              </w:rPr>
              <w:t>information in the nutrition information panel being voluntary? Please provide evidence where possible.</w:t>
            </w:r>
          </w:p>
          <w:p w:rsidR="00A1630C" w:rsidRDefault="00A1630C" w:rsidP="00CA55F0">
            <w:pPr>
              <w:rPr>
                <w:rFonts w:cs="Arial"/>
              </w:rPr>
            </w:pPr>
          </w:p>
          <w:p w:rsidR="00A1630C" w:rsidRDefault="00A1630C" w:rsidP="00143783">
            <w:pPr>
              <w:ind w:left="567" w:hanging="567"/>
              <w:rPr>
                <w:rFonts w:cs="Arial"/>
              </w:rPr>
            </w:pPr>
            <w:r>
              <w:rPr>
                <w:rFonts w:cs="Arial"/>
                <w:szCs w:val="22"/>
              </w:rPr>
              <w:t>Q9</w:t>
            </w:r>
            <w:r w:rsidRPr="007A06C4">
              <w:rPr>
                <w:rFonts w:cs="Arial"/>
                <w:szCs w:val="22"/>
              </w:rPr>
              <w:tab/>
            </w:r>
            <w:r>
              <w:rPr>
                <w:rFonts w:cs="Arial"/>
              </w:rPr>
              <w:t>Do you think the declaration of the amount of energy and nutrients per serving in the NIP should be voluntary? YES/NO/UNCERTAIN</w:t>
            </w:r>
          </w:p>
          <w:p w:rsidR="00A1630C" w:rsidRDefault="00A1630C" w:rsidP="00A1630C">
            <w:pPr>
              <w:rPr>
                <w:rFonts w:cs="Arial"/>
              </w:rPr>
            </w:pPr>
          </w:p>
          <w:p w:rsidR="00A1630C" w:rsidRDefault="00A1630C" w:rsidP="00A1630C">
            <w:pPr>
              <w:rPr>
                <w:rFonts w:cs="Arial"/>
              </w:rPr>
            </w:pPr>
            <w:r>
              <w:rPr>
                <w:rFonts w:cs="Arial"/>
              </w:rPr>
              <w:tab/>
              <w:t>Please give reasons and evidence to support your view.</w:t>
            </w:r>
          </w:p>
          <w:p w:rsidR="00A1630C" w:rsidRDefault="00A1630C" w:rsidP="00A1630C">
            <w:pPr>
              <w:rPr>
                <w:rFonts w:cs="Arial"/>
              </w:rPr>
            </w:pPr>
          </w:p>
          <w:p w:rsidR="00567B96" w:rsidRDefault="00A1630C" w:rsidP="00143783">
            <w:pPr>
              <w:ind w:left="567" w:hanging="567"/>
              <w:rPr>
                <w:rFonts w:cs="Arial"/>
                <w:szCs w:val="22"/>
              </w:rPr>
            </w:pPr>
            <w:r>
              <w:rPr>
                <w:rFonts w:cs="Arial"/>
              </w:rPr>
              <w:tab/>
              <w:t>If you are UNCERTAIN, please indicate what information you would need in order to form a view.</w:t>
            </w:r>
          </w:p>
        </w:tc>
      </w:tr>
    </w:tbl>
    <w:p w:rsidR="00023B05" w:rsidRDefault="006966B2" w:rsidP="00023B05">
      <w:pPr>
        <w:pStyle w:val="Heading1"/>
      </w:pPr>
      <w:bookmarkStart w:id="65" w:name="_Toc405365753"/>
      <w:r>
        <w:lastRenderedPageBreak/>
        <w:t>11</w:t>
      </w:r>
      <w:r w:rsidR="00567B96">
        <w:tab/>
      </w:r>
      <w:r w:rsidR="00023B05">
        <w:t>Next Steps</w:t>
      </w:r>
      <w:bookmarkEnd w:id="65"/>
    </w:p>
    <w:p w:rsidR="00B33E40" w:rsidRPr="00FF6C91" w:rsidRDefault="00B33E40" w:rsidP="00B33E40">
      <w:pPr>
        <w:rPr>
          <w:lang w:bidi="ar-SA"/>
        </w:rPr>
      </w:pPr>
      <w:r w:rsidRPr="00FF6C91">
        <w:rPr>
          <w:lang w:bidi="ar-SA"/>
        </w:rPr>
        <w:t xml:space="preserve">Following consideration of information and comments provided by submitters, FSANZ will prepare a report for the FSANZ Board. This report will </w:t>
      </w:r>
      <w:r>
        <w:rPr>
          <w:lang w:bidi="ar-SA"/>
        </w:rPr>
        <w:t>include relevant information and evidence, and present options for any further work on Recommendation 17</w:t>
      </w:r>
      <w:r w:rsidRPr="00FF6C91">
        <w:rPr>
          <w:lang w:bidi="ar-SA"/>
        </w:rPr>
        <w:t>, including whether a proposal will be prepared and/or whether further advice from the Forum will be sought.</w:t>
      </w:r>
    </w:p>
    <w:p w:rsidR="003B7A83" w:rsidRPr="00932F14" w:rsidRDefault="006966B2" w:rsidP="003B7A83">
      <w:pPr>
        <w:pStyle w:val="Heading1"/>
      </w:pPr>
      <w:bookmarkStart w:id="66" w:name="_Toc405365754"/>
      <w:r>
        <w:t>12</w:t>
      </w:r>
      <w:r w:rsidR="003B7A83">
        <w:tab/>
        <w:t>Questions for submitters</w:t>
      </w:r>
      <w:bookmarkEnd w:id="66"/>
    </w:p>
    <w:p w:rsidR="00A94EBA" w:rsidRDefault="00A94EBA" w:rsidP="00A94EBA">
      <w:pPr>
        <w:ind w:left="567" w:hanging="567"/>
        <w:rPr>
          <w:rFonts w:cs="Arial"/>
        </w:rPr>
      </w:pPr>
      <w:r>
        <w:rPr>
          <w:rFonts w:cs="Arial"/>
        </w:rPr>
        <w:t>Q1</w:t>
      </w:r>
      <w:r>
        <w:rPr>
          <w:rFonts w:cs="Arial"/>
        </w:rPr>
        <w:tab/>
      </w:r>
      <w:r w:rsidR="00567B96">
        <w:rPr>
          <w:rFonts w:cs="Arial"/>
        </w:rPr>
        <w:t>How do you or your organisation use per serving information in the nutrition information panel on food labels?</w:t>
      </w:r>
    </w:p>
    <w:p w:rsidR="00A94EBA" w:rsidRDefault="00A94EBA" w:rsidP="00A94EBA">
      <w:pPr>
        <w:ind w:left="567" w:hanging="567"/>
        <w:rPr>
          <w:rFonts w:cs="Arial"/>
        </w:rPr>
      </w:pPr>
    </w:p>
    <w:p w:rsidR="00A94EBA" w:rsidRDefault="00A94EBA" w:rsidP="00A94EBA">
      <w:pPr>
        <w:ind w:left="567" w:hanging="567"/>
        <w:rPr>
          <w:rFonts w:cs="Arial"/>
        </w:rPr>
      </w:pPr>
      <w:r>
        <w:rPr>
          <w:rFonts w:cs="Arial"/>
        </w:rPr>
        <w:t>Q2</w:t>
      </w:r>
      <w:r>
        <w:rPr>
          <w:rFonts w:cs="Arial"/>
        </w:rPr>
        <w:tab/>
      </w:r>
      <w:r w:rsidR="005718FB">
        <w:rPr>
          <w:rFonts w:cs="Arial"/>
        </w:rPr>
        <w:t>Are there any particular food categories or types of food packages (e.g. single serve packages) for which per serving information is particularly useful? If so, what are they? Explain why the information is useful.</w:t>
      </w:r>
    </w:p>
    <w:p w:rsidR="00A94EBA" w:rsidRDefault="00A94EBA" w:rsidP="00A94EBA">
      <w:pPr>
        <w:rPr>
          <w:rFonts w:cs="Arial"/>
        </w:rPr>
      </w:pPr>
    </w:p>
    <w:p w:rsidR="00567B96" w:rsidRDefault="00A94EBA" w:rsidP="00567B96">
      <w:pPr>
        <w:ind w:left="567" w:hanging="567"/>
        <w:rPr>
          <w:rFonts w:cs="Arial"/>
        </w:rPr>
      </w:pPr>
      <w:r>
        <w:rPr>
          <w:rFonts w:cs="Arial"/>
        </w:rPr>
        <w:t>Q3</w:t>
      </w:r>
      <w:r>
        <w:rPr>
          <w:rFonts w:cs="Arial"/>
        </w:rPr>
        <w:tab/>
      </w:r>
      <w:r w:rsidR="00567B96">
        <w:rPr>
          <w:rFonts w:cs="Arial"/>
        </w:rPr>
        <w:t xml:space="preserve">The Labelling Review recommendation suggests that per serving information be voluntary </w:t>
      </w:r>
      <w:r w:rsidR="00567B96" w:rsidRPr="004E4510">
        <w:rPr>
          <w:rFonts w:cs="Arial"/>
          <w:i/>
        </w:rPr>
        <w:t>unless a daily intake claim is made</w:t>
      </w:r>
      <w:r w:rsidR="00567B96">
        <w:rPr>
          <w:rFonts w:cs="Arial"/>
        </w:rPr>
        <w:t xml:space="preserve">. </w:t>
      </w:r>
    </w:p>
    <w:p w:rsidR="00567B96" w:rsidRDefault="00567B96" w:rsidP="00567B96">
      <w:pPr>
        <w:ind w:left="567" w:hanging="567"/>
        <w:rPr>
          <w:rFonts w:cs="Arial"/>
        </w:rPr>
      </w:pPr>
    </w:p>
    <w:p w:rsidR="00A94EBA" w:rsidRDefault="00306C24" w:rsidP="00CA55F0">
      <w:pPr>
        <w:ind w:left="567"/>
        <w:rPr>
          <w:rFonts w:cs="Arial"/>
        </w:rPr>
      </w:pPr>
      <w:r>
        <w:rPr>
          <w:rFonts w:cs="Arial"/>
        </w:rPr>
        <w:t xml:space="preserve">Do you </w:t>
      </w:r>
      <w:r w:rsidR="002E4B17">
        <w:rPr>
          <w:rFonts w:cs="Arial"/>
        </w:rPr>
        <w:t>support</w:t>
      </w:r>
      <w:r>
        <w:rPr>
          <w:rFonts w:cs="Arial"/>
        </w:rPr>
        <w:t xml:space="preserve"> this approach? That is, d</w:t>
      </w:r>
      <w:r w:rsidR="005718FB">
        <w:rPr>
          <w:rFonts w:cs="Arial"/>
        </w:rPr>
        <w:t xml:space="preserve">o you think </w:t>
      </w:r>
      <w:r w:rsidR="00567B96" w:rsidRPr="007A06C4">
        <w:rPr>
          <w:rFonts w:cs="Arial"/>
        </w:rPr>
        <w:t>declaration of per serving information in the nutrition information panel should be mandatory if a daily intake claim is made (e.g. %DI or %RDI)? Give reasons for your answer.</w:t>
      </w:r>
    </w:p>
    <w:p w:rsidR="00F91812" w:rsidRDefault="00F91812" w:rsidP="00A94EBA">
      <w:pPr>
        <w:ind w:left="567" w:hanging="567"/>
        <w:rPr>
          <w:rFonts w:cs="Arial"/>
        </w:rPr>
      </w:pPr>
    </w:p>
    <w:p w:rsidR="00F91812" w:rsidRDefault="00F91812" w:rsidP="000402EB">
      <w:pPr>
        <w:ind w:left="567" w:hanging="567"/>
        <w:rPr>
          <w:rFonts w:cs="Arial"/>
        </w:rPr>
      </w:pPr>
      <w:r>
        <w:rPr>
          <w:rFonts w:cs="Arial"/>
          <w:szCs w:val="22"/>
        </w:rPr>
        <w:t>Q4</w:t>
      </w:r>
      <w:r>
        <w:rPr>
          <w:rFonts w:cs="Arial"/>
          <w:szCs w:val="22"/>
        </w:rPr>
        <w:tab/>
      </w:r>
      <w:r w:rsidR="00491084">
        <w:rPr>
          <w:rFonts w:cs="Arial"/>
        </w:rPr>
        <w:t>As noted</w:t>
      </w:r>
      <w:r w:rsidR="00715A00">
        <w:rPr>
          <w:rFonts w:cs="Arial"/>
        </w:rPr>
        <w:t xml:space="preserve"> in Section 4, there is currently variation in the format of NIPs on food labels because of voluntary permissions for the use of %DI labelling and the option to include a third column for</w:t>
      </w:r>
      <w:r w:rsidR="00715A00">
        <w:rPr>
          <w:rFonts w:cs="Arial"/>
          <w:szCs w:val="22"/>
        </w:rPr>
        <w:t xml:space="preserve"> foods intended to be prepared or consumed with at least one other food. </w:t>
      </w:r>
      <w:r w:rsidR="00715A00">
        <w:rPr>
          <w:rFonts w:cs="Arial"/>
        </w:rPr>
        <w:t xml:space="preserve">If per serving information in the NIP was voluntary this would result in more variability in the format of NIPs across the food supply. Do you think this would be a problem? </w:t>
      </w:r>
      <w:proofErr w:type="gramStart"/>
      <w:r w:rsidR="00715A00">
        <w:rPr>
          <w:rFonts w:cs="Arial"/>
        </w:rPr>
        <w:t>Why/why not?</w:t>
      </w:r>
      <w:proofErr w:type="gramEnd"/>
    </w:p>
    <w:p w:rsidR="001A720D" w:rsidRDefault="001A720D" w:rsidP="000402EB">
      <w:pPr>
        <w:ind w:left="567" w:hanging="567"/>
        <w:rPr>
          <w:rFonts w:cs="Arial"/>
        </w:rPr>
      </w:pPr>
    </w:p>
    <w:p w:rsidR="000402EB" w:rsidRDefault="000402EB" w:rsidP="000402EB">
      <w:pPr>
        <w:ind w:left="567" w:hanging="567"/>
        <w:rPr>
          <w:rFonts w:cs="Arial"/>
          <w:szCs w:val="22"/>
        </w:rPr>
      </w:pPr>
      <w:r>
        <w:rPr>
          <w:rFonts w:cs="Arial"/>
          <w:szCs w:val="22"/>
        </w:rPr>
        <w:t>Q5</w:t>
      </w:r>
      <w:r w:rsidRPr="007A06C4">
        <w:rPr>
          <w:rFonts w:cs="Arial"/>
          <w:szCs w:val="22"/>
        </w:rPr>
        <w:tab/>
      </w:r>
      <w:r>
        <w:rPr>
          <w:rFonts w:cs="Arial"/>
          <w:szCs w:val="22"/>
        </w:rPr>
        <w:t>If per serving information in the nutrition information panel was voluntary,</w:t>
      </w:r>
      <w:r>
        <w:rPr>
          <w:rFonts w:cs="Arial"/>
        </w:rPr>
        <w:t xml:space="preserve"> do you think the inclusion of</w:t>
      </w:r>
      <w:r w:rsidRPr="007A06C4">
        <w:rPr>
          <w:rFonts w:cs="Arial"/>
        </w:rPr>
        <w:t xml:space="preserve"> per serving information in the nutrit</w:t>
      </w:r>
      <w:r>
        <w:rPr>
          <w:rFonts w:cs="Arial"/>
        </w:rPr>
        <w:t xml:space="preserve">ion information panel should be </w:t>
      </w:r>
      <w:r w:rsidRPr="007A06C4">
        <w:rPr>
          <w:rFonts w:cs="Arial"/>
        </w:rPr>
        <w:t xml:space="preserve">mandatory when a nutrition content claim about </w:t>
      </w:r>
      <w:r w:rsidR="00A83BB2">
        <w:rPr>
          <w:rFonts w:cs="Arial"/>
        </w:rPr>
        <w:t xml:space="preserve">vitamins, minerals, </w:t>
      </w:r>
      <w:r w:rsidRPr="007A06C4">
        <w:rPr>
          <w:rFonts w:cs="Arial"/>
        </w:rPr>
        <w:t>protein</w:t>
      </w:r>
      <w:r>
        <w:rPr>
          <w:rFonts w:cs="Arial"/>
        </w:rPr>
        <w:t>, omega-3-fatty acids</w:t>
      </w:r>
      <w:r w:rsidRPr="007A06C4">
        <w:rPr>
          <w:rFonts w:cs="Arial"/>
        </w:rPr>
        <w:t xml:space="preserve"> or dietary </w:t>
      </w:r>
      <w:r>
        <w:rPr>
          <w:rFonts w:cs="Arial"/>
        </w:rPr>
        <w:t>fibre is made?</w:t>
      </w:r>
      <w:r w:rsidRPr="007A06C4">
        <w:rPr>
          <w:rFonts w:cs="Arial"/>
        </w:rPr>
        <w:t xml:space="preserve"> Give reasons for your answer.</w:t>
      </w:r>
    </w:p>
    <w:p w:rsidR="000402EB" w:rsidRDefault="000402EB" w:rsidP="000402EB">
      <w:pPr>
        <w:ind w:left="567" w:hanging="567"/>
        <w:rPr>
          <w:rFonts w:cs="Arial"/>
          <w:szCs w:val="22"/>
        </w:rPr>
      </w:pPr>
    </w:p>
    <w:p w:rsidR="000402EB" w:rsidRDefault="000402EB" w:rsidP="000402EB">
      <w:pPr>
        <w:ind w:left="567" w:hanging="567"/>
        <w:rPr>
          <w:rFonts w:cs="Arial"/>
        </w:rPr>
      </w:pPr>
      <w:r>
        <w:rPr>
          <w:rFonts w:cs="Arial"/>
        </w:rPr>
        <w:t>Q6</w:t>
      </w:r>
      <w:r>
        <w:rPr>
          <w:rFonts w:cs="Arial"/>
        </w:rPr>
        <w:tab/>
      </w:r>
      <w:r>
        <w:rPr>
          <w:rFonts w:cs="Arial"/>
          <w:szCs w:val="22"/>
        </w:rPr>
        <w:t>If per serving information in the nutrition information panel was voluntary,</w:t>
      </w:r>
      <w:r>
        <w:rPr>
          <w:rFonts w:cs="Arial"/>
        </w:rPr>
        <w:t xml:space="preserve"> do you think the inclusion of per serving information in the NIP should be mandatory in any other specific regulatory situations? Explain </w:t>
      </w:r>
      <w:r w:rsidRPr="007A06C4">
        <w:rPr>
          <w:rFonts w:cs="Arial"/>
        </w:rPr>
        <w:t>your answer</w:t>
      </w:r>
    </w:p>
    <w:p w:rsidR="000402EB" w:rsidRDefault="000402EB" w:rsidP="000402EB">
      <w:pPr>
        <w:ind w:left="567" w:hanging="567"/>
        <w:rPr>
          <w:rFonts w:cs="Arial"/>
        </w:rPr>
      </w:pPr>
    </w:p>
    <w:p w:rsidR="00F91812" w:rsidRDefault="000402EB" w:rsidP="00A94EBA">
      <w:pPr>
        <w:ind w:left="567" w:hanging="567"/>
        <w:rPr>
          <w:rFonts w:cs="Arial"/>
        </w:rPr>
      </w:pPr>
      <w:r>
        <w:rPr>
          <w:rFonts w:cs="Arial"/>
        </w:rPr>
        <w:t>Q7</w:t>
      </w:r>
      <w:r w:rsidR="003A31B3">
        <w:rPr>
          <w:rFonts w:cs="Arial"/>
        </w:rPr>
        <w:tab/>
        <w:t xml:space="preserve">What </w:t>
      </w:r>
      <w:r>
        <w:rPr>
          <w:rFonts w:cs="Arial"/>
        </w:rPr>
        <w:t xml:space="preserve">additional </w:t>
      </w:r>
      <w:r w:rsidR="003A31B3">
        <w:rPr>
          <w:rFonts w:cs="Arial"/>
        </w:rPr>
        <w:t>studies examine consumer use and understanding of per serving information in the nutrition information panel on food labels? Please provide a copy of studies where possible.</w:t>
      </w:r>
    </w:p>
    <w:p w:rsidR="00A94EBA" w:rsidRDefault="00A94EBA" w:rsidP="000402EB">
      <w:pPr>
        <w:rPr>
          <w:rFonts w:cs="Arial"/>
        </w:rPr>
      </w:pPr>
    </w:p>
    <w:p w:rsidR="00A94EBA" w:rsidRDefault="000402EB" w:rsidP="00220CDC">
      <w:pPr>
        <w:ind w:left="567" w:hanging="567"/>
        <w:rPr>
          <w:rFonts w:cs="Arial"/>
        </w:rPr>
      </w:pPr>
      <w:r>
        <w:rPr>
          <w:rFonts w:cs="Arial"/>
          <w:szCs w:val="22"/>
        </w:rPr>
        <w:t>Q8</w:t>
      </w:r>
      <w:r w:rsidR="003A31B3" w:rsidRPr="007A06C4">
        <w:rPr>
          <w:rFonts w:cs="Arial"/>
          <w:szCs w:val="22"/>
        </w:rPr>
        <w:tab/>
      </w:r>
      <w:r w:rsidR="00322E34">
        <w:rPr>
          <w:rFonts w:cs="Arial"/>
        </w:rPr>
        <w:t>From your perspective, what are the advantages and disadvantages of per serving information in the nutrition information panel being voluntary</w:t>
      </w:r>
      <w:r w:rsidR="003A31B3">
        <w:rPr>
          <w:rFonts w:cs="Arial"/>
        </w:rPr>
        <w:t>? Please provide evidence where possible.</w:t>
      </w:r>
    </w:p>
    <w:p w:rsidR="00133D37" w:rsidRDefault="00133D37" w:rsidP="00220CDC">
      <w:pPr>
        <w:rPr>
          <w:rFonts w:cs="Arial"/>
        </w:rPr>
      </w:pPr>
    </w:p>
    <w:p w:rsidR="003A31B3" w:rsidRDefault="000402EB" w:rsidP="00CA55F0">
      <w:pPr>
        <w:ind w:left="567" w:hanging="567"/>
        <w:rPr>
          <w:rFonts w:cs="Arial"/>
        </w:rPr>
      </w:pPr>
      <w:r>
        <w:rPr>
          <w:rFonts w:cs="Arial"/>
          <w:szCs w:val="22"/>
        </w:rPr>
        <w:t>Q9</w:t>
      </w:r>
      <w:r w:rsidR="003A31B3" w:rsidRPr="007A06C4">
        <w:rPr>
          <w:rFonts w:cs="Arial"/>
          <w:szCs w:val="22"/>
        </w:rPr>
        <w:tab/>
      </w:r>
      <w:r w:rsidR="003A31B3">
        <w:rPr>
          <w:rFonts w:cs="Arial"/>
        </w:rPr>
        <w:t>Do you think the declaration of the amount of energy and nutrients per serving in the NIP should be voluntary? YES/NO/UNCERTAIN</w:t>
      </w:r>
    </w:p>
    <w:p w:rsidR="003A31B3" w:rsidRDefault="003A31B3" w:rsidP="003A31B3">
      <w:pPr>
        <w:rPr>
          <w:rFonts w:cs="Arial"/>
        </w:rPr>
      </w:pPr>
    </w:p>
    <w:p w:rsidR="00133D37" w:rsidRDefault="003A31B3" w:rsidP="00CA55F0">
      <w:pPr>
        <w:ind w:firstLine="567"/>
        <w:rPr>
          <w:rFonts w:cs="Arial"/>
        </w:rPr>
      </w:pPr>
      <w:r>
        <w:rPr>
          <w:rFonts w:cs="Arial"/>
        </w:rPr>
        <w:t>Please give reasons and evidence to support your view.</w:t>
      </w:r>
    </w:p>
    <w:p w:rsidR="001F1911" w:rsidRPr="00571D42" w:rsidRDefault="001F1911" w:rsidP="00AD0548">
      <w:pPr>
        <w:ind w:firstLine="567"/>
        <w:rPr>
          <w:rFonts w:cs="Arial"/>
          <w:szCs w:val="22"/>
        </w:rPr>
      </w:pPr>
      <w:r>
        <w:rPr>
          <w:rFonts w:cs="Arial"/>
        </w:rPr>
        <w:t xml:space="preserve">If you are UNCERTAIN, please indicate what information you would need in order to </w:t>
      </w:r>
      <w:r>
        <w:rPr>
          <w:rFonts w:cs="Arial"/>
        </w:rPr>
        <w:tab/>
        <w:t>form a view.</w:t>
      </w:r>
      <w:bookmarkStart w:id="67" w:name="_Toc300933452"/>
      <w:r>
        <w:br w:type="page"/>
      </w:r>
    </w:p>
    <w:p w:rsidR="00924C80" w:rsidRDefault="006966B2" w:rsidP="00E75054">
      <w:pPr>
        <w:pStyle w:val="Heading1"/>
      </w:pPr>
      <w:bookmarkStart w:id="68" w:name="_Toc405365755"/>
      <w:r>
        <w:lastRenderedPageBreak/>
        <w:t>13</w:t>
      </w:r>
      <w:r w:rsidR="00924C80" w:rsidRPr="00A443CF">
        <w:tab/>
        <w:t>R</w:t>
      </w:r>
      <w:bookmarkEnd w:id="67"/>
      <w:r w:rsidR="006C28E2" w:rsidRPr="00A443CF">
        <w:t>eferences</w:t>
      </w:r>
      <w:bookmarkEnd w:id="68"/>
    </w:p>
    <w:p w:rsidR="001A720D" w:rsidRPr="00AE3196" w:rsidRDefault="001A720D" w:rsidP="001A720D">
      <w:pPr>
        <w:pStyle w:val="NormalWeb"/>
        <w:rPr>
          <w:rFonts w:ascii="Arial" w:hAnsi="Arial" w:cs="Arial"/>
          <w:noProof/>
          <w:sz w:val="20"/>
          <w:szCs w:val="20"/>
        </w:rPr>
      </w:pPr>
      <w:r w:rsidRPr="00AE3196">
        <w:rPr>
          <w:rFonts w:ascii="Arial" w:hAnsi="Arial" w:cs="Arial"/>
          <w:noProof/>
          <w:sz w:val="20"/>
          <w:szCs w:val="20"/>
        </w:rPr>
        <w:t>Antonuk B</w:t>
      </w:r>
      <w:r w:rsidR="00434340" w:rsidRPr="00AE3196">
        <w:rPr>
          <w:rFonts w:ascii="Arial" w:hAnsi="Arial" w:cs="Arial"/>
          <w:noProof/>
          <w:sz w:val="20"/>
          <w:szCs w:val="20"/>
        </w:rPr>
        <w:t xml:space="preserve"> and</w:t>
      </w:r>
      <w:r w:rsidRPr="00AE3196">
        <w:rPr>
          <w:rFonts w:ascii="Arial" w:hAnsi="Arial" w:cs="Arial"/>
          <w:noProof/>
          <w:sz w:val="20"/>
          <w:szCs w:val="20"/>
        </w:rPr>
        <w:t xml:space="preserve"> Block LG (2006) The effect of single serving versus entire package nutritional information on consumption norms and actual consumption of a snack food. </w:t>
      </w:r>
      <w:r w:rsidRPr="00AE3196">
        <w:rPr>
          <w:rFonts w:ascii="Arial" w:hAnsi="Arial" w:cs="Arial"/>
          <w:iCs/>
          <w:noProof/>
          <w:sz w:val="20"/>
          <w:szCs w:val="20"/>
        </w:rPr>
        <w:t>Journal of nutrition education and behavior</w:t>
      </w:r>
      <w:r w:rsidRPr="00AE3196">
        <w:rPr>
          <w:rFonts w:ascii="Arial" w:hAnsi="Arial" w:cs="Arial"/>
          <w:noProof/>
          <w:sz w:val="20"/>
          <w:szCs w:val="20"/>
        </w:rPr>
        <w:t xml:space="preserve"> 38:6: 365–70.</w:t>
      </w:r>
      <w:r w:rsidR="00893CBC" w:rsidRPr="00AE3196">
        <w:rPr>
          <w:rFonts w:ascii="Arial" w:hAnsi="Arial" w:cs="Arial"/>
          <w:noProof/>
          <w:sz w:val="20"/>
          <w:szCs w:val="20"/>
        </w:rPr>
        <w:t xml:space="preserve"> </w:t>
      </w:r>
      <w:hyperlink r:id="rId21" w:history="1">
        <w:r w:rsidRPr="00AE3196">
          <w:rPr>
            <w:rStyle w:val="Hyperlink"/>
            <w:rFonts w:cs="Arial"/>
            <w:noProof/>
            <w:sz w:val="20"/>
            <w:szCs w:val="20"/>
          </w:rPr>
          <w:t>http://www.ncbi.nlm.nih.gov/pubmed/17142193</w:t>
        </w:r>
      </w:hyperlink>
      <w:r w:rsidR="00893CBC" w:rsidRPr="00AE3196">
        <w:rPr>
          <w:rStyle w:val="Hyperlink"/>
          <w:rFonts w:cs="Arial"/>
          <w:noProof/>
          <w:sz w:val="20"/>
          <w:szCs w:val="20"/>
        </w:rPr>
        <w:t>.</w:t>
      </w:r>
      <w:r w:rsidRPr="00AE3196">
        <w:rPr>
          <w:rFonts w:ascii="Arial" w:hAnsi="Arial" w:cs="Arial"/>
          <w:noProof/>
          <w:sz w:val="20"/>
          <w:szCs w:val="20"/>
        </w:rPr>
        <w:t xml:space="preserve"> Accessed 20 October 2014</w:t>
      </w:r>
    </w:p>
    <w:p w:rsidR="001A720D" w:rsidRPr="00AE3196" w:rsidRDefault="001A720D" w:rsidP="001A720D">
      <w:pPr>
        <w:rPr>
          <w:rStyle w:val="Hyperlink"/>
          <w:sz w:val="20"/>
          <w:szCs w:val="20"/>
          <w:lang w:val="en-NZ" w:eastAsia="en-NZ" w:bidi="ar-SA"/>
        </w:rPr>
      </w:pPr>
      <w:r w:rsidRPr="00AE3196">
        <w:rPr>
          <w:sz w:val="20"/>
          <w:szCs w:val="20"/>
          <w:lang w:bidi="ar-SA"/>
        </w:rPr>
        <w:t>Blewett N, Goddard N, Pettigrew S, Reynolds C, Yeatman H (2011) Labelling logic: Review of food labelling law and policy (2011)</w:t>
      </w:r>
      <w:r w:rsidR="00434340" w:rsidRPr="00AE3196">
        <w:rPr>
          <w:sz w:val="20"/>
          <w:szCs w:val="20"/>
          <w:lang w:bidi="ar-SA"/>
        </w:rPr>
        <w:t>.</w:t>
      </w:r>
      <w:r w:rsidRPr="00AE3196">
        <w:rPr>
          <w:sz w:val="20"/>
          <w:szCs w:val="20"/>
          <w:lang w:bidi="ar-SA"/>
        </w:rPr>
        <w:t xml:space="preserve"> </w:t>
      </w:r>
      <w:proofErr w:type="gramStart"/>
      <w:r w:rsidRPr="00AE3196">
        <w:rPr>
          <w:sz w:val="20"/>
          <w:szCs w:val="20"/>
          <w:lang w:bidi="ar-SA"/>
        </w:rPr>
        <w:t>Department of Health and Ageing, Canberra, Australia.</w:t>
      </w:r>
      <w:proofErr w:type="gramEnd"/>
      <w:r w:rsidRPr="00AE3196">
        <w:rPr>
          <w:sz w:val="20"/>
          <w:szCs w:val="20"/>
          <w:lang w:bidi="ar-SA"/>
        </w:rPr>
        <w:t xml:space="preserve"> </w:t>
      </w:r>
      <w:hyperlink r:id="rId22" w:history="1">
        <w:r w:rsidR="000F28BB" w:rsidRPr="00AE3196">
          <w:rPr>
            <w:rStyle w:val="Hyperlink"/>
            <w:sz w:val="20"/>
            <w:szCs w:val="20"/>
          </w:rPr>
          <w:t>http://www.foodlabellingreview.gov.au/internet/foodlabelling/publishing.nsf/Content/labelling-logic</w:t>
        </w:r>
      </w:hyperlink>
      <w:r w:rsidR="00893CBC" w:rsidRPr="00AE3196">
        <w:rPr>
          <w:sz w:val="20"/>
          <w:szCs w:val="20"/>
        </w:rPr>
        <w:t>.</w:t>
      </w:r>
      <w:r w:rsidR="000F28BB" w:rsidRPr="00AE3196">
        <w:rPr>
          <w:sz w:val="20"/>
          <w:szCs w:val="20"/>
        </w:rPr>
        <w:t xml:space="preserve"> </w:t>
      </w:r>
      <w:r w:rsidR="00893CBC" w:rsidRPr="00AE3196">
        <w:rPr>
          <w:sz w:val="20"/>
          <w:szCs w:val="20"/>
        </w:rPr>
        <w:t>Accessed 29 September 2014</w:t>
      </w:r>
    </w:p>
    <w:p w:rsidR="001A720D" w:rsidRPr="00AE3196" w:rsidRDefault="001A720D" w:rsidP="001A720D">
      <w:pPr>
        <w:rPr>
          <w:rStyle w:val="Hyperlink"/>
          <w:sz w:val="20"/>
          <w:szCs w:val="20"/>
          <w:lang w:bidi="ar-SA"/>
        </w:rPr>
      </w:pPr>
    </w:p>
    <w:p w:rsidR="001A720D" w:rsidRPr="00AE3196" w:rsidRDefault="00893CBC" w:rsidP="001A720D">
      <w:pPr>
        <w:rPr>
          <w:sz w:val="20"/>
          <w:szCs w:val="20"/>
          <w:lang w:bidi="ar-SA"/>
        </w:rPr>
      </w:pPr>
      <w:proofErr w:type="spellStart"/>
      <w:r w:rsidRPr="00AE3196">
        <w:rPr>
          <w:sz w:val="20"/>
          <w:szCs w:val="20"/>
          <w:lang w:bidi="ar-SA"/>
        </w:rPr>
        <w:t>Cowburn</w:t>
      </w:r>
      <w:proofErr w:type="spellEnd"/>
      <w:r w:rsidRPr="00AE3196">
        <w:rPr>
          <w:sz w:val="20"/>
          <w:szCs w:val="20"/>
          <w:lang w:bidi="ar-SA"/>
        </w:rPr>
        <w:t xml:space="preserve"> G and</w:t>
      </w:r>
      <w:r w:rsidR="001A720D" w:rsidRPr="00AE3196">
        <w:rPr>
          <w:sz w:val="20"/>
          <w:szCs w:val="20"/>
          <w:lang w:bidi="ar-SA"/>
        </w:rPr>
        <w:t xml:space="preserve"> </w:t>
      </w:r>
      <w:proofErr w:type="spellStart"/>
      <w:r w:rsidR="001A720D" w:rsidRPr="00AE3196">
        <w:rPr>
          <w:sz w:val="20"/>
          <w:szCs w:val="20"/>
          <w:lang w:bidi="ar-SA"/>
        </w:rPr>
        <w:t>Stockley</w:t>
      </w:r>
      <w:proofErr w:type="spellEnd"/>
      <w:r w:rsidR="001A720D" w:rsidRPr="00AE3196">
        <w:rPr>
          <w:sz w:val="20"/>
          <w:szCs w:val="20"/>
          <w:lang w:bidi="ar-SA"/>
        </w:rPr>
        <w:t xml:space="preserve"> L </w:t>
      </w:r>
      <w:r w:rsidR="00434340" w:rsidRPr="00AE3196">
        <w:rPr>
          <w:sz w:val="20"/>
          <w:szCs w:val="20"/>
          <w:lang w:bidi="ar-SA"/>
        </w:rPr>
        <w:t>(</w:t>
      </w:r>
      <w:r w:rsidR="001A720D" w:rsidRPr="00AE3196">
        <w:rPr>
          <w:sz w:val="20"/>
          <w:szCs w:val="20"/>
          <w:lang w:bidi="ar-SA"/>
        </w:rPr>
        <w:t>2005</w:t>
      </w:r>
      <w:r w:rsidR="00434340" w:rsidRPr="00AE3196">
        <w:rPr>
          <w:sz w:val="20"/>
          <w:szCs w:val="20"/>
          <w:lang w:bidi="ar-SA"/>
        </w:rPr>
        <w:t>)</w:t>
      </w:r>
      <w:r w:rsidR="001A720D" w:rsidRPr="00AE3196">
        <w:rPr>
          <w:sz w:val="20"/>
          <w:szCs w:val="20"/>
          <w:lang w:bidi="ar-SA"/>
        </w:rPr>
        <w:t xml:space="preserve"> Consumer understanding and use of nutrition labelling: a systematic review. Public Health Nutrition 8:1: 21-8</w:t>
      </w:r>
    </w:p>
    <w:p w:rsidR="001A720D" w:rsidRPr="00AE3196" w:rsidRDefault="009C7DC0" w:rsidP="001A720D">
      <w:pPr>
        <w:pStyle w:val="NormalWeb"/>
        <w:rPr>
          <w:rFonts w:ascii="Arial" w:hAnsi="Arial" w:cs="Arial"/>
          <w:noProof/>
          <w:sz w:val="20"/>
          <w:szCs w:val="20"/>
        </w:rPr>
      </w:pPr>
      <w:r w:rsidRPr="00AE3196">
        <w:rPr>
          <w:rFonts w:ascii="Arial" w:hAnsi="Arial" w:cs="Arial"/>
          <w:noProof/>
          <w:sz w:val="20"/>
          <w:szCs w:val="20"/>
        </w:rPr>
        <w:t>Gorton D, Ni Mhurchu C, Chen MH, Dixon R (2009)</w:t>
      </w:r>
      <w:r w:rsidR="001A720D" w:rsidRPr="00AE3196">
        <w:rPr>
          <w:rFonts w:ascii="Arial" w:hAnsi="Arial" w:cs="Arial"/>
          <w:noProof/>
          <w:sz w:val="20"/>
          <w:szCs w:val="20"/>
        </w:rPr>
        <w:t xml:space="preserve"> Nutrition labels: a survey of use, understanding and preferences among ethnically diverse shoppers in New Zealand. </w:t>
      </w:r>
      <w:r w:rsidR="00893CBC" w:rsidRPr="00AE3196">
        <w:rPr>
          <w:rFonts w:ascii="Arial" w:hAnsi="Arial" w:cs="Arial"/>
          <w:iCs/>
          <w:noProof/>
          <w:sz w:val="20"/>
          <w:szCs w:val="20"/>
        </w:rPr>
        <w:t>Public Health N</w:t>
      </w:r>
      <w:r w:rsidR="001A720D" w:rsidRPr="00AE3196">
        <w:rPr>
          <w:rFonts w:ascii="Arial" w:hAnsi="Arial" w:cs="Arial"/>
          <w:iCs/>
          <w:noProof/>
          <w:sz w:val="20"/>
          <w:szCs w:val="20"/>
        </w:rPr>
        <w:t>utrition</w:t>
      </w:r>
      <w:r w:rsidRPr="00AE3196">
        <w:rPr>
          <w:rFonts w:ascii="Arial" w:hAnsi="Arial" w:cs="Arial"/>
          <w:noProof/>
          <w:sz w:val="20"/>
          <w:szCs w:val="20"/>
        </w:rPr>
        <w:t xml:space="preserve"> 12:9:</w:t>
      </w:r>
      <w:r w:rsidR="001A720D" w:rsidRPr="00AE3196">
        <w:rPr>
          <w:rFonts w:ascii="Arial" w:hAnsi="Arial" w:cs="Arial"/>
          <w:noProof/>
          <w:sz w:val="20"/>
          <w:szCs w:val="20"/>
        </w:rPr>
        <w:t>1359–65</w:t>
      </w:r>
      <w:r w:rsidR="00893CBC" w:rsidRPr="00AE3196">
        <w:rPr>
          <w:rFonts w:ascii="Arial" w:hAnsi="Arial" w:cs="Arial"/>
          <w:noProof/>
          <w:sz w:val="20"/>
          <w:szCs w:val="20"/>
        </w:rPr>
        <w:t xml:space="preserve"> </w:t>
      </w:r>
      <w:hyperlink r:id="rId23" w:history="1">
        <w:r w:rsidRPr="00AE3196">
          <w:rPr>
            <w:rStyle w:val="Hyperlink"/>
            <w:rFonts w:cs="Arial"/>
            <w:noProof/>
            <w:sz w:val="20"/>
            <w:szCs w:val="20"/>
          </w:rPr>
          <w:t>http://www.ncbi.nlm.nih.gov/pubmed/19087382</w:t>
        </w:r>
      </w:hyperlink>
      <w:r w:rsidR="00893CBC" w:rsidRPr="00AE3196">
        <w:rPr>
          <w:rStyle w:val="Hyperlink"/>
          <w:rFonts w:cs="Arial"/>
          <w:noProof/>
          <w:sz w:val="20"/>
          <w:szCs w:val="20"/>
        </w:rPr>
        <w:t>.</w:t>
      </w:r>
      <w:r w:rsidRPr="00AE3196">
        <w:rPr>
          <w:rFonts w:ascii="Arial" w:hAnsi="Arial" w:cs="Arial"/>
          <w:noProof/>
          <w:sz w:val="20"/>
          <w:szCs w:val="20"/>
        </w:rPr>
        <w:t xml:space="preserve"> </w:t>
      </w:r>
      <w:r w:rsidR="001A720D" w:rsidRPr="00AE3196">
        <w:rPr>
          <w:rFonts w:ascii="Arial" w:hAnsi="Arial" w:cs="Arial"/>
          <w:noProof/>
          <w:sz w:val="20"/>
          <w:szCs w:val="20"/>
        </w:rPr>
        <w:t xml:space="preserve">Accessed </w:t>
      </w:r>
      <w:r w:rsidRPr="00AE3196">
        <w:rPr>
          <w:rFonts w:ascii="Arial" w:hAnsi="Arial" w:cs="Arial"/>
          <w:noProof/>
          <w:sz w:val="20"/>
          <w:szCs w:val="20"/>
        </w:rPr>
        <w:t>20 October 2014</w:t>
      </w:r>
    </w:p>
    <w:p w:rsidR="001A720D" w:rsidRPr="00AE3196" w:rsidRDefault="00397AD0" w:rsidP="001A720D">
      <w:pPr>
        <w:pStyle w:val="NormalWeb"/>
        <w:rPr>
          <w:rFonts w:ascii="Arial" w:hAnsi="Arial" w:cs="Arial"/>
          <w:noProof/>
          <w:sz w:val="20"/>
          <w:szCs w:val="20"/>
        </w:rPr>
      </w:pPr>
      <w:r w:rsidRPr="00AE3196">
        <w:rPr>
          <w:rFonts w:ascii="Arial" w:hAnsi="Arial" w:cs="Arial"/>
          <w:noProof/>
          <w:sz w:val="20"/>
          <w:szCs w:val="20"/>
        </w:rPr>
        <w:t>Grimes CA, Riddell LJ and</w:t>
      </w:r>
      <w:r w:rsidR="001A720D" w:rsidRPr="00AE3196">
        <w:rPr>
          <w:rFonts w:ascii="Arial" w:hAnsi="Arial" w:cs="Arial"/>
          <w:noProof/>
          <w:sz w:val="20"/>
          <w:szCs w:val="20"/>
        </w:rPr>
        <w:t xml:space="preserve"> Nowson</w:t>
      </w:r>
      <w:r w:rsidRPr="00AE3196">
        <w:rPr>
          <w:rFonts w:ascii="Arial" w:hAnsi="Arial" w:cs="Arial"/>
          <w:noProof/>
          <w:sz w:val="20"/>
          <w:szCs w:val="20"/>
        </w:rPr>
        <w:t xml:space="preserve"> CA</w:t>
      </w:r>
      <w:r w:rsidR="001A720D" w:rsidRPr="00AE3196">
        <w:rPr>
          <w:rFonts w:ascii="Arial" w:hAnsi="Arial" w:cs="Arial"/>
          <w:noProof/>
          <w:sz w:val="20"/>
          <w:szCs w:val="20"/>
        </w:rPr>
        <w:t xml:space="preserve"> </w:t>
      </w:r>
      <w:r w:rsidRPr="00AE3196">
        <w:rPr>
          <w:rFonts w:ascii="Arial" w:hAnsi="Arial" w:cs="Arial"/>
          <w:noProof/>
          <w:sz w:val="20"/>
          <w:szCs w:val="20"/>
        </w:rPr>
        <w:t>(</w:t>
      </w:r>
      <w:r w:rsidR="001A720D" w:rsidRPr="00AE3196">
        <w:rPr>
          <w:rFonts w:ascii="Arial" w:hAnsi="Arial" w:cs="Arial"/>
          <w:noProof/>
          <w:sz w:val="20"/>
          <w:szCs w:val="20"/>
        </w:rPr>
        <w:t>20</w:t>
      </w:r>
      <w:r w:rsidRPr="00AE3196">
        <w:rPr>
          <w:rFonts w:ascii="Arial" w:hAnsi="Arial" w:cs="Arial"/>
          <w:noProof/>
          <w:sz w:val="20"/>
          <w:szCs w:val="20"/>
        </w:rPr>
        <w:t>09)</w:t>
      </w:r>
      <w:r w:rsidR="001A720D" w:rsidRPr="00AE3196">
        <w:rPr>
          <w:rFonts w:ascii="Arial" w:hAnsi="Arial" w:cs="Arial"/>
          <w:noProof/>
          <w:sz w:val="20"/>
          <w:szCs w:val="20"/>
        </w:rPr>
        <w:t xml:space="preserve"> Consumer knowledge and attitudes to salt intake and labelled salt information. </w:t>
      </w:r>
      <w:r w:rsidR="001A720D" w:rsidRPr="00AE3196">
        <w:rPr>
          <w:rFonts w:ascii="Arial" w:hAnsi="Arial" w:cs="Arial"/>
          <w:iCs/>
          <w:noProof/>
          <w:sz w:val="20"/>
          <w:szCs w:val="20"/>
        </w:rPr>
        <w:t>Appetite</w:t>
      </w:r>
      <w:r w:rsidR="001A720D" w:rsidRPr="00AE3196">
        <w:rPr>
          <w:rFonts w:ascii="Arial" w:hAnsi="Arial" w:cs="Arial"/>
          <w:noProof/>
          <w:sz w:val="20"/>
          <w:szCs w:val="20"/>
        </w:rPr>
        <w:t xml:space="preserve"> 53</w:t>
      </w:r>
      <w:r w:rsidRPr="00AE3196">
        <w:rPr>
          <w:rFonts w:ascii="Arial" w:hAnsi="Arial" w:cs="Arial"/>
          <w:noProof/>
          <w:sz w:val="20"/>
          <w:szCs w:val="20"/>
        </w:rPr>
        <w:t>:2:</w:t>
      </w:r>
      <w:r w:rsidR="001A720D" w:rsidRPr="00AE3196">
        <w:rPr>
          <w:rFonts w:ascii="Arial" w:hAnsi="Arial" w:cs="Arial"/>
          <w:noProof/>
          <w:sz w:val="20"/>
          <w:szCs w:val="20"/>
        </w:rPr>
        <w:t>189–94</w:t>
      </w:r>
      <w:r w:rsidR="00893CBC" w:rsidRPr="00AE3196">
        <w:rPr>
          <w:rFonts w:ascii="Arial" w:hAnsi="Arial" w:cs="Arial"/>
          <w:noProof/>
          <w:sz w:val="20"/>
          <w:szCs w:val="20"/>
        </w:rPr>
        <w:t xml:space="preserve"> </w:t>
      </w:r>
      <w:hyperlink r:id="rId24" w:history="1">
        <w:r w:rsidR="008D3EB8" w:rsidRPr="00AE3196">
          <w:rPr>
            <w:rStyle w:val="Hyperlink"/>
            <w:rFonts w:cs="Arial"/>
            <w:noProof/>
            <w:sz w:val="20"/>
            <w:szCs w:val="20"/>
          </w:rPr>
          <w:t>http://www.ncbi.nlm.nih.gov/pubmed/19540891.</w:t>
        </w:r>
        <w:r w:rsidR="008D3EB8" w:rsidRPr="00AE3196">
          <w:rPr>
            <w:rStyle w:val="Hyperlink"/>
            <w:rFonts w:cs="Arial"/>
            <w:noProof/>
            <w:color w:val="auto"/>
            <w:sz w:val="20"/>
            <w:szCs w:val="20"/>
            <w:u w:val="none"/>
          </w:rPr>
          <w:t xml:space="preserve"> Accessed 7 October 2014</w:t>
        </w:r>
      </w:hyperlink>
    </w:p>
    <w:p w:rsidR="001A720D" w:rsidRPr="00AE3196" w:rsidRDefault="00893CBC" w:rsidP="001A720D">
      <w:pPr>
        <w:pStyle w:val="NormalWeb"/>
        <w:rPr>
          <w:rFonts w:ascii="Arial" w:hAnsi="Arial" w:cs="Arial"/>
          <w:noProof/>
          <w:sz w:val="20"/>
          <w:szCs w:val="20"/>
        </w:rPr>
      </w:pPr>
      <w:r w:rsidRPr="00AE3196">
        <w:rPr>
          <w:rFonts w:ascii="Arial" w:hAnsi="Arial" w:cs="Arial"/>
          <w:noProof/>
          <w:sz w:val="20"/>
          <w:szCs w:val="20"/>
        </w:rPr>
        <w:t>NFO Donovan Research (</w:t>
      </w:r>
      <w:r w:rsidR="001A720D" w:rsidRPr="00AE3196">
        <w:rPr>
          <w:rFonts w:ascii="Arial" w:hAnsi="Arial" w:cs="Arial"/>
          <w:noProof/>
          <w:sz w:val="20"/>
          <w:szCs w:val="20"/>
        </w:rPr>
        <w:t>2001</w:t>
      </w:r>
      <w:r w:rsidRPr="00AE3196">
        <w:rPr>
          <w:rFonts w:ascii="Arial" w:hAnsi="Arial" w:cs="Arial"/>
          <w:noProof/>
          <w:sz w:val="20"/>
          <w:szCs w:val="20"/>
        </w:rPr>
        <w:t>)</w:t>
      </w:r>
      <w:r w:rsidR="001A720D" w:rsidRPr="00AE3196">
        <w:rPr>
          <w:rFonts w:ascii="Arial" w:hAnsi="Arial" w:cs="Arial"/>
          <w:noProof/>
          <w:sz w:val="20"/>
          <w:szCs w:val="20"/>
        </w:rPr>
        <w:t xml:space="preserve"> </w:t>
      </w:r>
      <w:r w:rsidR="001A720D" w:rsidRPr="00AE3196">
        <w:rPr>
          <w:rFonts w:ascii="Arial" w:hAnsi="Arial" w:cs="Arial"/>
          <w:iCs/>
          <w:noProof/>
          <w:sz w:val="20"/>
          <w:szCs w:val="20"/>
        </w:rPr>
        <w:t>Food Labelling Issues - Consumer Qualitative Research</w:t>
      </w:r>
      <w:r w:rsidRPr="00AE3196">
        <w:rPr>
          <w:rFonts w:ascii="Arial" w:hAnsi="Arial" w:cs="Arial"/>
          <w:noProof/>
          <w:sz w:val="20"/>
          <w:szCs w:val="20"/>
        </w:rPr>
        <w:t xml:space="preserve">. </w:t>
      </w:r>
      <w:proofErr w:type="gramStart"/>
      <w:r w:rsidRPr="00AE3196">
        <w:rPr>
          <w:rFonts w:ascii="Arial" w:hAnsi="Arial" w:cs="Arial"/>
          <w:noProof/>
          <w:sz w:val="20"/>
          <w:szCs w:val="20"/>
        </w:rPr>
        <w:t>Canberra</w:t>
      </w:r>
      <w:r w:rsidR="00252CAD" w:rsidRPr="00AE3196">
        <w:rPr>
          <w:rFonts w:ascii="Arial" w:hAnsi="Arial" w:cs="Arial"/>
          <w:noProof/>
          <w:sz w:val="20"/>
          <w:szCs w:val="20"/>
        </w:rPr>
        <w:t xml:space="preserve"> </w:t>
      </w:r>
      <w:hyperlink r:id="rId25" w:history="1">
        <w:r w:rsidR="00252CAD" w:rsidRPr="00AE3196">
          <w:rPr>
            <w:rStyle w:val="Hyperlink"/>
            <w:rFonts w:cs="Arial"/>
            <w:noProof/>
            <w:sz w:val="20"/>
            <w:szCs w:val="20"/>
          </w:rPr>
          <w:t>http://www.foodstandards.gov.au/publications/pages/evaluationreportseries/foodlabellingissuesconsumer/Default.aspx</w:t>
        </w:r>
      </w:hyperlink>
      <w:r w:rsidR="00252CAD" w:rsidRPr="00AE3196">
        <w:rPr>
          <w:rFonts w:ascii="Arial" w:hAnsi="Arial" w:cs="Arial"/>
          <w:noProof/>
          <w:sz w:val="20"/>
          <w:szCs w:val="20"/>
        </w:rPr>
        <w:t>.</w:t>
      </w:r>
      <w:proofErr w:type="gramEnd"/>
      <w:r w:rsidR="00252CAD" w:rsidRPr="00AE3196">
        <w:rPr>
          <w:rFonts w:ascii="Arial" w:hAnsi="Arial" w:cs="Arial"/>
          <w:noProof/>
          <w:sz w:val="20"/>
          <w:szCs w:val="20"/>
        </w:rPr>
        <w:t xml:space="preserve"> Accessed 11 November 2014</w:t>
      </w:r>
    </w:p>
    <w:p w:rsidR="001A720D" w:rsidRPr="00AE3196" w:rsidRDefault="00893CBC" w:rsidP="001A720D">
      <w:pPr>
        <w:pStyle w:val="NormalWeb"/>
        <w:rPr>
          <w:rFonts w:ascii="Arial" w:hAnsi="Arial" w:cs="Arial"/>
          <w:noProof/>
          <w:sz w:val="20"/>
          <w:szCs w:val="20"/>
        </w:rPr>
      </w:pPr>
      <w:r w:rsidRPr="00AE3196">
        <w:rPr>
          <w:rFonts w:ascii="Arial" w:hAnsi="Arial" w:cs="Arial"/>
          <w:noProof/>
          <w:sz w:val="20"/>
          <w:szCs w:val="20"/>
        </w:rPr>
        <w:t>NFO Donovan Research (2002)</w:t>
      </w:r>
      <w:r w:rsidR="001A720D" w:rsidRPr="00AE3196">
        <w:rPr>
          <w:rFonts w:ascii="Arial" w:hAnsi="Arial" w:cs="Arial"/>
          <w:noProof/>
          <w:sz w:val="20"/>
          <w:szCs w:val="20"/>
        </w:rPr>
        <w:t xml:space="preserve"> </w:t>
      </w:r>
      <w:r w:rsidR="001A720D" w:rsidRPr="00AE3196">
        <w:rPr>
          <w:rFonts w:ascii="Arial" w:hAnsi="Arial" w:cs="Arial"/>
          <w:iCs/>
          <w:noProof/>
          <w:sz w:val="20"/>
          <w:szCs w:val="20"/>
        </w:rPr>
        <w:t xml:space="preserve">Food Labelling Issues </w:t>
      </w:r>
      <w:r w:rsidR="00252CAD" w:rsidRPr="00AE3196">
        <w:rPr>
          <w:rFonts w:ascii="Arial" w:hAnsi="Arial" w:cs="Arial"/>
          <w:iCs/>
          <w:noProof/>
          <w:sz w:val="20"/>
          <w:szCs w:val="20"/>
        </w:rPr>
        <w:t>–</w:t>
      </w:r>
      <w:r w:rsidR="001A720D" w:rsidRPr="00AE3196">
        <w:rPr>
          <w:rFonts w:ascii="Arial" w:hAnsi="Arial" w:cs="Arial"/>
          <w:iCs/>
          <w:noProof/>
          <w:sz w:val="20"/>
          <w:szCs w:val="20"/>
        </w:rPr>
        <w:t xml:space="preserve"> </w:t>
      </w:r>
      <w:r w:rsidR="00252CAD" w:rsidRPr="00AE3196">
        <w:rPr>
          <w:rFonts w:ascii="Arial" w:hAnsi="Arial" w:cs="Arial"/>
          <w:iCs/>
          <w:noProof/>
          <w:sz w:val="20"/>
          <w:szCs w:val="20"/>
        </w:rPr>
        <w:t xml:space="preserve">Stakeholder </w:t>
      </w:r>
      <w:r w:rsidR="001A720D" w:rsidRPr="00AE3196">
        <w:rPr>
          <w:rFonts w:ascii="Arial" w:hAnsi="Arial" w:cs="Arial"/>
          <w:iCs/>
          <w:noProof/>
          <w:sz w:val="20"/>
          <w:szCs w:val="20"/>
        </w:rPr>
        <w:t>Qualitative Research</w:t>
      </w:r>
      <w:r w:rsidRPr="00AE3196">
        <w:rPr>
          <w:rFonts w:ascii="Arial" w:hAnsi="Arial" w:cs="Arial"/>
          <w:noProof/>
          <w:sz w:val="20"/>
          <w:szCs w:val="20"/>
        </w:rPr>
        <w:t>. Canberra</w:t>
      </w:r>
      <w:r w:rsidR="00252CAD" w:rsidRPr="00AE3196">
        <w:rPr>
          <w:rFonts w:ascii="Arial" w:hAnsi="Arial" w:cs="Arial"/>
          <w:noProof/>
          <w:sz w:val="20"/>
          <w:szCs w:val="20"/>
        </w:rPr>
        <w:t xml:space="preserve"> </w:t>
      </w:r>
      <w:hyperlink r:id="rId26" w:history="1">
        <w:r w:rsidR="00252CAD" w:rsidRPr="00AE3196">
          <w:rPr>
            <w:rStyle w:val="Hyperlink"/>
            <w:rFonts w:cs="Arial"/>
            <w:noProof/>
            <w:sz w:val="20"/>
            <w:szCs w:val="20"/>
          </w:rPr>
          <w:t>http://www.foodstandards.gov.au/publications/pages/evaluationreportseries/foodlabellingissuesquantitative/foodlabellingissuess1583.aspx</w:t>
        </w:r>
      </w:hyperlink>
      <w:r w:rsidR="00252CAD" w:rsidRPr="00AE3196">
        <w:rPr>
          <w:rFonts w:ascii="Arial" w:hAnsi="Arial" w:cs="Arial"/>
          <w:noProof/>
          <w:sz w:val="20"/>
          <w:szCs w:val="20"/>
        </w:rPr>
        <w:t xml:space="preserve"> Accessed 11 November 2014</w:t>
      </w:r>
    </w:p>
    <w:p w:rsidR="001A720D" w:rsidRPr="00AE3196" w:rsidRDefault="00893CBC" w:rsidP="001A720D">
      <w:pPr>
        <w:pStyle w:val="NormalWeb"/>
        <w:rPr>
          <w:rFonts w:ascii="Arial" w:hAnsi="Arial" w:cs="Arial"/>
          <w:noProof/>
          <w:sz w:val="20"/>
          <w:szCs w:val="20"/>
        </w:rPr>
      </w:pPr>
      <w:r w:rsidRPr="00AE3196">
        <w:rPr>
          <w:rFonts w:ascii="Arial" w:hAnsi="Arial" w:cs="Arial"/>
          <w:noProof/>
          <w:sz w:val="20"/>
          <w:szCs w:val="20"/>
        </w:rPr>
        <w:t>NFO Donovan Research</w:t>
      </w:r>
      <w:r w:rsidR="001A720D" w:rsidRPr="00AE3196">
        <w:rPr>
          <w:rFonts w:ascii="Arial" w:hAnsi="Arial" w:cs="Arial"/>
          <w:noProof/>
          <w:sz w:val="20"/>
          <w:szCs w:val="20"/>
        </w:rPr>
        <w:t xml:space="preserve"> </w:t>
      </w:r>
      <w:r w:rsidRPr="00AE3196">
        <w:rPr>
          <w:rFonts w:ascii="Arial" w:hAnsi="Arial" w:cs="Arial"/>
          <w:noProof/>
          <w:sz w:val="20"/>
          <w:szCs w:val="20"/>
        </w:rPr>
        <w:t>(2003)</w:t>
      </w:r>
      <w:r w:rsidR="001A720D" w:rsidRPr="00AE3196">
        <w:rPr>
          <w:rFonts w:ascii="Arial" w:hAnsi="Arial" w:cs="Arial"/>
          <w:noProof/>
          <w:sz w:val="20"/>
          <w:szCs w:val="20"/>
        </w:rPr>
        <w:t xml:space="preserve"> </w:t>
      </w:r>
      <w:r w:rsidRPr="00AE3196">
        <w:rPr>
          <w:rFonts w:ascii="Arial" w:hAnsi="Arial" w:cs="Arial"/>
          <w:iCs/>
          <w:noProof/>
          <w:sz w:val="20"/>
          <w:szCs w:val="20"/>
        </w:rPr>
        <w:t>Food Labelling Issues</w:t>
      </w:r>
      <w:r w:rsidR="001A720D" w:rsidRPr="00AE3196">
        <w:rPr>
          <w:rFonts w:ascii="Arial" w:hAnsi="Arial" w:cs="Arial"/>
          <w:i/>
          <w:iCs/>
          <w:noProof/>
          <w:sz w:val="20"/>
          <w:szCs w:val="20"/>
        </w:rPr>
        <w:t xml:space="preserve"> : </w:t>
      </w:r>
      <w:r w:rsidR="001A720D" w:rsidRPr="00AE3196">
        <w:rPr>
          <w:rFonts w:ascii="Arial" w:hAnsi="Arial" w:cs="Arial"/>
          <w:iCs/>
          <w:noProof/>
          <w:sz w:val="20"/>
          <w:szCs w:val="20"/>
        </w:rPr>
        <w:t>Quan</w:t>
      </w:r>
      <w:r w:rsidR="00252CAD" w:rsidRPr="00AE3196">
        <w:rPr>
          <w:rFonts w:ascii="Arial" w:hAnsi="Arial" w:cs="Arial"/>
          <w:iCs/>
          <w:noProof/>
          <w:sz w:val="20"/>
          <w:szCs w:val="20"/>
        </w:rPr>
        <w:t>titative Research with C</w:t>
      </w:r>
      <w:r w:rsidRPr="00AE3196">
        <w:rPr>
          <w:rFonts w:ascii="Arial" w:hAnsi="Arial" w:cs="Arial"/>
          <w:iCs/>
          <w:noProof/>
          <w:sz w:val="20"/>
          <w:szCs w:val="20"/>
        </w:rPr>
        <w:t>onsumer</w:t>
      </w:r>
      <w:r w:rsidR="00252CAD" w:rsidRPr="00AE3196">
        <w:rPr>
          <w:rFonts w:ascii="Arial" w:hAnsi="Arial" w:cs="Arial"/>
          <w:iCs/>
          <w:noProof/>
          <w:sz w:val="20"/>
          <w:szCs w:val="20"/>
        </w:rPr>
        <w:t>s</w:t>
      </w:r>
      <w:r w:rsidRPr="00AE3196">
        <w:rPr>
          <w:rFonts w:ascii="Arial" w:hAnsi="Arial" w:cs="Arial"/>
          <w:iCs/>
          <w:noProof/>
          <w:sz w:val="20"/>
          <w:szCs w:val="20"/>
        </w:rPr>
        <w:t>.</w:t>
      </w:r>
      <w:r w:rsidR="001A720D" w:rsidRPr="00AE3196">
        <w:rPr>
          <w:rFonts w:ascii="Arial" w:hAnsi="Arial" w:cs="Arial"/>
          <w:i/>
          <w:iCs/>
          <w:noProof/>
          <w:sz w:val="20"/>
          <w:szCs w:val="20"/>
        </w:rPr>
        <w:t xml:space="preserve"> </w:t>
      </w:r>
      <w:r w:rsidRPr="00AE3196">
        <w:rPr>
          <w:rFonts w:ascii="Arial" w:hAnsi="Arial" w:cs="Arial"/>
          <w:iCs/>
          <w:noProof/>
          <w:sz w:val="20"/>
          <w:szCs w:val="20"/>
        </w:rPr>
        <w:t>Evaluation Report Series No. 4</w:t>
      </w:r>
      <w:r w:rsidRPr="00AE3196">
        <w:rPr>
          <w:rFonts w:ascii="Arial" w:hAnsi="Arial" w:cs="Arial"/>
          <w:noProof/>
          <w:sz w:val="20"/>
          <w:szCs w:val="20"/>
        </w:rPr>
        <w:t>, Canberra</w:t>
      </w:r>
      <w:r w:rsidR="00252CAD" w:rsidRPr="00AE3196">
        <w:rPr>
          <w:rFonts w:ascii="Arial" w:hAnsi="Arial" w:cs="Arial"/>
          <w:noProof/>
          <w:sz w:val="20"/>
          <w:szCs w:val="20"/>
        </w:rPr>
        <w:t xml:space="preserve"> </w:t>
      </w:r>
      <w:hyperlink r:id="rId27" w:history="1">
        <w:r w:rsidR="00252CAD" w:rsidRPr="00AE3196">
          <w:rPr>
            <w:rStyle w:val="Hyperlink"/>
            <w:rFonts w:cs="Arial"/>
            <w:noProof/>
            <w:sz w:val="20"/>
            <w:szCs w:val="20"/>
          </w:rPr>
          <w:t>http://www.foodstandards.gov.au/publications/pages/evaluationreportseries/foodlabellingissuesquantitative/Default.aspx</w:t>
        </w:r>
      </w:hyperlink>
      <w:r w:rsidR="00252CAD" w:rsidRPr="00AE3196">
        <w:rPr>
          <w:rFonts w:ascii="Arial" w:hAnsi="Arial" w:cs="Arial"/>
          <w:noProof/>
          <w:sz w:val="20"/>
          <w:szCs w:val="20"/>
        </w:rPr>
        <w:t xml:space="preserve"> Accessed 11 November 2014</w:t>
      </w:r>
    </w:p>
    <w:p w:rsidR="00893CBC" w:rsidRPr="00AE3196" w:rsidRDefault="00893CBC" w:rsidP="001A720D">
      <w:pPr>
        <w:pStyle w:val="NormalWeb"/>
        <w:rPr>
          <w:rFonts w:ascii="Arial" w:hAnsi="Arial" w:cs="Arial"/>
          <w:noProof/>
          <w:sz w:val="20"/>
          <w:szCs w:val="20"/>
        </w:rPr>
      </w:pPr>
      <w:r w:rsidRPr="00AE3196">
        <w:rPr>
          <w:rFonts w:ascii="Arial" w:hAnsi="Arial" w:cs="Arial"/>
          <w:noProof/>
          <w:sz w:val="20"/>
          <w:szCs w:val="20"/>
        </w:rPr>
        <w:t xml:space="preserve">Scott V, Allen J, </w:t>
      </w:r>
      <w:r w:rsidR="001A720D" w:rsidRPr="00AE3196">
        <w:rPr>
          <w:rFonts w:ascii="Arial" w:hAnsi="Arial" w:cs="Arial"/>
          <w:noProof/>
          <w:sz w:val="20"/>
          <w:szCs w:val="20"/>
        </w:rPr>
        <w:t>Cumming</w:t>
      </w:r>
      <w:r w:rsidR="00397AD0" w:rsidRPr="00AE3196">
        <w:rPr>
          <w:rFonts w:ascii="Arial" w:hAnsi="Arial" w:cs="Arial"/>
          <w:noProof/>
          <w:sz w:val="20"/>
          <w:szCs w:val="20"/>
        </w:rPr>
        <w:t xml:space="preserve"> F</w:t>
      </w:r>
      <w:r w:rsidR="001A720D" w:rsidRPr="00AE3196">
        <w:rPr>
          <w:rFonts w:ascii="Arial" w:hAnsi="Arial" w:cs="Arial"/>
          <w:noProof/>
          <w:sz w:val="20"/>
          <w:szCs w:val="20"/>
        </w:rPr>
        <w:t xml:space="preserve"> </w:t>
      </w:r>
      <w:r w:rsidR="00397AD0" w:rsidRPr="00AE3196">
        <w:rPr>
          <w:rFonts w:ascii="Arial" w:hAnsi="Arial" w:cs="Arial"/>
          <w:noProof/>
          <w:sz w:val="20"/>
          <w:szCs w:val="20"/>
        </w:rPr>
        <w:t>(1999)</w:t>
      </w:r>
      <w:r w:rsidR="001A720D" w:rsidRPr="00AE3196">
        <w:rPr>
          <w:rFonts w:ascii="Arial" w:hAnsi="Arial" w:cs="Arial"/>
          <w:noProof/>
          <w:sz w:val="20"/>
          <w:szCs w:val="20"/>
        </w:rPr>
        <w:t xml:space="preserve"> </w:t>
      </w:r>
      <w:r w:rsidR="001A720D" w:rsidRPr="00AE3196">
        <w:rPr>
          <w:rFonts w:ascii="Arial" w:hAnsi="Arial" w:cs="Arial"/>
          <w:iCs/>
          <w:noProof/>
          <w:sz w:val="20"/>
          <w:szCs w:val="20"/>
        </w:rPr>
        <w:t>Consumer Reactions to Three Different Nutrition Information Panel Formats</w:t>
      </w:r>
      <w:r w:rsidRPr="00AE3196">
        <w:rPr>
          <w:rFonts w:ascii="Arial" w:hAnsi="Arial" w:cs="Arial"/>
          <w:noProof/>
          <w:sz w:val="20"/>
          <w:szCs w:val="20"/>
        </w:rPr>
        <w:t>. Canberra</w:t>
      </w:r>
      <w:r w:rsidR="001A720D" w:rsidRPr="00AE3196">
        <w:rPr>
          <w:rFonts w:ascii="Arial" w:hAnsi="Arial" w:cs="Arial"/>
          <w:noProof/>
          <w:sz w:val="20"/>
          <w:szCs w:val="20"/>
        </w:rPr>
        <w:t xml:space="preserve"> </w:t>
      </w:r>
    </w:p>
    <w:p w:rsidR="001A720D" w:rsidRPr="00AE3196" w:rsidRDefault="00893CBC" w:rsidP="001A720D">
      <w:pPr>
        <w:pStyle w:val="NormalWeb"/>
        <w:rPr>
          <w:rFonts w:ascii="Arial" w:hAnsi="Arial" w:cs="Arial"/>
          <w:noProof/>
          <w:sz w:val="20"/>
          <w:szCs w:val="20"/>
        </w:rPr>
      </w:pPr>
      <w:r w:rsidRPr="00AE3196">
        <w:rPr>
          <w:rFonts w:ascii="Arial" w:hAnsi="Arial" w:cs="Arial"/>
          <w:noProof/>
          <w:sz w:val="20"/>
          <w:szCs w:val="20"/>
        </w:rPr>
        <w:t>TNS Social Research</w:t>
      </w:r>
      <w:r w:rsidR="001A720D" w:rsidRPr="00AE3196">
        <w:rPr>
          <w:rFonts w:ascii="Arial" w:hAnsi="Arial" w:cs="Arial"/>
          <w:noProof/>
          <w:sz w:val="20"/>
          <w:szCs w:val="20"/>
        </w:rPr>
        <w:t xml:space="preserve"> </w:t>
      </w:r>
      <w:r w:rsidRPr="00AE3196">
        <w:rPr>
          <w:rFonts w:ascii="Arial" w:hAnsi="Arial" w:cs="Arial"/>
          <w:noProof/>
          <w:sz w:val="20"/>
          <w:szCs w:val="20"/>
        </w:rPr>
        <w:t>(2008)</w:t>
      </w:r>
      <w:r w:rsidR="001A720D" w:rsidRPr="00AE3196">
        <w:rPr>
          <w:rFonts w:ascii="Arial" w:hAnsi="Arial" w:cs="Arial"/>
          <w:noProof/>
          <w:sz w:val="20"/>
          <w:szCs w:val="20"/>
        </w:rPr>
        <w:t xml:space="preserve"> </w:t>
      </w:r>
      <w:r w:rsidR="001A720D" w:rsidRPr="00AE3196">
        <w:rPr>
          <w:rFonts w:ascii="Arial" w:hAnsi="Arial" w:cs="Arial"/>
          <w:iCs/>
          <w:noProof/>
          <w:sz w:val="20"/>
          <w:szCs w:val="20"/>
        </w:rPr>
        <w:t>Consumer Attitudes Survey 2007</w:t>
      </w:r>
      <w:r w:rsidRPr="00AE3196">
        <w:rPr>
          <w:rFonts w:ascii="Arial" w:hAnsi="Arial" w:cs="Arial"/>
          <w:noProof/>
          <w:sz w:val="20"/>
          <w:szCs w:val="20"/>
        </w:rPr>
        <w:t>.</w:t>
      </w:r>
      <w:r w:rsidR="00252CAD" w:rsidRPr="00AE3196">
        <w:rPr>
          <w:rFonts w:ascii="Arial" w:hAnsi="Arial" w:cs="Arial"/>
          <w:noProof/>
          <w:sz w:val="20"/>
          <w:szCs w:val="20"/>
        </w:rPr>
        <w:t xml:space="preserve"> </w:t>
      </w:r>
      <w:proofErr w:type="gramStart"/>
      <w:r w:rsidR="00252CAD" w:rsidRPr="00AE3196">
        <w:rPr>
          <w:rFonts w:ascii="Arial" w:hAnsi="Arial" w:cs="Arial"/>
          <w:noProof/>
          <w:sz w:val="20"/>
          <w:szCs w:val="20"/>
        </w:rPr>
        <w:t xml:space="preserve">Canberra </w:t>
      </w:r>
      <w:hyperlink r:id="rId28" w:history="1">
        <w:r w:rsidR="00252CAD" w:rsidRPr="00AE3196">
          <w:rPr>
            <w:rStyle w:val="Hyperlink"/>
            <w:rFonts w:cs="Arial"/>
            <w:noProof/>
            <w:sz w:val="20"/>
            <w:szCs w:val="20"/>
          </w:rPr>
          <w:t>http://www.foodstandards.gov.au/publications/pages/consumerattitiudes/Default.aspx</w:t>
        </w:r>
      </w:hyperlink>
      <w:r w:rsidR="00252CAD" w:rsidRPr="00AE3196">
        <w:rPr>
          <w:rFonts w:ascii="Arial" w:hAnsi="Arial" w:cs="Arial"/>
          <w:noProof/>
          <w:sz w:val="20"/>
          <w:szCs w:val="20"/>
        </w:rPr>
        <w:t>.</w:t>
      </w:r>
      <w:proofErr w:type="gramEnd"/>
      <w:r w:rsidR="00252CAD" w:rsidRPr="00AE3196">
        <w:rPr>
          <w:rFonts w:ascii="Arial" w:hAnsi="Arial" w:cs="Arial"/>
          <w:noProof/>
          <w:sz w:val="20"/>
          <w:szCs w:val="20"/>
        </w:rPr>
        <w:t xml:space="preserve"> Accessed 11 November 2014</w:t>
      </w:r>
    </w:p>
    <w:bookmarkEnd w:id="35"/>
    <w:bookmarkEnd w:id="36"/>
    <w:bookmarkEnd w:id="37"/>
    <w:bookmarkEnd w:id="38"/>
    <w:bookmarkEnd w:id="39"/>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571D42" w:rsidRDefault="001A720D" w:rsidP="00571D42">
      <w:pPr>
        <w:pStyle w:val="CommentText"/>
        <w:numPr>
          <w:ilvl w:val="0"/>
          <w:numId w:val="20"/>
        </w:numPr>
        <w:ind w:left="567" w:hanging="567"/>
        <w:rPr>
          <w:sz w:val="22"/>
          <w:szCs w:val="22"/>
        </w:rPr>
      </w:pPr>
      <w:r w:rsidRPr="00571D42">
        <w:rPr>
          <w:sz w:val="22"/>
          <w:szCs w:val="22"/>
        </w:rPr>
        <w:t>Requirements for declaration of energy and nutrients in nutrition information panels in Austra</w:t>
      </w:r>
      <w:r w:rsidR="00571D42">
        <w:rPr>
          <w:sz w:val="22"/>
          <w:szCs w:val="22"/>
        </w:rPr>
        <w:t>lia/New Zealand, Canada, the US</w:t>
      </w:r>
      <w:r w:rsidR="003542CB">
        <w:rPr>
          <w:sz w:val="22"/>
          <w:szCs w:val="22"/>
        </w:rPr>
        <w:t>A</w:t>
      </w:r>
      <w:r w:rsidRPr="00571D42">
        <w:rPr>
          <w:sz w:val="22"/>
          <w:szCs w:val="22"/>
        </w:rPr>
        <w:t>, the EU and from Codex</w:t>
      </w:r>
    </w:p>
    <w:p w:rsidR="00571D42" w:rsidRPr="00571D42" w:rsidRDefault="00571D42" w:rsidP="00571D42">
      <w:pPr>
        <w:pStyle w:val="CommentText"/>
        <w:numPr>
          <w:ilvl w:val="0"/>
          <w:numId w:val="20"/>
        </w:numPr>
        <w:ind w:left="567" w:hanging="567"/>
        <w:rPr>
          <w:sz w:val="22"/>
          <w:szCs w:val="22"/>
        </w:rPr>
      </w:pPr>
      <w:r w:rsidRPr="00571D42">
        <w:rPr>
          <w:sz w:val="22"/>
          <w:szCs w:val="22"/>
        </w:rPr>
        <w:t>Regulatory requirements for serv</w:t>
      </w:r>
      <w:r>
        <w:rPr>
          <w:sz w:val="22"/>
          <w:szCs w:val="22"/>
        </w:rPr>
        <w:t>ing sizes in Canada and the US</w:t>
      </w:r>
      <w:r w:rsidR="003542CB">
        <w:rPr>
          <w:sz w:val="22"/>
          <w:szCs w:val="22"/>
        </w:rPr>
        <w:t>A</w:t>
      </w:r>
    </w:p>
    <w:p w:rsidR="00D60568" w:rsidRPr="00A443CF" w:rsidRDefault="00D60568" w:rsidP="002432EE"/>
    <w:p w:rsidR="00345844" w:rsidRDefault="00345844" w:rsidP="00A54934">
      <w:pPr>
        <w:pStyle w:val="Heading2"/>
        <w:ind w:left="0" w:firstLine="0"/>
        <w:sectPr w:rsidR="00345844" w:rsidSect="001F0C9A">
          <w:footerReference w:type="default" r:id="rId29"/>
          <w:pgSz w:w="11906" w:h="16838"/>
          <w:pgMar w:top="1418" w:right="1418" w:bottom="1418" w:left="1418" w:header="709" w:footer="709" w:gutter="0"/>
          <w:pgNumType w:start="1"/>
          <w:cols w:space="708"/>
          <w:docGrid w:linePitch="360"/>
        </w:sectPr>
      </w:pPr>
      <w:bookmarkStart w:id="69" w:name="_Toc29883131"/>
      <w:bookmarkStart w:id="70" w:name="_Toc41906818"/>
      <w:bookmarkStart w:id="71" w:name="_Toc41907565"/>
      <w:bookmarkStart w:id="72" w:name="_Toc120358596"/>
      <w:bookmarkStart w:id="73" w:name="_Toc175381458"/>
      <w:bookmarkStart w:id="74" w:name="_Toc11735644"/>
      <w:bookmarkStart w:id="75" w:name="_Toc286391017"/>
      <w:bookmarkStart w:id="76" w:name="_Toc300933453"/>
    </w:p>
    <w:p w:rsidR="00345844" w:rsidRPr="00343949" w:rsidRDefault="00571D42" w:rsidP="00345844">
      <w:pPr>
        <w:pStyle w:val="Heading2"/>
        <w:ind w:left="0" w:firstLine="0"/>
      </w:pPr>
      <w:bookmarkStart w:id="77" w:name="_Toc389651577"/>
      <w:bookmarkStart w:id="78" w:name="_Toc405365756"/>
      <w:bookmarkEnd w:id="69"/>
      <w:bookmarkEnd w:id="70"/>
      <w:bookmarkEnd w:id="71"/>
      <w:bookmarkEnd w:id="72"/>
      <w:bookmarkEnd w:id="73"/>
      <w:bookmarkEnd w:id="74"/>
      <w:bookmarkEnd w:id="75"/>
      <w:bookmarkEnd w:id="76"/>
      <w:r>
        <w:lastRenderedPageBreak/>
        <w:t>Attachment A</w:t>
      </w:r>
      <w:r w:rsidR="00AE3196">
        <w:t xml:space="preserve"> –</w:t>
      </w:r>
      <w:r>
        <w:t xml:space="preserve"> </w:t>
      </w:r>
      <w:r w:rsidR="00345844" w:rsidRPr="00E9695A">
        <w:t xml:space="preserve">Requirements for </w:t>
      </w:r>
      <w:bookmarkEnd w:id="77"/>
      <w:r w:rsidR="00345844">
        <w:t>declaration of energy and nutrients in nutrition information panels in Austra</w:t>
      </w:r>
      <w:r>
        <w:t>lia/New Zealand, Canada, the US</w:t>
      </w:r>
      <w:r w:rsidR="00143783">
        <w:t>A</w:t>
      </w:r>
      <w:r w:rsidR="00345844">
        <w:t>, the EU and from Codex</w:t>
      </w:r>
      <w:bookmarkEnd w:id="78"/>
    </w:p>
    <w:tbl>
      <w:tblPr>
        <w:tblStyle w:val="TableGrid"/>
        <w:tblW w:w="13892" w:type="dxa"/>
        <w:tblLook w:val="04A0" w:firstRow="1" w:lastRow="0" w:firstColumn="1" w:lastColumn="0" w:noHBand="0" w:noVBand="1"/>
      </w:tblPr>
      <w:tblGrid>
        <w:gridCol w:w="2779"/>
        <w:gridCol w:w="2779"/>
        <w:gridCol w:w="2778"/>
        <w:gridCol w:w="2778"/>
        <w:gridCol w:w="2778"/>
      </w:tblGrid>
      <w:tr w:rsidR="00345844" w:rsidRPr="00121FA3" w:rsidTr="00AE3196">
        <w:trPr>
          <w:tblHeader/>
        </w:trPr>
        <w:tc>
          <w:tcPr>
            <w:tcW w:w="2551" w:type="dxa"/>
            <w:shd w:val="clear" w:color="auto" w:fill="D6E3BC" w:themeFill="accent3" w:themeFillTint="66"/>
          </w:tcPr>
          <w:p w:rsidR="00345844" w:rsidRPr="00143783" w:rsidRDefault="00345844" w:rsidP="005D3B10">
            <w:pPr>
              <w:rPr>
                <w:rFonts w:cs="Arial"/>
                <w:b/>
                <w:sz w:val="18"/>
                <w:szCs w:val="18"/>
              </w:rPr>
            </w:pPr>
            <w:r w:rsidRPr="00143783">
              <w:rPr>
                <w:rFonts w:cs="Arial"/>
                <w:b/>
                <w:sz w:val="18"/>
                <w:szCs w:val="18"/>
              </w:rPr>
              <w:t>Australia/New Zealand</w:t>
            </w:r>
            <w:r w:rsidRPr="00143783">
              <w:rPr>
                <w:rFonts w:cs="Arial"/>
                <w:b/>
                <w:sz w:val="18"/>
                <w:szCs w:val="18"/>
                <w:vertAlign w:val="superscript"/>
              </w:rPr>
              <w:t>2</w:t>
            </w:r>
          </w:p>
        </w:tc>
        <w:tc>
          <w:tcPr>
            <w:tcW w:w="2551" w:type="dxa"/>
            <w:shd w:val="clear" w:color="auto" w:fill="D6E3BC" w:themeFill="accent3" w:themeFillTint="66"/>
          </w:tcPr>
          <w:p w:rsidR="00345844" w:rsidRPr="00143783" w:rsidRDefault="00345844" w:rsidP="005D3B10">
            <w:pPr>
              <w:rPr>
                <w:rFonts w:cs="Arial"/>
                <w:b/>
                <w:sz w:val="18"/>
                <w:szCs w:val="18"/>
              </w:rPr>
            </w:pPr>
            <w:r w:rsidRPr="00143783">
              <w:rPr>
                <w:rFonts w:cs="Arial"/>
                <w:b/>
                <w:sz w:val="18"/>
                <w:szCs w:val="18"/>
              </w:rPr>
              <w:t>Canada</w:t>
            </w:r>
            <w:r w:rsidRPr="00143783">
              <w:rPr>
                <w:rFonts w:cs="Arial"/>
                <w:b/>
                <w:sz w:val="18"/>
                <w:szCs w:val="18"/>
                <w:vertAlign w:val="superscript"/>
              </w:rPr>
              <w:t>3</w:t>
            </w:r>
          </w:p>
        </w:tc>
        <w:tc>
          <w:tcPr>
            <w:tcW w:w="2551" w:type="dxa"/>
            <w:shd w:val="clear" w:color="auto" w:fill="D6E3BC" w:themeFill="accent3" w:themeFillTint="66"/>
          </w:tcPr>
          <w:p w:rsidR="00345844" w:rsidRPr="00143783" w:rsidRDefault="00345844" w:rsidP="005D3B10">
            <w:pPr>
              <w:rPr>
                <w:rFonts w:cs="Arial"/>
                <w:b/>
                <w:sz w:val="18"/>
                <w:szCs w:val="18"/>
              </w:rPr>
            </w:pPr>
            <w:r w:rsidRPr="00143783">
              <w:rPr>
                <w:rFonts w:cs="Arial"/>
                <w:b/>
                <w:sz w:val="18"/>
                <w:szCs w:val="18"/>
              </w:rPr>
              <w:t>US</w:t>
            </w:r>
            <w:r w:rsidR="003542CB">
              <w:rPr>
                <w:rFonts w:cs="Arial"/>
                <w:b/>
                <w:sz w:val="18"/>
                <w:szCs w:val="18"/>
              </w:rPr>
              <w:t>A</w:t>
            </w:r>
            <w:r w:rsidRPr="00143783">
              <w:rPr>
                <w:rFonts w:cs="Arial"/>
                <w:b/>
                <w:sz w:val="18"/>
                <w:szCs w:val="18"/>
                <w:vertAlign w:val="superscript"/>
              </w:rPr>
              <w:t>4</w:t>
            </w:r>
          </w:p>
        </w:tc>
        <w:tc>
          <w:tcPr>
            <w:tcW w:w="2551" w:type="dxa"/>
            <w:shd w:val="clear" w:color="auto" w:fill="D6E3BC" w:themeFill="accent3" w:themeFillTint="66"/>
          </w:tcPr>
          <w:p w:rsidR="00345844" w:rsidRPr="00143783" w:rsidRDefault="00345844" w:rsidP="005D3B10">
            <w:pPr>
              <w:rPr>
                <w:rFonts w:cs="Arial"/>
                <w:b/>
                <w:sz w:val="18"/>
                <w:szCs w:val="18"/>
              </w:rPr>
            </w:pPr>
            <w:r w:rsidRPr="00143783">
              <w:rPr>
                <w:rFonts w:cs="Arial"/>
                <w:b/>
                <w:sz w:val="18"/>
                <w:szCs w:val="18"/>
              </w:rPr>
              <w:t>EU including the UK</w:t>
            </w:r>
            <w:r w:rsidRPr="00143783">
              <w:rPr>
                <w:rFonts w:cs="Arial"/>
                <w:b/>
                <w:sz w:val="18"/>
                <w:szCs w:val="18"/>
                <w:vertAlign w:val="superscript"/>
              </w:rPr>
              <w:t>5, 6</w:t>
            </w:r>
          </w:p>
        </w:tc>
        <w:tc>
          <w:tcPr>
            <w:tcW w:w="2551" w:type="dxa"/>
            <w:shd w:val="clear" w:color="auto" w:fill="D6E3BC" w:themeFill="accent3" w:themeFillTint="66"/>
          </w:tcPr>
          <w:p w:rsidR="00345844" w:rsidRPr="00143783" w:rsidRDefault="00345844" w:rsidP="005D3B10">
            <w:pPr>
              <w:rPr>
                <w:rFonts w:cs="Arial"/>
                <w:b/>
                <w:sz w:val="18"/>
                <w:szCs w:val="18"/>
              </w:rPr>
            </w:pPr>
            <w:r w:rsidRPr="00143783">
              <w:rPr>
                <w:rFonts w:cs="Arial"/>
                <w:b/>
                <w:sz w:val="18"/>
                <w:szCs w:val="18"/>
              </w:rPr>
              <w:t>Codex</w:t>
            </w:r>
          </w:p>
          <w:p w:rsidR="00345844" w:rsidRPr="00143783" w:rsidRDefault="00345844" w:rsidP="005D3B10">
            <w:pPr>
              <w:rPr>
                <w:rFonts w:cs="Arial"/>
                <w:b/>
                <w:sz w:val="18"/>
                <w:szCs w:val="18"/>
              </w:rPr>
            </w:pPr>
            <w:r w:rsidRPr="00143783">
              <w:rPr>
                <w:rFonts w:cs="Arial"/>
                <w:b/>
                <w:sz w:val="18"/>
                <w:szCs w:val="18"/>
              </w:rPr>
              <w:t>Guidelines for Nutrition Labelling</w:t>
            </w:r>
            <w:r w:rsidRPr="00143783">
              <w:rPr>
                <w:rFonts w:cs="Arial"/>
                <w:b/>
                <w:sz w:val="18"/>
                <w:szCs w:val="18"/>
                <w:vertAlign w:val="superscript"/>
              </w:rPr>
              <w:t>7</w:t>
            </w:r>
          </w:p>
        </w:tc>
      </w:tr>
      <w:tr w:rsidR="00345844" w:rsidTr="00143783">
        <w:tc>
          <w:tcPr>
            <w:tcW w:w="2551" w:type="dxa"/>
          </w:tcPr>
          <w:p w:rsidR="00345844" w:rsidRDefault="00345844" w:rsidP="005D3B10">
            <w:pPr>
              <w:rPr>
                <w:rFonts w:cs="Arial"/>
                <w:sz w:val="18"/>
                <w:szCs w:val="18"/>
              </w:rPr>
            </w:pPr>
            <w:r>
              <w:rPr>
                <w:rFonts w:cs="Arial"/>
                <w:sz w:val="18"/>
                <w:szCs w:val="18"/>
              </w:rPr>
              <w:t xml:space="preserve">The nutrition information panel is mandatory for most packaged foods. Energy and the mandatory nutrients and any other nutrients in the </w:t>
            </w:r>
            <w:proofErr w:type="gramStart"/>
            <w:r>
              <w:rPr>
                <w:rFonts w:cs="Arial"/>
                <w:sz w:val="18"/>
                <w:szCs w:val="18"/>
              </w:rPr>
              <w:t>panel  are</w:t>
            </w:r>
            <w:proofErr w:type="gramEnd"/>
            <w:r>
              <w:rPr>
                <w:rFonts w:cs="Arial"/>
                <w:sz w:val="18"/>
                <w:szCs w:val="18"/>
              </w:rPr>
              <w:t xml:space="preserve"> required to be listed per serving and per 100 g/100 </w:t>
            </w:r>
            <w:r w:rsidR="0054593A">
              <w:rPr>
                <w:rFonts w:cs="Arial"/>
                <w:sz w:val="18"/>
                <w:szCs w:val="18"/>
              </w:rPr>
              <w:t>mL</w:t>
            </w:r>
            <w:r>
              <w:rPr>
                <w:rFonts w:cs="Arial"/>
                <w:sz w:val="18"/>
                <w:szCs w:val="18"/>
              </w:rPr>
              <w:t xml:space="preserve"> in the NIP. </w:t>
            </w:r>
          </w:p>
          <w:p w:rsidR="00345844" w:rsidRDefault="00345844" w:rsidP="005D3B10">
            <w:pPr>
              <w:rPr>
                <w:rFonts w:cs="Arial"/>
                <w:sz w:val="18"/>
                <w:szCs w:val="18"/>
              </w:rPr>
            </w:pPr>
          </w:p>
          <w:p w:rsidR="00345844" w:rsidRPr="00664B44" w:rsidRDefault="00345844" w:rsidP="005D3B10">
            <w:pPr>
              <w:rPr>
                <w:rFonts w:cs="Arial"/>
                <w:sz w:val="18"/>
                <w:szCs w:val="18"/>
              </w:rPr>
            </w:pPr>
            <w:r w:rsidRPr="00664B44">
              <w:rPr>
                <w:rFonts w:cs="Arial"/>
                <w:sz w:val="18"/>
                <w:szCs w:val="18"/>
              </w:rPr>
              <w:t>A NIP must include the average quantity of food in a serving and the number of servings of the food in the package expressed as either:</w:t>
            </w:r>
          </w:p>
          <w:p w:rsidR="00345844" w:rsidRPr="00664B44" w:rsidRDefault="00345844" w:rsidP="005D3B10">
            <w:pPr>
              <w:rPr>
                <w:rFonts w:cs="Arial"/>
                <w:sz w:val="18"/>
                <w:szCs w:val="18"/>
              </w:rPr>
            </w:pPr>
          </w:p>
          <w:p w:rsidR="00345844" w:rsidRPr="00664B44" w:rsidRDefault="00345844" w:rsidP="00345844">
            <w:pPr>
              <w:pStyle w:val="FSBullet1"/>
              <w:numPr>
                <w:ilvl w:val="0"/>
                <w:numId w:val="7"/>
              </w:numPr>
              <w:tabs>
                <w:tab w:val="num" w:pos="284"/>
              </w:tabs>
              <w:ind w:left="284" w:hanging="284"/>
              <w:rPr>
                <w:sz w:val="18"/>
                <w:szCs w:val="18"/>
              </w:rPr>
            </w:pPr>
            <w:r w:rsidRPr="00664B44">
              <w:rPr>
                <w:sz w:val="18"/>
                <w:szCs w:val="18"/>
              </w:rPr>
              <w:t>the number of servings of the food, or</w:t>
            </w:r>
          </w:p>
          <w:p w:rsidR="00345844" w:rsidRPr="00664B44" w:rsidRDefault="00345844" w:rsidP="00345844">
            <w:pPr>
              <w:pStyle w:val="FSBullet1"/>
              <w:numPr>
                <w:ilvl w:val="0"/>
                <w:numId w:val="7"/>
              </w:numPr>
              <w:tabs>
                <w:tab w:val="num" w:pos="284"/>
              </w:tabs>
              <w:ind w:left="284" w:hanging="284"/>
              <w:rPr>
                <w:sz w:val="18"/>
                <w:szCs w:val="18"/>
              </w:rPr>
            </w:pPr>
            <w:proofErr w:type="gramStart"/>
            <w:r w:rsidRPr="00664B44">
              <w:rPr>
                <w:sz w:val="18"/>
                <w:szCs w:val="18"/>
              </w:rPr>
              <w:t>where</w:t>
            </w:r>
            <w:proofErr w:type="gramEnd"/>
            <w:r w:rsidRPr="00664B44">
              <w:rPr>
                <w:sz w:val="18"/>
                <w:szCs w:val="18"/>
              </w:rPr>
              <w:t xml:space="preserve"> the weight or volume of the packaged foods is variable, the number of servings of the food per kg, or other units as appropriate.</w:t>
            </w:r>
          </w:p>
          <w:p w:rsidR="00345844" w:rsidRPr="00664B44" w:rsidRDefault="00345844" w:rsidP="005D3B10">
            <w:pPr>
              <w:rPr>
                <w:rFonts w:cs="Arial"/>
                <w:sz w:val="18"/>
                <w:szCs w:val="18"/>
              </w:rPr>
            </w:pPr>
          </w:p>
          <w:p w:rsidR="00345844" w:rsidRPr="00664B44" w:rsidRDefault="00345844" w:rsidP="005D3B10">
            <w:pPr>
              <w:rPr>
                <w:rFonts w:cs="Arial"/>
                <w:sz w:val="18"/>
                <w:szCs w:val="18"/>
              </w:rPr>
            </w:pPr>
            <w:r w:rsidRPr="00664B44">
              <w:rPr>
                <w:rFonts w:cs="Arial"/>
                <w:sz w:val="18"/>
                <w:szCs w:val="18"/>
              </w:rPr>
              <w:t>The word ‘slice’, ‘pack’, or ‘package’ may replace the term ‘serving’. For example, one slice of bread (28 g) may be used to represent a serving. The word ‘serving’ may also be replaced with any other appropriate word describing a common measure or unit including ‘metric cup’ or ‘metric tablespoon’.</w:t>
            </w:r>
          </w:p>
          <w:p w:rsidR="00345844" w:rsidRPr="00664B44" w:rsidRDefault="00345844" w:rsidP="005D3B10">
            <w:pPr>
              <w:rPr>
                <w:rFonts w:cs="Arial"/>
                <w:sz w:val="18"/>
                <w:szCs w:val="18"/>
              </w:rPr>
            </w:pPr>
          </w:p>
          <w:p w:rsidR="00345844" w:rsidRPr="00664B44" w:rsidRDefault="00345844" w:rsidP="005D3B10">
            <w:pPr>
              <w:rPr>
                <w:rFonts w:cs="Arial"/>
                <w:sz w:val="18"/>
                <w:szCs w:val="18"/>
              </w:rPr>
            </w:pPr>
            <w:r w:rsidRPr="00664B44">
              <w:rPr>
                <w:rFonts w:cs="Arial"/>
                <w:sz w:val="18"/>
                <w:szCs w:val="18"/>
              </w:rPr>
              <w:lastRenderedPageBreak/>
              <w:t>Serving size is determined by the manufacturer.</w:t>
            </w:r>
          </w:p>
          <w:p w:rsidR="00345844" w:rsidRDefault="00345844" w:rsidP="005D3B10">
            <w:pPr>
              <w:rPr>
                <w:rFonts w:cs="Arial"/>
                <w:sz w:val="18"/>
                <w:szCs w:val="18"/>
              </w:rPr>
            </w:pPr>
          </w:p>
          <w:p w:rsidR="00345844" w:rsidRPr="00121FA3" w:rsidRDefault="00345844" w:rsidP="005D3B10">
            <w:pPr>
              <w:rPr>
                <w:rFonts w:cs="Arial"/>
                <w:sz w:val="18"/>
                <w:szCs w:val="18"/>
              </w:rPr>
            </w:pPr>
            <w:r>
              <w:rPr>
                <w:rFonts w:cs="Arial"/>
                <w:sz w:val="18"/>
                <w:szCs w:val="18"/>
              </w:rPr>
              <w:t>Where the average quantity of energy and nutrients are less than levels specified in the Code, a ‘less than</w:t>
            </w:r>
            <w:proofErr w:type="gramStart"/>
            <w:r>
              <w:rPr>
                <w:rFonts w:cs="Arial"/>
                <w:sz w:val="18"/>
                <w:szCs w:val="18"/>
              </w:rPr>
              <w:t>..’</w:t>
            </w:r>
            <w:proofErr w:type="gramEnd"/>
            <w:r>
              <w:rPr>
                <w:rFonts w:cs="Arial"/>
                <w:sz w:val="18"/>
                <w:szCs w:val="18"/>
              </w:rPr>
              <w:t xml:space="preserve"> statement can be used in the nutrition information panel.</w:t>
            </w:r>
          </w:p>
        </w:tc>
        <w:tc>
          <w:tcPr>
            <w:tcW w:w="2551" w:type="dxa"/>
          </w:tcPr>
          <w:p w:rsidR="00345844" w:rsidRDefault="00345844" w:rsidP="005D3B10">
            <w:pPr>
              <w:rPr>
                <w:rFonts w:cs="Arial"/>
                <w:sz w:val="18"/>
                <w:szCs w:val="18"/>
              </w:rPr>
            </w:pPr>
            <w:r>
              <w:rPr>
                <w:rFonts w:cs="Arial"/>
                <w:sz w:val="18"/>
                <w:szCs w:val="18"/>
              </w:rPr>
              <w:lastRenderedPageBreak/>
              <w:t xml:space="preserve">The nutrition facts table is mandatory for most packaged foods. Energy and mandatory nutrients and any other nutrients in the table are required to be listed per serving. Values for % Daily Value are also required for total fat, saturated &amp; </w:t>
            </w:r>
            <w:proofErr w:type="spellStart"/>
            <w:r>
              <w:rPr>
                <w:rFonts w:cs="Arial"/>
                <w:sz w:val="18"/>
                <w:szCs w:val="18"/>
              </w:rPr>
              <w:t>trans fat</w:t>
            </w:r>
            <w:proofErr w:type="spellEnd"/>
            <w:r>
              <w:rPr>
                <w:rFonts w:cs="Arial"/>
                <w:sz w:val="18"/>
                <w:szCs w:val="18"/>
              </w:rPr>
              <w:t xml:space="preserve"> together, cholesterol, sodium, total carbohydrate, dietary fibre, vitamin C, vitamin A, calcium, iron and any declared vitamins and minerals. Declaration of % Daily Value for cholesterol is optional.</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 xml:space="preserve">The nutrition facts table must include the serving size (expressed as a consumer friendly measure followed by the equivalent metric quantity) and the number of servings per container. </w:t>
            </w:r>
          </w:p>
          <w:p w:rsidR="00345844" w:rsidRDefault="00345844" w:rsidP="005D3B10">
            <w:pPr>
              <w:rPr>
                <w:rFonts w:cs="Arial"/>
                <w:sz w:val="18"/>
                <w:szCs w:val="18"/>
              </w:rPr>
            </w:pPr>
          </w:p>
          <w:p w:rsidR="00345844" w:rsidRPr="003F2BA4" w:rsidRDefault="00345844" w:rsidP="005D3B10">
            <w:pPr>
              <w:rPr>
                <w:rFonts w:cs="Arial"/>
                <w:sz w:val="18"/>
                <w:szCs w:val="18"/>
              </w:rPr>
            </w:pPr>
            <w:r w:rsidRPr="003F2BA4">
              <w:rPr>
                <w:rFonts w:cs="Arial"/>
                <w:sz w:val="18"/>
                <w:szCs w:val="18"/>
              </w:rPr>
              <w:t>The manufacturer has some flexibilit</w:t>
            </w:r>
            <w:r>
              <w:rPr>
                <w:rFonts w:cs="Arial"/>
                <w:sz w:val="18"/>
                <w:szCs w:val="18"/>
              </w:rPr>
              <w:t xml:space="preserve">y in determining serving sizes. </w:t>
            </w:r>
            <w:r w:rsidRPr="003F2BA4">
              <w:rPr>
                <w:rFonts w:cs="Arial"/>
                <w:sz w:val="18"/>
                <w:szCs w:val="18"/>
              </w:rPr>
              <w:t>A list of reasonable serving sizes is available in the</w:t>
            </w:r>
            <w:r>
              <w:rPr>
                <w:rFonts w:cs="Arial"/>
                <w:sz w:val="18"/>
                <w:szCs w:val="18"/>
              </w:rPr>
              <w:t xml:space="preserve"> regulations</w:t>
            </w:r>
            <w:r w:rsidRPr="003F2BA4">
              <w:rPr>
                <w:rFonts w:cs="Arial"/>
                <w:sz w:val="18"/>
                <w:szCs w:val="18"/>
              </w:rPr>
              <w:t>, and it may be used as a reference tool and guide when evaluating the appropriateness of a serving size.</w:t>
            </w:r>
          </w:p>
          <w:p w:rsidR="00345844" w:rsidRPr="003F2BA4" w:rsidRDefault="00345844" w:rsidP="005D3B10">
            <w:pPr>
              <w:rPr>
                <w:rFonts w:cs="Arial"/>
                <w:sz w:val="18"/>
                <w:szCs w:val="18"/>
              </w:rPr>
            </w:pPr>
          </w:p>
          <w:p w:rsidR="00345844" w:rsidRPr="00121FA3" w:rsidRDefault="00345844" w:rsidP="005D3B10">
            <w:pPr>
              <w:rPr>
                <w:rFonts w:cs="Arial"/>
                <w:sz w:val="18"/>
                <w:szCs w:val="18"/>
              </w:rPr>
            </w:pPr>
            <w:r w:rsidRPr="003F2BA4">
              <w:rPr>
                <w:rFonts w:cs="Arial"/>
                <w:sz w:val="18"/>
                <w:szCs w:val="18"/>
              </w:rPr>
              <w:t xml:space="preserve">Manufacturers have the option </w:t>
            </w:r>
            <w:r w:rsidRPr="003F2BA4">
              <w:rPr>
                <w:rFonts w:cs="Arial"/>
                <w:sz w:val="18"/>
                <w:szCs w:val="18"/>
              </w:rPr>
              <w:lastRenderedPageBreak/>
              <w:t>of using serving sizes that differ from the suggestions in the table provided they are reasonable and not misleading. Note that there are very specific requirements for single serving containers.</w:t>
            </w:r>
          </w:p>
        </w:tc>
        <w:tc>
          <w:tcPr>
            <w:tcW w:w="2551" w:type="dxa"/>
          </w:tcPr>
          <w:p w:rsidR="00345844" w:rsidRDefault="00345844" w:rsidP="005D3B10">
            <w:pPr>
              <w:rPr>
                <w:rFonts w:cs="Arial"/>
                <w:sz w:val="18"/>
                <w:szCs w:val="18"/>
              </w:rPr>
            </w:pPr>
            <w:r>
              <w:rPr>
                <w:rFonts w:cs="Arial"/>
                <w:sz w:val="18"/>
                <w:szCs w:val="18"/>
              </w:rPr>
              <w:lastRenderedPageBreak/>
              <w:t xml:space="preserve">The nutrition facts panel is mandatory for most packaged foods. Energy and mandatory nutrients and any other nutrients in the panel are required to be listed per serving. Energy per serving from fat is also required. If the amounts per serving are less than a specified level, a label statement ‘Not a significant source of…..’ can be used. Values for % Daily Value are also required for total fat, saturated fat, cholesterol, sodium, total carbohydrate, dietary fibre, vitamin C, vitamin A, calcium, </w:t>
            </w:r>
            <w:proofErr w:type="gramStart"/>
            <w:r>
              <w:rPr>
                <w:rFonts w:cs="Arial"/>
                <w:sz w:val="18"/>
                <w:szCs w:val="18"/>
              </w:rPr>
              <w:t>iron  and</w:t>
            </w:r>
            <w:proofErr w:type="gramEnd"/>
            <w:r>
              <w:rPr>
                <w:rFonts w:cs="Arial"/>
                <w:sz w:val="18"/>
                <w:szCs w:val="18"/>
              </w:rPr>
              <w:t xml:space="preserve"> any other declared vitamins and minerals.</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 xml:space="preserve">The nutrition facts panel must include the serving size (expressed as a common household measure followed by the equivalent metric quantity) and the number of servings per container. </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 xml:space="preserve">The FDA has established Reference Amounts Customarily Consumed (RACCs) for 39 food product categories in the Food and Drugs Act. The RACCs are used to derive serving sizes in accordance with requirements </w:t>
            </w:r>
            <w:r>
              <w:rPr>
                <w:rFonts w:cs="Arial"/>
                <w:sz w:val="18"/>
                <w:szCs w:val="18"/>
              </w:rPr>
              <w:lastRenderedPageBreak/>
              <w:t>in the regulations.</w:t>
            </w:r>
          </w:p>
          <w:p w:rsidR="00345844" w:rsidRDefault="00345844" w:rsidP="005D3B10">
            <w:pPr>
              <w:rPr>
                <w:rFonts w:cs="Arial"/>
                <w:sz w:val="18"/>
                <w:szCs w:val="18"/>
              </w:rPr>
            </w:pPr>
          </w:p>
          <w:p w:rsidR="00345844" w:rsidRPr="00121FA3" w:rsidRDefault="00345844" w:rsidP="005D3B10">
            <w:pPr>
              <w:rPr>
                <w:rFonts w:cs="Arial"/>
                <w:sz w:val="18"/>
                <w:szCs w:val="18"/>
              </w:rPr>
            </w:pPr>
            <w:r>
              <w:rPr>
                <w:rFonts w:cs="Arial"/>
                <w:sz w:val="18"/>
                <w:szCs w:val="18"/>
              </w:rPr>
              <w:t xml:space="preserve">The voluntary listing of nutrition information per 100 g or per 100 </w:t>
            </w:r>
            <w:r w:rsidR="0054593A">
              <w:rPr>
                <w:rFonts w:cs="Arial"/>
                <w:sz w:val="18"/>
                <w:szCs w:val="18"/>
              </w:rPr>
              <w:t>mL</w:t>
            </w:r>
            <w:r>
              <w:rPr>
                <w:rFonts w:cs="Arial"/>
                <w:sz w:val="18"/>
                <w:szCs w:val="18"/>
              </w:rPr>
              <w:t xml:space="preserve"> is permitted.  </w:t>
            </w:r>
          </w:p>
        </w:tc>
        <w:tc>
          <w:tcPr>
            <w:tcW w:w="2551" w:type="dxa"/>
          </w:tcPr>
          <w:p w:rsidR="00345844" w:rsidRDefault="00345844" w:rsidP="005D3B10">
            <w:pPr>
              <w:rPr>
                <w:rFonts w:cs="Arial"/>
                <w:sz w:val="18"/>
                <w:szCs w:val="18"/>
              </w:rPr>
            </w:pPr>
            <w:r>
              <w:rPr>
                <w:rFonts w:cs="Arial"/>
                <w:sz w:val="18"/>
                <w:szCs w:val="18"/>
              </w:rPr>
              <w:lastRenderedPageBreak/>
              <w:t xml:space="preserve">The nutrition table is mandatory for most packaged foods. Energy and mandatory nutrients and any other nutrients in the table are required to be listed per 100 g or 100 </w:t>
            </w:r>
            <w:r w:rsidR="0054593A">
              <w:rPr>
                <w:rFonts w:cs="Arial"/>
                <w:sz w:val="18"/>
                <w:szCs w:val="18"/>
              </w:rPr>
              <w:t>mL</w:t>
            </w:r>
            <w:r>
              <w:rPr>
                <w:rFonts w:cs="Arial"/>
                <w:sz w:val="18"/>
                <w:szCs w:val="18"/>
              </w:rPr>
              <w:t xml:space="preserve">. When vitamins and minerals are included in the table, they must also be expressed as a percentage of reference intakes per 100 g/100 </w:t>
            </w:r>
            <w:r w:rsidR="0054593A">
              <w:rPr>
                <w:rFonts w:cs="Arial"/>
                <w:sz w:val="18"/>
                <w:szCs w:val="18"/>
              </w:rPr>
              <w:t>mL</w:t>
            </w:r>
            <w:r>
              <w:rPr>
                <w:rFonts w:cs="Arial"/>
                <w:sz w:val="18"/>
                <w:szCs w:val="18"/>
              </w:rPr>
              <w:t>.</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The inclusion of the percentage of reference intakes (%</w:t>
            </w:r>
            <w:r w:rsidR="00ED6387">
              <w:rPr>
                <w:rFonts w:cs="Arial"/>
                <w:sz w:val="18"/>
                <w:szCs w:val="18"/>
              </w:rPr>
              <w:t xml:space="preserve"> </w:t>
            </w:r>
            <w:r>
              <w:rPr>
                <w:rFonts w:cs="Arial"/>
                <w:sz w:val="18"/>
                <w:szCs w:val="18"/>
              </w:rPr>
              <w:t>G</w:t>
            </w:r>
            <w:r w:rsidR="00ED6387">
              <w:rPr>
                <w:rFonts w:cs="Arial"/>
                <w:sz w:val="18"/>
                <w:szCs w:val="18"/>
              </w:rPr>
              <w:t xml:space="preserve">uideline </w:t>
            </w:r>
            <w:r>
              <w:rPr>
                <w:rFonts w:cs="Arial"/>
                <w:sz w:val="18"/>
                <w:szCs w:val="18"/>
              </w:rPr>
              <w:t>D</w:t>
            </w:r>
            <w:r w:rsidR="00ED6387">
              <w:rPr>
                <w:rFonts w:cs="Arial"/>
                <w:sz w:val="18"/>
                <w:szCs w:val="18"/>
              </w:rPr>
              <w:t xml:space="preserve">aily </w:t>
            </w:r>
            <w:r>
              <w:rPr>
                <w:rFonts w:cs="Arial"/>
                <w:sz w:val="18"/>
                <w:szCs w:val="18"/>
              </w:rPr>
              <w:t>A</w:t>
            </w:r>
            <w:r w:rsidR="00ED6387">
              <w:rPr>
                <w:rFonts w:cs="Arial"/>
                <w:sz w:val="18"/>
                <w:szCs w:val="18"/>
              </w:rPr>
              <w:t>mount (%GDA)</w:t>
            </w:r>
            <w:r>
              <w:rPr>
                <w:rFonts w:cs="Arial"/>
                <w:sz w:val="18"/>
                <w:szCs w:val="18"/>
              </w:rPr>
              <w:t>) for energy and the mandated nutrients in the nutrition table is voluntary. %GDA values are not permitted for the voluntary nutrients.</w:t>
            </w:r>
            <w:r w:rsidR="00550DC1">
              <w:rPr>
                <w:rFonts w:cs="Arial"/>
                <w:sz w:val="18"/>
                <w:szCs w:val="18"/>
              </w:rPr>
              <w:t xml:space="preserve"> %GDA values may be expressed per serving or per 100 g/100 mL.</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Energy and mandatory nutrients may be expressed per portion and/or per consumption unit, provided the portion or unit is stated on the label along with the number of portions or units in the package. There are three cases where portions and/or consumption units may be used:</w:t>
            </w:r>
          </w:p>
          <w:p w:rsidR="00345844" w:rsidRDefault="00345844" w:rsidP="005D3B10">
            <w:pPr>
              <w:rPr>
                <w:rFonts w:cs="Arial"/>
                <w:sz w:val="18"/>
                <w:szCs w:val="18"/>
              </w:rPr>
            </w:pPr>
          </w:p>
          <w:p w:rsidR="00345844" w:rsidRPr="00927AA2" w:rsidRDefault="00345844" w:rsidP="00345844">
            <w:pPr>
              <w:pStyle w:val="FSBullet1"/>
              <w:numPr>
                <w:ilvl w:val="0"/>
                <w:numId w:val="7"/>
              </w:numPr>
              <w:tabs>
                <w:tab w:val="num" w:pos="567"/>
              </w:tabs>
              <w:ind w:left="285" w:hanging="285"/>
              <w:rPr>
                <w:sz w:val="18"/>
                <w:szCs w:val="18"/>
              </w:rPr>
            </w:pPr>
            <w:r w:rsidRPr="00927AA2">
              <w:rPr>
                <w:sz w:val="18"/>
                <w:szCs w:val="18"/>
              </w:rPr>
              <w:t xml:space="preserve">in addition to the mandatory </w:t>
            </w:r>
            <w:r w:rsidRPr="00927AA2">
              <w:rPr>
                <w:sz w:val="18"/>
                <w:szCs w:val="18"/>
              </w:rPr>
              <w:lastRenderedPageBreak/>
              <w:t xml:space="preserve">expression per 100 g/100 </w:t>
            </w:r>
            <w:r w:rsidR="0054593A">
              <w:rPr>
                <w:sz w:val="18"/>
                <w:szCs w:val="18"/>
              </w:rPr>
              <w:t>mL</w:t>
            </w:r>
            <w:r w:rsidRPr="00927AA2">
              <w:rPr>
                <w:sz w:val="18"/>
                <w:szCs w:val="18"/>
              </w:rPr>
              <w:t xml:space="preserve"> for all nutrients</w:t>
            </w:r>
          </w:p>
          <w:p w:rsidR="00345844" w:rsidRPr="00927AA2" w:rsidRDefault="00345844" w:rsidP="00345844">
            <w:pPr>
              <w:pStyle w:val="FSBullet1"/>
              <w:numPr>
                <w:ilvl w:val="0"/>
                <w:numId w:val="7"/>
              </w:numPr>
              <w:tabs>
                <w:tab w:val="num" w:pos="285"/>
              </w:tabs>
              <w:ind w:left="285" w:hanging="285"/>
              <w:rPr>
                <w:sz w:val="18"/>
                <w:szCs w:val="18"/>
              </w:rPr>
            </w:pPr>
            <w:r w:rsidRPr="00927AA2">
              <w:rPr>
                <w:sz w:val="18"/>
                <w:szCs w:val="18"/>
              </w:rPr>
              <w:t xml:space="preserve">in addition to the mandatory expression per 100 g/100 </w:t>
            </w:r>
            <w:r w:rsidR="0054593A">
              <w:rPr>
                <w:sz w:val="18"/>
                <w:szCs w:val="18"/>
              </w:rPr>
              <w:t>mL</w:t>
            </w:r>
            <w:r w:rsidRPr="00927AA2">
              <w:rPr>
                <w:sz w:val="18"/>
                <w:szCs w:val="18"/>
              </w:rPr>
              <w:t xml:space="preserve"> and NRVs per 100 g/100 </w:t>
            </w:r>
            <w:r w:rsidR="000F28BB">
              <w:rPr>
                <w:sz w:val="18"/>
                <w:szCs w:val="18"/>
              </w:rPr>
              <w:t>m</w:t>
            </w:r>
            <w:r w:rsidR="0054593A">
              <w:rPr>
                <w:sz w:val="18"/>
                <w:szCs w:val="18"/>
              </w:rPr>
              <w:t>L</w:t>
            </w:r>
            <w:r w:rsidRPr="00927AA2">
              <w:rPr>
                <w:sz w:val="18"/>
                <w:szCs w:val="18"/>
              </w:rPr>
              <w:t xml:space="preserve"> for vitamins and minerals</w:t>
            </w:r>
          </w:p>
          <w:p w:rsidR="00345844" w:rsidRPr="00927AA2" w:rsidRDefault="00345844" w:rsidP="00345844">
            <w:pPr>
              <w:pStyle w:val="FSBullet1"/>
              <w:numPr>
                <w:ilvl w:val="0"/>
                <w:numId w:val="7"/>
              </w:numPr>
              <w:tabs>
                <w:tab w:val="num" w:pos="285"/>
              </w:tabs>
              <w:ind w:left="285" w:hanging="285"/>
              <w:rPr>
                <w:sz w:val="18"/>
                <w:szCs w:val="18"/>
              </w:rPr>
            </w:pPr>
            <w:proofErr w:type="gramStart"/>
            <w:r w:rsidRPr="00927AA2">
              <w:rPr>
                <w:sz w:val="18"/>
                <w:szCs w:val="18"/>
              </w:rPr>
              <w:t>in</w:t>
            </w:r>
            <w:proofErr w:type="gramEnd"/>
            <w:r w:rsidRPr="00927AA2">
              <w:rPr>
                <w:sz w:val="18"/>
                <w:szCs w:val="18"/>
              </w:rPr>
              <w:t xml:space="preserve"> addition to or instead of the voluntary expression of GDA reference intakes per 100 g/100 </w:t>
            </w:r>
            <w:r w:rsidR="0054593A">
              <w:rPr>
                <w:sz w:val="18"/>
                <w:szCs w:val="18"/>
              </w:rPr>
              <w:t>mL</w:t>
            </w:r>
            <w:r w:rsidRPr="00927AA2">
              <w:rPr>
                <w:sz w:val="18"/>
                <w:szCs w:val="18"/>
              </w:rPr>
              <w:t>.</w:t>
            </w:r>
          </w:p>
          <w:p w:rsidR="00345844" w:rsidRDefault="00345844" w:rsidP="005D3B10">
            <w:pPr>
              <w:rPr>
                <w:lang w:val="en-AU" w:bidi="ar-SA"/>
              </w:rPr>
            </w:pPr>
          </w:p>
          <w:p w:rsidR="00345844" w:rsidRPr="00302C3E" w:rsidRDefault="00345844" w:rsidP="005D3B10">
            <w:pPr>
              <w:rPr>
                <w:sz w:val="20"/>
                <w:szCs w:val="20"/>
                <w:lang w:val="en-AU" w:bidi="ar-SA"/>
              </w:rPr>
            </w:pPr>
          </w:p>
        </w:tc>
        <w:tc>
          <w:tcPr>
            <w:tcW w:w="2551" w:type="dxa"/>
          </w:tcPr>
          <w:p w:rsidR="00345844" w:rsidRDefault="00345844" w:rsidP="005D3B10">
            <w:pPr>
              <w:rPr>
                <w:rFonts w:cs="Arial"/>
                <w:sz w:val="18"/>
                <w:szCs w:val="18"/>
              </w:rPr>
            </w:pPr>
            <w:r>
              <w:rPr>
                <w:rFonts w:cs="Arial"/>
                <w:sz w:val="18"/>
                <w:szCs w:val="18"/>
              </w:rPr>
              <w:lastRenderedPageBreak/>
              <w:t>Declaration of nutrient content should be numerical. Additional means of presentation is not excluded.</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 xml:space="preserve">Energy value should be expressed per 100 g/100 </w:t>
            </w:r>
            <w:r w:rsidR="0054593A">
              <w:rPr>
                <w:rFonts w:cs="Arial"/>
                <w:sz w:val="18"/>
                <w:szCs w:val="18"/>
              </w:rPr>
              <w:t>mL</w:t>
            </w:r>
            <w:r>
              <w:rPr>
                <w:rFonts w:cs="Arial"/>
                <w:sz w:val="18"/>
                <w:szCs w:val="18"/>
              </w:rPr>
              <w:t xml:space="preserve"> or per package if the package contains only a single portion. The information may also be given per serving or per portion provided that the number of portions contained in the package is stated.</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 xml:space="preserve">Information on the amounts of protein, carbohydrate and fat in the food should be expressed per 100 g/100 </w:t>
            </w:r>
            <w:r w:rsidR="0054593A">
              <w:rPr>
                <w:rFonts w:cs="Arial"/>
                <w:sz w:val="18"/>
                <w:szCs w:val="18"/>
              </w:rPr>
              <w:t>mL</w:t>
            </w:r>
            <w:r>
              <w:rPr>
                <w:rFonts w:cs="Arial"/>
                <w:sz w:val="18"/>
                <w:szCs w:val="18"/>
              </w:rPr>
              <w:t xml:space="preserve"> or per package if the package contains only one serving. The information may also be given per serving or per portion provide the number of portions contained in the package is stated.</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 xml:space="preserve">Information on vitamins and minerals should be expressed in metric units or as a percentage of a nutrient reference value per 100 g/100 </w:t>
            </w:r>
            <w:r w:rsidR="0054593A">
              <w:rPr>
                <w:rFonts w:cs="Arial"/>
                <w:sz w:val="18"/>
                <w:szCs w:val="18"/>
              </w:rPr>
              <w:t>mL</w:t>
            </w:r>
            <w:r>
              <w:rPr>
                <w:rFonts w:cs="Arial"/>
                <w:sz w:val="18"/>
                <w:szCs w:val="18"/>
              </w:rPr>
              <w:t xml:space="preserve"> or per package or per serving. Information on protein may also be expressed as percentages of the nutrient </w:t>
            </w:r>
            <w:r>
              <w:rPr>
                <w:rFonts w:cs="Arial"/>
                <w:sz w:val="18"/>
                <w:szCs w:val="18"/>
              </w:rPr>
              <w:lastRenderedPageBreak/>
              <w:t>reference value.</w:t>
            </w:r>
          </w:p>
          <w:p w:rsidR="00345844" w:rsidRDefault="00345844" w:rsidP="005D3B10">
            <w:pPr>
              <w:rPr>
                <w:rFonts w:cs="Arial"/>
                <w:sz w:val="18"/>
                <w:szCs w:val="18"/>
              </w:rPr>
            </w:pPr>
          </w:p>
          <w:p w:rsidR="00345844" w:rsidRDefault="00345844" w:rsidP="005D3B10">
            <w:pPr>
              <w:rPr>
                <w:rFonts w:cs="Arial"/>
                <w:sz w:val="18"/>
                <w:szCs w:val="18"/>
              </w:rPr>
            </w:pPr>
            <w:r>
              <w:rPr>
                <w:rFonts w:cs="Arial"/>
                <w:sz w:val="18"/>
                <w:szCs w:val="18"/>
              </w:rPr>
              <w:t>In countries where serving sizes are normally used, information required as stated above may be given per serving only or per portion provided that the number of portions contained in the package is stated.</w:t>
            </w:r>
          </w:p>
          <w:p w:rsidR="00345844" w:rsidRPr="00121FA3" w:rsidRDefault="00345844" w:rsidP="005D3B10">
            <w:pPr>
              <w:rPr>
                <w:rFonts w:cs="Arial"/>
                <w:sz w:val="18"/>
                <w:szCs w:val="18"/>
              </w:rPr>
            </w:pPr>
          </w:p>
        </w:tc>
      </w:tr>
    </w:tbl>
    <w:p w:rsidR="00345844" w:rsidRPr="00E56BA1" w:rsidRDefault="00345844" w:rsidP="00345844">
      <w:pPr>
        <w:spacing w:after="60"/>
        <w:rPr>
          <w:rFonts w:cs="Arial"/>
          <w:sz w:val="18"/>
          <w:szCs w:val="18"/>
        </w:rPr>
      </w:pPr>
      <w:r w:rsidRPr="00E56BA1">
        <w:rPr>
          <w:rFonts w:cs="Arial"/>
          <w:sz w:val="18"/>
          <w:szCs w:val="18"/>
          <w:vertAlign w:val="superscript"/>
        </w:rPr>
        <w:lastRenderedPageBreak/>
        <w:t>2</w:t>
      </w:r>
      <w:r w:rsidRPr="00E56BA1">
        <w:rPr>
          <w:rFonts w:cs="Arial"/>
          <w:sz w:val="18"/>
          <w:szCs w:val="18"/>
        </w:rPr>
        <w:t xml:space="preserve"> The </w:t>
      </w:r>
      <w:r w:rsidRPr="00E56BA1">
        <w:rPr>
          <w:rFonts w:cs="Arial"/>
          <w:i/>
          <w:sz w:val="18"/>
          <w:szCs w:val="18"/>
        </w:rPr>
        <w:t>Australia New Zealand Food Standards Code</w:t>
      </w:r>
      <w:r w:rsidRPr="00E56BA1">
        <w:rPr>
          <w:rFonts w:cs="Arial"/>
          <w:sz w:val="18"/>
          <w:szCs w:val="18"/>
        </w:rPr>
        <w:t xml:space="preserve"> is at </w:t>
      </w:r>
      <w:hyperlink r:id="rId30" w:history="1">
        <w:r w:rsidRPr="00E56BA1">
          <w:rPr>
            <w:rStyle w:val="Hyperlink"/>
            <w:sz w:val="18"/>
            <w:szCs w:val="18"/>
          </w:rPr>
          <w:t>http://www.foodstandards.gov.au/code/Pages/default.aspx</w:t>
        </w:r>
      </w:hyperlink>
      <w:r w:rsidRPr="00E56BA1">
        <w:rPr>
          <w:rFonts w:cs="Arial"/>
          <w:sz w:val="18"/>
          <w:szCs w:val="18"/>
        </w:rPr>
        <w:t>.</w:t>
      </w:r>
    </w:p>
    <w:p w:rsidR="00345844" w:rsidRPr="00E56BA1" w:rsidRDefault="00345844" w:rsidP="00345844">
      <w:pPr>
        <w:spacing w:after="60"/>
        <w:rPr>
          <w:rFonts w:cs="Arial"/>
          <w:sz w:val="18"/>
          <w:szCs w:val="18"/>
        </w:rPr>
      </w:pPr>
      <w:r w:rsidRPr="00E56BA1">
        <w:rPr>
          <w:rFonts w:cs="Arial"/>
          <w:sz w:val="18"/>
          <w:szCs w:val="18"/>
          <w:vertAlign w:val="superscript"/>
        </w:rPr>
        <w:t>3</w:t>
      </w:r>
      <w:r w:rsidRPr="00E56BA1">
        <w:rPr>
          <w:rFonts w:cs="Arial"/>
          <w:sz w:val="18"/>
          <w:szCs w:val="18"/>
        </w:rPr>
        <w:t xml:space="preserve">The Canadian </w:t>
      </w:r>
      <w:r w:rsidRPr="00E56BA1">
        <w:rPr>
          <w:rFonts w:cs="Arial"/>
          <w:i/>
          <w:sz w:val="18"/>
          <w:szCs w:val="18"/>
        </w:rPr>
        <w:t>Food and Drug Regulations</w:t>
      </w:r>
      <w:r w:rsidRPr="00E56BA1">
        <w:rPr>
          <w:rFonts w:cs="Arial"/>
          <w:sz w:val="18"/>
          <w:szCs w:val="18"/>
        </w:rPr>
        <w:t xml:space="preserve"> are at </w:t>
      </w:r>
      <w:hyperlink r:id="rId31" w:history="1">
        <w:r w:rsidRPr="00E56BA1">
          <w:rPr>
            <w:rStyle w:val="Hyperlink"/>
            <w:sz w:val="18"/>
            <w:szCs w:val="18"/>
          </w:rPr>
          <w:t>http://laws-lois.justice.gc.ca/eng/regulations/C.R.C.%2C_c._870/</w:t>
        </w:r>
      </w:hyperlink>
      <w:r w:rsidRPr="00E56BA1">
        <w:rPr>
          <w:rFonts w:cs="Arial"/>
          <w:sz w:val="18"/>
          <w:szCs w:val="18"/>
        </w:rPr>
        <w:t>.</w:t>
      </w:r>
      <w:r>
        <w:rPr>
          <w:rFonts w:cs="Arial"/>
          <w:sz w:val="18"/>
          <w:szCs w:val="18"/>
        </w:rPr>
        <w:t xml:space="preserve"> An Industry Labelling Tool is at </w:t>
      </w:r>
      <w:hyperlink r:id="rId32" w:history="1">
        <w:r w:rsidRPr="00F36AF9">
          <w:rPr>
            <w:rStyle w:val="Hyperlink"/>
            <w:sz w:val="18"/>
            <w:szCs w:val="18"/>
          </w:rPr>
          <w:t>http://www.inspection.gc.ca/food/labelling/food-labelling-for-industry/eng/1383607266489/1383607344939</w:t>
        </w:r>
      </w:hyperlink>
      <w:r>
        <w:rPr>
          <w:rFonts w:cs="Arial"/>
          <w:sz w:val="18"/>
          <w:szCs w:val="18"/>
        </w:rPr>
        <w:t xml:space="preserve">. </w:t>
      </w:r>
    </w:p>
    <w:p w:rsidR="00345844" w:rsidRPr="00E56BA1" w:rsidRDefault="00345844" w:rsidP="00345844">
      <w:pPr>
        <w:spacing w:after="60"/>
        <w:rPr>
          <w:rFonts w:cs="Arial"/>
          <w:sz w:val="18"/>
          <w:szCs w:val="18"/>
        </w:rPr>
      </w:pPr>
      <w:r w:rsidRPr="00E56BA1">
        <w:rPr>
          <w:rFonts w:cs="Arial"/>
          <w:sz w:val="18"/>
          <w:szCs w:val="18"/>
          <w:vertAlign w:val="superscript"/>
        </w:rPr>
        <w:t xml:space="preserve">4 </w:t>
      </w:r>
      <w:r w:rsidRPr="00E56BA1">
        <w:rPr>
          <w:rFonts w:cs="Arial"/>
          <w:sz w:val="18"/>
          <w:szCs w:val="18"/>
        </w:rPr>
        <w:t xml:space="preserve">Title 21 – Food and Drugs from the </w:t>
      </w:r>
      <w:r w:rsidR="00F02866">
        <w:rPr>
          <w:rFonts w:cs="Arial"/>
          <w:sz w:val="18"/>
          <w:szCs w:val="18"/>
        </w:rPr>
        <w:t>United States</w:t>
      </w:r>
      <w:r>
        <w:rPr>
          <w:rFonts w:cs="Arial"/>
          <w:sz w:val="18"/>
          <w:szCs w:val="18"/>
        </w:rPr>
        <w:t xml:space="preserve"> </w:t>
      </w:r>
      <w:r w:rsidRPr="00E56BA1">
        <w:rPr>
          <w:rFonts w:cs="Arial"/>
          <w:sz w:val="18"/>
          <w:szCs w:val="18"/>
        </w:rPr>
        <w:t xml:space="preserve">Food and Drug Administration is available at </w:t>
      </w:r>
      <w:hyperlink r:id="rId33" w:history="1">
        <w:r w:rsidRPr="00E56BA1">
          <w:rPr>
            <w:rStyle w:val="Hyperlink"/>
            <w:sz w:val="18"/>
            <w:szCs w:val="18"/>
          </w:rPr>
          <w:t>http://www.ecfr.gov/cgi-bin/text-idx?SID=50c7e808f8d7d041fe07e13453d53306&amp;c=ecfr&amp;tpl=/ecfrbrowse/Title21/21cfrv2_02.tpl</w:t>
        </w:r>
      </w:hyperlink>
      <w:r w:rsidRPr="00E56BA1">
        <w:rPr>
          <w:rFonts w:cs="Arial"/>
          <w:sz w:val="18"/>
          <w:szCs w:val="18"/>
        </w:rPr>
        <w:t xml:space="preserve">. A food labelling guide is available at </w:t>
      </w:r>
      <w:hyperlink r:id="rId34" w:history="1">
        <w:r w:rsidRPr="00E56BA1">
          <w:rPr>
            <w:rStyle w:val="Hyperlink"/>
            <w:sz w:val="18"/>
            <w:szCs w:val="18"/>
          </w:rPr>
          <w:t>http://www.fda.gov/Food/GuidanceRegulation/GuidanceDocumentsRegulatoryInformation/LabelingNutrition/ucm2006828.htm</w:t>
        </w:r>
      </w:hyperlink>
      <w:r w:rsidRPr="00E56BA1">
        <w:rPr>
          <w:rFonts w:cs="Arial"/>
          <w:sz w:val="18"/>
          <w:szCs w:val="18"/>
        </w:rPr>
        <w:t xml:space="preserve">. </w:t>
      </w:r>
    </w:p>
    <w:p w:rsidR="00345844" w:rsidRPr="00E56BA1" w:rsidRDefault="00345844" w:rsidP="00345844">
      <w:pPr>
        <w:spacing w:after="60"/>
        <w:rPr>
          <w:rFonts w:cs="Arial"/>
          <w:sz w:val="18"/>
          <w:szCs w:val="18"/>
        </w:rPr>
      </w:pPr>
      <w:r w:rsidRPr="00E56BA1">
        <w:rPr>
          <w:rFonts w:cs="Arial"/>
          <w:sz w:val="18"/>
          <w:szCs w:val="18"/>
          <w:vertAlign w:val="superscript"/>
        </w:rPr>
        <w:t>5</w:t>
      </w:r>
      <w:r w:rsidRPr="00E56BA1">
        <w:rPr>
          <w:rFonts w:cs="Arial"/>
          <w:sz w:val="18"/>
          <w:szCs w:val="18"/>
        </w:rPr>
        <w:t xml:space="preserve"> In 2011 the EU released new regulations on the provision of food information to consumers (EU 1169/2011). These requirements become fully effective in December 2014 for foods with a nutrition information panel, and for all foods from December 2016. The nutrition information panel remains voluntary in the EU from December 2014 to December 2016. EU 1169/2011 is available at </w:t>
      </w:r>
      <w:hyperlink r:id="rId35" w:history="1">
        <w:r w:rsidRPr="00E56BA1">
          <w:rPr>
            <w:rStyle w:val="Hyperlink"/>
            <w:sz w:val="18"/>
            <w:szCs w:val="18"/>
          </w:rPr>
          <w:t>http://eur-lex.europa.eu/LexUriServ/LexUriServ.do?uri=OJ:L:2011:304:0018:0063:EN:PDF</w:t>
        </w:r>
      </w:hyperlink>
      <w:r w:rsidRPr="00E56BA1">
        <w:rPr>
          <w:rFonts w:cs="Arial"/>
          <w:sz w:val="18"/>
          <w:szCs w:val="18"/>
        </w:rPr>
        <w:t xml:space="preserve">. </w:t>
      </w:r>
    </w:p>
    <w:p w:rsidR="00345844" w:rsidRPr="00E56BA1" w:rsidRDefault="00345844" w:rsidP="00345844">
      <w:pPr>
        <w:spacing w:after="60"/>
        <w:rPr>
          <w:rFonts w:cs="Arial"/>
          <w:sz w:val="18"/>
          <w:szCs w:val="18"/>
        </w:rPr>
      </w:pPr>
      <w:r w:rsidRPr="00E56BA1">
        <w:rPr>
          <w:rFonts w:cs="Arial"/>
          <w:sz w:val="18"/>
          <w:szCs w:val="18"/>
          <w:vertAlign w:val="superscript"/>
        </w:rPr>
        <w:t xml:space="preserve">6 </w:t>
      </w:r>
      <w:r w:rsidRPr="00E56BA1">
        <w:rPr>
          <w:rFonts w:cs="Arial"/>
          <w:sz w:val="18"/>
          <w:szCs w:val="18"/>
        </w:rPr>
        <w:t xml:space="preserve">A draft guidance document on labelling requirements is available at </w:t>
      </w:r>
      <w:hyperlink r:id="rId36" w:history="1">
        <w:r w:rsidRPr="00E56BA1">
          <w:rPr>
            <w:rStyle w:val="Hyperlink"/>
            <w:sz w:val="18"/>
            <w:szCs w:val="18"/>
          </w:rPr>
          <w:t>https://www.gov.uk/government/consultations/food-information-regulations-fir-2013</w:t>
        </w:r>
      </w:hyperlink>
      <w:r w:rsidRPr="00E56BA1">
        <w:rPr>
          <w:rFonts w:cs="Arial"/>
          <w:sz w:val="18"/>
          <w:szCs w:val="18"/>
        </w:rPr>
        <w:t xml:space="preserve">. The industry groups </w:t>
      </w:r>
      <w:proofErr w:type="spellStart"/>
      <w:r w:rsidRPr="00E56BA1">
        <w:rPr>
          <w:rFonts w:cs="Arial"/>
          <w:sz w:val="18"/>
          <w:szCs w:val="18"/>
        </w:rPr>
        <w:t>FoodDrinkEurope</w:t>
      </w:r>
      <w:proofErr w:type="spellEnd"/>
      <w:r w:rsidRPr="00E56BA1">
        <w:rPr>
          <w:rFonts w:cs="Arial"/>
          <w:sz w:val="18"/>
          <w:szCs w:val="18"/>
        </w:rPr>
        <w:t xml:space="preserve"> and </w:t>
      </w:r>
      <w:proofErr w:type="spellStart"/>
      <w:r w:rsidRPr="00E56BA1">
        <w:rPr>
          <w:rFonts w:cs="Arial"/>
          <w:sz w:val="18"/>
          <w:szCs w:val="18"/>
        </w:rPr>
        <w:t>EuroCommerce</w:t>
      </w:r>
      <w:proofErr w:type="spellEnd"/>
      <w:r w:rsidRPr="00E56BA1">
        <w:rPr>
          <w:rFonts w:cs="Arial"/>
          <w:sz w:val="18"/>
          <w:szCs w:val="18"/>
        </w:rPr>
        <w:t xml:space="preserve"> released a guidance document on EU 1169/2011 (Food Information for Cons</w:t>
      </w:r>
      <w:r w:rsidR="00ED6387">
        <w:rPr>
          <w:rFonts w:cs="Arial"/>
          <w:sz w:val="18"/>
          <w:szCs w:val="18"/>
        </w:rPr>
        <w:t>umers)</w:t>
      </w:r>
      <w:r w:rsidRPr="00E56BA1">
        <w:rPr>
          <w:rFonts w:cs="Arial"/>
          <w:sz w:val="18"/>
          <w:szCs w:val="18"/>
        </w:rPr>
        <w:t xml:space="preserve"> in September 2013. This document is available at </w:t>
      </w:r>
      <w:hyperlink r:id="rId37" w:history="1">
        <w:r w:rsidRPr="00E56BA1">
          <w:rPr>
            <w:rStyle w:val="Hyperlink"/>
            <w:sz w:val="18"/>
            <w:szCs w:val="18"/>
          </w:rPr>
          <w:t>http://www.fooddrinkeurope.eu/uploads/press-releases_documents/FDE_Guidance_WEB1.pdf</w:t>
        </w:r>
      </w:hyperlink>
      <w:r w:rsidRPr="00E56BA1">
        <w:rPr>
          <w:rFonts w:cs="Arial"/>
          <w:sz w:val="18"/>
          <w:szCs w:val="18"/>
        </w:rPr>
        <w:t xml:space="preserve">. </w:t>
      </w:r>
    </w:p>
    <w:p w:rsidR="00345844" w:rsidRPr="00D5313C" w:rsidRDefault="00345844" w:rsidP="00345844">
      <w:pPr>
        <w:rPr>
          <w:rFonts w:cs="Arial"/>
        </w:rPr>
      </w:pPr>
      <w:r w:rsidRPr="00E56BA1">
        <w:rPr>
          <w:rFonts w:cs="Arial"/>
          <w:sz w:val="18"/>
          <w:szCs w:val="18"/>
          <w:vertAlign w:val="superscript"/>
        </w:rPr>
        <w:t>7</w:t>
      </w:r>
      <w:r w:rsidRPr="00E56BA1">
        <w:rPr>
          <w:rFonts w:cs="Arial"/>
          <w:sz w:val="18"/>
          <w:szCs w:val="18"/>
        </w:rPr>
        <w:t xml:space="preserve"> Codex guidelines are available at </w:t>
      </w:r>
      <w:hyperlink r:id="rId38" w:history="1">
        <w:r w:rsidRPr="00E56BA1">
          <w:rPr>
            <w:rStyle w:val="Hyperlink"/>
            <w:sz w:val="18"/>
            <w:szCs w:val="18"/>
          </w:rPr>
          <w:t>http://www.codexalimentarius.org/standards/list-of-standards/</w:t>
        </w:r>
      </w:hyperlink>
      <w:r>
        <w:rPr>
          <w:rFonts w:cs="Arial"/>
          <w:sz w:val="18"/>
          <w:szCs w:val="18"/>
        </w:rPr>
        <w:t>.</w:t>
      </w:r>
    </w:p>
    <w:p w:rsidR="007C174F" w:rsidRDefault="007C174F" w:rsidP="007C174F"/>
    <w:p w:rsidR="007E761C" w:rsidRDefault="007E761C" w:rsidP="007C174F">
      <w:pPr>
        <w:sectPr w:rsidR="007E761C" w:rsidSect="00D469EA">
          <w:pgSz w:w="16838" w:h="11906" w:orient="landscape"/>
          <w:pgMar w:top="1418" w:right="1134" w:bottom="1418" w:left="1418" w:header="709" w:footer="709" w:gutter="0"/>
          <w:cols w:space="708"/>
          <w:docGrid w:linePitch="360"/>
        </w:sectPr>
      </w:pPr>
    </w:p>
    <w:p w:rsidR="007E761C" w:rsidRDefault="007E761C" w:rsidP="007E761C">
      <w:pPr>
        <w:pStyle w:val="Heading2"/>
        <w:ind w:left="0" w:firstLine="0"/>
      </w:pPr>
      <w:bookmarkStart w:id="79" w:name="_Toc405365757"/>
      <w:r w:rsidRPr="00932F14">
        <w:lastRenderedPageBreak/>
        <w:t xml:space="preserve">Attachment </w:t>
      </w:r>
      <w:bookmarkStart w:id="80" w:name="_Toc120358597"/>
      <w:bookmarkStart w:id="81" w:name="_Toc175381459"/>
      <w:r>
        <w:t>B –</w:t>
      </w:r>
      <w:bookmarkEnd w:id="80"/>
      <w:bookmarkEnd w:id="81"/>
      <w:r w:rsidR="00AE3196">
        <w:t xml:space="preserve"> </w:t>
      </w:r>
      <w:r>
        <w:t>Regulatory requirements for serving sizes in Canada and the US</w:t>
      </w:r>
      <w:r w:rsidR="003542CB">
        <w:t>A</w:t>
      </w:r>
      <w:bookmarkEnd w:id="79"/>
    </w:p>
    <w:p w:rsidR="007E761C" w:rsidRDefault="007E761C" w:rsidP="007E761C">
      <w:pPr>
        <w:rPr>
          <w:lang w:val="en"/>
        </w:rPr>
      </w:pPr>
      <w:r>
        <w:rPr>
          <w:rFonts w:cs="Arial"/>
          <w:szCs w:val="22"/>
        </w:rPr>
        <w:t xml:space="preserve">The Canadian </w:t>
      </w:r>
      <w:r w:rsidRPr="00891D67">
        <w:rPr>
          <w:rFonts w:cs="Arial"/>
          <w:i/>
          <w:szCs w:val="22"/>
        </w:rPr>
        <w:t>Food and Drug Regulations</w:t>
      </w:r>
      <w:r>
        <w:rPr>
          <w:rFonts w:cs="Arial"/>
          <w:szCs w:val="22"/>
        </w:rPr>
        <w:t xml:space="preserve"> include a list of over 150 foods with serving sizes, often expressed as a range. Amounts of food usually eaten by an individual at one sitting, known as </w:t>
      </w:r>
      <w:r w:rsidRPr="00891D67">
        <w:rPr>
          <w:rFonts w:cs="Arial"/>
          <w:i/>
          <w:szCs w:val="22"/>
        </w:rPr>
        <w:t>reference amounts</w:t>
      </w:r>
      <w:r w:rsidRPr="0089344B">
        <w:rPr>
          <w:rFonts w:cs="Arial"/>
          <w:szCs w:val="22"/>
        </w:rPr>
        <w:t>,</w:t>
      </w:r>
      <w:r>
        <w:rPr>
          <w:rFonts w:cs="Arial"/>
          <w:szCs w:val="22"/>
        </w:rPr>
        <w:t xml:space="preserve"> are also listed for each food. Food businesses are able to base serving sizes used in the nutrition facts table on those given in regulations or use other serving sizes</w:t>
      </w:r>
      <w:r>
        <w:rPr>
          <w:lang w:val="en"/>
        </w:rPr>
        <w:t xml:space="preserve"> provided they are not misleading. </w:t>
      </w:r>
    </w:p>
    <w:p w:rsidR="004D210D" w:rsidRDefault="004D210D" w:rsidP="007E761C">
      <w:pPr>
        <w:rPr>
          <w:lang w:val="en"/>
        </w:rPr>
      </w:pPr>
    </w:p>
    <w:p w:rsidR="007E761C" w:rsidRDefault="00C809E5" w:rsidP="007E761C">
      <w:pPr>
        <w:rPr>
          <w:lang w:val="en"/>
        </w:rPr>
      </w:pPr>
      <w:r>
        <w:rPr>
          <w:lang w:val="en"/>
        </w:rPr>
        <w:t>In Canada t</w:t>
      </w:r>
      <w:r w:rsidR="007E761C">
        <w:rPr>
          <w:lang w:val="en"/>
        </w:rPr>
        <w:t>here are specific requirements for food sold as single servings. The entire amount in a package of food is considered to be the serving size when:</w:t>
      </w:r>
    </w:p>
    <w:p w:rsidR="007E761C" w:rsidRDefault="007E761C" w:rsidP="007E761C">
      <w:pPr>
        <w:rPr>
          <w:lang w:val="en"/>
        </w:rPr>
      </w:pPr>
    </w:p>
    <w:p w:rsidR="007E761C" w:rsidRPr="00DC6F07" w:rsidRDefault="007E761C" w:rsidP="00143783">
      <w:pPr>
        <w:pStyle w:val="FSBullet1"/>
        <w:rPr>
          <w:lang w:val="en"/>
        </w:rPr>
      </w:pPr>
      <w:r w:rsidRPr="00DC6F07">
        <w:rPr>
          <w:lang w:val="en" w:eastAsia="en-NZ"/>
        </w:rPr>
        <w:t xml:space="preserve">The food packaged in the container could reasonably be eaten by one person at a single sitting. For example, a 600 </w:t>
      </w:r>
      <w:r>
        <w:rPr>
          <w:lang w:val="en" w:eastAsia="en-NZ"/>
        </w:rPr>
        <w:t>mL</w:t>
      </w:r>
      <w:r w:rsidRPr="00DC6F07">
        <w:rPr>
          <w:lang w:val="en" w:eastAsia="en-NZ"/>
        </w:rPr>
        <w:t xml:space="preserve"> bottle of juice dispensed from a vending machine </w:t>
      </w:r>
      <w:r w:rsidR="00446001">
        <w:rPr>
          <w:lang w:val="en" w:eastAsia="en-NZ"/>
        </w:rPr>
        <w:t>may be</w:t>
      </w:r>
      <w:r w:rsidRPr="00DC6F07">
        <w:rPr>
          <w:lang w:val="en" w:eastAsia="en-NZ"/>
        </w:rPr>
        <w:t xml:space="preserve"> consumed during a single occasion.</w:t>
      </w:r>
    </w:p>
    <w:p w:rsidR="007E761C" w:rsidRDefault="007E761C" w:rsidP="00143783">
      <w:pPr>
        <w:pStyle w:val="FSBullet1"/>
        <w:rPr>
          <w:lang w:val="en"/>
        </w:rPr>
      </w:pPr>
      <w:r w:rsidRPr="00DC6F07">
        <w:rPr>
          <w:lang w:val="en" w:eastAsia="en-NZ"/>
        </w:rPr>
        <w:t xml:space="preserve">The reference amount of the food is less than 100 g or 100 </w:t>
      </w:r>
      <w:r>
        <w:rPr>
          <w:lang w:val="en" w:eastAsia="en-NZ"/>
        </w:rPr>
        <w:t>mL</w:t>
      </w:r>
      <w:r w:rsidRPr="00DC6F07">
        <w:rPr>
          <w:lang w:val="en" w:eastAsia="en-NZ"/>
        </w:rPr>
        <w:t xml:space="preserve"> and the package contains less than 200% of that reference amount. </w:t>
      </w:r>
    </w:p>
    <w:p w:rsidR="007E761C" w:rsidRPr="008D4C01" w:rsidRDefault="007E761C" w:rsidP="00143783">
      <w:pPr>
        <w:pStyle w:val="FSBullet1"/>
        <w:rPr>
          <w:lang w:val="en"/>
        </w:rPr>
      </w:pPr>
      <w:r w:rsidRPr="008D4C01">
        <w:rPr>
          <w:lang w:val="en" w:eastAsia="en-NZ"/>
        </w:rPr>
        <w:t xml:space="preserve">The reference amount is 100 g or 100 </w:t>
      </w:r>
      <w:r>
        <w:rPr>
          <w:lang w:val="en" w:eastAsia="en-NZ"/>
        </w:rPr>
        <w:t>mL</w:t>
      </w:r>
      <w:r w:rsidRPr="008D4C01">
        <w:rPr>
          <w:lang w:val="en" w:eastAsia="en-NZ"/>
        </w:rPr>
        <w:t xml:space="preserve"> or more and the package contains 150% or less of that reference amount. </w:t>
      </w:r>
    </w:p>
    <w:p w:rsidR="007E761C" w:rsidRDefault="007E761C" w:rsidP="007E761C">
      <w:pPr>
        <w:pStyle w:val="FSBullet"/>
        <w:numPr>
          <w:ilvl w:val="0"/>
          <w:numId w:val="0"/>
        </w:numPr>
        <w:ind w:left="567" w:hanging="567"/>
        <w:rPr>
          <w:lang w:val="en" w:eastAsia="en-NZ" w:bidi="ar-SA"/>
        </w:rPr>
      </w:pPr>
    </w:p>
    <w:p w:rsidR="007E761C" w:rsidRDefault="007E761C" w:rsidP="00143783">
      <w:pPr>
        <w:pStyle w:val="FSBullet"/>
        <w:numPr>
          <w:ilvl w:val="0"/>
          <w:numId w:val="0"/>
        </w:numPr>
        <w:ind w:right="-144"/>
        <w:rPr>
          <w:lang w:val="en" w:eastAsia="en-NZ" w:bidi="ar-SA"/>
        </w:rPr>
      </w:pPr>
      <w:r>
        <w:rPr>
          <w:lang w:val="en" w:eastAsia="en-NZ" w:bidi="ar-SA"/>
        </w:rPr>
        <w:t xml:space="preserve">When foods </w:t>
      </w:r>
      <w:r w:rsidRPr="00DC6F07">
        <w:rPr>
          <w:lang w:val="en" w:eastAsia="en-NZ" w:bidi="ar-SA"/>
        </w:rPr>
        <w:t xml:space="preserve">meet the </w:t>
      </w:r>
      <w:r>
        <w:rPr>
          <w:lang w:val="en" w:eastAsia="en-NZ" w:bidi="ar-SA"/>
        </w:rPr>
        <w:t xml:space="preserve">above </w:t>
      </w:r>
      <w:r w:rsidRPr="00DC6F07">
        <w:rPr>
          <w:lang w:val="en" w:eastAsia="en-NZ" w:bidi="ar-SA"/>
        </w:rPr>
        <w:t>requirements</w:t>
      </w:r>
      <w:r>
        <w:rPr>
          <w:lang w:val="en" w:eastAsia="en-NZ" w:bidi="ar-SA"/>
        </w:rPr>
        <w:t>,</w:t>
      </w:r>
      <w:r w:rsidRPr="00DC6F07">
        <w:rPr>
          <w:lang w:val="en" w:eastAsia="en-NZ" w:bidi="ar-SA"/>
        </w:rPr>
        <w:t xml:space="preserve"> </w:t>
      </w:r>
      <w:r>
        <w:rPr>
          <w:lang w:val="en" w:eastAsia="en-NZ" w:bidi="ar-SA"/>
        </w:rPr>
        <w:t xml:space="preserve">information in the nutrition facts table </w:t>
      </w:r>
      <w:r w:rsidRPr="00DC6F07">
        <w:rPr>
          <w:lang w:val="en" w:eastAsia="en-NZ" w:bidi="ar-SA"/>
        </w:rPr>
        <w:t xml:space="preserve">must </w:t>
      </w:r>
      <w:r>
        <w:rPr>
          <w:lang w:val="en" w:eastAsia="en-NZ" w:bidi="ar-SA"/>
        </w:rPr>
        <w:t>be</w:t>
      </w:r>
      <w:r w:rsidRPr="00DC6F07">
        <w:rPr>
          <w:lang w:val="en" w:eastAsia="en-NZ" w:bidi="ar-SA"/>
        </w:rPr>
        <w:t xml:space="preserve"> based on the </w:t>
      </w:r>
      <w:r>
        <w:rPr>
          <w:lang w:val="en" w:eastAsia="en-NZ" w:bidi="ar-SA"/>
        </w:rPr>
        <w:t>amount of food in</w:t>
      </w:r>
      <w:r w:rsidRPr="00DC6F07">
        <w:rPr>
          <w:lang w:val="en" w:eastAsia="en-NZ" w:bidi="ar-SA"/>
        </w:rPr>
        <w:t xml:space="preserve"> the entire package. F</w:t>
      </w:r>
      <w:r>
        <w:rPr>
          <w:lang w:val="en" w:eastAsia="en-NZ" w:bidi="ar-SA"/>
        </w:rPr>
        <w:t>or example, the nutrition information for a 355 mL</w:t>
      </w:r>
      <w:r w:rsidRPr="00DC6F07">
        <w:rPr>
          <w:lang w:val="en" w:eastAsia="en-NZ" w:bidi="ar-SA"/>
        </w:rPr>
        <w:t xml:space="preserve"> </w:t>
      </w:r>
      <w:proofErr w:type="gramStart"/>
      <w:r w:rsidRPr="00DC6F07">
        <w:rPr>
          <w:lang w:val="en" w:eastAsia="en-NZ" w:bidi="ar-SA"/>
        </w:rPr>
        <w:t>can of soft drink must</w:t>
      </w:r>
      <w:proofErr w:type="gramEnd"/>
      <w:r w:rsidRPr="00DC6F07">
        <w:rPr>
          <w:lang w:val="en" w:eastAsia="en-NZ" w:bidi="ar-SA"/>
        </w:rPr>
        <w:t xml:space="preserve"> </w:t>
      </w:r>
      <w:r>
        <w:rPr>
          <w:lang w:val="en" w:eastAsia="en-NZ" w:bidi="ar-SA"/>
        </w:rPr>
        <w:t xml:space="preserve">be </w:t>
      </w:r>
      <w:r w:rsidRPr="00DC6F07">
        <w:rPr>
          <w:lang w:val="en" w:eastAsia="en-NZ" w:bidi="ar-SA"/>
        </w:rPr>
        <w:t>base</w:t>
      </w:r>
      <w:r>
        <w:rPr>
          <w:lang w:val="en" w:eastAsia="en-NZ" w:bidi="ar-SA"/>
        </w:rPr>
        <w:t>d on 355 mL and not the reference amount of 250 mL.</w:t>
      </w:r>
    </w:p>
    <w:p w:rsidR="007E761C" w:rsidRDefault="007E761C" w:rsidP="007E761C">
      <w:pPr>
        <w:rPr>
          <w:lang w:val="en" w:eastAsia="en-NZ" w:bidi="ar-SA"/>
        </w:rPr>
      </w:pPr>
    </w:p>
    <w:p w:rsidR="007E761C" w:rsidRDefault="00F02866" w:rsidP="007E761C">
      <w:pPr>
        <w:rPr>
          <w:lang w:val="en" w:eastAsia="en-NZ" w:bidi="ar-SA"/>
        </w:rPr>
      </w:pPr>
      <w:r>
        <w:rPr>
          <w:lang w:val="en" w:eastAsia="en-NZ" w:bidi="ar-SA"/>
        </w:rPr>
        <w:t>The United States</w:t>
      </w:r>
      <w:r w:rsidR="007E761C">
        <w:rPr>
          <w:lang w:val="en" w:eastAsia="en-NZ" w:bidi="ar-SA"/>
        </w:rPr>
        <w:t xml:space="preserve"> Food and Drug Administration (USFDA) </w:t>
      </w:r>
      <w:proofErr w:type="gramStart"/>
      <w:r w:rsidR="007E761C">
        <w:rPr>
          <w:lang w:val="en" w:eastAsia="en-NZ" w:bidi="ar-SA"/>
        </w:rPr>
        <w:t>has</w:t>
      </w:r>
      <w:proofErr w:type="gramEnd"/>
      <w:r w:rsidR="007E761C">
        <w:rPr>
          <w:lang w:val="en" w:eastAsia="en-NZ" w:bidi="ar-SA"/>
        </w:rPr>
        <w:t xml:space="preserve"> included Reference Amounts Customarily Consumed (RACCs) for 158 food product categories in the </w:t>
      </w:r>
      <w:r w:rsidR="007E761C" w:rsidRPr="00BE1B4D">
        <w:rPr>
          <w:i/>
          <w:lang w:val="en" w:eastAsia="en-NZ" w:bidi="ar-SA"/>
        </w:rPr>
        <w:t>Food and Drugs Act</w:t>
      </w:r>
      <w:r w:rsidR="007E761C">
        <w:rPr>
          <w:lang w:val="en" w:eastAsia="en-NZ" w:bidi="ar-SA"/>
        </w:rPr>
        <w:t>. In determining serving sizes for use in the nutrition facts panel, food businesses must first identify the appropriate RACC in the regulations. For a multi-serving product, a serving size closest to the RACC is determined followed by the number of servings for the product. Using such an approach means that there is likely to be variation in serving sizes amongst products in a food category.</w:t>
      </w:r>
    </w:p>
    <w:p w:rsidR="007E761C" w:rsidRDefault="007E761C" w:rsidP="007E761C">
      <w:pPr>
        <w:rPr>
          <w:lang w:val="en" w:eastAsia="en-NZ" w:bidi="ar-SA"/>
        </w:rPr>
      </w:pPr>
    </w:p>
    <w:p w:rsidR="007E761C" w:rsidRDefault="007E761C" w:rsidP="007E761C">
      <w:pPr>
        <w:rPr>
          <w:lang w:val="en" w:eastAsia="en-NZ" w:bidi="ar-SA"/>
        </w:rPr>
      </w:pPr>
      <w:r>
        <w:rPr>
          <w:lang w:val="en" w:eastAsia="en-NZ" w:bidi="ar-SA"/>
        </w:rPr>
        <w:t>As in Canada, there are detailed requirements for products sold as single servings. Products that are packaged and sold individually are considered to be single servings if they contain less than 200% of the RACC for the product category. Above 200% of the RACC, food businesses can choose to either label the product as a multi-serving product or as a single serving product if it can reasonably be consumed at a single eating occasion. There are other requirements for products that have a RACC of 100 g/100 mL or larger. Serving sizes may differ among single serving products within a food category.</w:t>
      </w:r>
    </w:p>
    <w:p w:rsidR="007E761C" w:rsidRPr="00620A80" w:rsidRDefault="007E761C" w:rsidP="007E761C">
      <w:pPr>
        <w:rPr>
          <w:lang w:val="en" w:eastAsia="en-NZ" w:bidi="ar-SA"/>
        </w:rPr>
      </w:pPr>
    </w:p>
    <w:p w:rsidR="007E761C" w:rsidRPr="00571D42" w:rsidRDefault="007E761C" w:rsidP="007E761C">
      <w:pPr>
        <w:rPr>
          <w:b/>
          <w:sz w:val="24"/>
        </w:rPr>
      </w:pPr>
      <w:r w:rsidRPr="00571D42">
        <w:rPr>
          <w:b/>
          <w:sz w:val="24"/>
        </w:rPr>
        <w:t xml:space="preserve">Proposed changes to </w:t>
      </w:r>
      <w:r w:rsidR="00571D42" w:rsidRPr="00571D42">
        <w:rPr>
          <w:b/>
          <w:sz w:val="24"/>
        </w:rPr>
        <w:t>regulatory requirements for serving sizes in Canada and the US</w:t>
      </w:r>
      <w:r w:rsidR="003542CB">
        <w:rPr>
          <w:b/>
          <w:sz w:val="24"/>
        </w:rPr>
        <w:t>A</w:t>
      </w:r>
    </w:p>
    <w:p w:rsidR="007E761C" w:rsidRPr="00F1658D" w:rsidRDefault="007E761C" w:rsidP="003542CB"/>
    <w:p w:rsidR="007E761C" w:rsidRDefault="00143783" w:rsidP="007E761C">
      <w:pPr>
        <w:rPr>
          <w:lang w:val="en" w:eastAsia="en-NZ" w:bidi="ar-SA"/>
        </w:rPr>
      </w:pPr>
      <w:r>
        <w:rPr>
          <w:lang w:val="en" w:eastAsia="en-NZ" w:bidi="ar-SA"/>
        </w:rPr>
        <w:t>Health Canada and the US</w:t>
      </w:r>
      <w:r w:rsidR="007E761C">
        <w:rPr>
          <w:lang w:val="en" w:eastAsia="en-NZ" w:bidi="ar-SA"/>
        </w:rPr>
        <w:t>FDA are reviewing aspects of the nutrition facts table/panel. As outlined in a recent public consultation, Health Canada</w:t>
      </w:r>
      <w:r w:rsidR="007E761C">
        <w:rPr>
          <w:rStyle w:val="FootnoteReference"/>
          <w:lang w:val="en" w:eastAsia="en-NZ" w:bidi="ar-SA"/>
        </w:rPr>
        <w:footnoteReference w:id="17"/>
      </w:r>
      <w:r w:rsidR="007E761C">
        <w:rPr>
          <w:lang w:val="en" w:eastAsia="en-NZ" w:bidi="ar-SA"/>
        </w:rPr>
        <w:t xml:space="preserve"> is proposing to introduce new serving size guidelines to help food businesses make serving sizes more closely aligned with the regulated reference amounts so that serving sizes will be more consistent amongst similar foods. Health Canada considers that such a change would make it easier for consumers to compare foods. The three guidelines</w:t>
      </w:r>
      <w:r w:rsidR="007E761C">
        <w:rPr>
          <w:rStyle w:val="FootnoteReference"/>
          <w:lang w:val="en" w:eastAsia="en-NZ" w:bidi="ar-SA"/>
        </w:rPr>
        <w:footnoteReference w:id="18"/>
      </w:r>
      <w:r w:rsidR="007E761C">
        <w:rPr>
          <w:lang w:val="en" w:eastAsia="en-NZ" w:bidi="ar-SA"/>
        </w:rPr>
        <w:t xml:space="preserve"> are as follows:</w:t>
      </w:r>
    </w:p>
    <w:p w:rsidR="00AE3196" w:rsidRDefault="00AE3196" w:rsidP="007E761C">
      <w:pPr>
        <w:rPr>
          <w:lang w:val="en" w:eastAsia="en-NZ" w:bidi="ar-SA"/>
        </w:rPr>
      </w:pPr>
      <w:r>
        <w:rPr>
          <w:lang w:val="en" w:eastAsia="en-NZ" w:bidi="ar-SA"/>
        </w:rPr>
        <w:br w:type="page"/>
      </w:r>
    </w:p>
    <w:p w:rsidR="007E761C" w:rsidRDefault="007E761C" w:rsidP="007E761C">
      <w:pPr>
        <w:rPr>
          <w:lang w:val="en" w:eastAsia="en-NZ" w:bidi="ar-SA"/>
        </w:rPr>
      </w:pPr>
      <w:r w:rsidRPr="00CC14A6">
        <w:rPr>
          <w:b/>
          <w:i/>
          <w:lang w:val="en" w:eastAsia="en-NZ" w:bidi="ar-SA"/>
        </w:rPr>
        <w:lastRenderedPageBreak/>
        <w:t>Guideline 1</w:t>
      </w:r>
      <w:r>
        <w:rPr>
          <w:lang w:val="en" w:eastAsia="en-NZ" w:bidi="ar-SA"/>
        </w:rPr>
        <w:t>: For most foods that can be measured, the serving size on the label would be the reference amount as stated in the regulations.</w:t>
      </w:r>
    </w:p>
    <w:p w:rsidR="007E761C" w:rsidRDefault="007E761C" w:rsidP="007E761C">
      <w:pPr>
        <w:rPr>
          <w:lang w:val="en" w:eastAsia="en-NZ" w:bidi="ar-SA"/>
        </w:rPr>
      </w:pPr>
    </w:p>
    <w:p w:rsidR="007E761C" w:rsidRDefault="007E761C" w:rsidP="007E761C">
      <w:pPr>
        <w:rPr>
          <w:lang w:val="en" w:eastAsia="en-NZ" w:bidi="ar-SA"/>
        </w:rPr>
      </w:pPr>
      <w:r w:rsidRPr="00CC14A6">
        <w:rPr>
          <w:b/>
          <w:i/>
          <w:lang w:val="en" w:eastAsia="en-NZ" w:bidi="ar-SA"/>
        </w:rPr>
        <w:t>Guideline 2:</w:t>
      </w:r>
      <w:r>
        <w:rPr>
          <w:lang w:val="en" w:eastAsia="en-NZ" w:bidi="ar-SA"/>
        </w:rPr>
        <w:t xml:space="preserve"> For most foods that come in pieces, the serving size would be the number of pieces closest to the reference amount (g), shown together with the corresponding weight. Also, for foods that are divided before eaten (e.g. pizza), the serving size would be the fraction of the food closest to the reference amount, shown together with the corresponding weight. This would mean that there would be some variability with the number of pieces and weights of serving sizes within a food category, although less variability than that with the current system since serving sizes closest to the reference amount would need to be used and </w:t>
      </w:r>
      <w:proofErr w:type="spellStart"/>
      <w:r>
        <w:rPr>
          <w:lang w:val="en" w:eastAsia="en-NZ" w:bidi="ar-SA"/>
        </w:rPr>
        <w:t>not</w:t>
      </w:r>
      <w:proofErr w:type="spellEnd"/>
      <w:r>
        <w:rPr>
          <w:lang w:val="en" w:eastAsia="en-NZ" w:bidi="ar-SA"/>
        </w:rPr>
        <w:t xml:space="preserve"> other </w:t>
      </w:r>
      <w:r w:rsidRPr="002E4731">
        <w:rPr>
          <w:i/>
          <w:lang w:val="en" w:eastAsia="en-NZ" w:bidi="ar-SA"/>
        </w:rPr>
        <w:t>reasonable</w:t>
      </w:r>
      <w:r>
        <w:rPr>
          <w:lang w:val="en" w:eastAsia="en-NZ" w:bidi="ar-SA"/>
        </w:rPr>
        <w:t xml:space="preserve"> serving sizes.</w:t>
      </w:r>
    </w:p>
    <w:p w:rsidR="007E761C" w:rsidRDefault="007E761C" w:rsidP="007E761C">
      <w:pPr>
        <w:rPr>
          <w:lang w:val="en" w:eastAsia="en-NZ" w:bidi="ar-SA"/>
        </w:rPr>
      </w:pPr>
    </w:p>
    <w:p w:rsidR="007E761C" w:rsidRDefault="007E761C" w:rsidP="007E761C">
      <w:pPr>
        <w:rPr>
          <w:lang w:val="en" w:eastAsia="en-NZ" w:bidi="ar-SA"/>
        </w:rPr>
      </w:pPr>
      <w:r w:rsidRPr="00CC14A6">
        <w:rPr>
          <w:b/>
          <w:i/>
          <w:lang w:val="en" w:eastAsia="en-NZ" w:bidi="ar-SA"/>
        </w:rPr>
        <w:t>Guideline 3:</w:t>
      </w:r>
      <w:r>
        <w:rPr>
          <w:b/>
          <w:i/>
          <w:lang w:val="en" w:eastAsia="en-NZ" w:bidi="ar-SA"/>
        </w:rPr>
        <w:t xml:space="preserve"> </w:t>
      </w:r>
      <w:r>
        <w:rPr>
          <w:lang w:val="en" w:eastAsia="en-NZ" w:bidi="ar-SA"/>
        </w:rPr>
        <w:t>For certain foods (e.g. breakfast cereals, sliced bread) the serving size would be based on a consumer household friendly measure, rather than the reference amount. Consumer friendly household measures would reflect the amount of a product that most people eat at one time, e.g. 2 slices of bread.</w:t>
      </w:r>
    </w:p>
    <w:p w:rsidR="007E761C" w:rsidRDefault="007E761C" w:rsidP="007E761C">
      <w:pPr>
        <w:rPr>
          <w:lang w:val="en" w:eastAsia="en-NZ" w:bidi="ar-SA"/>
        </w:rPr>
      </w:pPr>
    </w:p>
    <w:p w:rsidR="007E761C" w:rsidRDefault="007E761C" w:rsidP="007E761C">
      <w:pPr>
        <w:rPr>
          <w:lang w:val="en" w:eastAsia="en-NZ" w:bidi="ar-SA"/>
        </w:rPr>
      </w:pPr>
      <w:r>
        <w:rPr>
          <w:lang w:val="en" w:eastAsia="en-NZ" w:bidi="ar-SA"/>
        </w:rPr>
        <w:t>Health Canada is currently considering stakeholder comments in response to these proposed changes.</w:t>
      </w:r>
    </w:p>
    <w:p w:rsidR="007E761C" w:rsidRDefault="007E761C" w:rsidP="007E761C">
      <w:pPr>
        <w:rPr>
          <w:lang w:val="en" w:eastAsia="en-NZ" w:bidi="ar-SA"/>
        </w:rPr>
      </w:pPr>
    </w:p>
    <w:p w:rsidR="007E761C" w:rsidRDefault="007E761C" w:rsidP="007E761C">
      <w:pPr>
        <w:rPr>
          <w:lang w:val="en" w:eastAsia="en-NZ" w:bidi="ar-SA"/>
        </w:rPr>
      </w:pPr>
      <w:r>
        <w:rPr>
          <w:lang w:val="en" w:eastAsia="en-NZ" w:bidi="ar-SA"/>
        </w:rPr>
        <w:t>Aspects of the review of the nutrition facts p</w:t>
      </w:r>
      <w:r w:rsidR="00143783">
        <w:rPr>
          <w:lang w:val="en" w:eastAsia="en-NZ" w:bidi="ar-SA"/>
        </w:rPr>
        <w:t>anel being undertaken by the US</w:t>
      </w:r>
      <w:r>
        <w:rPr>
          <w:lang w:val="en" w:eastAsia="en-NZ" w:bidi="ar-SA"/>
        </w:rPr>
        <w:t>FDA that are of most interest in the context of this consultation are the proposed changes to serving sizes, the changes to requirements for foods labelled as a single serving</w:t>
      </w:r>
      <w:r>
        <w:rPr>
          <w:rStyle w:val="FootnoteReference"/>
          <w:lang w:val="en" w:eastAsia="en-NZ" w:bidi="ar-SA"/>
        </w:rPr>
        <w:footnoteReference w:id="19"/>
      </w:r>
      <w:r>
        <w:rPr>
          <w:lang w:val="en" w:eastAsia="en-NZ" w:bidi="ar-SA"/>
        </w:rPr>
        <w:t xml:space="preserve"> and the proposed bolding and increased font size of the number of servings in the nutrition facts panel.</w:t>
      </w:r>
    </w:p>
    <w:p w:rsidR="007E761C" w:rsidRDefault="007E761C" w:rsidP="007E761C">
      <w:pPr>
        <w:rPr>
          <w:lang w:val="en" w:eastAsia="en-NZ" w:bidi="ar-SA"/>
        </w:rPr>
      </w:pPr>
    </w:p>
    <w:p w:rsidR="007E761C" w:rsidRDefault="007E761C" w:rsidP="007E761C">
      <w:pPr>
        <w:rPr>
          <w:lang w:val="en" w:eastAsia="en-NZ" w:bidi="ar-SA"/>
        </w:rPr>
      </w:pPr>
      <w:r>
        <w:rPr>
          <w:lang w:val="en" w:eastAsia="en-NZ" w:bidi="ar-SA"/>
        </w:rPr>
        <w:t>Following analysis of recen</w:t>
      </w:r>
      <w:r w:rsidR="00AC52C0">
        <w:rPr>
          <w:lang w:val="en" w:eastAsia="en-NZ" w:bidi="ar-SA"/>
        </w:rPr>
        <w:t>t food consumption data, the US</w:t>
      </w:r>
      <w:r>
        <w:rPr>
          <w:lang w:val="en" w:eastAsia="en-NZ" w:bidi="ar-SA"/>
        </w:rPr>
        <w:t xml:space="preserve">FDA has determined that about 17% of the RACCs that were set in 1994 should be changed. This means that food businesses may have to adjust serving sizes so that they more closely </w:t>
      </w:r>
      <w:r w:rsidR="00143783">
        <w:rPr>
          <w:lang w:val="en" w:eastAsia="en-NZ" w:bidi="ar-SA"/>
        </w:rPr>
        <w:t>reflect what people eat. The US</w:t>
      </w:r>
      <w:r>
        <w:rPr>
          <w:lang w:val="en" w:eastAsia="en-NZ" w:bidi="ar-SA"/>
        </w:rPr>
        <w:t xml:space="preserve">FDA is also proposing to require some products previously labelled as more than one serving to be labelled as a single serving because consumers typically consume them in one sitting. Specifically, it is proposed that products containing </w:t>
      </w:r>
      <w:r>
        <w:rPr>
          <w:lang w:val="en"/>
        </w:rPr>
        <w:t>between 150% and 200% of the RACCs be no longer labeled as more than one serving. Other products that may be consumed in one or multiple sittings would be required to be labelled per serving and per package rathe</w:t>
      </w:r>
      <w:r w:rsidR="00143783">
        <w:rPr>
          <w:lang w:val="en"/>
        </w:rPr>
        <w:t>r than just per serving. The US</w:t>
      </w:r>
      <w:r>
        <w:rPr>
          <w:lang w:val="en"/>
        </w:rPr>
        <w:t xml:space="preserve">FDA refers to such labelling as the ‘dual column labelling’ requirement. It is proposed that dual column labelling would be required if a product contained at least 200% of the RACC and less than or equal to 400% of the RACC. For products containing more than 400% of the RACC, dual column labeling would not be required. </w:t>
      </w:r>
    </w:p>
    <w:p w:rsidR="007E761C" w:rsidRDefault="007E761C" w:rsidP="007E761C">
      <w:pPr>
        <w:rPr>
          <w:lang w:val="en" w:eastAsia="en-NZ" w:bidi="ar-SA"/>
        </w:rPr>
      </w:pPr>
    </w:p>
    <w:p w:rsidR="007C174F" w:rsidRDefault="00AC52C0" w:rsidP="007E761C">
      <w:r>
        <w:rPr>
          <w:lang w:val="en" w:eastAsia="en-NZ" w:bidi="ar-SA"/>
        </w:rPr>
        <w:t>The US</w:t>
      </w:r>
      <w:r w:rsidR="007E761C">
        <w:rPr>
          <w:lang w:val="en" w:eastAsia="en-NZ" w:bidi="ar-SA"/>
        </w:rPr>
        <w:t>FDA is currently considering stakeholder comments in response to these proposed changes.</w:t>
      </w:r>
    </w:p>
    <w:sectPr w:rsidR="007C174F" w:rsidSect="007E761C">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F7" w:rsidRDefault="00C926F7">
      <w:r>
        <w:separator/>
      </w:r>
    </w:p>
  </w:endnote>
  <w:endnote w:type="continuationSeparator" w:id="0">
    <w:p w:rsidR="00C926F7" w:rsidRDefault="00C9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F7" w:rsidRDefault="00C926F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26F7" w:rsidRDefault="00C92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F7" w:rsidRDefault="00C926F7" w:rsidP="00132D9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44" w:rsidRDefault="00D35D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9163"/>
      <w:docPartObj>
        <w:docPartGallery w:val="Page Numbers (Bottom of Page)"/>
        <w:docPartUnique/>
      </w:docPartObj>
    </w:sdtPr>
    <w:sdtEndPr>
      <w:rPr>
        <w:noProof/>
      </w:rPr>
    </w:sdtEndPr>
    <w:sdtContent>
      <w:p w:rsidR="00C926F7" w:rsidRDefault="00074C2A" w:rsidP="00074C2A">
        <w:pPr>
          <w:pStyle w:val="Footer"/>
          <w:jc w:val="center"/>
        </w:pPr>
        <w:r>
          <w:fldChar w:fldCharType="begin"/>
        </w:r>
        <w:r>
          <w:instrText xml:space="preserve"> PAGE   \* MERGEFORMAT </w:instrText>
        </w:r>
        <w:r>
          <w:fldChar w:fldCharType="separate"/>
        </w:r>
        <w:r w:rsidR="005B09C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F7" w:rsidRDefault="00C926F7">
      <w:r>
        <w:separator/>
      </w:r>
    </w:p>
  </w:footnote>
  <w:footnote w:type="continuationSeparator" w:id="0">
    <w:p w:rsidR="00C926F7" w:rsidRDefault="00C926F7">
      <w:r>
        <w:continuationSeparator/>
      </w:r>
    </w:p>
  </w:footnote>
  <w:footnote w:id="1">
    <w:p w:rsidR="00C926F7" w:rsidRPr="002628AB" w:rsidRDefault="00C926F7" w:rsidP="00074C2A">
      <w:pPr>
        <w:pStyle w:val="FootnoteText"/>
        <w:rPr>
          <w:sz w:val="18"/>
          <w:szCs w:val="18"/>
          <w:lang w:val="en-AU"/>
        </w:rPr>
      </w:pPr>
      <w:r w:rsidRPr="002628AB">
        <w:rPr>
          <w:rStyle w:val="FootnoteReference"/>
          <w:sz w:val="18"/>
          <w:szCs w:val="18"/>
        </w:rPr>
        <w:footnoteRef/>
      </w:r>
      <w:r w:rsidRPr="002628AB">
        <w:rPr>
          <w:sz w:val="18"/>
          <w:szCs w:val="18"/>
        </w:rPr>
        <w:t xml:space="preserve"> </w:t>
      </w:r>
      <w:r w:rsidRPr="002628AB">
        <w:rPr>
          <w:sz w:val="18"/>
          <w:szCs w:val="18"/>
          <w:lang w:val="en-AU"/>
        </w:rPr>
        <w:t xml:space="preserve">Government response to </w:t>
      </w:r>
      <w:r w:rsidRPr="00F02866">
        <w:rPr>
          <w:i/>
          <w:sz w:val="18"/>
          <w:szCs w:val="18"/>
          <w:lang w:val="en-AU"/>
        </w:rPr>
        <w:t>Labelling Logic</w:t>
      </w:r>
      <w:r w:rsidRPr="002628AB">
        <w:rPr>
          <w:sz w:val="18"/>
          <w:szCs w:val="18"/>
          <w:lang w:val="en-AU"/>
        </w:rPr>
        <w:t xml:space="preserve"> is at </w:t>
      </w:r>
      <w:hyperlink r:id="rId1" w:history="1">
        <w:r w:rsidRPr="002628AB">
          <w:rPr>
            <w:rStyle w:val="Hyperlink"/>
            <w:sz w:val="18"/>
            <w:szCs w:val="18"/>
            <w:lang w:val="en-AU"/>
          </w:rPr>
          <w:t>http://www.foodlabellingreview.gov.au/internet/foodlabelling/publishing.nsf/content/home</w:t>
        </w:r>
      </w:hyperlink>
      <w:r w:rsidRPr="002628AB">
        <w:rPr>
          <w:sz w:val="18"/>
          <w:szCs w:val="18"/>
          <w:lang w:val="en-AU"/>
        </w:rPr>
        <w:t xml:space="preserve"> </w:t>
      </w:r>
    </w:p>
  </w:footnote>
  <w:footnote w:id="2">
    <w:p w:rsidR="00C926F7" w:rsidRPr="00A17EDC" w:rsidRDefault="00C926F7" w:rsidP="00074C2A">
      <w:pPr>
        <w:pStyle w:val="FootnoteText"/>
        <w:rPr>
          <w:sz w:val="18"/>
          <w:szCs w:val="18"/>
          <w:lang w:val="en-AU"/>
        </w:rPr>
      </w:pPr>
      <w:r w:rsidRPr="00A17EDC">
        <w:rPr>
          <w:rStyle w:val="FootnoteReference"/>
          <w:sz w:val="18"/>
          <w:szCs w:val="18"/>
        </w:rPr>
        <w:footnoteRef/>
      </w:r>
      <w:r w:rsidR="001309CF">
        <w:rPr>
          <w:sz w:val="18"/>
          <w:szCs w:val="18"/>
        </w:rPr>
        <w:t xml:space="preserve"> Information about the Pick-the-</w:t>
      </w:r>
      <w:r w:rsidRPr="00A17EDC">
        <w:rPr>
          <w:sz w:val="18"/>
          <w:szCs w:val="18"/>
        </w:rPr>
        <w:t xml:space="preserve">Tick programme is at  </w:t>
      </w:r>
      <w:hyperlink r:id="rId2" w:history="1">
        <w:r w:rsidR="00074C2A" w:rsidRPr="0089085B">
          <w:rPr>
            <w:rStyle w:val="Hyperlink"/>
            <w:sz w:val="18"/>
            <w:szCs w:val="18"/>
          </w:rPr>
          <w:t>http://www.heartfoundation.org.nz/healthy-living/healthy-eating/heart-foundation-tick</w:t>
        </w:r>
      </w:hyperlink>
      <w:r w:rsidRPr="00A17EDC">
        <w:rPr>
          <w:sz w:val="18"/>
          <w:szCs w:val="18"/>
        </w:rPr>
        <w:t xml:space="preserve"> and </w:t>
      </w:r>
      <w:hyperlink r:id="rId3" w:history="1">
        <w:r w:rsidRPr="00A17EDC">
          <w:rPr>
            <w:rStyle w:val="Hyperlink"/>
            <w:sz w:val="18"/>
            <w:szCs w:val="18"/>
          </w:rPr>
          <w:t>http://www.heartfoundation.org.au/healthy-eating/heart-foundation-tick/pages/default.aspx</w:t>
        </w:r>
      </w:hyperlink>
      <w:r w:rsidRPr="00A17EDC">
        <w:rPr>
          <w:sz w:val="18"/>
          <w:szCs w:val="18"/>
        </w:rPr>
        <w:t xml:space="preserve"> </w:t>
      </w:r>
    </w:p>
  </w:footnote>
  <w:footnote w:id="3">
    <w:p w:rsidR="00C926F7" w:rsidRPr="008157D9" w:rsidRDefault="00C926F7" w:rsidP="00074C2A">
      <w:pPr>
        <w:pStyle w:val="FootnoteText"/>
        <w:rPr>
          <w:lang w:val="en-AU"/>
        </w:rPr>
      </w:pPr>
      <w:r w:rsidRPr="00A17EDC">
        <w:rPr>
          <w:rStyle w:val="FootnoteReference"/>
          <w:sz w:val="18"/>
          <w:szCs w:val="18"/>
        </w:rPr>
        <w:footnoteRef/>
      </w:r>
      <w:r w:rsidRPr="00A17EDC">
        <w:rPr>
          <w:sz w:val="18"/>
          <w:szCs w:val="18"/>
        </w:rPr>
        <w:t xml:space="preserve"> Information about the Healthy Kids Association is at </w:t>
      </w:r>
      <w:hyperlink r:id="rId4" w:history="1">
        <w:r w:rsidRPr="00A17EDC">
          <w:rPr>
            <w:rStyle w:val="Hyperlink"/>
            <w:sz w:val="18"/>
            <w:szCs w:val="18"/>
          </w:rPr>
          <w:t>http://healthy-kids.com.au/</w:t>
        </w:r>
      </w:hyperlink>
      <w:r>
        <w:t xml:space="preserve"> </w:t>
      </w:r>
    </w:p>
  </w:footnote>
  <w:footnote w:id="4">
    <w:p w:rsidR="00C926F7" w:rsidRPr="001309CF" w:rsidRDefault="00C926F7" w:rsidP="00074C2A">
      <w:pPr>
        <w:pStyle w:val="FootnoteText"/>
        <w:rPr>
          <w:sz w:val="18"/>
          <w:szCs w:val="18"/>
        </w:rPr>
      </w:pPr>
      <w:r w:rsidRPr="001309CF">
        <w:rPr>
          <w:rStyle w:val="FootnoteReference"/>
          <w:sz w:val="18"/>
          <w:szCs w:val="18"/>
        </w:rPr>
        <w:footnoteRef/>
      </w:r>
      <w:r w:rsidRPr="001309CF">
        <w:rPr>
          <w:sz w:val="18"/>
          <w:szCs w:val="18"/>
        </w:rPr>
        <w:t xml:space="preserve"> Biologically active substance is defined in clause 1 of Standard 1.2.8 and means a substance, other than a nutrient, with which health effects are associated. </w:t>
      </w:r>
    </w:p>
  </w:footnote>
  <w:footnote w:id="5">
    <w:p w:rsidR="00C926F7" w:rsidRPr="006663FA" w:rsidRDefault="00C926F7" w:rsidP="00074C2A">
      <w:pPr>
        <w:pStyle w:val="FootnoteText"/>
        <w:rPr>
          <w:i/>
          <w:lang w:val="en-AU"/>
        </w:rPr>
      </w:pPr>
      <w:r w:rsidRPr="001309CF">
        <w:rPr>
          <w:rStyle w:val="FootnoteReference"/>
          <w:sz w:val="18"/>
          <w:szCs w:val="18"/>
        </w:rPr>
        <w:footnoteRef/>
      </w:r>
      <w:r w:rsidRPr="001309CF">
        <w:rPr>
          <w:sz w:val="18"/>
          <w:szCs w:val="18"/>
        </w:rPr>
        <w:t xml:space="preserve"> Subclause 4(1) in Standard 1.2.8 states: </w:t>
      </w:r>
      <w:r w:rsidRPr="001309CF">
        <w:rPr>
          <w:i/>
          <w:sz w:val="18"/>
          <w:szCs w:val="18"/>
        </w:rPr>
        <w:t>A claim requiring nutrition information means – (a) a nutrition content claim; or (b) a health</w:t>
      </w:r>
      <w:r w:rsidR="001309CF" w:rsidRPr="001309CF">
        <w:rPr>
          <w:i/>
          <w:sz w:val="18"/>
          <w:szCs w:val="18"/>
        </w:rPr>
        <w:t xml:space="preserve"> claim</w:t>
      </w:r>
      <w:r w:rsidRPr="001309CF">
        <w:rPr>
          <w:i/>
          <w:sz w:val="18"/>
          <w:szCs w:val="18"/>
        </w:rPr>
        <w:t>; but does not include – (c) a declaration that is required by the Act, or (d) an endorsement.</w:t>
      </w:r>
    </w:p>
  </w:footnote>
  <w:footnote w:id="6">
    <w:p w:rsidR="00C926F7" w:rsidRPr="00A17EDC" w:rsidRDefault="00C926F7" w:rsidP="00074C2A">
      <w:pPr>
        <w:pStyle w:val="FootnoteText"/>
        <w:rPr>
          <w:sz w:val="18"/>
          <w:szCs w:val="18"/>
          <w:lang w:val="en-NZ"/>
        </w:rPr>
      </w:pPr>
      <w:r w:rsidRPr="00A17EDC">
        <w:rPr>
          <w:rStyle w:val="FootnoteReference"/>
          <w:sz w:val="18"/>
          <w:szCs w:val="18"/>
        </w:rPr>
        <w:footnoteRef/>
      </w:r>
      <w:r w:rsidRPr="00A17EDC">
        <w:rPr>
          <w:sz w:val="18"/>
          <w:szCs w:val="18"/>
        </w:rPr>
        <w:t xml:space="preserve"> A small package means a package with a surface area of less than 100 cm</w:t>
      </w:r>
      <w:r w:rsidRPr="00A17EDC">
        <w:rPr>
          <w:sz w:val="18"/>
          <w:szCs w:val="18"/>
          <w:vertAlign w:val="superscript"/>
        </w:rPr>
        <w:t>2</w:t>
      </w:r>
      <w:r w:rsidRPr="00A17EDC">
        <w:rPr>
          <w:sz w:val="18"/>
          <w:szCs w:val="18"/>
        </w:rPr>
        <w:t>.</w:t>
      </w:r>
    </w:p>
  </w:footnote>
  <w:footnote w:id="7">
    <w:p w:rsidR="00C926F7" w:rsidRPr="000D0F35" w:rsidRDefault="00C926F7" w:rsidP="00074C2A">
      <w:pPr>
        <w:pStyle w:val="FootnoteText"/>
        <w:rPr>
          <w:sz w:val="18"/>
          <w:szCs w:val="18"/>
          <w:lang w:val="en-NZ"/>
        </w:rPr>
      </w:pPr>
      <w:r w:rsidRPr="000D0F35">
        <w:rPr>
          <w:rStyle w:val="FootnoteReference"/>
          <w:sz w:val="18"/>
          <w:szCs w:val="18"/>
        </w:rPr>
        <w:footnoteRef/>
      </w:r>
      <w:r w:rsidRPr="000D0F35">
        <w:rPr>
          <w:sz w:val="18"/>
          <w:szCs w:val="18"/>
        </w:rPr>
        <w:t xml:space="preserve"> </w:t>
      </w:r>
      <w:r w:rsidRPr="000D0F35">
        <w:rPr>
          <w:sz w:val="18"/>
          <w:szCs w:val="18"/>
          <w:lang w:val="en-NZ"/>
        </w:rPr>
        <w:t xml:space="preserve">The user guide for Standard 1.2.8 is at </w:t>
      </w:r>
      <w:hyperlink r:id="rId5" w:history="1">
        <w:r w:rsidR="00074C2A" w:rsidRPr="0089085B">
          <w:rPr>
            <w:rStyle w:val="Hyperlink"/>
            <w:sz w:val="18"/>
            <w:szCs w:val="18"/>
            <w:lang w:val="en-NZ"/>
          </w:rPr>
          <w:t>http://www.foodstandards.gov.au/code/userguide/pages/nutritioninformation1406.aspx</w:t>
        </w:r>
      </w:hyperlink>
      <w:r w:rsidRPr="000D0F35">
        <w:rPr>
          <w:sz w:val="18"/>
          <w:szCs w:val="18"/>
          <w:lang w:val="en-NZ"/>
        </w:rPr>
        <w:t xml:space="preserve"> </w:t>
      </w:r>
    </w:p>
  </w:footnote>
  <w:footnote w:id="8">
    <w:p w:rsidR="00C926F7" w:rsidRPr="00A17EDC" w:rsidRDefault="00C926F7" w:rsidP="00074C2A">
      <w:pPr>
        <w:pStyle w:val="FootnoteText"/>
        <w:rPr>
          <w:rFonts w:cs="Arial"/>
          <w:sz w:val="18"/>
          <w:szCs w:val="18"/>
          <w:lang w:val="en-AU"/>
        </w:rPr>
      </w:pPr>
      <w:r w:rsidRPr="00A17EDC">
        <w:rPr>
          <w:rStyle w:val="FootnoteReference"/>
          <w:rFonts w:cs="Arial"/>
          <w:sz w:val="18"/>
          <w:szCs w:val="18"/>
        </w:rPr>
        <w:footnoteRef/>
      </w:r>
      <w:r w:rsidRPr="00A17EDC">
        <w:rPr>
          <w:rFonts w:cs="Arial"/>
          <w:sz w:val="18"/>
          <w:szCs w:val="18"/>
        </w:rPr>
        <w:t xml:space="preserve"> Percent Daily Value is similar to %DI in the Code. </w:t>
      </w:r>
      <w:r>
        <w:rPr>
          <w:rFonts w:cs="Arial"/>
          <w:sz w:val="18"/>
          <w:szCs w:val="18"/>
          <w:lang w:val="en-AU"/>
        </w:rPr>
        <w:t>In the US</w:t>
      </w:r>
      <w:r w:rsidR="006707DE">
        <w:rPr>
          <w:rFonts w:cs="Arial"/>
          <w:sz w:val="18"/>
          <w:szCs w:val="18"/>
          <w:lang w:val="en-AU"/>
        </w:rPr>
        <w:t>A</w:t>
      </w:r>
      <w:r w:rsidRPr="00A17EDC">
        <w:rPr>
          <w:rFonts w:cs="Arial"/>
          <w:sz w:val="18"/>
          <w:szCs w:val="18"/>
          <w:lang w:val="en-AU"/>
        </w:rPr>
        <w:t xml:space="preserve"> and Canada percent daily values (%DVs) </w:t>
      </w:r>
      <w:r w:rsidRPr="00A17EDC">
        <w:rPr>
          <w:rFonts w:cs="Arial"/>
          <w:color w:val="333333"/>
          <w:sz w:val="18"/>
          <w:szCs w:val="18"/>
          <w:lang w:val="en"/>
        </w:rPr>
        <w:t>are based on the Daily Value recommendations for key nutrients for a 2000 calorie daily diet (8360 kJ). The Daily Value recommendations for fat, saturated fatty acids, carbohydrate, sodium and dietary</w:t>
      </w:r>
      <w:r w:rsidRPr="00AE3196">
        <w:rPr>
          <w:rFonts w:cs="Arial"/>
          <w:color w:val="333333"/>
          <w:sz w:val="18"/>
          <w:szCs w:val="18"/>
        </w:rPr>
        <w:t xml:space="preserve"> fibre</w:t>
      </w:r>
      <w:r w:rsidRPr="00A17EDC">
        <w:rPr>
          <w:rFonts w:cs="Arial"/>
          <w:color w:val="333333"/>
          <w:sz w:val="18"/>
          <w:szCs w:val="18"/>
          <w:lang w:val="en"/>
        </w:rPr>
        <w:t xml:space="preserve"> are similar but not identical to those used in Standard 1.2.8.</w:t>
      </w:r>
    </w:p>
  </w:footnote>
  <w:footnote w:id="9">
    <w:p w:rsidR="00C926F7" w:rsidRPr="00A17EDC" w:rsidRDefault="00C926F7" w:rsidP="00074C2A">
      <w:pPr>
        <w:pStyle w:val="FootnoteText"/>
        <w:rPr>
          <w:sz w:val="18"/>
          <w:szCs w:val="18"/>
          <w:lang w:val="en-AU"/>
        </w:rPr>
      </w:pPr>
      <w:r w:rsidRPr="00A17EDC">
        <w:rPr>
          <w:rStyle w:val="FootnoteReference"/>
          <w:sz w:val="18"/>
          <w:szCs w:val="18"/>
        </w:rPr>
        <w:footnoteRef/>
      </w:r>
      <w:r w:rsidRPr="00A17EDC">
        <w:rPr>
          <w:sz w:val="18"/>
          <w:szCs w:val="18"/>
        </w:rPr>
        <w:t xml:space="preserve"> </w:t>
      </w:r>
      <w:r w:rsidRPr="00A17EDC">
        <w:rPr>
          <w:sz w:val="18"/>
          <w:szCs w:val="18"/>
          <w:lang w:val="en-AU"/>
        </w:rPr>
        <w:t>Full question: firstly, thinking about all of the different types of food products available to buy, can you tell me what kinds of information can be found on packaged food and drink products?</w:t>
      </w:r>
    </w:p>
  </w:footnote>
  <w:footnote w:id="10">
    <w:p w:rsidR="00C926F7" w:rsidRPr="00A17EDC" w:rsidRDefault="00C926F7" w:rsidP="00074C2A">
      <w:pPr>
        <w:pStyle w:val="FootnoteText"/>
        <w:rPr>
          <w:sz w:val="18"/>
          <w:szCs w:val="18"/>
          <w:lang w:val="en-AU"/>
        </w:rPr>
      </w:pPr>
      <w:r w:rsidRPr="00A17EDC">
        <w:rPr>
          <w:rStyle w:val="FootnoteReference"/>
          <w:sz w:val="18"/>
          <w:szCs w:val="18"/>
        </w:rPr>
        <w:footnoteRef/>
      </w:r>
      <w:r w:rsidRPr="00A17EDC">
        <w:rPr>
          <w:sz w:val="18"/>
          <w:szCs w:val="18"/>
        </w:rPr>
        <w:t xml:space="preserve"> </w:t>
      </w:r>
      <w:r w:rsidRPr="00A17EDC">
        <w:rPr>
          <w:sz w:val="18"/>
          <w:szCs w:val="18"/>
          <w:lang w:val="en-AU"/>
        </w:rPr>
        <w:t>The twelve product categories were: Dairy products; Oils, butter, margarine, dairy spreads and other fats; Canned foods; Breads; Frozen foods; Breakfast cereals; Pasta / rice / noodles; Fresh produce (fruit, vegetables, meat, eggs, fish); Soft drinks, cordials, fruit juices; Sweet biscuits / cakes / confectionery; Savoury biscuits &amp; snacks; Infant formula / baby food.</w:t>
      </w:r>
    </w:p>
  </w:footnote>
  <w:footnote w:id="11">
    <w:p w:rsidR="00C926F7" w:rsidRPr="00EC0007" w:rsidRDefault="00C926F7" w:rsidP="00074C2A">
      <w:pPr>
        <w:pStyle w:val="FootnoteText"/>
        <w:rPr>
          <w:lang w:val="en-AU"/>
        </w:rPr>
      </w:pPr>
      <w:r w:rsidRPr="00A17EDC">
        <w:rPr>
          <w:rStyle w:val="FootnoteReference"/>
          <w:sz w:val="18"/>
          <w:szCs w:val="18"/>
        </w:rPr>
        <w:footnoteRef/>
      </w:r>
      <w:r w:rsidRPr="00A17EDC">
        <w:rPr>
          <w:sz w:val="18"/>
          <w:szCs w:val="18"/>
        </w:rPr>
        <w:t xml:space="preserve"> </w:t>
      </w:r>
      <w:r w:rsidRPr="00A17EDC">
        <w:rPr>
          <w:sz w:val="18"/>
          <w:szCs w:val="18"/>
          <w:lang w:val="en-AU"/>
        </w:rPr>
        <w:t>The study asked about separate aspects of the NIP, and percentages are reported separately for each NIP element. No overall percentage of use is reported, and respondents could select all elements that applied, so the highest percentage has been used. Overall use is likely to be higher than the use reported for the common response category (The amount of fat).</w:t>
      </w:r>
    </w:p>
  </w:footnote>
  <w:footnote w:id="12">
    <w:p w:rsidR="00C926F7" w:rsidRPr="00A17EDC" w:rsidRDefault="00C926F7" w:rsidP="00AE3196">
      <w:pPr>
        <w:pStyle w:val="FootnoteText"/>
        <w:rPr>
          <w:sz w:val="18"/>
          <w:szCs w:val="18"/>
          <w:lang w:val="en-NZ"/>
        </w:rPr>
      </w:pPr>
      <w:r w:rsidRPr="00A17EDC">
        <w:rPr>
          <w:rStyle w:val="FootnoteReference"/>
          <w:sz w:val="18"/>
          <w:szCs w:val="18"/>
        </w:rPr>
        <w:footnoteRef/>
      </w:r>
      <w:r w:rsidRPr="00A17EDC">
        <w:rPr>
          <w:sz w:val="18"/>
          <w:szCs w:val="18"/>
        </w:rPr>
        <w:t xml:space="preserve"> The Code of Practice is at </w:t>
      </w:r>
      <w:hyperlink r:id="rId6" w:history="1">
        <w:r w:rsidRPr="00A17EDC">
          <w:rPr>
            <w:rStyle w:val="Hyperlink"/>
            <w:sz w:val="18"/>
            <w:szCs w:val="18"/>
          </w:rPr>
          <w:t>http://www.afgc.org.au/our-expertise/industry-codes/code-of-practice-for-food-labelling-and-promotion/</w:t>
        </w:r>
      </w:hyperlink>
      <w:r w:rsidRPr="00A17EDC">
        <w:rPr>
          <w:sz w:val="18"/>
          <w:szCs w:val="18"/>
        </w:rPr>
        <w:t xml:space="preserve"> </w:t>
      </w:r>
    </w:p>
  </w:footnote>
  <w:footnote w:id="13">
    <w:p w:rsidR="00C926F7" w:rsidRPr="00A17EDC" w:rsidRDefault="00C926F7" w:rsidP="00AE3196">
      <w:pPr>
        <w:pStyle w:val="FootnoteText"/>
        <w:rPr>
          <w:sz w:val="18"/>
          <w:szCs w:val="18"/>
          <w:lang w:val="en-AU"/>
        </w:rPr>
      </w:pPr>
      <w:r w:rsidRPr="00A17EDC">
        <w:rPr>
          <w:rStyle w:val="FootnoteReference"/>
          <w:sz w:val="18"/>
          <w:szCs w:val="18"/>
        </w:rPr>
        <w:footnoteRef/>
      </w:r>
      <w:r w:rsidRPr="00A17EDC">
        <w:rPr>
          <w:sz w:val="18"/>
          <w:szCs w:val="18"/>
        </w:rPr>
        <w:t xml:space="preserve"> </w:t>
      </w:r>
      <w:r w:rsidRPr="00A17EDC">
        <w:rPr>
          <w:sz w:val="18"/>
          <w:szCs w:val="18"/>
          <w:lang w:val="en-AU"/>
        </w:rPr>
        <w:t xml:space="preserve">The My Daily Intake Webpage is at </w:t>
      </w:r>
      <w:hyperlink r:id="rId7" w:history="1">
        <w:r w:rsidRPr="00A17EDC">
          <w:rPr>
            <w:rStyle w:val="Hyperlink"/>
            <w:sz w:val="18"/>
            <w:szCs w:val="18"/>
            <w:lang w:val="en-AU"/>
          </w:rPr>
          <w:t>http://www.mydailyintake.net/</w:t>
        </w:r>
      </w:hyperlink>
      <w:r w:rsidRPr="00A17EDC">
        <w:rPr>
          <w:sz w:val="18"/>
          <w:szCs w:val="18"/>
          <w:lang w:val="en-AU"/>
        </w:rPr>
        <w:t xml:space="preserve"> </w:t>
      </w:r>
    </w:p>
  </w:footnote>
  <w:footnote w:id="14">
    <w:p w:rsidR="00C926F7" w:rsidRPr="003F6567" w:rsidRDefault="00C926F7" w:rsidP="00AE3196">
      <w:pPr>
        <w:pStyle w:val="FootnoteText"/>
        <w:rPr>
          <w:sz w:val="18"/>
          <w:szCs w:val="18"/>
          <w:lang w:val="en-AU"/>
        </w:rPr>
      </w:pPr>
      <w:r w:rsidRPr="00A17EDC">
        <w:rPr>
          <w:rStyle w:val="FootnoteReference"/>
          <w:sz w:val="18"/>
          <w:szCs w:val="18"/>
        </w:rPr>
        <w:footnoteRef/>
      </w:r>
      <w:r w:rsidRPr="00A17EDC">
        <w:rPr>
          <w:sz w:val="18"/>
          <w:szCs w:val="18"/>
        </w:rPr>
        <w:t xml:space="preserve"> Further information on the HSR System is at </w:t>
      </w:r>
      <w:hyperlink r:id="rId8" w:history="1">
        <w:r w:rsidRPr="00A17EDC">
          <w:rPr>
            <w:rStyle w:val="Hyperlink"/>
            <w:sz w:val="18"/>
            <w:szCs w:val="18"/>
          </w:rPr>
          <w:t>http://www.health.gov.au/internet/main/publishing.nsf/Content/foodsecretariat-front-of-pack-labelling-1</w:t>
        </w:r>
      </w:hyperlink>
      <w:r w:rsidRPr="003F6567">
        <w:rPr>
          <w:sz w:val="18"/>
          <w:szCs w:val="18"/>
        </w:rPr>
        <w:t xml:space="preserve"> </w:t>
      </w:r>
    </w:p>
  </w:footnote>
  <w:footnote w:id="15">
    <w:p w:rsidR="00C926F7" w:rsidRPr="00A17EDC" w:rsidRDefault="00C926F7" w:rsidP="00AE3196">
      <w:pPr>
        <w:pStyle w:val="FootnoteText"/>
        <w:rPr>
          <w:sz w:val="18"/>
          <w:szCs w:val="18"/>
          <w:lang w:val="en-AU"/>
        </w:rPr>
      </w:pPr>
      <w:r w:rsidRPr="00A17EDC">
        <w:rPr>
          <w:rStyle w:val="FootnoteReference"/>
          <w:sz w:val="18"/>
          <w:szCs w:val="18"/>
        </w:rPr>
        <w:footnoteRef/>
      </w:r>
      <w:r w:rsidRPr="00A17EDC">
        <w:rPr>
          <w:sz w:val="18"/>
          <w:szCs w:val="18"/>
        </w:rPr>
        <w:t xml:space="preserve"> </w:t>
      </w:r>
      <w:r w:rsidRPr="00A17EDC">
        <w:rPr>
          <w:sz w:val="18"/>
          <w:szCs w:val="18"/>
          <w:lang w:val="en-AU"/>
        </w:rPr>
        <w:t xml:space="preserve">The HSR System Style Guide is at </w:t>
      </w:r>
      <w:hyperlink r:id="rId9" w:history="1">
        <w:r w:rsidR="00AE3196" w:rsidRPr="0089085B">
          <w:rPr>
            <w:rStyle w:val="Hyperlink"/>
            <w:sz w:val="18"/>
            <w:szCs w:val="18"/>
            <w:lang w:val="en-AU"/>
          </w:rPr>
          <w:t>http://www.ahmac.gov.au/cms_documents/Health%20Star%20Rating%20Style%20Guide_30%20June%202014.pdf</w:t>
        </w:r>
      </w:hyperlink>
      <w:r w:rsidRPr="00A17EDC">
        <w:rPr>
          <w:sz w:val="18"/>
          <w:szCs w:val="18"/>
          <w:lang w:val="en-AU"/>
        </w:rPr>
        <w:t xml:space="preserve"> </w:t>
      </w:r>
    </w:p>
  </w:footnote>
  <w:footnote w:id="16">
    <w:p w:rsidR="00C926F7" w:rsidRPr="00A17EDC" w:rsidRDefault="00C926F7" w:rsidP="00AE3196">
      <w:pPr>
        <w:pStyle w:val="FootnoteText"/>
        <w:rPr>
          <w:sz w:val="18"/>
          <w:szCs w:val="18"/>
          <w:lang w:val="en-NZ"/>
        </w:rPr>
      </w:pPr>
      <w:r w:rsidRPr="00A17EDC">
        <w:rPr>
          <w:rStyle w:val="FootnoteReference"/>
          <w:sz w:val="18"/>
          <w:szCs w:val="18"/>
        </w:rPr>
        <w:footnoteRef/>
      </w:r>
      <w:r w:rsidRPr="00A17EDC">
        <w:rPr>
          <w:sz w:val="18"/>
          <w:szCs w:val="18"/>
        </w:rPr>
        <w:t xml:space="preserve"> </w:t>
      </w:r>
      <w:r w:rsidRPr="00A17EDC">
        <w:rPr>
          <w:sz w:val="18"/>
          <w:szCs w:val="18"/>
          <w:lang w:val="en-NZ"/>
        </w:rPr>
        <w:t xml:space="preserve">Further information on the Dialogue is at </w:t>
      </w:r>
      <w:hyperlink r:id="rId10" w:history="1">
        <w:r w:rsidRPr="00A17EDC">
          <w:rPr>
            <w:rStyle w:val="Hyperlink"/>
            <w:sz w:val="18"/>
            <w:szCs w:val="18"/>
            <w:lang w:val="en-NZ"/>
          </w:rPr>
          <w:t>http://www.foodhealthdialogue.gov.au/internet/foodandhealth/publishing.nsf</w:t>
        </w:r>
      </w:hyperlink>
      <w:r w:rsidRPr="00A17EDC">
        <w:rPr>
          <w:sz w:val="18"/>
          <w:szCs w:val="18"/>
          <w:lang w:val="en-NZ"/>
        </w:rPr>
        <w:t xml:space="preserve"> </w:t>
      </w:r>
    </w:p>
  </w:footnote>
  <w:footnote w:id="17">
    <w:p w:rsidR="00C926F7" w:rsidRPr="005E43BF" w:rsidRDefault="00C926F7" w:rsidP="00AE3196">
      <w:pPr>
        <w:pStyle w:val="FootnoteText"/>
        <w:rPr>
          <w:sz w:val="18"/>
          <w:szCs w:val="18"/>
          <w:lang w:val="en-AU"/>
        </w:rPr>
      </w:pPr>
      <w:r w:rsidRPr="005E43BF">
        <w:rPr>
          <w:rStyle w:val="FootnoteReference"/>
          <w:sz w:val="18"/>
          <w:szCs w:val="18"/>
        </w:rPr>
        <w:footnoteRef/>
      </w:r>
      <w:r w:rsidRPr="005E43BF">
        <w:rPr>
          <w:sz w:val="18"/>
          <w:szCs w:val="18"/>
        </w:rPr>
        <w:t xml:space="preserve"> Information about Health Canada’s review of the nutrition facts table is at </w:t>
      </w:r>
      <w:hyperlink r:id="rId11" w:history="1">
        <w:r w:rsidRPr="005E43BF">
          <w:rPr>
            <w:rStyle w:val="Hyperlink"/>
            <w:sz w:val="18"/>
            <w:szCs w:val="18"/>
          </w:rPr>
          <w:t>http://www.hc-sc.gc.ca/fn-an/label-etiquet/consultation/index-eng.php</w:t>
        </w:r>
      </w:hyperlink>
      <w:r w:rsidRPr="005E43BF">
        <w:rPr>
          <w:sz w:val="18"/>
          <w:szCs w:val="18"/>
        </w:rPr>
        <w:t xml:space="preserve"> </w:t>
      </w:r>
    </w:p>
  </w:footnote>
  <w:footnote w:id="18">
    <w:p w:rsidR="00C926F7" w:rsidRPr="005E43BF" w:rsidRDefault="00C926F7" w:rsidP="00AE3196">
      <w:pPr>
        <w:pStyle w:val="FootnoteText"/>
        <w:rPr>
          <w:sz w:val="18"/>
          <w:szCs w:val="18"/>
          <w:lang w:val="en-AU"/>
        </w:rPr>
      </w:pPr>
      <w:r w:rsidRPr="005E43BF">
        <w:rPr>
          <w:rStyle w:val="FootnoteReference"/>
          <w:sz w:val="18"/>
          <w:szCs w:val="18"/>
        </w:rPr>
        <w:footnoteRef/>
      </w:r>
      <w:r w:rsidRPr="005E43BF">
        <w:rPr>
          <w:sz w:val="18"/>
          <w:szCs w:val="18"/>
        </w:rPr>
        <w:t xml:space="preserve"> Information of the proposed changes to serving sizes is at </w:t>
      </w:r>
      <w:hyperlink r:id="rId12" w:history="1">
        <w:r w:rsidRPr="005E43BF">
          <w:rPr>
            <w:rStyle w:val="Hyperlink"/>
            <w:sz w:val="18"/>
            <w:szCs w:val="18"/>
          </w:rPr>
          <w:t>http://www.hc-sc.gc.ca/fn-an/consult/2014-serving-size-portion-indiquee-fs-fr-eng.php</w:t>
        </w:r>
      </w:hyperlink>
      <w:r w:rsidRPr="005E43BF">
        <w:rPr>
          <w:sz w:val="18"/>
          <w:szCs w:val="18"/>
        </w:rPr>
        <w:t xml:space="preserve"> </w:t>
      </w:r>
    </w:p>
  </w:footnote>
  <w:footnote w:id="19">
    <w:p w:rsidR="00C926F7" w:rsidRPr="005E43BF" w:rsidRDefault="00C926F7" w:rsidP="00AE3196">
      <w:pPr>
        <w:pStyle w:val="FootnoteText"/>
        <w:rPr>
          <w:lang w:val="en-AU"/>
        </w:rPr>
      </w:pPr>
      <w:r w:rsidRPr="005E43BF">
        <w:rPr>
          <w:rStyle w:val="FootnoteReference"/>
          <w:sz w:val="18"/>
          <w:szCs w:val="18"/>
        </w:rPr>
        <w:footnoteRef/>
      </w:r>
      <w:r w:rsidRPr="005E43BF">
        <w:rPr>
          <w:sz w:val="18"/>
          <w:szCs w:val="18"/>
        </w:rPr>
        <w:t xml:space="preserve"> </w:t>
      </w:r>
      <w:r w:rsidRPr="005E43BF">
        <w:rPr>
          <w:sz w:val="18"/>
          <w:szCs w:val="18"/>
          <w:lang w:val="en-AU"/>
        </w:rPr>
        <w:t>Fu</w:t>
      </w:r>
      <w:r>
        <w:rPr>
          <w:sz w:val="18"/>
          <w:szCs w:val="18"/>
          <w:lang w:val="en-AU"/>
        </w:rPr>
        <w:t>r</w:t>
      </w:r>
      <w:r w:rsidRPr="005E43BF">
        <w:rPr>
          <w:sz w:val="18"/>
          <w:szCs w:val="18"/>
          <w:lang w:val="en-AU"/>
        </w:rPr>
        <w:t xml:space="preserve">ther information about the </w:t>
      </w:r>
      <w:r>
        <w:rPr>
          <w:sz w:val="18"/>
          <w:szCs w:val="18"/>
          <w:lang w:val="en-AU"/>
        </w:rPr>
        <w:t>proposed changes to serving sizes</w:t>
      </w:r>
      <w:r w:rsidRPr="005E43BF">
        <w:rPr>
          <w:sz w:val="18"/>
          <w:szCs w:val="18"/>
          <w:lang w:val="en-AU"/>
        </w:rPr>
        <w:t xml:space="preserve"> is at </w:t>
      </w:r>
      <w:hyperlink r:id="rId13" w:history="1">
        <w:r w:rsidRPr="005E43BF">
          <w:rPr>
            <w:rStyle w:val="Hyperlink"/>
            <w:sz w:val="18"/>
            <w:szCs w:val="18"/>
            <w:lang w:val="en-AU"/>
          </w:rPr>
          <w:t>http://www.fda.gov/Food/GuidanceRegulation/GuidanceDocumentsRegulatoryInformation/LabelingNutrition/ucm385663.htm</w:t>
        </w:r>
      </w:hyperlink>
      <w:r>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44" w:rsidRDefault="00D35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F7" w:rsidRPr="006342E0" w:rsidRDefault="00C926F7"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F7" w:rsidRDefault="00C926F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01E52"/>
    <w:multiLevelType w:val="hybridMultilevel"/>
    <w:tmpl w:val="CD5AB5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C1E1F3D"/>
    <w:multiLevelType w:val="hybridMultilevel"/>
    <w:tmpl w:val="54466B02"/>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4DA30DF"/>
    <w:multiLevelType w:val="hybridMultilevel"/>
    <w:tmpl w:val="C94884CC"/>
    <w:lvl w:ilvl="0" w:tplc="D310CCA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nsid w:val="284E00C2"/>
    <w:multiLevelType w:val="hybridMultilevel"/>
    <w:tmpl w:val="8D86C086"/>
    <w:lvl w:ilvl="0" w:tplc="0C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6E2F0E"/>
    <w:multiLevelType w:val="hybridMultilevel"/>
    <w:tmpl w:val="CB18FDF6"/>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D56417F"/>
    <w:multiLevelType w:val="hybridMultilevel"/>
    <w:tmpl w:val="D4CA0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E021280"/>
    <w:multiLevelType w:val="multilevel"/>
    <w:tmpl w:val="DC3219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FB83914"/>
    <w:multiLevelType w:val="hybridMultilevel"/>
    <w:tmpl w:val="039E0FC6"/>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2376D97"/>
    <w:multiLevelType w:val="hybridMultilevel"/>
    <w:tmpl w:val="EEB8B398"/>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435639C"/>
    <w:multiLevelType w:val="hybridMultilevel"/>
    <w:tmpl w:val="60CA9846"/>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D807F9"/>
    <w:multiLevelType w:val="hybridMultilevel"/>
    <w:tmpl w:val="9DB6B91C"/>
    <w:lvl w:ilvl="0" w:tplc="E01AC266">
      <w:start w:val="1"/>
      <w:numFmt w:val="decimal"/>
      <w:lvlText w:val="%1"/>
      <w:lvlJc w:val="left"/>
      <w:pPr>
        <w:ind w:left="896" w:hanging="360"/>
      </w:pPr>
      <w:rPr>
        <w:rFonts w:ascii="Arial" w:eastAsia="Times New Roman" w:hAnsi="Arial" w:cs="Arial"/>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7">
    <w:nsid w:val="5ED60C9A"/>
    <w:multiLevelType w:val="hybridMultilevel"/>
    <w:tmpl w:val="8040880A"/>
    <w:lvl w:ilvl="0" w:tplc="47E6D9B4">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62C44808"/>
    <w:multiLevelType w:val="hybridMultilevel"/>
    <w:tmpl w:val="4686F354"/>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nsid w:val="679C1809"/>
    <w:multiLevelType w:val="hybridMultilevel"/>
    <w:tmpl w:val="25382BF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2">
    <w:nsid w:val="751565F4"/>
    <w:multiLevelType w:val="hybridMultilevel"/>
    <w:tmpl w:val="7B0E39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0"/>
  </w:num>
  <w:num w:numId="4">
    <w:abstractNumId w:val="1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1"/>
  </w:num>
  <w:num w:numId="8">
    <w:abstractNumId w:val="16"/>
  </w:num>
  <w:num w:numId="9">
    <w:abstractNumId w:val="12"/>
  </w:num>
  <w:num w:numId="10">
    <w:abstractNumId w:val="22"/>
  </w:num>
  <w:num w:numId="11">
    <w:abstractNumId w:val="3"/>
  </w:num>
  <w:num w:numId="12">
    <w:abstractNumId w:val="8"/>
  </w:num>
  <w:num w:numId="13">
    <w:abstractNumId w:val="9"/>
  </w:num>
  <w:num w:numId="14">
    <w:abstractNumId w:val="17"/>
  </w:num>
  <w:num w:numId="15">
    <w:abstractNumId w:val="10"/>
  </w:num>
  <w:num w:numId="16">
    <w:abstractNumId w:val="5"/>
  </w:num>
  <w:num w:numId="17">
    <w:abstractNumId w:val="4"/>
  </w:num>
  <w:num w:numId="18">
    <w:abstractNumId w:val="2"/>
  </w:num>
  <w:num w:numId="19">
    <w:abstractNumId w:val="6"/>
  </w:num>
  <w:num w:numId="20">
    <w:abstractNumId w:val="20"/>
  </w:num>
  <w:num w:numId="21">
    <w:abstractNumId w:val="14"/>
  </w:num>
  <w:num w:numId="22">
    <w:abstractNumId w:val="13"/>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847"/>
    <w:rsid w:val="00001CF2"/>
    <w:rsid w:val="0000247B"/>
    <w:rsid w:val="00003A5A"/>
    <w:rsid w:val="00004274"/>
    <w:rsid w:val="0000469B"/>
    <w:rsid w:val="000076BD"/>
    <w:rsid w:val="00012FB6"/>
    <w:rsid w:val="00016430"/>
    <w:rsid w:val="0001690D"/>
    <w:rsid w:val="00016CB6"/>
    <w:rsid w:val="00022DBC"/>
    <w:rsid w:val="00023B05"/>
    <w:rsid w:val="00031875"/>
    <w:rsid w:val="00034764"/>
    <w:rsid w:val="00034A9F"/>
    <w:rsid w:val="00034F87"/>
    <w:rsid w:val="00035FF3"/>
    <w:rsid w:val="000402EB"/>
    <w:rsid w:val="000427B2"/>
    <w:rsid w:val="00044552"/>
    <w:rsid w:val="00050DB4"/>
    <w:rsid w:val="00051021"/>
    <w:rsid w:val="00051ED9"/>
    <w:rsid w:val="00057181"/>
    <w:rsid w:val="0006304D"/>
    <w:rsid w:val="0006448A"/>
    <w:rsid w:val="00064B2D"/>
    <w:rsid w:val="00065F1F"/>
    <w:rsid w:val="0007466A"/>
    <w:rsid w:val="00074C2A"/>
    <w:rsid w:val="00076D33"/>
    <w:rsid w:val="000778D6"/>
    <w:rsid w:val="00077E24"/>
    <w:rsid w:val="00091681"/>
    <w:rsid w:val="00091CC2"/>
    <w:rsid w:val="000942B5"/>
    <w:rsid w:val="000A02B6"/>
    <w:rsid w:val="000A27E9"/>
    <w:rsid w:val="000A3D8B"/>
    <w:rsid w:val="000A5DF8"/>
    <w:rsid w:val="000B1192"/>
    <w:rsid w:val="000B6AF2"/>
    <w:rsid w:val="000C0C44"/>
    <w:rsid w:val="000C73E9"/>
    <w:rsid w:val="000D0F35"/>
    <w:rsid w:val="000D1EA3"/>
    <w:rsid w:val="000D295F"/>
    <w:rsid w:val="000D6FD4"/>
    <w:rsid w:val="000E0AE4"/>
    <w:rsid w:val="000E3DBC"/>
    <w:rsid w:val="000E6C6A"/>
    <w:rsid w:val="000E7A9D"/>
    <w:rsid w:val="000F28BB"/>
    <w:rsid w:val="000F792D"/>
    <w:rsid w:val="00113CE3"/>
    <w:rsid w:val="00117522"/>
    <w:rsid w:val="001309CF"/>
    <w:rsid w:val="00132D9E"/>
    <w:rsid w:val="00133D37"/>
    <w:rsid w:val="00143783"/>
    <w:rsid w:val="00143B38"/>
    <w:rsid w:val="0015132C"/>
    <w:rsid w:val="00154274"/>
    <w:rsid w:val="001542D8"/>
    <w:rsid w:val="00157A86"/>
    <w:rsid w:val="001635D3"/>
    <w:rsid w:val="00166B9B"/>
    <w:rsid w:val="00172662"/>
    <w:rsid w:val="00180C41"/>
    <w:rsid w:val="00182C4C"/>
    <w:rsid w:val="00197D8D"/>
    <w:rsid w:val="001A1A75"/>
    <w:rsid w:val="001A720D"/>
    <w:rsid w:val="001A7E9A"/>
    <w:rsid w:val="001C27A3"/>
    <w:rsid w:val="001C282C"/>
    <w:rsid w:val="001C3D2F"/>
    <w:rsid w:val="001C5295"/>
    <w:rsid w:val="001C5F27"/>
    <w:rsid w:val="001D2D15"/>
    <w:rsid w:val="001E09FA"/>
    <w:rsid w:val="001E5E87"/>
    <w:rsid w:val="001E7419"/>
    <w:rsid w:val="001F0C9A"/>
    <w:rsid w:val="001F1911"/>
    <w:rsid w:val="001F5B9C"/>
    <w:rsid w:val="001F74B2"/>
    <w:rsid w:val="00203540"/>
    <w:rsid w:val="002043AF"/>
    <w:rsid w:val="00220CDC"/>
    <w:rsid w:val="00221D07"/>
    <w:rsid w:val="00227E4A"/>
    <w:rsid w:val="00233C9B"/>
    <w:rsid w:val="002372EE"/>
    <w:rsid w:val="002432EE"/>
    <w:rsid w:val="0024582E"/>
    <w:rsid w:val="00245EBD"/>
    <w:rsid w:val="00252CAD"/>
    <w:rsid w:val="002547EF"/>
    <w:rsid w:val="00256D65"/>
    <w:rsid w:val="00256DC2"/>
    <w:rsid w:val="00265EA8"/>
    <w:rsid w:val="002665B7"/>
    <w:rsid w:val="00270B3C"/>
    <w:rsid w:val="00271F00"/>
    <w:rsid w:val="00273A80"/>
    <w:rsid w:val="0027513D"/>
    <w:rsid w:val="00276026"/>
    <w:rsid w:val="002851C8"/>
    <w:rsid w:val="0028616B"/>
    <w:rsid w:val="002873B6"/>
    <w:rsid w:val="0029204E"/>
    <w:rsid w:val="00294940"/>
    <w:rsid w:val="00294BAD"/>
    <w:rsid w:val="0029631C"/>
    <w:rsid w:val="002A0194"/>
    <w:rsid w:val="002A1BFD"/>
    <w:rsid w:val="002A5F8B"/>
    <w:rsid w:val="002A63EB"/>
    <w:rsid w:val="002A7F6C"/>
    <w:rsid w:val="002B0D8E"/>
    <w:rsid w:val="002B643A"/>
    <w:rsid w:val="002C241B"/>
    <w:rsid w:val="002D6809"/>
    <w:rsid w:val="002E086A"/>
    <w:rsid w:val="002E4731"/>
    <w:rsid w:val="002E4B17"/>
    <w:rsid w:val="002F48CC"/>
    <w:rsid w:val="002F6488"/>
    <w:rsid w:val="00301CEE"/>
    <w:rsid w:val="00302C3E"/>
    <w:rsid w:val="00306C24"/>
    <w:rsid w:val="00310E84"/>
    <w:rsid w:val="0031306E"/>
    <w:rsid w:val="00315A71"/>
    <w:rsid w:val="0032007D"/>
    <w:rsid w:val="003213F9"/>
    <w:rsid w:val="00321D77"/>
    <w:rsid w:val="00322E34"/>
    <w:rsid w:val="00322F65"/>
    <w:rsid w:val="0032350A"/>
    <w:rsid w:val="00323DBF"/>
    <w:rsid w:val="0033090B"/>
    <w:rsid w:val="003309A8"/>
    <w:rsid w:val="00332B12"/>
    <w:rsid w:val="00333028"/>
    <w:rsid w:val="003346C1"/>
    <w:rsid w:val="00336711"/>
    <w:rsid w:val="00336D48"/>
    <w:rsid w:val="00345844"/>
    <w:rsid w:val="00347935"/>
    <w:rsid w:val="00350DBD"/>
    <w:rsid w:val="00351927"/>
    <w:rsid w:val="00351B07"/>
    <w:rsid w:val="003542CB"/>
    <w:rsid w:val="0035761B"/>
    <w:rsid w:val="0036268A"/>
    <w:rsid w:val="003644AA"/>
    <w:rsid w:val="00364841"/>
    <w:rsid w:val="003707EA"/>
    <w:rsid w:val="00371B29"/>
    <w:rsid w:val="00372182"/>
    <w:rsid w:val="00373BE1"/>
    <w:rsid w:val="00374496"/>
    <w:rsid w:val="0037520F"/>
    <w:rsid w:val="0038361D"/>
    <w:rsid w:val="00386512"/>
    <w:rsid w:val="00391769"/>
    <w:rsid w:val="003953E1"/>
    <w:rsid w:val="003956B3"/>
    <w:rsid w:val="0039589A"/>
    <w:rsid w:val="00397AD0"/>
    <w:rsid w:val="003A0A4A"/>
    <w:rsid w:val="003A31B3"/>
    <w:rsid w:val="003A68BE"/>
    <w:rsid w:val="003A7725"/>
    <w:rsid w:val="003B3C9D"/>
    <w:rsid w:val="003B78E0"/>
    <w:rsid w:val="003B7A83"/>
    <w:rsid w:val="003C4969"/>
    <w:rsid w:val="003C5A33"/>
    <w:rsid w:val="003E41D5"/>
    <w:rsid w:val="003E46BA"/>
    <w:rsid w:val="003E7D22"/>
    <w:rsid w:val="003F6567"/>
    <w:rsid w:val="003F74C1"/>
    <w:rsid w:val="00403840"/>
    <w:rsid w:val="00405B1A"/>
    <w:rsid w:val="00407241"/>
    <w:rsid w:val="0040761E"/>
    <w:rsid w:val="00410C76"/>
    <w:rsid w:val="00410CAE"/>
    <w:rsid w:val="004113A2"/>
    <w:rsid w:val="00411907"/>
    <w:rsid w:val="00413CA8"/>
    <w:rsid w:val="00417EE3"/>
    <w:rsid w:val="004207EB"/>
    <w:rsid w:val="00423FDC"/>
    <w:rsid w:val="00434340"/>
    <w:rsid w:val="0043457A"/>
    <w:rsid w:val="00435FA5"/>
    <w:rsid w:val="00436B8D"/>
    <w:rsid w:val="00437276"/>
    <w:rsid w:val="00444663"/>
    <w:rsid w:val="00446001"/>
    <w:rsid w:val="00447BEA"/>
    <w:rsid w:val="00447E67"/>
    <w:rsid w:val="0045556F"/>
    <w:rsid w:val="00456B54"/>
    <w:rsid w:val="0045797A"/>
    <w:rsid w:val="004612A7"/>
    <w:rsid w:val="00464643"/>
    <w:rsid w:val="004646F8"/>
    <w:rsid w:val="00470A64"/>
    <w:rsid w:val="00473D02"/>
    <w:rsid w:val="00477856"/>
    <w:rsid w:val="0048075D"/>
    <w:rsid w:val="00486793"/>
    <w:rsid w:val="00491084"/>
    <w:rsid w:val="00497A61"/>
    <w:rsid w:val="004A2037"/>
    <w:rsid w:val="004A3685"/>
    <w:rsid w:val="004A3DAA"/>
    <w:rsid w:val="004A4CA9"/>
    <w:rsid w:val="004B3AC0"/>
    <w:rsid w:val="004C06F0"/>
    <w:rsid w:val="004C2CE7"/>
    <w:rsid w:val="004D210D"/>
    <w:rsid w:val="004D30A6"/>
    <w:rsid w:val="004D5FC3"/>
    <w:rsid w:val="004E2A7F"/>
    <w:rsid w:val="004F02F2"/>
    <w:rsid w:val="004F32F3"/>
    <w:rsid w:val="004F4F98"/>
    <w:rsid w:val="004F69F6"/>
    <w:rsid w:val="004F79AC"/>
    <w:rsid w:val="005017CF"/>
    <w:rsid w:val="00503A85"/>
    <w:rsid w:val="0051090C"/>
    <w:rsid w:val="00512290"/>
    <w:rsid w:val="00513177"/>
    <w:rsid w:val="00513CF1"/>
    <w:rsid w:val="00515AF2"/>
    <w:rsid w:val="005207D8"/>
    <w:rsid w:val="00521F70"/>
    <w:rsid w:val="005245AB"/>
    <w:rsid w:val="0053464E"/>
    <w:rsid w:val="00542457"/>
    <w:rsid w:val="00544D39"/>
    <w:rsid w:val="0054593A"/>
    <w:rsid w:val="005475D4"/>
    <w:rsid w:val="00550DC1"/>
    <w:rsid w:val="00553969"/>
    <w:rsid w:val="005574D7"/>
    <w:rsid w:val="00560AF6"/>
    <w:rsid w:val="00562917"/>
    <w:rsid w:val="00567B96"/>
    <w:rsid w:val="005714E9"/>
    <w:rsid w:val="005718FB"/>
    <w:rsid w:val="00571D42"/>
    <w:rsid w:val="00572B1A"/>
    <w:rsid w:val="00576068"/>
    <w:rsid w:val="00576D23"/>
    <w:rsid w:val="005861A5"/>
    <w:rsid w:val="00586228"/>
    <w:rsid w:val="0059227F"/>
    <w:rsid w:val="0059498B"/>
    <w:rsid w:val="00595A0C"/>
    <w:rsid w:val="00597751"/>
    <w:rsid w:val="005A1535"/>
    <w:rsid w:val="005A275F"/>
    <w:rsid w:val="005A3A03"/>
    <w:rsid w:val="005A44B0"/>
    <w:rsid w:val="005A4B19"/>
    <w:rsid w:val="005B01E7"/>
    <w:rsid w:val="005B09C5"/>
    <w:rsid w:val="005B615C"/>
    <w:rsid w:val="005B6AF4"/>
    <w:rsid w:val="005C04CB"/>
    <w:rsid w:val="005C71BA"/>
    <w:rsid w:val="005D16AD"/>
    <w:rsid w:val="005D3B10"/>
    <w:rsid w:val="005D5277"/>
    <w:rsid w:val="005D5D5D"/>
    <w:rsid w:val="005D72E1"/>
    <w:rsid w:val="005E101C"/>
    <w:rsid w:val="005E43BF"/>
    <w:rsid w:val="005E6E16"/>
    <w:rsid w:val="005E6EED"/>
    <w:rsid w:val="005F3B3C"/>
    <w:rsid w:val="005F400E"/>
    <w:rsid w:val="005F7342"/>
    <w:rsid w:val="0060299A"/>
    <w:rsid w:val="00603A08"/>
    <w:rsid w:val="006066BC"/>
    <w:rsid w:val="00606C88"/>
    <w:rsid w:val="00610A3C"/>
    <w:rsid w:val="00617F0E"/>
    <w:rsid w:val="00620A80"/>
    <w:rsid w:val="00620BFA"/>
    <w:rsid w:val="00627CDD"/>
    <w:rsid w:val="00627F48"/>
    <w:rsid w:val="00633ACA"/>
    <w:rsid w:val="006342E0"/>
    <w:rsid w:val="00634F8E"/>
    <w:rsid w:val="00642A47"/>
    <w:rsid w:val="00646FDD"/>
    <w:rsid w:val="00653837"/>
    <w:rsid w:val="00655DCF"/>
    <w:rsid w:val="00660208"/>
    <w:rsid w:val="00663FCF"/>
    <w:rsid w:val="0066507C"/>
    <w:rsid w:val="006652A2"/>
    <w:rsid w:val="006663FA"/>
    <w:rsid w:val="00667FA4"/>
    <w:rsid w:val="006707DE"/>
    <w:rsid w:val="00676B57"/>
    <w:rsid w:val="00681754"/>
    <w:rsid w:val="00681D53"/>
    <w:rsid w:val="00683E69"/>
    <w:rsid w:val="00685682"/>
    <w:rsid w:val="0068705B"/>
    <w:rsid w:val="006919BC"/>
    <w:rsid w:val="00691CE3"/>
    <w:rsid w:val="006937FF"/>
    <w:rsid w:val="00694085"/>
    <w:rsid w:val="006964C9"/>
    <w:rsid w:val="006965BF"/>
    <w:rsid w:val="006966B2"/>
    <w:rsid w:val="00696AA7"/>
    <w:rsid w:val="006A48A7"/>
    <w:rsid w:val="006B3310"/>
    <w:rsid w:val="006B4BA1"/>
    <w:rsid w:val="006B599F"/>
    <w:rsid w:val="006C2820"/>
    <w:rsid w:val="006C28E2"/>
    <w:rsid w:val="006C5CF5"/>
    <w:rsid w:val="006D37C2"/>
    <w:rsid w:val="006E1DAD"/>
    <w:rsid w:val="006E3F0E"/>
    <w:rsid w:val="006F45EC"/>
    <w:rsid w:val="006F4A82"/>
    <w:rsid w:val="00700239"/>
    <w:rsid w:val="0070373B"/>
    <w:rsid w:val="007057C5"/>
    <w:rsid w:val="00707E72"/>
    <w:rsid w:val="00710BE0"/>
    <w:rsid w:val="007113EB"/>
    <w:rsid w:val="00715A00"/>
    <w:rsid w:val="007211B6"/>
    <w:rsid w:val="0072150F"/>
    <w:rsid w:val="00724FA4"/>
    <w:rsid w:val="00726C2F"/>
    <w:rsid w:val="00730800"/>
    <w:rsid w:val="00733822"/>
    <w:rsid w:val="00734DE0"/>
    <w:rsid w:val="007368AB"/>
    <w:rsid w:val="00737674"/>
    <w:rsid w:val="00737902"/>
    <w:rsid w:val="00741EFE"/>
    <w:rsid w:val="00743BCC"/>
    <w:rsid w:val="00750D73"/>
    <w:rsid w:val="00756D5E"/>
    <w:rsid w:val="007602AA"/>
    <w:rsid w:val="0076114C"/>
    <w:rsid w:val="007652EF"/>
    <w:rsid w:val="00772BDC"/>
    <w:rsid w:val="00773033"/>
    <w:rsid w:val="00775B4D"/>
    <w:rsid w:val="00780792"/>
    <w:rsid w:val="0079228C"/>
    <w:rsid w:val="007A06C4"/>
    <w:rsid w:val="007A44B4"/>
    <w:rsid w:val="007A7D3D"/>
    <w:rsid w:val="007B225D"/>
    <w:rsid w:val="007C174F"/>
    <w:rsid w:val="007C1C64"/>
    <w:rsid w:val="007C3AAB"/>
    <w:rsid w:val="007C6B93"/>
    <w:rsid w:val="007D40A1"/>
    <w:rsid w:val="007D65E7"/>
    <w:rsid w:val="007E1263"/>
    <w:rsid w:val="007E48BC"/>
    <w:rsid w:val="007E761C"/>
    <w:rsid w:val="007E79F7"/>
    <w:rsid w:val="007F163A"/>
    <w:rsid w:val="007F3630"/>
    <w:rsid w:val="00807559"/>
    <w:rsid w:val="00811393"/>
    <w:rsid w:val="008157D9"/>
    <w:rsid w:val="00817B3A"/>
    <w:rsid w:val="008205E1"/>
    <w:rsid w:val="00823663"/>
    <w:rsid w:val="00831460"/>
    <w:rsid w:val="00834441"/>
    <w:rsid w:val="008365CC"/>
    <w:rsid w:val="00843CF7"/>
    <w:rsid w:val="008450BC"/>
    <w:rsid w:val="00851A60"/>
    <w:rsid w:val="0085334B"/>
    <w:rsid w:val="008660C6"/>
    <w:rsid w:val="00867B23"/>
    <w:rsid w:val="00870214"/>
    <w:rsid w:val="008730EF"/>
    <w:rsid w:val="00876515"/>
    <w:rsid w:val="008828D9"/>
    <w:rsid w:val="0088403D"/>
    <w:rsid w:val="00885C51"/>
    <w:rsid w:val="00885EB0"/>
    <w:rsid w:val="00891D67"/>
    <w:rsid w:val="0089264A"/>
    <w:rsid w:val="0089344B"/>
    <w:rsid w:val="00893CBC"/>
    <w:rsid w:val="00896B85"/>
    <w:rsid w:val="008A22BE"/>
    <w:rsid w:val="008A3221"/>
    <w:rsid w:val="008A35FB"/>
    <w:rsid w:val="008A39C4"/>
    <w:rsid w:val="008B0075"/>
    <w:rsid w:val="008B26BC"/>
    <w:rsid w:val="008C0E7A"/>
    <w:rsid w:val="008C1B36"/>
    <w:rsid w:val="008C495F"/>
    <w:rsid w:val="008C4B84"/>
    <w:rsid w:val="008C593C"/>
    <w:rsid w:val="008D06C6"/>
    <w:rsid w:val="008D16D2"/>
    <w:rsid w:val="008D3EB8"/>
    <w:rsid w:val="008D4C01"/>
    <w:rsid w:val="008D4DEF"/>
    <w:rsid w:val="008E1403"/>
    <w:rsid w:val="008E6250"/>
    <w:rsid w:val="008F29D4"/>
    <w:rsid w:val="00902AF6"/>
    <w:rsid w:val="0091389C"/>
    <w:rsid w:val="00914030"/>
    <w:rsid w:val="00917CD3"/>
    <w:rsid w:val="00920249"/>
    <w:rsid w:val="00921DA5"/>
    <w:rsid w:val="00924C80"/>
    <w:rsid w:val="00927D7A"/>
    <w:rsid w:val="0093081E"/>
    <w:rsid w:val="00932F14"/>
    <w:rsid w:val="0093779F"/>
    <w:rsid w:val="00940E8B"/>
    <w:rsid w:val="0094247F"/>
    <w:rsid w:val="00942D60"/>
    <w:rsid w:val="00944BA4"/>
    <w:rsid w:val="00946D59"/>
    <w:rsid w:val="00950546"/>
    <w:rsid w:val="009506B3"/>
    <w:rsid w:val="00953815"/>
    <w:rsid w:val="00964792"/>
    <w:rsid w:val="0096523B"/>
    <w:rsid w:val="00966EE3"/>
    <w:rsid w:val="00967751"/>
    <w:rsid w:val="00972D06"/>
    <w:rsid w:val="00980EE8"/>
    <w:rsid w:val="00983341"/>
    <w:rsid w:val="00984C33"/>
    <w:rsid w:val="0099090F"/>
    <w:rsid w:val="009925BD"/>
    <w:rsid w:val="00995909"/>
    <w:rsid w:val="009A2005"/>
    <w:rsid w:val="009A391C"/>
    <w:rsid w:val="009A50F2"/>
    <w:rsid w:val="009B2455"/>
    <w:rsid w:val="009B30B0"/>
    <w:rsid w:val="009C4322"/>
    <w:rsid w:val="009C77F6"/>
    <w:rsid w:val="009C7DC0"/>
    <w:rsid w:val="009D2551"/>
    <w:rsid w:val="009D41FD"/>
    <w:rsid w:val="009D790B"/>
    <w:rsid w:val="009E0A61"/>
    <w:rsid w:val="009E3010"/>
    <w:rsid w:val="009E40FA"/>
    <w:rsid w:val="009E4832"/>
    <w:rsid w:val="009E7454"/>
    <w:rsid w:val="009F007E"/>
    <w:rsid w:val="009F15F6"/>
    <w:rsid w:val="009F5A21"/>
    <w:rsid w:val="009F7065"/>
    <w:rsid w:val="00A02666"/>
    <w:rsid w:val="00A07A05"/>
    <w:rsid w:val="00A10F5D"/>
    <w:rsid w:val="00A12B44"/>
    <w:rsid w:val="00A1630C"/>
    <w:rsid w:val="00A17EDC"/>
    <w:rsid w:val="00A20545"/>
    <w:rsid w:val="00A207C0"/>
    <w:rsid w:val="00A2472D"/>
    <w:rsid w:val="00A37713"/>
    <w:rsid w:val="00A40193"/>
    <w:rsid w:val="00A4175D"/>
    <w:rsid w:val="00A443CF"/>
    <w:rsid w:val="00A45418"/>
    <w:rsid w:val="00A54934"/>
    <w:rsid w:val="00A56DC7"/>
    <w:rsid w:val="00A56E34"/>
    <w:rsid w:val="00A645ED"/>
    <w:rsid w:val="00A6519E"/>
    <w:rsid w:val="00A74FD1"/>
    <w:rsid w:val="00A83BB2"/>
    <w:rsid w:val="00A84A58"/>
    <w:rsid w:val="00A8723B"/>
    <w:rsid w:val="00A91DF1"/>
    <w:rsid w:val="00A93994"/>
    <w:rsid w:val="00A94D74"/>
    <w:rsid w:val="00A94EBA"/>
    <w:rsid w:val="00AA6423"/>
    <w:rsid w:val="00AB5ED2"/>
    <w:rsid w:val="00AC52C0"/>
    <w:rsid w:val="00AD0548"/>
    <w:rsid w:val="00AD187C"/>
    <w:rsid w:val="00AD22F9"/>
    <w:rsid w:val="00AD6B22"/>
    <w:rsid w:val="00AD7A3D"/>
    <w:rsid w:val="00AE3196"/>
    <w:rsid w:val="00AE4E6E"/>
    <w:rsid w:val="00AE766D"/>
    <w:rsid w:val="00AF06FC"/>
    <w:rsid w:val="00AF3391"/>
    <w:rsid w:val="00AF387F"/>
    <w:rsid w:val="00AF602C"/>
    <w:rsid w:val="00B00E7F"/>
    <w:rsid w:val="00B10758"/>
    <w:rsid w:val="00B1648C"/>
    <w:rsid w:val="00B166E4"/>
    <w:rsid w:val="00B173DA"/>
    <w:rsid w:val="00B17F4E"/>
    <w:rsid w:val="00B20566"/>
    <w:rsid w:val="00B21DCC"/>
    <w:rsid w:val="00B236C4"/>
    <w:rsid w:val="00B25F37"/>
    <w:rsid w:val="00B26608"/>
    <w:rsid w:val="00B33E40"/>
    <w:rsid w:val="00B44422"/>
    <w:rsid w:val="00B46EA0"/>
    <w:rsid w:val="00B51E03"/>
    <w:rsid w:val="00B52669"/>
    <w:rsid w:val="00B602AC"/>
    <w:rsid w:val="00B621C8"/>
    <w:rsid w:val="00B633B6"/>
    <w:rsid w:val="00B63578"/>
    <w:rsid w:val="00B71F51"/>
    <w:rsid w:val="00B731D3"/>
    <w:rsid w:val="00B811C7"/>
    <w:rsid w:val="00B839A3"/>
    <w:rsid w:val="00B84803"/>
    <w:rsid w:val="00B852E3"/>
    <w:rsid w:val="00B853D2"/>
    <w:rsid w:val="00B902BD"/>
    <w:rsid w:val="00B9694C"/>
    <w:rsid w:val="00B96EDC"/>
    <w:rsid w:val="00BA139D"/>
    <w:rsid w:val="00BA24E2"/>
    <w:rsid w:val="00BA26E3"/>
    <w:rsid w:val="00BA6589"/>
    <w:rsid w:val="00BA697B"/>
    <w:rsid w:val="00BA743D"/>
    <w:rsid w:val="00BB4F63"/>
    <w:rsid w:val="00BB5930"/>
    <w:rsid w:val="00BC5F63"/>
    <w:rsid w:val="00BC70F9"/>
    <w:rsid w:val="00BD2A39"/>
    <w:rsid w:val="00BD2E80"/>
    <w:rsid w:val="00BE11B8"/>
    <w:rsid w:val="00BE1B4D"/>
    <w:rsid w:val="00BE3818"/>
    <w:rsid w:val="00BE7E2A"/>
    <w:rsid w:val="00BF017C"/>
    <w:rsid w:val="00BF23DA"/>
    <w:rsid w:val="00BF7AE9"/>
    <w:rsid w:val="00BF7FF0"/>
    <w:rsid w:val="00C03143"/>
    <w:rsid w:val="00C12202"/>
    <w:rsid w:val="00C12502"/>
    <w:rsid w:val="00C1266C"/>
    <w:rsid w:val="00C14FD2"/>
    <w:rsid w:val="00C15FB0"/>
    <w:rsid w:val="00C17313"/>
    <w:rsid w:val="00C231CD"/>
    <w:rsid w:val="00C3110A"/>
    <w:rsid w:val="00C3131B"/>
    <w:rsid w:val="00C36578"/>
    <w:rsid w:val="00C40AA5"/>
    <w:rsid w:val="00C46F70"/>
    <w:rsid w:val="00C476D0"/>
    <w:rsid w:val="00C50B54"/>
    <w:rsid w:val="00C531A5"/>
    <w:rsid w:val="00C56F71"/>
    <w:rsid w:val="00C63580"/>
    <w:rsid w:val="00C65AC6"/>
    <w:rsid w:val="00C738B8"/>
    <w:rsid w:val="00C75D51"/>
    <w:rsid w:val="00C809E5"/>
    <w:rsid w:val="00C8247D"/>
    <w:rsid w:val="00C836E3"/>
    <w:rsid w:val="00C85A97"/>
    <w:rsid w:val="00C86577"/>
    <w:rsid w:val="00C86A98"/>
    <w:rsid w:val="00C90FCB"/>
    <w:rsid w:val="00C926F7"/>
    <w:rsid w:val="00C92E07"/>
    <w:rsid w:val="00C94942"/>
    <w:rsid w:val="00C95A55"/>
    <w:rsid w:val="00C96868"/>
    <w:rsid w:val="00C96A50"/>
    <w:rsid w:val="00C977BD"/>
    <w:rsid w:val="00C97F76"/>
    <w:rsid w:val="00CA0416"/>
    <w:rsid w:val="00CA47A0"/>
    <w:rsid w:val="00CA55F0"/>
    <w:rsid w:val="00CA7F35"/>
    <w:rsid w:val="00CB1375"/>
    <w:rsid w:val="00CC14A6"/>
    <w:rsid w:val="00CC190E"/>
    <w:rsid w:val="00CC36E7"/>
    <w:rsid w:val="00CC560B"/>
    <w:rsid w:val="00CC5938"/>
    <w:rsid w:val="00CC75E2"/>
    <w:rsid w:val="00CD46EB"/>
    <w:rsid w:val="00CD72A3"/>
    <w:rsid w:val="00CD7EBF"/>
    <w:rsid w:val="00CE0AD7"/>
    <w:rsid w:val="00CE0AEB"/>
    <w:rsid w:val="00CE25C8"/>
    <w:rsid w:val="00CF4E27"/>
    <w:rsid w:val="00D0184C"/>
    <w:rsid w:val="00D04529"/>
    <w:rsid w:val="00D04B60"/>
    <w:rsid w:val="00D056F1"/>
    <w:rsid w:val="00D062E4"/>
    <w:rsid w:val="00D11171"/>
    <w:rsid w:val="00D11485"/>
    <w:rsid w:val="00D14405"/>
    <w:rsid w:val="00D164DF"/>
    <w:rsid w:val="00D20DA9"/>
    <w:rsid w:val="00D22F3C"/>
    <w:rsid w:val="00D23DB6"/>
    <w:rsid w:val="00D26814"/>
    <w:rsid w:val="00D3171B"/>
    <w:rsid w:val="00D327C3"/>
    <w:rsid w:val="00D33335"/>
    <w:rsid w:val="00D33F56"/>
    <w:rsid w:val="00D35D44"/>
    <w:rsid w:val="00D428EE"/>
    <w:rsid w:val="00D43B3C"/>
    <w:rsid w:val="00D43FE6"/>
    <w:rsid w:val="00D469EA"/>
    <w:rsid w:val="00D51A95"/>
    <w:rsid w:val="00D53C1E"/>
    <w:rsid w:val="00D55AAD"/>
    <w:rsid w:val="00D60568"/>
    <w:rsid w:val="00D65079"/>
    <w:rsid w:val="00D70C7A"/>
    <w:rsid w:val="00D73877"/>
    <w:rsid w:val="00D73931"/>
    <w:rsid w:val="00D81D38"/>
    <w:rsid w:val="00D8470F"/>
    <w:rsid w:val="00D8471A"/>
    <w:rsid w:val="00D8701B"/>
    <w:rsid w:val="00D927A4"/>
    <w:rsid w:val="00D95787"/>
    <w:rsid w:val="00DA0C13"/>
    <w:rsid w:val="00DA10A8"/>
    <w:rsid w:val="00DA2423"/>
    <w:rsid w:val="00DA3191"/>
    <w:rsid w:val="00DB1E08"/>
    <w:rsid w:val="00DB2973"/>
    <w:rsid w:val="00DB324A"/>
    <w:rsid w:val="00DB4C43"/>
    <w:rsid w:val="00DB7A08"/>
    <w:rsid w:val="00DC026E"/>
    <w:rsid w:val="00DC1B56"/>
    <w:rsid w:val="00DC2129"/>
    <w:rsid w:val="00DC3C72"/>
    <w:rsid w:val="00DC43B5"/>
    <w:rsid w:val="00DC6229"/>
    <w:rsid w:val="00DC6570"/>
    <w:rsid w:val="00DC6F07"/>
    <w:rsid w:val="00DD3C5E"/>
    <w:rsid w:val="00DE79D9"/>
    <w:rsid w:val="00DF25C3"/>
    <w:rsid w:val="00E0256E"/>
    <w:rsid w:val="00E02CB6"/>
    <w:rsid w:val="00E02CC0"/>
    <w:rsid w:val="00E04062"/>
    <w:rsid w:val="00E063C6"/>
    <w:rsid w:val="00E15563"/>
    <w:rsid w:val="00E15F14"/>
    <w:rsid w:val="00E2003B"/>
    <w:rsid w:val="00E203C2"/>
    <w:rsid w:val="00E24DE8"/>
    <w:rsid w:val="00E279D8"/>
    <w:rsid w:val="00E31815"/>
    <w:rsid w:val="00E319B1"/>
    <w:rsid w:val="00E40ED4"/>
    <w:rsid w:val="00E44E0D"/>
    <w:rsid w:val="00E46064"/>
    <w:rsid w:val="00E520FE"/>
    <w:rsid w:val="00E5492F"/>
    <w:rsid w:val="00E54AB6"/>
    <w:rsid w:val="00E57631"/>
    <w:rsid w:val="00E6121A"/>
    <w:rsid w:val="00E62DEF"/>
    <w:rsid w:val="00E67CD9"/>
    <w:rsid w:val="00E70A86"/>
    <w:rsid w:val="00E75054"/>
    <w:rsid w:val="00E751D6"/>
    <w:rsid w:val="00E75D38"/>
    <w:rsid w:val="00E75DE1"/>
    <w:rsid w:val="00E777EC"/>
    <w:rsid w:val="00E80FCD"/>
    <w:rsid w:val="00E81F6E"/>
    <w:rsid w:val="00E839E3"/>
    <w:rsid w:val="00EA7F2F"/>
    <w:rsid w:val="00EC00DE"/>
    <w:rsid w:val="00EC0EC3"/>
    <w:rsid w:val="00EC2F07"/>
    <w:rsid w:val="00EC30E1"/>
    <w:rsid w:val="00ED172A"/>
    <w:rsid w:val="00ED357B"/>
    <w:rsid w:val="00ED6387"/>
    <w:rsid w:val="00EE09E1"/>
    <w:rsid w:val="00EE0A23"/>
    <w:rsid w:val="00EE0AF3"/>
    <w:rsid w:val="00EE532C"/>
    <w:rsid w:val="00EE7228"/>
    <w:rsid w:val="00EF01E7"/>
    <w:rsid w:val="00EF493E"/>
    <w:rsid w:val="00F02866"/>
    <w:rsid w:val="00F0750B"/>
    <w:rsid w:val="00F10297"/>
    <w:rsid w:val="00F10735"/>
    <w:rsid w:val="00F12AC3"/>
    <w:rsid w:val="00F14BEC"/>
    <w:rsid w:val="00F1658D"/>
    <w:rsid w:val="00F225C5"/>
    <w:rsid w:val="00F2587A"/>
    <w:rsid w:val="00F30320"/>
    <w:rsid w:val="00F3227E"/>
    <w:rsid w:val="00F33BB8"/>
    <w:rsid w:val="00F367E7"/>
    <w:rsid w:val="00F3715D"/>
    <w:rsid w:val="00F420C8"/>
    <w:rsid w:val="00F42A4C"/>
    <w:rsid w:val="00F43E56"/>
    <w:rsid w:val="00F44AB5"/>
    <w:rsid w:val="00F536A2"/>
    <w:rsid w:val="00F53913"/>
    <w:rsid w:val="00F53B04"/>
    <w:rsid w:val="00F54F31"/>
    <w:rsid w:val="00F553CB"/>
    <w:rsid w:val="00F57EAF"/>
    <w:rsid w:val="00F60486"/>
    <w:rsid w:val="00F604DE"/>
    <w:rsid w:val="00F610A5"/>
    <w:rsid w:val="00F625C0"/>
    <w:rsid w:val="00F64653"/>
    <w:rsid w:val="00F86AB3"/>
    <w:rsid w:val="00F86B2C"/>
    <w:rsid w:val="00F9170D"/>
    <w:rsid w:val="00F91812"/>
    <w:rsid w:val="00F951E9"/>
    <w:rsid w:val="00FA1B47"/>
    <w:rsid w:val="00FB1533"/>
    <w:rsid w:val="00FB219F"/>
    <w:rsid w:val="00FB67A3"/>
    <w:rsid w:val="00FB6F5D"/>
    <w:rsid w:val="00FB7512"/>
    <w:rsid w:val="00FC3C2D"/>
    <w:rsid w:val="00FC63AF"/>
    <w:rsid w:val="00FD000A"/>
    <w:rsid w:val="00FD2FBE"/>
    <w:rsid w:val="00FD35DC"/>
    <w:rsid w:val="00FD5C94"/>
    <w:rsid w:val="00FD7547"/>
    <w:rsid w:val="00FF1E27"/>
    <w:rsid w:val="00FF5F5C"/>
    <w:rsid w:val="00FF69B4"/>
    <w:rsid w:val="00FF6C91"/>
    <w:rsid w:val="00FF7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65EA8"/>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F86AB3"/>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F86AB3"/>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ms-rtefontsize-21">
    <w:name w:val="ms-rtefontsize-21"/>
    <w:basedOn w:val="DefaultParagraphFont"/>
    <w:rsid w:val="00834441"/>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834441"/>
    <w:rPr>
      <w:rFonts w:ascii="Arial" w:hAnsi="Arial"/>
      <w:lang w:eastAsia="en-US" w:bidi="en-US"/>
    </w:rPr>
  </w:style>
  <w:style w:type="paragraph" w:customStyle="1" w:styleId="ms-rteelement-h1b">
    <w:name w:val="ms-rteelement-h1b"/>
    <w:basedOn w:val="Normal"/>
    <w:rsid w:val="007E1263"/>
    <w:pPr>
      <w:widowControl/>
      <w:spacing w:before="100" w:beforeAutospacing="1" w:after="100" w:afterAutospacing="1"/>
    </w:pPr>
    <w:rPr>
      <w:rFonts w:ascii="Times New Roman" w:hAnsi="Times New Roman"/>
      <w:color w:val="0072BC"/>
      <w:sz w:val="48"/>
      <w:szCs w:val="48"/>
      <w:lang w:val="en-AU" w:eastAsia="en-AU" w:bidi="ar-SA"/>
    </w:rPr>
  </w:style>
  <w:style w:type="paragraph" w:styleId="ListParagraph">
    <w:name w:val="List Paragraph"/>
    <w:basedOn w:val="Normal"/>
    <w:uiPriority w:val="34"/>
    <w:qFormat/>
    <w:rsid w:val="007D65E7"/>
    <w:pPr>
      <w:widowControl/>
      <w:ind w:left="720"/>
      <w:contextualSpacing/>
    </w:pPr>
    <w:rPr>
      <w:rFonts w:eastAsiaTheme="minorHAnsi" w:cstheme="minorBidi"/>
      <w:szCs w:val="22"/>
      <w:lang w:bidi="ar-SA"/>
    </w:rPr>
  </w:style>
  <w:style w:type="paragraph" w:styleId="NormalWeb">
    <w:name w:val="Normal (Web)"/>
    <w:basedOn w:val="Normal"/>
    <w:uiPriority w:val="99"/>
    <w:unhideWhenUsed/>
    <w:rsid w:val="00DC6F07"/>
    <w:pPr>
      <w:widowControl/>
      <w:spacing w:before="100" w:beforeAutospacing="1" w:after="100" w:afterAutospacing="1"/>
    </w:pPr>
    <w:rPr>
      <w:rFonts w:ascii="Times New Roman" w:hAnsi="Times New Roman"/>
      <w:sz w:val="24"/>
      <w:lang w:val="en-NZ" w:eastAsia="en-NZ" w:bidi="ar-SA"/>
    </w:rPr>
  </w:style>
  <w:style w:type="character" w:customStyle="1" w:styleId="FooterChar">
    <w:name w:val="Footer Char"/>
    <w:basedOn w:val="DefaultParagraphFont"/>
    <w:link w:val="Footer"/>
    <w:uiPriority w:val="99"/>
    <w:rsid w:val="00003A5A"/>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65EA8"/>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F86AB3"/>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F86AB3"/>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ms-rtefontsize-21">
    <w:name w:val="ms-rtefontsize-21"/>
    <w:basedOn w:val="DefaultParagraphFont"/>
    <w:rsid w:val="00834441"/>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834441"/>
    <w:rPr>
      <w:rFonts w:ascii="Arial" w:hAnsi="Arial"/>
      <w:lang w:eastAsia="en-US" w:bidi="en-US"/>
    </w:rPr>
  </w:style>
  <w:style w:type="paragraph" w:customStyle="1" w:styleId="ms-rteelement-h1b">
    <w:name w:val="ms-rteelement-h1b"/>
    <w:basedOn w:val="Normal"/>
    <w:rsid w:val="007E1263"/>
    <w:pPr>
      <w:widowControl/>
      <w:spacing w:before="100" w:beforeAutospacing="1" w:after="100" w:afterAutospacing="1"/>
    </w:pPr>
    <w:rPr>
      <w:rFonts w:ascii="Times New Roman" w:hAnsi="Times New Roman"/>
      <w:color w:val="0072BC"/>
      <w:sz w:val="48"/>
      <w:szCs w:val="48"/>
      <w:lang w:val="en-AU" w:eastAsia="en-AU" w:bidi="ar-SA"/>
    </w:rPr>
  </w:style>
  <w:style w:type="paragraph" w:styleId="ListParagraph">
    <w:name w:val="List Paragraph"/>
    <w:basedOn w:val="Normal"/>
    <w:uiPriority w:val="34"/>
    <w:qFormat/>
    <w:rsid w:val="007D65E7"/>
    <w:pPr>
      <w:widowControl/>
      <w:ind w:left="720"/>
      <w:contextualSpacing/>
    </w:pPr>
    <w:rPr>
      <w:rFonts w:eastAsiaTheme="minorHAnsi" w:cstheme="minorBidi"/>
      <w:szCs w:val="22"/>
      <w:lang w:bidi="ar-SA"/>
    </w:rPr>
  </w:style>
  <w:style w:type="paragraph" w:styleId="NormalWeb">
    <w:name w:val="Normal (Web)"/>
    <w:basedOn w:val="Normal"/>
    <w:uiPriority w:val="99"/>
    <w:unhideWhenUsed/>
    <w:rsid w:val="00DC6F07"/>
    <w:pPr>
      <w:widowControl/>
      <w:spacing w:before="100" w:beforeAutospacing="1" w:after="100" w:afterAutospacing="1"/>
    </w:pPr>
    <w:rPr>
      <w:rFonts w:ascii="Times New Roman" w:hAnsi="Times New Roman"/>
      <w:sz w:val="24"/>
      <w:lang w:val="en-NZ" w:eastAsia="en-NZ" w:bidi="ar-SA"/>
    </w:rPr>
  </w:style>
  <w:style w:type="character" w:customStyle="1" w:styleId="FooterChar">
    <w:name w:val="Footer Char"/>
    <w:basedOn w:val="DefaultParagraphFont"/>
    <w:link w:val="Footer"/>
    <w:uiPriority w:val="99"/>
    <w:rsid w:val="00003A5A"/>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79124864">
      <w:bodyDiv w:val="1"/>
      <w:marLeft w:val="0"/>
      <w:marRight w:val="0"/>
      <w:marTop w:val="0"/>
      <w:marBottom w:val="0"/>
      <w:divBdr>
        <w:top w:val="none" w:sz="0" w:space="0" w:color="auto"/>
        <w:left w:val="none" w:sz="0" w:space="0" w:color="auto"/>
        <w:bottom w:val="none" w:sz="0" w:space="0" w:color="auto"/>
        <w:right w:val="none" w:sz="0" w:space="0" w:color="auto"/>
      </w:divBdr>
      <w:divsChild>
        <w:div w:id="1625037204">
          <w:marLeft w:val="0"/>
          <w:marRight w:val="0"/>
          <w:marTop w:val="0"/>
          <w:marBottom w:val="0"/>
          <w:divBdr>
            <w:top w:val="none" w:sz="0" w:space="0" w:color="auto"/>
            <w:left w:val="none" w:sz="0" w:space="0" w:color="auto"/>
            <w:bottom w:val="none" w:sz="0" w:space="0" w:color="auto"/>
            <w:right w:val="none" w:sz="0" w:space="0" w:color="auto"/>
          </w:divBdr>
          <w:divsChild>
            <w:div w:id="2103379123">
              <w:marLeft w:val="150"/>
              <w:marRight w:val="150"/>
              <w:marTop w:val="100"/>
              <w:marBottom w:val="100"/>
              <w:divBdr>
                <w:top w:val="none" w:sz="0" w:space="0" w:color="auto"/>
                <w:left w:val="none" w:sz="0" w:space="0" w:color="auto"/>
                <w:bottom w:val="none" w:sz="0" w:space="0" w:color="auto"/>
                <w:right w:val="none" w:sz="0" w:space="0" w:color="auto"/>
              </w:divBdr>
              <w:divsChild>
                <w:div w:id="1769621165">
                  <w:marLeft w:val="0"/>
                  <w:marRight w:val="0"/>
                  <w:marTop w:val="0"/>
                  <w:marBottom w:val="0"/>
                  <w:divBdr>
                    <w:top w:val="none" w:sz="0" w:space="0" w:color="auto"/>
                    <w:left w:val="none" w:sz="0" w:space="0" w:color="auto"/>
                    <w:bottom w:val="none" w:sz="0" w:space="0" w:color="auto"/>
                    <w:right w:val="none" w:sz="0" w:space="0" w:color="auto"/>
                  </w:divBdr>
                  <w:divsChild>
                    <w:div w:id="980039893">
                      <w:marLeft w:val="0"/>
                      <w:marRight w:val="0"/>
                      <w:marTop w:val="150"/>
                      <w:marBottom w:val="150"/>
                      <w:divBdr>
                        <w:top w:val="single" w:sz="6" w:space="5" w:color="CCCCCC"/>
                        <w:left w:val="single" w:sz="6" w:space="11" w:color="CCCCCC"/>
                        <w:bottom w:val="single" w:sz="6" w:space="5" w:color="CCCCCC"/>
                        <w:right w:val="single" w:sz="6" w:space="11" w:color="CCCCCC"/>
                      </w:divBdr>
                      <w:divsChild>
                        <w:div w:id="2013146063">
                          <w:marLeft w:val="0"/>
                          <w:marRight w:val="0"/>
                          <w:marTop w:val="0"/>
                          <w:marBottom w:val="0"/>
                          <w:divBdr>
                            <w:top w:val="none" w:sz="0" w:space="0" w:color="auto"/>
                            <w:left w:val="none" w:sz="0" w:space="0" w:color="auto"/>
                            <w:bottom w:val="none" w:sz="0" w:space="0" w:color="auto"/>
                            <w:right w:val="none" w:sz="0" w:space="0" w:color="auto"/>
                          </w:divBdr>
                          <w:divsChild>
                            <w:div w:id="163043451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98801">
      <w:bodyDiv w:val="1"/>
      <w:marLeft w:val="0"/>
      <w:marRight w:val="0"/>
      <w:marTop w:val="0"/>
      <w:marBottom w:val="0"/>
      <w:divBdr>
        <w:top w:val="none" w:sz="0" w:space="0" w:color="auto"/>
        <w:left w:val="none" w:sz="0" w:space="0" w:color="auto"/>
        <w:bottom w:val="none" w:sz="0" w:space="0" w:color="auto"/>
        <w:right w:val="none" w:sz="0" w:space="0" w:color="auto"/>
      </w:divBdr>
      <w:divsChild>
        <w:div w:id="673608374">
          <w:marLeft w:val="0"/>
          <w:marRight w:val="0"/>
          <w:marTop w:val="0"/>
          <w:marBottom w:val="0"/>
          <w:divBdr>
            <w:top w:val="none" w:sz="0" w:space="0" w:color="auto"/>
            <w:left w:val="none" w:sz="0" w:space="0" w:color="auto"/>
            <w:bottom w:val="none" w:sz="0" w:space="0" w:color="auto"/>
            <w:right w:val="none" w:sz="0" w:space="0" w:color="auto"/>
          </w:divBdr>
          <w:divsChild>
            <w:div w:id="1875270817">
              <w:marLeft w:val="0"/>
              <w:marRight w:val="0"/>
              <w:marTop w:val="0"/>
              <w:marBottom w:val="0"/>
              <w:divBdr>
                <w:top w:val="none" w:sz="0" w:space="0" w:color="auto"/>
                <w:left w:val="none" w:sz="0" w:space="0" w:color="auto"/>
                <w:bottom w:val="none" w:sz="0" w:space="0" w:color="auto"/>
                <w:right w:val="none" w:sz="0" w:space="0" w:color="auto"/>
              </w:divBdr>
              <w:divsChild>
                <w:div w:id="1479690742">
                  <w:marLeft w:val="0"/>
                  <w:marRight w:val="0"/>
                  <w:marTop w:val="0"/>
                  <w:marBottom w:val="0"/>
                  <w:divBdr>
                    <w:top w:val="none" w:sz="0" w:space="0" w:color="auto"/>
                    <w:left w:val="none" w:sz="0" w:space="0" w:color="auto"/>
                    <w:bottom w:val="none" w:sz="0" w:space="0" w:color="auto"/>
                    <w:right w:val="none" w:sz="0" w:space="0" w:color="auto"/>
                  </w:divBdr>
                  <w:divsChild>
                    <w:div w:id="13381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896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29795560">
      <w:bodyDiv w:val="1"/>
      <w:marLeft w:val="0"/>
      <w:marRight w:val="0"/>
      <w:marTop w:val="0"/>
      <w:marBottom w:val="0"/>
      <w:divBdr>
        <w:top w:val="none" w:sz="0" w:space="0" w:color="auto"/>
        <w:left w:val="none" w:sz="0" w:space="0" w:color="auto"/>
        <w:bottom w:val="none" w:sz="0" w:space="0" w:color="auto"/>
        <w:right w:val="none" w:sz="0" w:space="0" w:color="auto"/>
      </w:divBdr>
      <w:divsChild>
        <w:div w:id="1972783486">
          <w:marLeft w:val="0"/>
          <w:marRight w:val="0"/>
          <w:marTop w:val="0"/>
          <w:marBottom w:val="0"/>
          <w:divBdr>
            <w:top w:val="none" w:sz="0" w:space="0" w:color="auto"/>
            <w:left w:val="none" w:sz="0" w:space="0" w:color="auto"/>
            <w:bottom w:val="none" w:sz="0" w:space="0" w:color="auto"/>
            <w:right w:val="none" w:sz="0" w:space="0" w:color="auto"/>
          </w:divBdr>
          <w:divsChild>
            <w:div w:id="792477907">
              <w:marLeft w:val="0"/>
              <w:marRight w:val="0"/>
              <w:marTop w:val="0"/>
              <w:marBottom w:val="0"/>
              <w:divBdr>
                <w:top w:val="none" w:sz="0" w:space="0" w:color="auto"/>
                <w:left w:val="none" w:sz="0" w:space="0" w:color="auto"/>
                <w:bottom w:val="none" w:sz="0" w:space="0" w:color="auto"/>
                <w:right w:val="none" w:sz="0" w:space="0" w:color="auto"/>
              </w:divBdr>
              <w:divsChild>
                <w:div w:id="1904292802">
                  <w:marLeft w:val="0"/>
                  <w:marRight w:val="0"/>
                  <w:marTop w:val="0"/>
                  <w:marBottom w:val="0"/>
                  <w:divBdr>
                    <w:top w:val="none" w:sz="0" w:space="0" w:color="auto"/>
                    <w:left w:val="none" w:sz="0" w:space="0" w:color="auto"/>
                    <w:bottom w:val="none" w:sz="0" w:space="0" w:color="auto"/>
                    <w:right w:val="none" w:sz="0" w:space="0" w:color="auto"/>
                  </w:divBdr>
                  <w:divsChild>
                    <w:div w:id="1012269232">
                      <w:marLeft w:val="0"/>
                      <w:marRight w:val="0"/>
                      <w:marTop w:val="0"/>
                      <w:marBottom w:val="0"/>
                      <w:divBdr>
                        <w:top w:val="none" w:sz="0" w:space="0" w:color="auto"/>
                        <w:left w:val="none" w:sz="0" w:space="0" w:color="auto"/>
                        <w:bottom w:val="none" w:sz="0" w:space="0" w:color="auto"/>
                        <w:right w:val="none" w:sz="0" w:space="0" w:color="auto"/>
                      </w:divBdr>
                      <w:divsChild>
                        <w:div w:id="15531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foodstandards.gov.au/publications/pages/evaluationreportseries/foodlabellingissuesquantitative/foodlabellingissuess1583.aspx" TargetMode="External"/><Relationship Id="rId39" Type="http://schemas.openxmlformats.org/officeDocument/2006/relationships/fontTable" Target="fontTable.xml"/><Relationship Id="rId21" Type="http://schemas.openxmlformats.org/officeDocument/2006/relationships/hyperlink" Target="http://www.ncbi.nlm.nih.gov/pubmed/17142193" TargetMode="External"/><Relationship Id="rId34" Type="http://schemas.openxmlformats.org/officeDocument/2006/relationships/hyperlink" Target="http://www.fda.gov/Food/GuidanceRegulation/GuidanceDocumentsRegulatoryInformation/LabelingNutrition/ucm2006828.htm"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ncbi.nlm.nih.gov/pubmed/19540891.%20Accessed%207%20October%202014" TargetMode="External"/><Relationship Id="rId32" Type="http://schemas.openxmlformats.org/officeDocument/2006/relationships/hyperlink" Target="http://www.inspection.gc.ca/food/labelling/food-labelling-for-industry/eng/1383607266489/1383607344939" TargetMode="External"/><Relationship Id="rId37" Type="http://schemas.openxmlformats.org/officeDocument/2006/relationships/hyperlink" Target="http://www.fooddrinkeurope.eu/uploads/press-releases_documents/FDE_Guidance_WEB1.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ncbi.nlm.nih.gov/pubmed/19087382" TargetMode="External"/><Relationship Id="rId28" Type="http://schemas.openxmlformats.org/officeDocument/2006/relationships/hyperlink" Target="http://www.foodstandards.gov.au/publications/pages/consumerattitiudes/Default.aspx" TargetMode="External"/><Relationship Id="rId36" Type="http://schemas.openxmlformats.org/officeDocument/2006/relationships/hyperlink" Target="https://www.gov.uk/government/consultations/food-information-regulations-fir-2013"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hyperlink" Target="http://laws-lois.justice.gc.ca/eng/regulations/C.R.C.%2C_c._8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labellingreview.gov.au/internet/foodlabelling/publishing.nsf/Content/labelling-logic" TargetMode="External"/><Relationship Id="rId27" Type="http://schemas.openxmlformats.org/officeDocument/2006/relationships/hyperlink" Target="http://www.foodstandards.gov.au/publications/pages/evaluationreportseries/foodlabellingissuesquantitative/Default.aspx" TargetMode="External"/><Relationship Id="rId30" Type="http://schemas.openxmlformats.org/officeDocument/2006/relationships/hyperlink" Target="http://www.foodstandards.gov.au/code/Pages/default.aspx" TargetMode="External"/><Relationship Id="rId35" Type="http://schemas.openxmlformats.org/officeDocument/2006/relationships/hyperlink" Target="http://eur-lex.europa.eu/LexUriServ/LexUriServ.do?uri=OJ:L:2011:304:0018:0063:EN:PDF" TargetMode="Externa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foodstandards.gov.au/publications/pages/evaluationreportseries/foodlabellingissuesconsumer/Default.aspx" TargetMode="External"/><Relationship Id="rId33" Type="http://schemas.openxmlformats.org/officeDocument/2006/relationships/hyperlink" Target="http://www.ecfr.gov/cgi-bin/text-idx?SID=50c7e808f8d7d041fe07e13453d53306&amp;c=ecfr&amp;tpl=/ecfrbrowse/Title21/21cfrv2_02.tpl" TargetMode="External"/><Relationship Id="rId38" Type="http://schemas.openxmlformats.org/officeDocument/2006/relationships/hyperlink" Target="http://www.codexalimentarius.org/standards/list-of-standard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au/internet/main/publishing.nsf/Content/foodsecretariat-front-of-pack-labelling-1" TargetMode="External"/><Relationship Id="rId13" Type="http://schemas.openxmlformats.org/officeDocument/2006/relationships/hyperlink" Target="http://www.fda.gov/Food/GuidanceRegulation/GuidanceDocumentsRegulatoryInformation/LabelingNutrition/ucm385663.htm" TargetMode="External"/><Relationship Id="rId3" Type="http://schemas.openxmlformats.org/officeDocument/2006/relationships/hyperlink" Target="http://www.heartfoundation.org.au/healthy-eating/heart-foundation-tick/pages/default.aspx" TargetMode="External"/><Relationship Id="rId7" Type="http://schemas.openxmlformats.org/officeDocument/2006/relationships/hyperlink" Target="http://www.mydailyintake.net/" TargetMode="External"/><Relationship Id="rId12" Type="http://schemas.openxmlformats.org/officeDocument/2006/relationships/hyperlink" Target="http://www.hc-sc.gc.ca/fn-an/consult/2014-serving-size-portion-indiquee-fs-fr-eng.php" TargetMode="External"/><Relationship Id="rId2" Type="http://schemas.openxmlformats.org/officeDocument/2006/relationships/hyperlink" Target="http://www.heartfoundation.org.nz/healthy-living/healthy-eating/heart-foundation-tick" TargetMode="External"/><Relationship Id="rId1" Type="http://schemas.openxmlformats.org/officeDocument/2006/relationships/hyperlink" Target="http://www.foodlabellingreview.gov.au/internet/foodlabelling/publishing.nsf/content/home" TargetMode="External"/><Relationship Id="rId6" Type="http://schemas.openxmlformats.org/officeDocument/2006/relationships/hyperlink" Target="http://www.afgc.org.au/our-expertise/industry-codes/code-of-practice-for-food-labelling-and-promotion/" TargetMode="External"/><Relationship Id="rId11" Type="http://schemas.openxmlformats.org/officeDocument/2006/relationships/hyperlink" Target="http://www.hc-sc.gc.ca/fn-an/label-etiquet/consultation/index-eng.php" TargetMode="External"/><Relationship Id="rId5" Type="http://schemas.openxmlformats.org/officeDocument/2006/relationships/hyperlink" Target="http://www.foodstandards.gov.au/code/userguide/pages/nutritioninformation1406.aspx" TargetMode="External"/><Relationship Id="rId10" Type="http://schemas.openxmlformats.org/officeDocument/2006/relationships/hyperlink" Target="http://www.foodhealthdialogue.gov.au/internet/foodandhealth/publishing.nsf" TargetMode="External"/><Relationship Id="rId4" Type="http://schemas.openxmlformats.org/officeDocument/2006/relationships/hyperlink" Target="http://healthy-kids.com.au/" TargetMode="External"/><Relationship Id="rId9" Type="http://schemas.openxmlformats.org/officeDocument/2006/relationships/hyperlink" Target="http://www.ahmac.gov.au/cms_documents/Health%20Star%20Rating%20Style%20Guide_30%20June%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B4D0E-B236-4F9E-9719-34F72FD0EDB2}"/>
</file>

<file path=customXml/itemProps2.xml><?xml version="1.0" encoding="utf-8"?>
<ds:datastoreItem xmlns:ds="http://schemas.openxmlformats.org/officeDocument/2006/customXml" ds:itemID="{1FD68E44-AA64-4A7F-A8CC-D8CD89BC291E}"/>
</file>

<file path=customXml/itemProps3.xml><?xml version="1.0" encoding="utf-8"?>
<ds:datastoreItem xmlns:ds="http://schemas.openxmlformats.org/officeDocument/2006/customXml" ds:itemID="{8F9E9789-CDCF-4802-AFFD-CDF79F63E367}"/>
</file>

<file path=customXml/itemProps4.xml><?xml version="1.0" encoding="utf-8"?>
<ds:datastoreItem xmlns:ds="http://schemas.openxmlformats.org/officeDocument/2006/customXml" ds:itemID="{778599DA-538D-4AC3-8F25-8DE3ACC02836}"/>
</file>

<file path=docProps/app.xml><?xml version="1.0" encoding="utf-8"?>
<Properties xmlns="http://schemas.openxmlformats.org/officeDocument/2006/extended-properties" xmlns:vt="http://schemas.openxmlformats.org/officeDocument/2006/docPropsVTypes">
  <Template>Normal</Template>
  <TotalTime>0</TotalTime>
  <Pages>25</Pages>
  <Words>10851</Words>
  <Characters>83715</Characters>
  <Application>Microsoft Office Word</Application>
  <DocSecurity>0</DocSecurity>
  <Lines>697</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LabellingReview17-Consult</dc:title>
  <dc:creator/>
  <cp:lastModifiedBy/>
  <cp:revision>1</cp:revision>
  <dcterms:created xsi:type="dcterms:W3CDTF">2014-12-03T00:03:00Z</dcterms:created>
  <dcterms:modified xsi:type="dcterms:W3CDTF">2014-12-03T00:03:00Z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