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92F9B9" w14:textId="64C833AD" w:rsidR="00E203C2" w:rsidRDefault="00E203C2" w:rsidP="00E203C2">
      <w:r>
        <w:rPr>
          <w:noProof/>
          <w:lang w:eastAsia="en-GB" w:bidi="ar-SA"/>
        </w:rPr>
        <w:drawing>
          <wp:inline distT="0" distB="0" distL="0" distR="0" wp14:anchorId="2292FB2A" wp14:editId="6F735600">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bookmarkStart w:id="0" w:name="_GoBack"/>
      <w:bookmarkEnd w:id="0"/>
    </w:p>
    <w:p w14:paraId="2292F9BA" w14:textId="77777777" w:rsidR="00E203C2" w:rsidRDefault="00E203C2" w:rsidP="00E203C2"/>
    <w:p w14:paraId="7EE4A8A9" w14:textId="77777777" w:rsidR="00A16368" w:rsidRDefault="00A16368" w:rsidP="00A16368">
      <w:pPr>
        <w:rPr>
          <w:b/>
          <w:sz w:val="28"/>
          <w:szCs w:val="28"/>
        </w:rPr>
      </w:pPr>
      <w:r>
        <w:rPr>
          <w:b/>
          <w:sz w:val="28"/>
          <w:szCs w:val="28"/>
        </w:rPr>
        <w:t>25 May 2015</w:t>
      </w:r>
    </w:p>
    <w:p w14:paraId="25274F50" w14:textId="77777777" w:rsidR="00A16368" w:rsidRDefault="00A16368" w:rsidP="00A16368">
      <w:pPr>
        <w:rPr>
          <w:b/>
          <w:sz w:val="28"/>
          <w:szCs w:val="28"/>
        </w:rPr>
      </w:pPr>
      <w:r>
        <w:rPr>
          <w:b/>
          <w:sz w:val="28"/>
          <w:szCs w:val="28"/>
        </w:rPr>
        <w:t>[09–15]</w:t>
      </w:r>
    </w:p>
    <w:p w14:paraId="2292F9BD" w14:textId="77777777" w:rsidR="00BA24E2" w:rsidRDefault="00BA24E2" w:rsidP="00E203C2"/>
    <w:p w14:paraId="2292F9BE" w14:textId="2ED1DFD7" w:rsidR="00D056F1" w:rsidRPr="00D377CA" w:rsidRDefault="000427B2" w:rsidP="002432EE">
      <w:pPr>
        <w:pStyle w:val="FSTitle"/>
        <w:rPr>
          <w:b/>
        </w:rPr>
      </w:pPr>
      <w:r w:rsidRPr="00351927">
        <w:rPr>
          <w:b/>
        </w:rPr>
        <w:t>C</w:t>
      </w:r>
      <w:r w:rsidR="00D8470F" w:rsidRPr="00351927">
        <w:rPr>
          <w:b/>
        </w:rPr>
        <w:t>all</w:t>
      </w:r>
      <w:r w:rsidRPr="00351927">
        <w:rPr>
          <w:b/>
        </w:rPr>
        <w:t xml:space="preserve"> </w:t>
      </w:r>
      <w:r w:rsidR="00D8470F" w:rsidRPr="00351927">
        <w:rPr>
          <w:b/>
        </w:rPr>
        <w:t>for</w:t>
      </w:r>
      <w:r w:rsidRPr="00351927">
        <w:rPr>
          <w:b/>
        </w:rPr>
        <w:t xml:space="preserve"> </w:t>
      </w:r>
      <w:r w:rsidR="00D8470F" w:rsidRPr="00351927">
        <w:rPr>
          <w:b/>
        </w:rPr>
        <w:t>submissions</w:t>
      </w:r>
      <w:r w:rsidRPr="00351927">
        <w:rPr>
          <w:b/>
        </w:rPr>
        <w:t xml:space="preserve"> –</w:t>
      </w:r>
      <w:r w:rsidR="00995A75" w:rsidRPr="00D377CA">
        <w:rPr>
          <w:b/>
        </w:rPr>
        <w:t xml:space="preserve"> </w:t>
      </w:r>
      <w:r w:rsidR="00E203C2" w:rsidRPr="00D377CA">
        <w:rPr>
          <w:b/>
        </w:rPr>
        <w:t>P</w:t>
      </w:r>
      <w:r w:rsidR="00A91DF1" w:rsidRPr="00D377CA">
        <w:rPr>
          <w:b/>
        </w:rPr>
        <w:t>roposal</w:t>
      </w:r>
      <w:r w:rsidR="000A3E39" w:rsidRPr="00D377CA">
        <w:rPr>
          <w:b/>
        </w:rPr>
        <w:t xml:space="preserve"> M1012</w:t>
      </w:r>
    </w:p>
    <w:p w14:paraId="2292F9BF" w14:textId="77777777" w:rsidR="00E203C2" w:rsidRPr="00D377CA" w:rsidRDefault="00E203C2" w:rsidP="00767D83">
      <w:pPr>
        <w:pStyle w:val="FSTitle"/>
        <w:rPr>
          <w:sz w:val="20"/>
        </w:rPr>
      </w:pPr>
    </w:p>
    <w:p w14:paraId="2292F9C0" w14:textId="04857F17" w:rsidR="00D056F1" w:rsidRPr="00D377CA" w:rsidRDefault="0086053B" w:rsidP="002432EE">
      <w:pPr>
        <w:pStyle w:val="FSTitle"/>
      </w:pPr>
      <w:r w:rsidRPr="00D377CA">
        <w:t>Amendments to Standard 1.4.2</w:t>
      </w:r>
    </w:p>
    <w:p w14:paraId="2292F9C1" w14:textId="77777777" w:rsidR="00E203C2" w:rsidRPr="00E81F6E" w:rsidRDefault="00E203C2" w:rsidP="00E203C2">
      <w:pPr>
        <w:pBdr>
          <w:bottom w:val="single" w:sz="12" w:space="1" w:color="auto"/>
        </w:pBdr>
        <w:spacing w:line="280" w:lineRule="exact"/>
        <w:rPr>
          <w:rFonts w:cs="Arial"/>
          <w:bCs/>
        </w:rPr>
      </w:pPr>
    </w:p>
    <w:p w14:paraId="2292F9C2" w14:textId="77777777" w:rsidR="00E203C2" w:rsidRPr="00283836" w:rsidRDefault="00E203C2" w:rsidP="00E203C2"/>
    <w:p w14:paraId="2292F9C3" w14:textId="263C346B" w:rsidR="00413CA8" w:rsidRPr="00E57422" w:rsidRDefault="00413CA8" w:rsidP="00413CA8">
      <w:pPr>
        <w:rPr>
          <w:sz w:val="20"/>
          <w:szCs w:val="20"/>
        </w:rPr>
      </w:pPr>
      <w:r w:rsidRPr="00E57422">
        <w:rPr>
          <w:sz w:val="20"/>
          <w:szCs w:val="20"/>
        </w:rPr>
        <w:t>FSANZ has assessed a</w:t>
      </w:r>
      <w:r w:rsidR="00D81D38" w:rsidRPr="00E57422">
        <w:rPr>
          <w:sz w:val="20"/>
          <w:szCs w:val="20"/>
        </w:rPr>
        <w:t xml:space="preserve"> proposal prepared </w:t>
      </w:r>
      <w:r w:rsidRPr="00E57422">
        <w:rPr>
          <w:sz w:val="20"/>
          <w:szCs w:val="20"/>
        </w:rPr>
        <w:t xml:space="preserve">to </w:t>
      </w:r>
      <w:r w:rsidR="00283836" w:rsidRPr="00E57422">
        <w:rPr>
          <w:sz w:val="20"/>
          <w:szCs w:val="20"/>
        </w:rPr>
        <w:t xml:space="preserve">consider </w:t>
      </w:r>
      <w:r w:rsidR="001C2F6A">
        <w:rPr>
          <w:sz w:val="20"/>
          <w:szCs w:val="20"/>
        </w:rPr>
        <w:t xml:space="preserve">including </w:t>
      </w:r>
      <w:r w:rsidR="00283836" w:rsidRPr="00E57422">
        <w:rPr>
          <w:sz w:val="20"/>
          <w:szCs w:val="20"/>
        </w:rPr>
        <w:t>maximum residue limits (MRLs)</w:t>
      </w:r>
      <w:r w:rsidR="006516A1">
        <w:rPr>
          <w:sz w:val="20"/>
          <w:szCs w:val="20"/>
        </w:rPr>
        <w:t xml:space="preserve"> for coumatetralyl and warfarin</w:t>
      </w:r>
      <w:r w:rsidR="00283836" w:rsidRPr="00E57422">
        <w:rPr>
          <w:sz w:val="20"/>
          <w:szCs w:val="20"/>
        </w:rPr>
        <w:t xml:space="preserve"> in the </w:t>
      </w:r>
      <w:r w:rsidR="00283836" w:rsidRPr="00D377CA">
        <w:rPr>
          <w:i/>
          <w:sz w:val="20"/>
          <w:szCs w:val="20"/>
        </w:rPr>
        <w:t>Australia New Zealand Food Standards Code</w:t>
      </w:r>
      <w:r w:rsidR="00283836" w:rsidRPr="00E57422">
        <w:rPr>
          <w:sz w:val="20"/>
          <w:szCs w:val="20"/>
        </w:rPr>
        <w:t xml:space="preserve"> (the Code) </w:t>
      </w:r>
      <w:r w:rsidR="00D81D38" w:rsidRPr="00E57422">
        <w:rPr>
          <w:sz w:val="20"/>
          <w:szCs w:val="20"/>
        </w:rPr>
        <w:t xml:space="preserve">and has prepared a draft </w:t>
      </w:r>
      <w:r w:rsidR="00D8470F" w:rsidRPr="00E57422">
        <w:rPr>
          <w:sz w:val="20"/>
          <w:szCs w:val="20"/>
        </w:rPr>
        <w:t>food regulatory measure</w:t>
      </w:r>
      <w:r w:rsidRPr="00E57422">
        <w:rPr>
          <w:sz w:val="20"/>
          <w:szCs w:val="20"/>
        </w:rPr>
        <w:t xml:space="preserve">. </w:t>
      </w:r>
      <w:r w:rsidR="00D81D38" w:rsidRPr="00E57422">
        <w:rPr>
          <w:sz w:val="20"/>
          <w:szCs w:val="20"/>
        </w:rPr>
        <w:t>Pursuant to section 6</w:t>
      </w:r>
      <w:r w:rsidRPr="00E57422">
        <w:rPr>
          <w:sz w:val="20"/>
          <w:szCs w:val="20"/>
        </w:rPr>
        <w:t xml:space="preserve">1 of the </w:t>
      </w:r>
      <w:r w:rsidRPr="00E57422">
        <w:rPr>
          <w:i/>
          <w:sz w:val="20"/>
          <w:szCs w:val="20"/>
        </w:rPr>
        <w:t xml:space="preserve">Food Standards Australia New Zealand Act 1991 </w:t>
      </w:r>
      <w:r w:rsidRPr="00E57422">
        <w:rPr>
          <w:sz w:val="20"/>
          <w:szCs w:val="20"/>
        </w:rPr>
        <w:t>(FSANZ Act), FSANZ now calls for submissions to assist consideration</w:t>
      </w:r>
      <w:r w:rsidR="00D81D38" w:rsidRPr="00E57422">
        <w:rPr>
          <w:sz w:val="20"/>
          <w:szCs w:val="20"/>
        </w:rPr>
        <w:t xml:space="preserve"> of the draft </w:t>
      </w:r>
      <w:r w:rsidR="00D8470F" w:rsidRPr="00E57422">
        <w:rPr>
          <w:sz w:val="20"/>
          <w:szCs w:val="20"/>
        </w:rPr>
        <w:t>food regulatory measure</w:t>
      </w:r>
      <w:r w:rsidR="00D81D38" w:rsidRPr="00E57422">
        <w:rPr>
          <w:sz w:val="20"/>
          <w:szCs w:val="20"/>
        </w:rPr>
        <w:t>.</w:t>
      </w:r>
    </w:p>
    <w:p w14:paraId="2292F9C4" w14:textId="77777777" w:rsidR="00413CA8" w:rsidRPr="00E57422" w:rsidRDefault="00413CA8" w:rsidP="00413CA8">
      <w:pPr>
        <w:rPr>
          <w:sz w:val="20"/>
          <w:szCs w:val="20"/>
        </w:rPr>
      </w:pPr>
    </w:p>
    <w:p w14:paraId="2292F9C5" w14:textId="77777777" w:rsidR="00351B07" w:rsidRPr="00E57422" w:rsidRDefault="00A91DF1" w:rsidP="00E203C2">
      <w:pPr>
        <w:rPr>
          <w:sz w:val="20"/>
          <w:szCs w:val="20"/>
        </w:rPr>
      </w:pPr>
      <w:r w:rsidRPr="00E57422">
        <w:rPr>
          <w:sz w:val="20"/>
          <w:szCs w:val="20"/>
        </w:rPr>
        <w:t>Fo</w:t>
      </w:r>
      <w:r w:rsidR="00AD22F9" w:rsidRPr="00E57422">
        <w:rPr>
          <w:sz w:val="20"/>
          <w:szCs w:val="20"/>
        </w:rPr>
        <w:t>r</w:t>
      </w:r>
      <w:r w:rsidRPr="00E57422">
        <w:rPr>
          <w:sz w:val="20"/>
          <w:szCs w:val="20"/>
        </w:rPr>
        <w:t xml:space="preserve"> </w:t>
      </w:r>
      <w:r w:rsidR="00091CC2" w:rsidRPr="00E57422">
        <w:rPr>
          <w:sz w:val="20"/>
          <w:szCs w:val="20"/>
        </w:rPr>
        <w:t xml:space="preserve">information about </w:t>
      </w:r>
      <w:r w:rsidR="00BA24E2" w:rsidRPr="00E57422">
        <w:rPr>
          <w:sz w:val="20"/>
          <w:szCs w:val="20"/>
        </w:rPr>
        <w:t>making a</w:t>
      </w:r>
      <w:r w:rsidR="00351B07" w:rsidRPr="00E57422">
        <w:rPr>
          <w:sz w:val="20"/>
          <w:szCs w:val="20"/>
        </w:rPr>
        <w:t xml:space="preserve"> submission</w:t>
      </w:r>
      <w:r w:rsidRPr="00E57422">
        <w:rPr>
          <w:sz w:val="20"/>
          <w:szCs w:val="20"/>
        </w:rPr>
        <w:t>, visit</w:t>
      </w:r>
      <w:r w:rsidR="00351B07" w:rsidRPr="00E57422">
        <w:rPr>
          <w:sz w:val="20"/>
          <w:szCs w:val="20"/>
        </w:rPr>
        <w:t xml:space="preserve"> the FSANZ website at</w:t>
      </w:r>
      <w:r w:rsidR="00AD22F9" w:rsidRPr="00E57422">
        <w:rPr>
          <w:sz w:val="20"/>
          <w:szCs w:val="20"/>
        </w:rPr>
        <w:t xml:space="preserve"> </w:t>
      </w:r>
      <w:hyperlink r:id="rId10" w:history="1">
        <w:r w:rsidR="00C56F71" w:rsidRPr="00E57422">
          <w:rPr>
            <w:rStyle w:val="Hyperlink"/>
            <w:sz w:val="20"/>
            <w:szCs w:val="20"/>
            <w:lang w:val="en-AU"/>
          </w:rPr>
          <w:t>information for submitters</w:t>
        </w:r>
      </w:hyperlink>
      <w:r w:rsidR="00351B07" w:rsidRPr="00E57422">
        <w:rPr>
          <w:sz w:val="20"/>
          <w:szCs w:val="20"/>
        </w:rPr>
        <w:t>.</w:t>
      </w:r>
    </w:p>
    <w:p w14:paraId="2292F9C6" w14:textId="77777777" w:rsidR="00D81D38" w:rsidRPr="00E57422" w:rsidRDefault="00D81D38" w:rsidP="00276026">
      <w:pPr>
        <w:rPr>
          <w:sz w:val="20"/>
          <w:szCs w:val="20"/>
        </w:rPr>
      </w:pPr>
    </w:p>
    <w:p w14:paraId="2292F9C7" w14:textId="77777777" w:rsidR="00276026" w:rsidRPr="00E57422" w:rsidRDefault="00276026" w:rsidP="00AC74CB">
      <w:pPr>
        <w:ind w:right="-428"/>
        <w:rPr>
          <w:sz w:val="20"/>
          <w:szCs w:val="20"/>
        </w:rPr>
      </w:pPr>
      <w:r w:rsidRPr="00E57422">
        <w:rPr>
          <w:sz w:val="20"/>
          <w:szCs w:val="20"/>
        </w:rPr>
        <w:t xml:space="preserve">All submissions on applications and proposals will be published on our website. We will not publish material that is provided in-confidence, but will record that such information is held. In-confidence submissions may be subject to release under the provisions of the </w:t>
      </w:r>
      <w:r w:rsidRPr="00E57422">
        <w:rPr>
          <w:i/>
          <w:iCs/>
          <w:sz w:val="20"/>
          <w:szCs w:val="20"/>
        </w:rPr>
        <w:t>Freedom of Information Act 1991</w:t>
      </w:r>
      <w:r w:rsidRPr="00E57422">
        <w:rPr>
          <w:sz w:val="20"/>
          <w:szCs w:val="20"/>
        </w:rPr>
        <w:t>. Submissions will be published as soon as possible after the end of the public comment period. Where large numbers of documents are involved, FSANZ will make these available on CD, rather than on the website.</w:t>
      </w:r>
    </w:p>
    <w:p w14:paraId="2292F9C8" w14:textId="77777777" w:rsidR="00876515" w:rsidRPr="00E57422" w:rsidRDefault="00876515" w:rsidP="00276026">
      <w:pPr>
        <w:rPr>
          <w:color w:val="000000"/>
          <w:sz w:val="20"/>
          <w:szCs w:val="20"/>
          <w:lang w:val="en-AU"/>
        </w:rPr>
      </w:pPr>
    </w:p>
    <w:p w14:paraId="2292F9C9" w14:textId="77777777" w:rsidR="00E203C2" w:rsidRPr="00E57422" w:rsidRDefault="00AD22F9" w:rsidP="00E203C2">
      <w:pPr>
        <w:rPr>
          <w:color w:val="000000"/>
          <w:sz w:val="20"/>
          <w:szCs w:val="20"/>
          <w:lang w:val="en-AU"/>
        </w:rPr>
      </w:pPr>
      <w:r w:rsidRPr="00E57422">
        <w:rPr>
          <w:color w:val="000000"/>
          <w:sz w:val="20"/>
          <w:szCs w:val="20"/>
          <w:lang w:val="en-AU"/>
        </w:rPr>
        <w:t>Under s</w:t>
      </w:r>
      <w:r w:rsidR="00351B07" w:rsidRPr="00E57422">
        <w:rPr>
          <w:color w:val="000000"/>
          <w:sz w:val="20"/>
          <w:szCs w:val="20"/>
          <w:lang w:val="en-AU"/>
        </w:rPr>
        <w:t xml:space="preserve">ection 114 </w:t>
      </w:r>
      <w:r w:rsidR="00FB1533" w:rsidRPr="00E57422">
        <w:rPr>
          <w:color w:val="000000"/>
          <w:sz w:val="20"/>
          <w:szCs w:val="20"/>
          <w:lang w:val="en-AU"/>
        </w:rPr>
        <w:t xml:space="preserve">of the FSANZ Act, </w:t>
      </w:r>
      <w:r w:rsidRPr="00E57422">
        <w:rPr>
          <w:color w:val="000000"/>
          <w:sz w:val="20"/>
          <w:szCs w:val="20"/>
          <w:lang w:val="en-AU"/>
        </w:rPr>
        <w:t>some information provided to FSANZ cannot be disclosed. More</w:t>
      </w:r>
      <w:r w:rsidR="00351B07" w:rsidRPr="00E57422">
        <w:rPr>
          <w:color w:val="000000"/>
          <w:sz w:val="20"/>
          <w:szCs w:val="20"/>
          <w:lang w:val="en-AU"/>
        </w:rPr>
        <w:t xml:space="preserve"> information about the disclosure of confidential commercial information is available on the FSANZ website at</w:t>
      </w:r>
      <w:r w:rsidR="004A3685" w:rsidRPr="00E57422">
        <w:rPr>
          <w:color w:val="000000"/>
          <w:sz w:val="20"/>
          <w:szCs w:val="20"/>
          <w:lang w:val="en-AU"/>
        </w:rPr>
        <w:t xml:space="preserve"> </w:t>
      </w:r>
      <w:hyperlink r:id="rId11" w:history="1">
        <w:r w:rsidR="004A3685" w:rsidRPr="00E57422">
          <w:rPr>
            <w:rStyle w:val="Hyperlink"/>
            <w:sz w:val="20"/>
            <w:szCs w:val="20"/>
            <w:lang w:val="en-AU"/>
          </w:rPr>
          <w:t>information for submitters</w:t>
        </w:r>
      </w:hyperlink>
      <w:r w:rsidR="004A3685" w:rsidRPr="00E57422">
        <w:rPr>
          <w:color w:val="000000"/>
          <w:sz w:val="20"/>
          <w:szCs w:val="20"/>
          <w:lang w:val="en-AU"/>
        </w:rPr>
        <w:t>.</w:t>
      </w:r>
    </w:p>
    <w:p w14:paraId="2292F9CA" w14:textId="77777777" w:rsidR="00E203C2" w:rsidRPr="00E57422" w:rsidRDefault="00E203C2" w:rsidP="00E203C2">
      <w:pPr>
        <w:rPr>
          <w:color w:val="000000"/>
          <w:sz w:val="20"/>
          <w:szCs w:val="20"/>
          <w:lang w:val="en-AU"/>
        </w:rPr>
      </w:pPr>
    </w:p>
    <w:p w14:paraId="2292F9CB" w14:textId="77777777" w:rsidR="00351B07" w:rsidRPr="00E57422" w:rsidRDefault="00E063C6" w:rsidP="00E203C2">
      <w:pPr>
        <w:rPr>
          <w:color w:val="000000"/>
          <w:sz w:val="20"/>
          <w:szCs w:val="20"/>
          <w:lang w:val="en-AU"/>
        </w:rPr>
      </w:pPr>
      <w:r w:rsidRPr="00E57422">
        <w:rPr>
          <w:color w:val="000000"/>
          <w:sz w:val="20"/>
          <w:szCs w:val="20"/>
          <w:lang w:val="en-AU"/>
        </w:rPr>
        <w:t xml:space="preserve">Submissions </w:t>
      </w:r>
      <w:r w:rsidR="00351B07" w:rsidRPr="00E57422">
        <w:rPr>
          <w:color w:val="000000"/>
          <w:sz w:val="20"/>
          <w:szCs w:val="20"/>
          <w:lang w:val="en-AU"/>
        </w:rPr>
        <w:t>should</w:t>
      </w:r>
      <w:r w:rsidRPr="00E57422">
        <w:rPr>
          <w:color w:val="000000"/>
          <w:sz w:val="20"/>
          <w:szCs w:val="20"/>
          <w:lang w:val="en-AU"/>
        </w:rPr>
        <w:t xml:space="preserve"> be made in writing</w:t>
      </w:r>
      <w:r w:rsidR="00351B07" w:rsidRPr="00E57422">
        <w:rPr>
          <w:color w:val="000000"/>
          <w:sz w:val="20"/>
          <w:szCs w:val="20"/>
          <w:lang w:val="en-AU"/>
        </w:rPr>
        <w:t>;</w:t>
      </w:r>
      <w:r w:rsidRPr="00E57422">
        <w:rPr>
          <w:color w:val="000000"/>
          <w:sz w:val="20"/>
          <w:szCs w:val="20"/>
          <w:lang w:val="en-AU"/>
        </w:rPr>
        <w:t xml:space="preserve"> be marked </w:t>
      </w:r>
      <w:r w:rsidR="00351B07" w:rsidRPr="00E57422">
        <w:rPr>
          <w:color w:val="000000"/>
          <w:sz w:val="20"/>
          <w:szCs w:val="20"/>
          <w:lang w:val="en-AU"/>
        </w:rPr>
        <w:t xml:space="preserve">clearly </w:t>
      </w:r>
      <w:r w:rsidRPr="00E57422">
        <w:rPr>
          <w:color w:val="000000"/>
          <w:sz w:val="20"/>
          <w:szCs w:val="20"/>
          <w:lang w:val="en-AU"/>
        </w:rPr>
        <w:t>with the word ‘Submission’ and quote the correct project number and name</w:t>
      </w:r>
      <w:r w:rsidR="003309A8" w:rsidRPr="00E57422">
        <w:rPr>
          <w:color w:val="000000"/>
          <w:sz w:val="20"/>
          <w:szCs w:val="20"/>
          <w:lang w:val="en-AU"/>
        </w:rPr>
        <w:t xml:space="preserve">. </w:t>
      </w:r>
      <w:r w:rsidRPr="00E57422">
        <w:rPr>
          <w:color w:val="000000"/>
          <w:sz w:val="20"/>
          <w:szCs w:val="20"/>
          <w:lang w:val="en-AU"/>
        </w:rPr>
        <w:t xml:space="preserve">While FSANZ accepts submissions in hard copy to our offices, it is more convenient and quicker to receive submissions electronically through the FSANZ website </w:t>
      </w:r>
      <w:r w:rsidR="0037520F" w:rsidRPr="00E57422">
        <w:rPr>
          <w:color w:val="000000"/>
          <w:sz w:val="20"/>
          <w:szCs w:val="20"/>
          <w:lang w:val="en-AU"/>
        </w:rPr>
        <w:t xml:space="preserve">via the link on </w:t>
      </w:r>
      <w:hyperlink r:id="rId12" w:history="1">
        <w:r w:rsidR="008C0E7A" w:rsidRPr="00E57422">
          <w:rPr>
            <w:rStyle w:val="Hyperlink"/>
            <w:sz w:val="20"/>
            <w:szCs w:val="20"/>
          </w:rPr>
          <w:t>documents for public comment</w:t>
        </w:r>
      </w:hyperlink>
      <w:r w:rsidR="003309A8" w:rsidRPr="00E57422">
        <w:rPr>
          <w:color w:val="000000"/>
          <w:sz w:val="20"/>
          <w:szCs w:val="20"/>
          <w:lang w:val="en-AU"/>
        </w:rPr>
        <w:t>.</w:t>
      </w:r>
      <w:r w:rsidR="008C0E7A" w:rsidRPr="00E57422">
        <w:rPr>
          <w:color w:val="000000"/>
          <w:sz w:val="20"/>
          <w:szCs w:val="20"/>
          <w:lang w:val="en-AU"/>
        </w:rPr>
        <w:t xml:space="preserve"> </w:t>
      </w:r>
      <w:r w:rsidR="0037520F" w:rsidRPr="00E57422">
        <w:rPr>
          <w:color w:val="000000"/>
          <w:sz w:val="20"/>
          <w:szCs w:val="20"/>
          <w:lang w:val="en-AU"/>
        </w:rPr>
        <w:t xml:space="preserve"> You can also</w:t>
      </w:r>
      <w:r w:rsidRPr="00E57422">
        <w:rPr>
          <w:color w:val="000000"/>
          <w:sz w:val="20"/>
          <w:szCs w:val="20"/>
          <w:lang w:val="en-AU"/>
        </w:rPr>
        <w:t xml:space="preserve"> email your submission directly to </w:t>
      </w:r>
      <w:hyperlink r:id="rId13" w:history="1">
        <w:r w:rsidRPr="00E57422">
          <w:rPr>
            <w:rStyle w:val="Hyperlink"/>
            <w:rFonts w:cs="Arial"/>
            <w:sz w:val="20"/>
            <w:szCs w:val="20"/>
            <w:lang w:val="en-AU"/>
          </w:rPr>
          <w:t>submissions@foodstandards.gov.au</w:t>
        </w:r>
      </w:hyperlink>
      <w:r w:rsidR="003309A8" w:rsidRPr="00E57422">
        <w:rPr>
          <w:color w:val="000000"/>
          <w:sz w:val="20"/>
          <w:szCs w:val="20"/>
          <w:lang w:val="en-AU"/>
        </w:rPr>
        <w:t xml:space="preserve">. </w:t>
      </w:r>
    </w:p>
    <w:p w14:paraId="2292F9CC" w14:textId="77777777" w:rsidR="00E203C2" w:rsidRPr="00E57422" w:rsidRDefault="00E203C2" w:rsidP="00E203C2">
      <w:pPr>
        <w:rPr>
          <w:color w:val="000000"/>
          <w:sz w:val="20"/>
          <w:szCs w:val="20"/>
          <w:lang w:val="en-AU"/>
        </w:rPr>
      </w:pPr>
    </w:p>
    <w:p w14:paraId="2292F9CD" w14:textId="77777777" w:rsidR="00E063C6" w:rsidRPr="00E57422" w:rsidRDefault="00E063C6" w:rsidP="00E203C2">
      <w:pPr>
        <w:rPr>
          <w:color w:val="000000"/>
          <w:sz w:val="20"/>
          <w:szCs w:val="20"/>
          <w:lang w:val="en-AU"/>
        </w:rPr>
      </w:pPr>
      <w:r w:rsidRPr="00E57422">
        <w:rPr>
          <w:color w:val="000000"/>
          <w:sz w:val="20"/>
          <w:szCs w:val="20"/>
          <w:lang w:val="en-AU"/>
        </w:rPr>
        <w:t xml:space="preserve">There is no need to send a hard copy of your submission if you have submitted it by email or </w:t>
      </w:r>
      <w:r w:rsidR="0037520F" w:rsidRPr="00E57422">
        <w:rPr>
          <w:color w:val="000000"/>
          <w:sz w:val="20"/>
          <w:szCs w:val="20"/>
          <w:lang w:val="en-AU"/>
        </w:rPr>
        <w:t xml:space="preserve">via </w:t>
      </w:r>
      <w:r w:rsidRPr="00E57422">
        <w:rPr>
          <w:color w:val="000000"/>
          <w:sz w:val="20"/>
          <w:szCs w:val="20"/>
          <w:lang w:val="en-AU"/>
        </w:rPr>
        <w:t>the FSANZ website</w:t>
      </w:r>
      <w:r w:rsidR="003309A8" w:rsidRPr="00E57422">
        <w:rPr>
          <w:color w:val="000000"/>
          <w:sz w:val="20"/>
          <w:szCs w:val="20"/>
          <w:lang w:val="en-AU"/>
        </w:rPr>
        <w:t xml:space="preserve">. </w:t>
      </w:r>
      <w:r w:rsidRPr="00E57422">
        <w:rPr>
          <w:color w:val="000000"/>
          <w:sz w:val="20"/>
          <w:szCs w:val="20"/>
          <w:lang w:val="en-AU"/>
        </w:rPr>
        <w:t>FSANZ endeavours to formally acknowledge receipt of submissions within 3 business days.</w:t>
      </w:r>
    </w:p>
    <w:p w14:paraId="2292F9CE" w14:textId="77777777" w:rsidR="00E203C2" w:rsidRPr="00A16368" w:rsidRDefault="00E203C2" w:rsidP="00E203C2">
      <w:pPr>
        <w:rPr>
          <w:color w:val="000000"/>
          <w:sz w:val="18"/>
          <w:lang w:val="en-AU"/>
        </w:rPr>
      </w:pPr>
    </w:p>
    <w:p w14:paraId="2292F9CF" w14:textId="04824BA8" w:rsidR="00E063C6" w:rsidRPr="00A16368" w:rsidRDefault="00E063C6" w:rsidP="00413CA8">
      <w:pPr>
        <w:tabs>
          <w:tab w:val="left" w:pos="7920"/>
        </w:tabs>
        <w:autoSpaceDE w:val="0"/>
        <w:autoSpaceDN w:val="0"/>
        <w:adjustRightInd w:val="0"/>
        <w:jc w:val="center"/>
        <w:rPr>
          <w:rFonts w:cs="Arial"/>
          <w:b/>
          <w:bCs/>
          <w:sz w:val="24"/>
        </w:rPr>
      </w:pPr>
      <w:r w:rsidRPr="00E57422">
        <w:rPr>
          <w:rFonts w:cs="Arial"/>
          <w:b/>
          <w:bCs/>
          <w:color w:val="000000"/>
          <w:sz w:val="24"/>
        </w:rPr>
        <w:t>DEADLINE FOR SUBMISSIONS</w:t>
      </w:r>
      <w:r w:rsidRPr="00E57422">
        <w:rPr>
          <w:rFonts w:cs="Arial"/>
          <w:b/>
          <w:color w:val="000000"/>
          <w:sz w:val="24"/>
        </w:rPr>
        <w:t>:</w:t>
      </w:r>
      <w:r w:rsidRPr="00E57422">
        <w:rPr>
          <w:rFonts w:cs="Arial"/>
          <w:b/>
          <w:sz w:val="24"/>
        </w:rPr>
        <w:t xml:space="preserve">  </w:t>
      </w:r>
      <w:r w:rsidRPr="00E57422">
        <w:rPr>
          <w:rFonts w:cs="Arial"/>
          <w:b/>
          <w:bCs/>
          <w:sz w:val="24"/>
        </w:rPr>
        <w:t xml:space="preserve">6pm (Canberra time) </w:t>
      </w:r>
      <w:r w:rsidR="00A16368" w:rsidRPr="00A16368">
        <w:rPr>
          <w:rFonts w:cs="Arial"/>
          <w:b/>
          <w:bCs/>
          <w:sz w:val="24"/>
        </w:rPr>
        <w:t>22 June 2015</w:t>
      </w:r>
    </w:p>
    <w:p w14:paraId="2292F9D0" w14:textId="77777777" w:rsidR="00E203C2" w:rsidRPr="00E57422" w:rsidRDefault="00E203C2" w:rsidP="00E203C2">
      <w:pPr>
        <w:rPr>
          <w:sz w:val="20"/>
          <w:szCs w:val="20"/>
          <w:lang w:val="en-AU"/>
        </w:rPr>
      </w:pPr>
    </w:p>
    <w:p w14:paraId="2292F9D1" w14:textId="77777777" w:rsidR="00E063C6" w:rsidRPr="00E57422" w:rsidRDefault="00E063C6" w:rsidP="00E203C2">
      <w:pPr>
        <w:rPr>
          <w:sz w:val="20"/>
          <w:szCs w:val="20"/>
          <w:lang w:val="en-AU"/>
        </w:rPr>
      </w:pPr>
      <w:r w:rsidRPr="00E57422">
        <w:rPr>
          <w:sz w:val="20"/>
          <w:szCs w:val="20"/>
          <w:lang w:val="en-AU"/>
        </w:rPr>
        <w:t xml:space="preserve">Submissions received after this date will </w:t>
      </w:r>
      <w:r w:rsidR="00351B07" w:rsidRPr="00E57422">
        <w:rPr>
          <w:sz w:val="20"/>
          <w:szCs w:val="20"/>
          <w:lang w:val="en-AU"/>
        </w:rPr>
        <w:t>not</w:t>
      </w:r>
      <w:r w:rsidRPr="00E57422">
        <w:rPr>
          <w:sz w:val="20"/>
          <w:szCs w:val="20"/>
          <w:lang w:val="en-AU"/>
        </w:rPr>
        <w:t xml:space="preserve"> be considered </w:t>
      </w:r>
      <w:r w:rsidR="00351B07" w:rsidRPr="00E57422">
        <w:rPr>
          <w:sz w:val="20"/>
          <w:szCs w:val="20"/>
          <w:lang w:val="en-AU"/>
        </w:rPr>
        <w:t>unless</w:t>
      </w:r>
      <w:r w:rsidRPr="00E57422">
        <w:rPr>
          <w:sz w:val="20"/>
          <w:szCs w:val="20"/>
          <w:lang w:val="en-AU"/>
        </w:rPr>
        <w:t xml:space="preserve"> an extension ha</w:t>
      </w:r>
      <w:r w:rsidR="00D22F3C" w:rsidRPr="00E57422">
        <w:rPr>
          <w:sz w:val="20"/>
          <w:szCs w:val="20"/>
          <w:lang w:val="en-AU"/>
        </w:rPr>
        <w:t>d</w:t>
      </w:r>
      <w:r w:rsidRPr="00E57422">
        <w:rPr>
          <w:sz w:val="20"/>
          <w:szCs w:val="20"/>
          <w:lang w:val="en-AU"/>
        </w:rPr>
        <w:t xml:space="preserve"> been given </w:t>
      </w:r>
      <w:r w:rsidR="0037520F" w:rsidRPr="00E57422">
        <w:rPr>
          <w:sz w:val="20"/>
          <w:szCs w:val="20"/>
          <w:lang w:val="en-AU"/>
        </w:rPr>
        <w:t xml:space="preserve">before </w:t>
      </w:r>
      <w:r w:rsidRPr="00E57422">
        <w:rPr>
          <w:sz w:val="20"/>
          <w:szCs w:val="20"/>
          <w:lang w:val="en-AU"/>
        </w:rPr>
        <w:t>th</w:t>
      </w:r>
      <w:r w:rsidR="00351B07" w:rsidRPr="00E57422">
        <w:rPr>
          <w:sz w:val="20"/>
          <w:szCs w:val="20"/>
          <w:lang w:val="en-AU"/>
        </w:rPr>
        <w:t>e</w:t>
      </w:r>
      <w:r w:rsidRPr="00E57422">
        <w:rPr>
          <w:sz w:val="20"/>
          <w:szCs w:val="20"/>
          <w:lang w:val="en-AU"/>
        </w:rPr>
        <w:t xml:space="preserve"> closing date</w:t>
      </w:r>
      <w:r w:rsidR="003309A8" w:rsidRPr="00E57422">
        <w:rPr>
          <w:sz w:val="20"/>
          <w:szCs w:val="20"/>
          <w:lang w:val="en-AU"/>
        </w:rPr>
        <w:t xml:space="preserve">. </w:t>
      </w:r>
      <w:r w:rsidR="0037520F" w:rsidRPr="00E57422">
        <w:rPr>
          <w:sz w:val="20"/>
          <w:szCs w:val="20"/>
          <w:lang w:val="en-AU"/>
        </w:rPr>
        <w:t xml:space="preserve">Extensions will only be granted due to </w:t>
      </w:r>
      <w:r w:rsidRPr="00E57422">
        <w:rPr>
          <w:sz w:val="20"/>
          <w:szCs w:val="20"/>
          <w:lang w:val="en-AU"/>
        </w:rPr>
        <w:t xml:space="preserve">extraordinary circumstances </w:t>
      </w:r>
      <w:r w:rsidR="0037520F" w:rsidRPr="00E57422">
        <w:rPr>
          <w:sz w:val="20"/>
          <w:szCs w:val="20"/>
          <w:lang w:val="en-AU"/>
        </w:rPr>
        <w:t xml:space="preserve">during the </w:t>
      </w:r>
      <w:r w:rsidRPr="00E57422">
        <w:rPr>
          <w:sz w:val="20"/>
          <w:szCs w:val="20"/>
          <w:lang w:val="en-AU"/>
        </w:rPr>
        <w:t>submission period</w:t>
      </w:r>
      <w:r w:rsidR="003309A8" w:rsidRPr="00E57422">
        <w:rPr>
          <w:sz w:val="20"/>
          <w:szCs w:val="20"/>
          <w:lang w:val="en-AU"/>
        </w:rPr>
        <w:t xml:space="preserve">. </w:t>
      </w:r>
      <w:r w:rsidRPr="00E57422">
        <w:rPr>
          <w:sz w:val="20"/>
          <w:szCs w:val="20"/>
          <w:lang w:val="en-AU"/>
        </w:rPr>
        <w:t>Any agreed extension will be notified on the FSANZ website and will apply to all submitters.</w:t>
      </w:r>
    </w:p>
    <w:p w14:paraId="2292F9D2" w14:textId="77777777" w:rsidR="00E203C2" w:rsidRPr="00A16368" w:rsidRDefault="00E203C2" w:rsidP="00E203C2">
      <w:pPr>
        <w:rPr>
          <w:sz w:val="18"/>
          <w:szCs w:val="20"/>
          <w:lang w:val="en-AU"/>
        </w:rPr>
      </w:pPr>
    </w:p>
    <w:p w14:paraId="2292F9D3" w14:textId="77777777" w:rsidR="00E063C6" w:rsidRPr="00E57422" w:rsidRDefault="0037520F" w:rsidP="00E203C2">
      <w:pPr>
        <w:rPr>
          <w:bCs/>
          <w:sz w:val="20"/>
          <w:szCs w:val="20"/>
          <w:lang w:val="en-AU"/>
        </w:rPr>
      </w:pPr>
      <w:r w:rsidRPr="00E57422">
        <w:rPr>
          <w:sz w:val="20"/>
          <w:szCs w:val="20"/>
          <w:lang w:val="en-AU"/>
        </w:rPr>
        <w:t>Questions about</w:t>
      </w:r>
      <w:r w:rsidR="00E063C6" w:rsidRPr="00E57422">
        <w:rPr>
          <w:sz w:val="20"/>
          <w:szCs w:val="20"/>
          <w:lang w:val="en-AU"/>
        </w:rPr>
        <w:t xml:space="preserve"> making submissions or the application process can be </w:t>
      </w:r>
      <w:r w:rsidRPr="00E57422">
        <w:rPr>
          <w:sz w:val="20"/>
          <w:szCs w:val="20"/>
          <w:lang w:val="en-AU"/>
        </w:rPr>
        <w:t>sent to</w:t>
      </w:r>
      <w:r w:rsidR="00E063C6" w:rsidRPr="00E57422">
        <w:rPr>
          <w:sz w:val="20"/>
          <w:szCs w:val="20"/>
          <w:lang w:val="en-AU"/>
        </w:rPr>
        <w:t xml:space="preserve"> </w:t>
      </w:r>
      <w:hyperlink r:id="rId14" w:history="1">
        <w:r w:rsidR="00E063C6" w:rsidRPr="00E57422">
          <w:rPr>
            <w:rStyle w:val="Hyperlink"/>
            <w:rFonts w:cs="Arial"/>
            <w:sz w:val="20"/>
            <w:szCs w:val="20"/>
            <w:lang w:val="en-AU"/>
          </w:rPr>
          <w:t>standards.management@foodstandards.gov.au</w:t>
        </w:r>
      </w:hyperlink>
      <w:r w:rsidR="00E063C6" w:rsidRPr="00E57422">
        <w:rPr>
          <w:sz w:val="20"/>
          <w:szCs w:val="20"/>
          <w:lang w:val="en-AU"/>
        </w:rPr>
        <w:t xml:space="preserve">. </w:t>
      </w:r>
    </w:p>
    <w:p w14:paraId="2292F9D4" w14:textId="77777777" w:rsidR="00E203C2" w:rsidRPr="00A16368" w:rsidRDefault="00E203C2" w:rsidP="003A7725">
      <w:pPr>
        <w:rPr>
          <w:sz w:val="18"/>
          <w:lang w:val="en-AU"/>
        </w:rPr>
      </w:pPr>
    </w:p>
    <w:p w14:paraId="2292F9D5" w14:textId="77777777" w:rsidR="00E063C6" w:rsidRPr="00E57422" w:rsidRDefault="00351B07" w:rsidP="00E203C2">
      <w:pPr>
        <w:rPr>
          <w:sz w:val="20"/>
          <w:szCs w:val="20"/>
          <w:lang w:val="en-AU"/>
        </w:rPr>
      </w:pPr>
      <w:r w:rsidRPr="00E57422">
        <w:rPr>
          <w:sz w:val="20"/>
          <w:szCs w:val="20"/>
          <w:lang w:val="en-AU"/>
        </w:rPr>
        <w:t>Hard</w:t>
      </w:r>
      <w:r w:rsidR="00E063C6" w:rsidRPr="00E57422">
        <w:rPr>
          <w:sz w:val="20"/>
          <w:szCs w:val="20"/>
          <w:lang w:val="en-AU"/>
        </w:rPr>
        <w:t xml:space="preserve"> copy submissions may be sent to one of the following addresses:</w:t>
      </w:r>
    </w:p>
    <w:p w14:paraId="2292F9D6" w14:textId="77777777" w:rsidR="00E203C2" w:rsidRPr="00A16368" w:rsidRDefault="00E203C2" w:rsidP="00E203C2">
      <w:pPr>
        <w:rPr>
          <w:sz w:val="18"/>
          <w:szCs w:val="20"/>
          <w:lang w:val="en-AU"/>
        </w:rPr>
      </w:pPr>
    </w:p>
    <w:p w14:paraId="2292F9D7" w14:textId="77777777" w:rsidR="00E203C2" w:rsidRPr="00E57422" w:rsidRDefault="00E063C6" w:rsidP="00E203C2">
      <w:pPr>
        <w:tabs>
          <w:tab w:val="left" w:pos="4536"/>
        </w:tabs>
        <w:rPr>
          <w:sz w:val="20"/>
          <w:szCs w:val="20"/>
        </w:rPr>
      </w:pPr>
      <w:r w:rsidRPr="00E57422">
        <w:rPr>
          <w:sz w:val="20"/>
          <w:szCs w:val="20"/>
        </w:rPr>
        <w:t>Food Standards Australia New Zealand</w:t>
      </w:r>
      <w:r w:rsidRPr="00E57422">
        <w:rPr>
          <w:sz w:val="20"/>
          <w:szCs w:val="20"/>
        </w:rPr>
        <w:tab/>
      </w:r>
      <w:r w:rsidRPr="00E57422">
        <w:rPr>
          <w:sz w:val="20"/>
          <w:szCs w:val="20"/>
        </w:rPr>
        <w:tab/>
        <w:t>Food Standards Australia New Zealand</w:t>
      </w:r>
    </w:p>
    <w:p w14:paraId="2292F9D8" w14:textId="77777777" w:rsidR="00E203C2" w:rsidRPr="00E57422" w:rsidRDefault="00E063C6" w:rsidP="00E203C2">
      <w:pPr>
        <w:tabs>
          <w:tab w:val="left" w:pos="4536"/>
        </w:tabs>
        <w:rPr>
          <w:sz w:val="20"/>
          <w:szCs w:val="20"/>
        </w:rPr>
      </w:pPr>
      <w:r w:rsidRPr="00E57422">
        <w:rPr>
          <w:sz w:val="20"/>
          <w:szCs w:val="20"/>
        </w:rPr>
        <w:t>PO Box 7186</w:t>
      </w:r>
      <w:r w:rsidRPr="00E57422">
        <w:rPr>
          <w:sz w:val="20"/>
          <w:szCs w:val="20"/>
        </w:rPr>
        <w:tab/>
      </w:r>
      <w:r w:rsidRPr="00E57422">
        <w:rPr>
          <w:sz w:val="20"/>
          <w:szCs w:val="20"/>
        </w:rPr>
        <w:tab/>
        <w:t>PO Box 10559</w:t>
      </w:r>
    </w:p>
    <w:p w14:paraId="2292F9D9" w14:textId="77777777" w:rsidR="00E203C2" w:rsidRPr="00E57422" w:rsidRDefault="00310E84" w:rsidP="00E203C2">
      <w:pPr>
        <w:tabs>
          <w:tab w:val="left" w:pos="4536"/>
        </w:tabs>
        <w:rPr>
          <w:sz w:val="20"/>
          <w:szCs w:val="20"/>
        </w:rPr>
      </w:pPr>
      <w:r w:rsidRPr="00E57422">
        <w:rPr>
          <w:sz w:val="20"/>
          <w:szCs w:val="20"/>
        </w:rPr>
        <w:t>CANBERRA</w:t>
      </w:r>
      <w:r w:rsidR="00E063C6" w:rsidRPr="00E57422">
        <w:rPr>
          <w:sz w:val="20"/>
          <w:szCs w:val="20"/>
        </w:rPr>
        <w:t xml:space="preserve"> </w:t>
      </w:r>
      <w:proofErr w:type="gramStart"/>
      <w:r w:rsidR="00E063C6" w:rsidRPr="00E57422">
        <w:rPr>
          <w:sz w:val="20"/>
          <w:szCs w:val="20"/>
        </w:rPr>
        <w:t xml:space="preserve">BC </w:t>
      </w:r>
      <w:r w:rsidR="0037520F" w:rsidRPr="00E57422">
        <w:rPr>
          <w:sz w:val="20"/>
          <w:szCs w:val="20"/>
        </w:rPr>
        <w:t xml:space="preserve"> </w:t>
      </w:r>
      <w:r w:rsidR="00E063C6" w:rsidRPr="00E57422">
        <w:rPr>
          <w:sz w:val="20"/>
          <w:szCs w:val="20"/>
        </w:rPr>
        <w:t>ACT</w:t>
      </w:r>
      <w:proofErr w:type="gramEnd"/>
      <w:r w:rsidR="0037520F" w:rsidRPr="00E57422">
        <w:rPr>
          <w:sz w:val="20"/>
          <w:szCs w:val="20"/>
        </w:rPr>
        <w:t xml:space="preserve"> </w:t>
      </w:r>
      <w:r w:rsidR="00E063C6" w:rsidRPr="00E57422">
        <w:rPr>
          <w:sz w:val="20"/>
          <w:szCs w:val="20"/>
        </w:rPr>
        <w:t xml:space="preserve"> 2610</w:t>
      </w:r>
      <w:r w:rsidR="00E063C6" w:rsidRPr="00E57422">
        <w:rPr>
          <w:sz w:val="20"/>
          <w:szCs w:val="20"/>
        </w:rPr>
        <w:tab/>
      </w:r>
      <w:r w:rsidR="00E063C6" w:rsidRPr="00E57422">
        <w:rPr>
          <w:sz w:val="20"/>
          <w:szCs w:val="20"/>
        </w:rPr>
        <w:tab/>
        <w:t>The Terrace WELLINGTON 6143</w:t>
      </w:r>
    </w:p>
    <w:p w14:paraId="2292F9DA" w14:textId="77777777" w:rsidR="00E063C6" w:rsidRPr="00E57422" w:rsidRDefault="00E063C6" w:rsidP="00E203C2">
      <w:pPr>
        <w:tabs>
          <w:tab w:val="left" w:pos="4536"/>
        </w:tabs>
        <w:rPr>
          <w:sz w:val="20"/>
          <w:szCs w:val="20"/>
        </w:rPr>
      </w:pPr>
      <w:r w:rsidRPr="00E57422">
        <w:rPr>
          <w:sz w:val="20"/>
          <w:szCs w:val="20"/>
        </w:rPr>
        <w:t>AUSTRALIA</w:t>
      </w:r>
      <w:r w:rsidRPr="00E57422">
        <w:rPr>
          <w:sz w:val="20"/>
          <w:szCs w:val="20"/>
        </w:rPr>
        <w:tab/>
      </w:r>
      <w:r w:rsidRPr="00E57422">
        <w:rPr>
          <w:sz w:val="20"/>
          <w:szCs w:val="20"/>
        </w:rPr>
        <w:tab/>
        <w:t>NEW ZEALAND</w:t>
      </w:r>
    </w:p>
    <w:p w14:paraId="2292F9DC" w14:textId="3D91F494" w:rsidR="00D22F3C" w:rsidRPr="001E1C5D" w:rsidRDefault="00E063C6" w:rsidP="00203540">
      <w:pPr>
        <w:tabs>
          <w:tab w:val="left" w:pos="4536"/>
        </w:tabs>
        <w:rPr>
          <w:rFonts w:cs="Arial"/>
          <w:bCs/>
          <w:sz w:val="20"/>
          <w:szCs w:val="20"/>
        </w:rPr>
      </w:pPr>
      <w:r w:rsidRPr="00E57422">
        <w:rPr>
          <w:sz w:val="20"/>
          <w:szCs w:val="20"/>
        </w:rPr>
        <w:t xml:space="preserve">Tel </w:t>
      </w:r>
      <w:r w:rsidR="00DD3C5E" w:rsidRPr="00E57422">
        <w:rPr>
          <w:sz w:val="20"/>
          <w:szCs w:val="20"/>
        </w:rPr>
        <w:t>+61 2</w:t>
      </w:r>
      <w:r w:rsidRPr="00E57422">
        <w:rPr>
          <w:sz w:val="20"/>
          <w:szCs w:val="20"/>
        </w:rPr>
        <w:t xml:space="preserve"> 6271 2222  </w:t>
      </w:r>
      <w:r w:rsidRPr="00E57422">
        <w:rPr>
          <w:sz w:val="20"/>
          <w:szCs w:val="20"/>
        </w:rPr>
        <w:tab/>
      </w:r>
      <w:r w:rsidRPr="00E57422">
        <w:rPr>
          <w:sz w:val="20"/>
          <w:szCs w:val="20"/>
        </w:rPr>
        <w:tab/>
        <w:t xml:space="preserve">Tel </w:t>
      </w:r>
      <w:r w:rsidR="00DD3C5E" w:rsidRPr="00E57422">
        <w:rPr>
          <w:sz w:val="20"/>
          <w:szCs w:val="20"/>
        </w:rPr>
        <w:t>+64 4</w:t>
      </w:r>
      <w:r w:rsidR="0037520F" w:rsidRPr="00E57422">
        <w:rPr>
          <w:sz w:val="20"/>
          <w:szCs w:val="20"/>
        </w:rPr>
        <w:t xml:space="preserve"> 978 5630</w:t>
      </w:r>
    </w:p>
    <w:p w14:paraId="2292F9DD" w14:textId="77777777" w:rsidR="00413CA8" w:rsidRDefault="00413CA8" w:rsidP="00E203C2">
      <w:pPr>
        <w:spacing w:line="280" w:lineRule="exact"/>
        <w:jc w:val="center"/>
        <w:rPr>
          <w:rFonts w:cs="Arial"/>
          <w:bCs/>
          <w:sz w:val="28"/>
          <w:szCs w:val="28"/>
        </w:rPr>
        <w:sectPr w:rsidR="00413CA8" w:rsidSect="00A16368">
          <w:headerReference w:type="even" r:id="rId15"/>
          <w:headerReference w:type="default" r:id="rId16"/>
          <w:footerReference w:type="even" r:id="rId17"/>
          <w:footerReference w:type="default" r:id="rId18"/>
          <w:headerReference w:type="first" r:id="rId19"/>
          <w:footerReference w:type="first" r:id="rId20"/>
          <w:pgSz w:w="11906" w:h="16838"/>
          <w:pgMar w:top="1418" w:right="1418" w:bottom="1418" w:left="1418" w:header="709" w:footer="709" w:gutter="0"/>
          <w:pgNumType w:fmt="lowerRoman" w:start="1"/>
          <w:cols w:space="708"/>
          <w:docGrid w:linePitch="360"/>
        </w:sectPr>
      </w:pPr>
    </w:p>
    <w:p w14:paraId="2292F9DE" w14:textId="77777777" w:rsidR="00562917" w:rsidRPr="00646FDD" w:rsidRDefault="00562917" w:rsidP="00E40ED4">
      <w:pPr>
        <w:jc w:val="center"/>
        <w:rPr>
          <w:sz w:val="28"/>
          <w:szCs w:val="28"/>
        </w:rPr>
      </w:pPr>
      <w:r w:rsidRPr="00646FDD">
        <w:rPr>
          <w:sz w:val="28"/>
          <w:szCs w:val="28"/>
        </w:rPr>
        <w:lastRenderedPageBreak/>
        <w:t xml:space="preserve">Table of </w:t>
      </w:r>
      <w:r w:rsidR="00456B54" w:rsidRPr="00646FDD">
        <w:rPr>
          <w:sz w:val="28"/>
          <w:szCs w:val="28"/>
        </w:rPr>
        <w:t>C</w:t>
      </w:r>
      <w:r w:rsidRPr="00646FDD">
        <w:rPr>
          <w:sz w:val="28"/>
          <w:szCs w:val="28"/>
        </w:rPr>
        <w:t>ontents</w:t>
      </w:r>
    </w:p>
    <w:p w14:paraId="2292F9DF" w14:textId="77777777" w:rsidR="00562917" w:rsidRPr="00AE766D" w:rsidRDefault="00562917" w:rsidP="00051ED9">
      <w:pPr>
        <w:rPr>
          <w:rFonts w:cs="Arial"/>
        </w:rPr>
      </w:pPr>
    </w:p>
    <w:p w14:paraId="179D03A5" w14:textId="77777777" w:rsidR="00E41770" w:rsidRDefault="00051ED9">
      <w:pPr>
        <w:pStyle w:val="TOC1"/>
        <w:tabs>
          <w:tab w:val="right" w:leader="dot" w:pos="9060"/>
        </w:tabs>
        <w:rPr>
          <w:rFonts w:eastAsiaTheme="minorEastAsia" w:cstheme="minorBidi"/>
          <w:b w:val="0"/>
          <w:bCs w:val="0"/>
          <w:caps w:val="0"/>
          <w:noProof/>
          <w:sz w:val="22"/>
          <w:szCs w:val="22"/>
          <w:lang w:eastAsia="en-GB" w:bidi="ar-SA"/>
        </w:rPr>
      </w:pPr>
      <w:r w:rsidRPr="0059227F">
        <w:rPr>
          <w:rFonts w:ascii="Arial" w:hAnsi="Arial" w:cs="Arial"/>
        </w:rPr>
        <w:fldChar w:fldCharType="begin"/>
      </w:r>
      <w:r w:rsidRPr="0059227F">
        <w:rPr>
          <w:rFonts w:ascii="Arial" w:hAnsi="Arial" w:cs="Arial"/>
        </w:rPr>
        <w:instrText xml:space="preserve"> TOC \o "1-3" \h \z \u </w:instrText>
      </w:r>
      <w:r w:rsidRPr="0059227F">
        <w:rPr>
          <w:rFonts w:ascii="Arial" w:hAnsi="Arial" w:cs="Arial"/>
        </w:rPr>
        <w:fldChar w:fldCharType="separate"/>
      </w:r>
      <w:hyperlink w:anchor="_Toc419977494" w:history="1">
        <w:r w:rsidR="00E41770" w:rsidRPr="00312C72">
          <w:rPr>
            <w:rStyle w:val="Hyperlink"/>
            <w:noProof/>
          </w:rPr>
          <w:t>Executive summary</w:t>
        </w:r>
        <w:r w:rsidR="00E41770">
          <w:rPr>
            <w:noProof/>
            <w:webHidden/>
          </w:rPr>
          <w:tab/>
        </w:r>
        <w:r w:rsidR="00E41770">
          <w:rPr>
            <w:noProof/>
            <w:webHidden/>
          </w:rPr>
          <w:fldChar w:fldCharType="begin"/>
        </w:r>
        <w:r w:rsidR="00E41770">
          <w:rPr>
            <w:noProof/>
            <w:webHidden/>
          </w:rPr>
          <w:instrText xml:space="preserve"> PAGEREF _Toc419977494 \h </w:instrText>
        </w:r>
        <w:r w:rsidR="00E41770">
          <w:rPr>
            <w:noProof/>
            <w:webHidden/>
          </w:rPr>
        </w:r>
        <w:r w:rsidR="00E41770">
          <w:rPr>
            <w:noProof/>
            <w:webHidden/>
          </w:rPr>
          <w:fldChar w:fldCharType="separate"/>
        </w:r>
        <w:r w:rsidR="000B2725">
          <w:rPr>
            <w:noProof/>
            <w:webHidden/>
          </w:rPr>
          <w:t>2</w:t>
        </w:r>
        <w:r w:rsidR="00E41770">
          <w:rPr>
            <w:noProof/>
            <w:webHidden/>
          </w:rPr>
          <w:fldChar w:fldCharType="end"/>
        </w:r>
      </w:hyperlink>
    </w:p>
    <w:p w14:paraId="7DA1986B" w14:textId="77777777" w:rsidR="00E41770" w:rsidRDefault="008D5276">
      <w:pPr>
        <w:pStyle w:val="TOC1"/>
        <w:tabs>
          <w:tab w:val="left" w:pos="440"/>
          <w:tab w:val="right" w:leader="dot" w:pos="9060"/>
        </w:tabs>
        <w:rPr>
          <w:rFonts w:eastAsiaTheme="minorEastAsia" w:cstheme="minorBidi"/>
          <w:b w:val="0"/>
          <w:bCs w:val="0"/>
          <w:caps w:val="0"/>
          <w:noProof/>
          <w:sz w:val="22"/>
          <w:szCs w:val="22"/>
          <w:lang w:eastAsia="en-GB" w:bidi="ar-SA"/>
        </w:rPr>
      </w:pPr>
      <w:hyperlink w:anchor="_Toc419977495" w:history="1">
        <w:r w:rsidR="00E41770" w:rsidRPr="00312C72">
          <w:rPr>
            <w:rStyle w:val="Hyperlink"/>
            <w:noProof/>
          </w:rPr>
          <w:t>1</w:t>
        </w:r>
        <w:r w:rsidR="00E41770">
          <w:rPr>
            <w:rFonts w:eastAsiaTheme="minorEastAsia" w:cstheme="minorBidi"/>
            <w:b w:val="0"/>
            <w:bCs w:val="0"/>
            <w:caps w:val="0"/>
            <w:noProof/>
            <w:sz w:val="22"/>
            <w:szCs w:val="22"/>
            <w:lang w:eastAsia="en-GB" w:bidi="ar-SA"/>
          </w:rPr>
          <w:tab/>
        </w:r>
        <w:r w:rsidR="00E41770" w:rsidRPr="00312C72">
          <w:rPr>
            <w:rStyle w:val="Hyperlink"/>
            <w:noProof/>
          </w:rPr>
          <w:t>Introduction</w:t>
        </w:r>
        <w:r w:rsidR="00E41770">
          <w:rPr>
            <w:noProof/>
            <w:webHidden/>
          </w:rPr>
          <w:tab/>
        </w:r>
        <w:r w:rsidR="00E41770">
          <w:rPr>
            <w:noProof/>
            <w:webHidden/>
          </w:rPr>
          <w:fldChar w:fldCharType="begin"/>
        </w:r>
        <w:r w:rsidR="00E41770">
          <w:rPr>
            <w:noProof/>
            <w:webHidden/>
          </w:rPr>
          <w:instrText xml:space="preserve"> PAGEREF _Toc419977495 \h </w:instrText>
        </w:r>
        <w:r w:rsidR="00E41770">
          <w:rPr>
            <w:noProof/>
            <w:webHidden/>
          </w:rPr>
        </w:r>
        <w:r w:rsidR="00E41770">
          <w:rPr>
            <w:noProof/>
            <w:webHidden/>
          </w:rPr>
          <w:fldChar w:fldCharType="separate"/>
        </w:r>
        <w:r w:rsidR="000B2725">
          <w:rPr>
            <w:noProof/>
            <w:webHidden/>
          </w:rPr>
          <w:t>3</w:t>
        </w:r>
        <w:r w:rsidR="00E41770">
          <w:rPr>
            <w:noProof/>
            <w:webHidden/>
          </w:rPr>
          <w:fldChar w:fldCharType="end"/>
        </w:r>
      </w:hyperlink>
    </w:p>
    <w:p w14:paraId="3B614C03" w14:textId="77777777" w:rsidR="00E41770" w:rsidRDefault="008D5276">
      <w:pPr>
        <w:pStyle w:val="TOC2"/>
        <w:tabs>
          <w:tab w:val="left" w:pos="880"/>
          <w:tab w:val="right" w:leader="dot" w:pos="9060"/>
        </w:tabs>
        <w:rPr>
          <w:rFonts w:eastAsiaTheme="minorEastAsia" w:cstheme="minorBidi"/>
          <w:smallCaps w:val="0"/>
          <w:noProof/>
          <w:sz w:val="22"/>
          <w:szCs w:val="22"/>
          <w:lang w:eastAsia="en-GB" w:bidi="ar-SA"/>
        </w:rPr>
      </w:pPr>
      <w:hyperlink w:anchor="_Toc419977496" w:history="1">
        <w:r w:rsidR="00E41770" w:rsidRPr="00312C72">
          <w:rPr>
            <w:rStyle w:val="Hyperlink"/>
            <w:noProof/>
          </w:rPr>
          <w:t>1.1</w:t>
        </w:r>
        <w:r w:rsidR="00E41770">
          <w:rPr>
            <w:rFonts w:eastAsiaTheme="minorEastAsia" w:cstheme="minorBidi"/>
            <w:smallCaps w:val="0"/>
            <w:noProof/>
            <w:sz w:val="22"/>
            <w:szCs w:val="22"/>
            <w:lang w:eastAsia="en-GB" w:bidi="ar-SA"/>
          </w:rPr>
          <w:tab/>
        </w:r>
        <w:r w:rsidR="00E41770" w:rsidRPr="00312C72">
          <w:rPr>
            <w:rStyle w:val="Hyperlink"/>
            <w:noProof/>
          </w:rPr>
          <w:t>The Proposal</w:t>
        </w:r>
        <w:r w:rsidR="00E41770">
          <w:rPr>
            <w:noProof/>
            <w:webHidden/>
          </w:rPr>
          <w:tab/>
        </w:r>
        <w:r w:rsidR="00E41770">
          <w:rPr>
            <w:noProof/>
            <w:webHidden/>
          </w:rPr>
          <w:fldChar w:fldCharType="begin"/>
        </w:r>
        <w:r w:rsidR="00E41770">
          <w:rPr>
            <w:noProof/>
            <w:webHidden/>
          </w:rPr>
          <w:instrText xml:space="preserve"> PAGEREF _Toc419977496 \h </w:instrText>
        </w:r>
        <w:r w:rsidR="00E41770">
          <w:rPr>
            <w:noProof/>
            <w:webHidden/>
          </w:rPr>
        </w:r>
        <w:r w:rsidR="00E41770">
          <w:rPr>
            <w:noProof/>
            <w:webHidden/>
          </w:rPr>
          <w:fldChar w:fldCharType="separate"/>
        </w:r>
        <w:r w:rsidR="000B2725">
          <w:rPr>
            <w:noProof/>
            <w:webHidden/>
          </w:rPr>
          <w:t>3</w:t>
        </w:r>
        <w:r w:rsidR="00E41770">
          <w:rPr>
            <w:noProof/>
            <w:webHidden/>
          </w:rPr>
          <w:fldChar w:fldCharType="end"/>
        </w:r>
      </w:hyperlink>
    </w:p>
    <w:p w14:paraId="1EADF4C5" w14:textId="77777777" w:rsidR="00E41770" w:rsidRDefault="008D5276">
      <w:pPr>
        <w:pStyle w:val="TOC2"/>
        <w:tabs>
          <w:tab w:val="left" w:pos="880"/>
          <w:tab w:val="right" w:leader="dot" w:pos="9060"/>
        </w:tabs>
        <w:rPr>
          <w:rFonts w:eastAsiaTheme="minorEastAsia" w:cstheme="minorBidi"/>
          <w:smallCaps w:val="0"/>
          <w:noProof/>
          <w:sz w:val="22"/>
          <w:szCs w:val="22"/>
          <w:lang w:eastAsia="en-GB" w:bidi="ar-SA"/>
        </w:rPr>
      </w:pPr>
      <w:hyperlink w:anchor="_Toc419977497" w:history="1">
        <w:r w:rsidR="00E41770" w:rsidRPr="00312C72">
          <w:rPr>
            <w:rStyle w:val="Hyperlink"/>
            <w:noProof/>
          </w:rPr>
          <w:t>1.2</w:t>
        </w:r>
        <w:r w:rsidR="00E41770">
          <w:rPr>
            <w:rFonts w:eastAsiaTheme="minorEastAsia" w:cstheme="minorBidi"/>
            <w:smallCaps w:val="0"/>
            <w:noProof/>
            <w:sz w:val="22"/>
            <w:szCs w:val="22"/>
            <w:lang w:eastAsia="en-GB" w:bidi="ar-SA"/>
          </w:rPr>
          <w:tab/>
        </w:r>
        <w:r w:rsidR="00E41770" w:rsidRPr="00312C72">
          <w:rPr>
            <w:rStyle w:val="Hyperlink"/>
            <w:noProof/>
          </w:rPr>
          <w:t>The current Standard</w:t>
        </w:r>
        <w:r w:rsidR="00E41770">
          <w:rPr>
            <w:noProof/>
            <w:webHidden/>
          </w:rPr>
          <w:tab/>
        </w:r>
        <w:r w:rsidR="00E41770">
          <w:rPr>
            <w:noProof/>
            <w:webHidden/>
          </w:rPr>
          <w:fldChar w:fldCharType="begin"/>
        </w:r>
        <w:r w:rsidR="00E41770">
          <w:rPr>
            <w:noProof/>
            <w:webHidden/>
          </w:rPr>
          <w:instrText xml:space="preserve"> PAGEREF _Toc419977497 \h </w:instrText>
        </w:r>
        <w:r w:rsidR="00E41770">
          <w:rPr>
            <w:noProof/>
            <w:webHidden/>
          </w:rPr>
        </w:r>
        <w:r w:rsidR="00E41770">
          <w:rPr>
            <w:noProof/>
            <w:webHidden/>
          </w:rPr>
          <w:fldChar w:fldCharType="separate"/>
        </w:r>
        <w:r w:rsidR="000B2725">
          <w:rPr>
            <w:noProof/>
            <w:webHidden/>
          </w:rPr>
          <w:t>3</w:t>
        </w:r>
        <w:r w:rsidR="00E41770">
          <w:rPr>
            <w:noProof/>
            <w:webHidden/>
          </w:rPr>
          <w:fldChar w:fldCharType="end"/>
        </w:r>
      </w:hyperlink>
    </w:p>
    <w:p w14:paraId="1293EFB4" w14:textId="77777777" w:rsidR="00E41770" w:rsidRDefault="008D5276">
      <w:pPr>
        <w:pStyle w:val="TOC3"/>
        <w:tabs>
          <w:tab w:val="left" w:pos="1100"/>
          <w:tab w:val="right" w:leader="dot" w:pos="9060"/>
        </w:tabs>
        <w:rPr>
          <w:rFonts w:eastAsiaTheme="minorEastAsia" w:cstheme="minorBidi"/>
          <w:i w:val="0"/>
          <w:iCs w:val="0"/>
          <w:noProof/>
          <w:sz w:val="22"/>
          <w:szCs w:val="22"/>
          <w:lang w:eastAsia="en-GB" w:bidi="ar-SA"/>
        </w:rPr>
      </w:pPr>
      <w:hyperlink w:anchor="_Toc419977498" w:history="1">
        <w:r w:rsidR="00E41770" w:rsidRPr="00312C72">
          <w:rPr>
            <w:rStyle w:val="Hyperlink"/>
            <w:noProof/>
          </w:rPr>
          <w:t>1.2.1</w:t>
        </w:r>
        <w:r w:rsidR="00E41770">
          <w:rPr>
            <w:rFonts w:eastAsiaTheme="minorEastAsia" w:cstheme="minorBidi"/>
            <w:i w:val="0"/>
            <w:iCs w:val="0"/>
            <w:noProof/>
            <w:sz w:val="22"/>
            <w:szCs w:val="22"/>
            <w:lang w:eastAsia="en-GB" w:bidi="ar-SA"/>
          </w:rPr>
          <w:tab/>
        </w:r>
        <w:r w:rsidR="00E41770" w:rsidRPr="00312C72">
          <w:rPr>
            <w:rStyle w:val="Hyperlink"/>
            <w:noProof/>
          </w:rPr>
          <w:t>Codex Alimentarius Commission Standards</w:t>
        </w:r>
        <w:r w:rsidR="00E41770">
          <w:rPr>
            <w:noProof/>
            <w:webHidden/>
          </w:rPr>
          <w:tab/>
        </w:r>
        <w:r w:rsidR="00E41770">
          <w:rPr>
            <w:noProof/>
            <w:webHidden/>
          </w:rPr>
          <w:fldChar w:fldCharType="begin"/>
        </w:r>
        <w:r w:rsidR="00E41770">
          <w:rPr>
            <w:noProof/>
            <w:webHidden/>
          </w:rPr>
          <w:instrText xml:space="preserve"> PAGEREF _Toc419977498 \h </w:instrText>
        </w:r>
        <w:r w:rsidR="00E41770">
          <w:rPr>
            <w:noProof/>
            <w:webHidden/>
          </w:rPr>
        </w:r>
        <w:r w:rsidR="00E41770">
          <w:rPr>
            <w:noProof/>
            <w:webHidden/>
          </w:rPr>
          <w:fldChar w:fldCharType="separate"/>
        </w:r>
        <w:r w:rsidR="000B2725">
          <w:rPr>
            <w:noProof/>
            <w:webHidden/>
          </w:rPr>
          <w:t>3</w:t>
        </w:r>
        <w:r w:rsidR="00E41770">
          <w:rPr>
            <w:noProof/>
            <w:webHidden/>
          </w:rPr>
          <w:fldChar w:fldCharType="end"/>
        </w:r>
      </w:hyperlink>
    </w:p>
    <w:p w14:paraId="505F8077" w14:textId="77777777" w:rsidR="00E41770" w:rsidRDefault="008D5276">
      <w:pPr>
        <w:pStyle w:val="TOC2"/>
        <w:tabs>
          <w:tab w:val="left" w:pos="880"/>
          <w:tab w:val="right" w:leader="dot" w:pos="9060"/>
        </w:tabs>
        <w:rPr>
          <w:rFonts w:eastAsiaTheme="minorEastAsia" w:cstheme="minorBidi"/>
          <w:smallCaps w:val="0"/>
          <w:noProof/>
          <w:sz w:val="22"/>
          <w:szCs w:val="22"/>
          <w:lang w:eastAsia="en-GB" w:bidi="ar-SA"/>
        </w:rPr>
      </w:pPr>
      <w:hyperlink w:anchor="_Toc419977499" w:history="1">
        <w:r w:rsidR="00E41770" w:rsidRPr="00312C72">
          <w:rPr>
            <w:rStyle w:val="Hyperlink"/>
            <w:noProof/>
            <w:u w:color="FFFF00"/>
          </w:rPr>
          <w:t>1.3</w:t>
        </w:r>
        <w:r w:rsidR="00E41770">
          <w:rPr>
            <w:rFonts w:eastAsiaTheme="minorEastAsia" w:cstheme="minorBidi"/>
            <w:smallCaps w:val="0"/>
            <w:noProof/>
            <w:sz w:val="22"/>
            <w:szCs w:val="22"/>
            <w:lang w:eastAsia="en-GB" w:bidi="ar-SA"/>
          </w:rPr>
          <w:tab/>
        </w:r>
        <w:r w:rsidR="00E41770" w:rsidRPr="00312C72">
          <w:rPr>
            <w:rStyle w:val="Hyperlink"/>
            <w:noProof/>
            <w:u w:color="FFFF00"/>
          </w:rPr>
          <w:t xml:space="preserve">Reasons for </w:t>
        </w:r>
        <w:r w:rsidR="00E41770" w:rsidRPr="00312C72">
          <w:rPr>
            <w:rStyle w:val="Hyperlink"/>
            <w:noProof/>
          </w:rPr>
          <w:t>preparing the Proposal</w:t>
        </w:r>
        <w:r w:rsidR="00E41770">
          <w:rPr>
            <w:noProof/>
            <w:webHidden/>
          </w:rPr>
          <w:tab/>
        </w:r>
        <w:r w:rsidR="00E41770">
          <w:rPr>
            <w:noProof/>
            <w:webHidden/>
          </w:rPr>
          <w:fldChar w:fldCharType="begin"/>
        </w:r>
        <w:r w:rsidR="00E41770">
          <w:rPr>
            <w:noProof/>
            <w:webHidden/>
          </w:rPr>
          <w:instrText xml:space="preserve"> PAGEREF _Toc419977499 \h </w:instrText>
        </w:r>
        <w:r w:rsidR="00E41770">
          <w:rPr>
            <w:noProof/>
            <w:webHidden/>
          </w:rPr>
        </w:r>
        <w:r w:rsidR="00E41770">
          <w:rPr>
            <w:noProof/>
            <w:webHidden/>
          </w:rPr>
          <w:fldChar w:fldCharType="separate"/>
        </w:r>
        <w:r w:rsidR="000B2725">
          <w:rPr>
            <w:noProof/>
            <w:webHidden/>
          </w:rPr>
          <w:t>3</w:t>
        </w:r>
        <w:r w:rsidR="00E41770">
          <w:rPr>
            <w:noProof/>
            <w:webHidden/>
          </w:rPr>
          <w:fldChar w:fldCharType="end"/>
        </w:r>
      </w:hyperlink>
    </w:p>
    <w:p w14:paraId="7AD03848" w14:textId="77777777" w:rsidR="00E41770" w:rsidRDefault="008D5276">
      <w:pPr>
        <w:pStyle w:val="TOC2"/>
        <w:tabs>
          <w:tab w:val="left" w:pos="880"/>
          <w:tab w:val="right" w:leader="dot" w:pos="9060"/>
        </w:tabs>
        <w:rPr>
          <w:rFonts w:eastAsiaTheme="minorEastAsia" w:cstheme="minorBidi"/>
          <w:smallCaps w:val="0"/>
          <w:noProof/>
          <w:sz w:val="22"/>
          <w:szCs w:val="22"/>
          <w:lang w:eastAsia="en-GB" w:bidi="ar-SA"/>
        </w:rPr>
      </w:pPr>
      <w:hyperlink w:anchor="_Toc419977500" w:history="1">
        <w:r w:rsidR="00E41770" w:rsidRPr="00312C72">
          <w:rPr>
            <w:rStyle w:val="Hyperlink"/>
            <w:noProof/>
          </w:rPr>
          <w:t>1.4</w:t>
        </w:r>
        <w:r w:rsidR="00E41770">
          <w:rPr>
            <w:rFonts w:eastAsiaTheme="minorEastAsia" w:cstheme="minorBidi"/>
            <w:smallCaps w:val="0"/>
            <w:noProof/>
            <w:sz w:val="22"/>
            <w:szCs w:val="22"/>
            <w:lang w:eastAsia="en-GB" w:bidi="ar-SA"/>
          </w:rPr>
          <w:tab/>
        </w:r>
        <w:r w:rsidR="00E41770" w:rsidRPr="00312C72">
          <w:rPr>
            <w:rStyle w:val="Hyperlink"/>
            <w:noProof/>
          </w:rPr>
          <w:t>Procedure for assessment</w:t>
        </w:r>
        <w:r w:rsidR="00E41770">
          <w:rPr>
            <w:noProof/>
            <w:webHidden/>
          </w:rPr>
          <w:tab/>
        </w:r>
        <w:r w:rsidR="00E41770">
          <w:rPr>
            <w:noProof/>
            <w:webHidden/>
          </w:rPr>
          <w:fldChar w:fldCharType="begin"/>
        </w:r>
        <w:r w:rsidR="00E41770">
          <w:rPr>
            <w:noProof/>
            <w:webHidden/>
          </w:rPr>
          <w:instrText xml:space="preserve"> PAGEREF _Toc419977500 \h </w:instrText>
        </w:r>
        <w:r w:rsidR="00E41770">
          <w:rPr>
            <w:noProof/>
            <w:webHidden/>
          </w:rPr>
        </w:r>
        <w:r w:rsidR="00E41770">
          <w:rPr>
            <w:noProof/>
            <w:webHidden/>
          </w:rPr>
          <w:fldChar w:fldCharType="separate"/>
        </w:r>
        <w:r w:rsidR="000B2725">
          <w:rPr>
            <w:noProof/>
            <w:webHidden/>
          </w:rPr>
          <w:t>4</w:t>
        </w:r>
        <w:r w:rsidR="00E41770">
          <w:rPr>
            <w:noProof/>
            <w:webHidden/>
          </w:rPr>
          <w:fldChar w:fldCharType="end"/>
        </w:r>
      </w:hyperlink>
    </w:p>
    <w:p w14:paraId="210C274E" w14:textId="77777777" w:rsidR="00E41770" w:rsidRDefault="008D5276">
      <w:pPr>
        <w:pStyle w:val="TOC1"/>
        <w:tabs>
          <w:tab w:val="left" w:pos="440"/>
          <w:tab w:val="right" w:leader="dot" w:pos="9060"/>
        </w:tabs>
        <w:rPr>
          <w:rFonts w:eastAsiaTheme="minorEastAsia" w:cstheme="minorBidi"/>
          <w:b w:val="0"/>
          <w:bCs w:val="0"/>
          <w:caps w:val="0"/>
          <w:noProof/>
          <w:sz w:val="22"/>
          <w:szCs w:val="22"/>
          <w:lang w:eastAsia="en-GB" w:bidi="ar-SA"/>
        </w:rPr>
      </w:pPr>
      <w:hyperlink w:anchor="_Toc419977501" w:history="1">
        <w:r w:rsidR="00E41770" w:rsidRPr="00312C72">
          <w:rPr>
            <w:rStyle w:val="Hyperlink"/>
            <w:noProof/>
          </w:rPr>
          <w:t>2</w:t>
        </w:r>
        <w:r w:rsidR="00E41770">
          <w:rPr>
            <w:rFonts w:eastAsiaTheme="minorEastAsia" w:cstheme="minorBidi"/>
            <w:b w:val="0"/>
            <w:bCs w:val="0"/>
            <w:caps w:val="0"/>
            <w:noProof/>
            <w:sz w:val="22"/>
            <w:szCs w:val="22"/>
            <w:lang w:eastAsia="en-GB" w:bidi="ar-SA"/>
          </w:rPr>
          <w:tab/>
        </w:r>
        <w:r w:rsidR="00E41770" w:rsidRPr="00312C72">
          <w:rPr>
            <w:rStyle w:val="Hyperlink"/>
            <w:noProof/>
          </w:rPr>
          <w:t>Summary of the assessment</w:t>
        </w:r>
        <w:r w:rsidR="00E41770">
          <w:rPr>
            <w:noProof/>
            <w:webHidden/>
          </w:rPr>
          <w:tab/>
        </w:r>
        <w:r w:rsidR="00E41770">
          <w:rPr>
            <w:noProof/>
            <w:webHidden/>
          </w:rPr>
          <w:fldChar w:fldCharType="begin"/>
        </w:r>
        <w:r w:rsidR="00E41770">
          <w:rPr>
            <w:noProof/>
            <w:webHidden/>
          </w:rPr>
          <w:instrText xml:space="preserve"> PAGEREF _Toc419977501 \h </w:instrText>
        </w:r>
        <w:r w:rsidR="00E41770">
          <w:rPr>
            <w:noProof/>
            <w:webHidden/>
          </w:rPr>
        </w:r>
        <w:r w:rsidR="00E41770">
          <w:rPr>
            <w:noProof/>
            <w:webHidden/>
          </w:rPr>
          <w:fldChar w:fldCharType="separate"/>
        </w:r>
        <w:r w:rsidR="000B2725">
          <w:rPr>
            <w:noProof/>
            <w:webHidden/>
          </w:rPr>
          <w:t>4</w:t>
        </w:r>
        <w:r w:rsidR="00E41770">
          <w:rPr>
            <w:noProof/>
            <w:webHidden/>
          </w:rPr>
          <w:fldChar w:fldCharType="end"/>
        </w:r>
      </w:hyperlink>
    </w:p>
    <w:p w14:paraId="6A4CACA2" w14:textId="77777777" w:rsidR="00E41770" w:rsidRDefault="008D5276">
      <w:pPr>
        <w:pStyle w:val="TOC2"/>
        <w:tabs>
          <w:tab w:val="left" w:pos="880"/>
          <w:tab w:val="right" w:leader="dot" w:pos="9060"/>
        </w:tabs>
        <w:rPr>
          <w:rFonts w:eastAsiaTheme="minorEastAsia" w:cstheme="minorBidi"/>
          <w:smallCaps w:val="0"/>
          <w:noProof/>
          <w:sz w:val="22"/>
          <w:szCs w:val="22"/>
          <w:lang w:eastAsia="en-GB" w:bidi="ar-SA"/>
        </w:rPr>
      </w:pPr>
      <w:hyperlink w:anchor="_Toc419977502" w:history="1">
        <w:r w:rsidR="00E41770" w:rsidRPr="00312C72">
          <w:rPr>
            <w:rStyle w:val="Hyperlink"/>
            <w:noProof/>
          </w:rPr>
          <w:t>2.1</w:t>
        </w:r>
        <w:r w:rsidR="00E41770">
          <w:rPr>
            <w:rFonts w:eastAsiaTheme="minorEastAsia" w:cstheme="minorBidi"/>
            <w:smallCaps w:val="0"/>
            <w:noProof/>
            <w:sz w:val="22"/>
            <w:szCs w:val="22"/>
            <w:lang w:eastAsia="en-GB" w:bidi="ar-SA"/>
          </w:rPr>
          <w:tab/>
        </w:r>
        <w:r w:rsidR="00E41770" w:rsidRPr="00312C72">
          <w:rPr>
            <w:rStyle w:val="Hyperlink"/>
            <w:noProof/>
          </w:rPr>
          <w:t>Risk assessment</w:t>
        </w:r>
        <w:r w:rsidR="00E41770">
          <w:rPr>
            <w:noProof/>
            <w:webHidden/>
          </w:rPr>
          <w:tab/>
        </w:r>
        <w:r w:rsidR="00E41770">
          <w:rPr>
            <w:noProof/>
            <w:webHidden/>
          </w:rPr>
          <w:fldChar w:fldCharType="begin"/>
        </w:r>
        <w:r w:rsidR="00E41770">
          <w:rPr>
            <w:noProof/>
            <w:webHidden/>
          </w:rPr>
          <w:instrText xml:space="preserve"> PAGEREF _Toc419977502 \h </w:instrText>
        </w:r>
        <w:r w:rsidR="00E41770">
          <w:rPr>
            <w:noProof/>
            <w:webHidden/>
          </w:rPr>
        </w:r>
        <w:r w:rsidR="00E41770">
          <w:rPr>
            <w:noProof/>
            <w:webHidden/>
          </w:rPr>
          <w:fldChar w:fldCharType="separate"/>
        </w:r>
        <w:r w:rsidR="000B2725">
          <w:rPr>
            <w:noProof/>
            <w:webHidden/>
          </w:rPr>
          <w:t>4</w:t>
        </w:r>
        <w:r w:rsidR="00E41770">
          <w:rPr>
            <w:noProof/>
            <w:webHidden/>
          </w:rPr>
          <w:fldChar w:fldCharType="end"/>
        </w:r>
      </w:hyperlink>
    </w:p>
    <w:p w14:paraId="1A879FC4" w14:textId="77777777" w:rsidR="00E41770" w:rsidRDefault="008D5276">
      <w:pPr>
        <w:pStyle w:val="TOC2"/>
        <w:tabs>
          <w:tab w:val="left" w:pos="880"/>
          <w:tab w:val="right" w:leader="dot" w:pos="9060"/>
        </w:tabs>
        <w:rPr>
          <w:rFonts w:eastAsiaTheme="minorEastAsia" w:cstheme="minorBidi"/>
          <w:smallCaps w:val="0"/>
          <w:noProof/>
          <w:sz w:val="22"/>
          <w:szCs w:val="22"/>
          <w:lang w:eastAsia="en-GB" w:bidi="ar-SA"/>
        </w:rPr>
      </w:pPr>
      <w:hyperlink w:anchor="_Toc419977503" w:history="1">
        <w:r w:rsidR="00E41770" w:rsidRPr="00312C72">
          <w:rPr>
            <w:rStyle w:val="Hyperlink"/>
            <w:noProof/>
          </w:rPr>
          <w:t>2.2</w:t>
        </w:r>
        <w:r w:rsidR="00E41770">
          <w:rPr>
            <w:rFonts w:eastAsiaTheme="minorEastAsia" w:cstheme="minorBidi"/>
            <w:smallCaps w:val="0"/>
            <w:noProof/>
            <w:sz w:val="22"/>
            <w:szCs w:val="22"/>
            <w:lang w:eastAsia="en-GB" w:bidi="ar-SA"/>
          </w:rPr>
          <w:tab/>
        </w:r>
        <w:r w:rsidR="00E41770" w:rsidRPr="00312C72">
          <w:rPr>
            <w:rStyle w:val="Hyperlink"/>
            <w:noProof/>
          </w:rPr>
          <w:t>Risk management</w:t>
        </w:r>
        <w:r w:rsidR="00E41770">
          <w:rPr>
            <w:noProof/>
            <w:webHidden/>
          </w:rPr>
          <w:tab/>
        </w:r>
        <w:r w:rsidR="00E41770">
          <w:rPr>
            <w:noProof/>
            <w:webHidden/>
          </w:rPr>
          <w:fldChar w:fldCharType="begin"/>
        </w:r>
        <w:r w:rsidR="00E41770">
          <w:rPr>
            <w:noProof/>
            <w:webHidden/>
          </w:rPr>
          <w:instrText xml:space="preserve"> PAGEREF _Toc419977503 \h </w:instrText>
        </w:r>
        <w:r w:rsidR="00E41770">
          <w:rPr>
            <w:noProof/>
            <w:webHidden/>
          </w:rPr>
        </w:r>
        <w:r w:rsidR="00E41770">
          <w:rPr>
            <w:noProof/>
            <w:webHidden/>
          </w:rPr>
          <w:fldChar w:fldCharType="separate"/>
        </w:r>
        <w:r w:rsidR="000B2725">
          <w:rPr>
            <w:noProof/>
            <w:webHidden/>
          </w:rPr>
          <w:t>5</w:t>
        </w:r>
        <w:r w:rsidR="00E41770">
          <w:rPr>
            <w:noProof/>
            <w:webHidden/>
          </w:rPr>
          <w:fldChar w:fldCharType="end"/>
        </w:r>
      </w:hyperlink>
    </w:p>
    <w:p w14:paraId="6008DEAB" w14:textId="77777777" w:rsidR="00E41770" w:rsidRDefault="008D5276">
      <w:pPr>
        <w:pStyle w:val="TOC2"/>
        <w:tabs>
          <w:tab w:val="left" w:pos="880"/>
          <w:tab w:val="right" w:leader="dot" w:pos="9060"/>
        </w:tabs>
        <w:rPr>
          <w:rFonts w:eastAsiaTheme="minorEastAsia" w:cstheme="minorBidi"/>
          <w:smallCaps w:val="0"/>
          <w:noProof/>
          <w:sz w:val="22"/>
          <w:szCs w:val="22"/>
          <w:lang w:eastAsia="en-GB" w:bidi="ar-SA"/>
        </w:rPr>
      </w:pPr>
      <w:hyperlink w:anchor="_Toc419977504" w:history="1">
        <w:r w:rsidR="00E41770" w:rsidRPr="00312C72">
          <w:rPr>
            <w:rStyle w:val="Hyperlink"/>
            <w:noProof/>
          </w:rPr>
          <w:t>2.3</w:t>
        </w:r>
        <w:r w:rsidR="00E41770">
          <w:rPr>
            <w:rFonts w:eastAsiaTheme="minorEastAsia" w:cstheme="minorBidi"/>
            <w:smallCaps w:val="0"/>
            <w:noProof/>
            <w:sz w:val="22"/>
            <w:szCs w:val="22"/>
            <w:lang w:eastAsia="en-GB" w:bidi="ar-SA"/>
          </w:rPr>
          <w:tab/>
        </w:r>
        <w:r w:rsidR="00E41770" w:rsidRPr="00312C72">
          <w:rPr>
            <w:rStyle w:val="Hyperlink"/>
            <w:noProof/>
          </w:rPr>
          <w:t>Risk communication</w:t>
        </w:r>
        <w:r w:rsidR="00E41770">
          <w:rPr>
            <w:noProof/>
            <w:webHidden/>
          </w:rPr>
          <w:tab/>
        </w:r>
        <w:r w:rsidR="00E41770">
          <w:rPr>
            <w:noProof/>
            <w:webHidden/>
          </w:rPr>
          <w:fldChar w:fldCharType="begin"/>
        </w:r>
        <w:r w:rsidR="00E41770">
          <w:rPr>
            <w:noProof/>
            <w:webHidden/>
          </w:rPr>
          <w:instrText xml:space="preserve"> PAGEREF _Toc419977504 \h </w:instrText>
        </w:r>
        <w:r w:rsidR="00E41770">
          <w:rPr>
            <w:noProof/>
            <w:webHidden/>
          </w:rPr>
        </w:r>
        <w:r w:rsidR="00E41770">
          <w:rPr>
            <w:noProof/>
            <w:webHidden/>
          </w:rPr>
          <w:fldChar w:fldCharType="separate"/>
        </w:r>
        <w:r w:rsidR="000B2725">
          <w:rPr>
            <w:noProof/>
            <w:webHidden/>
          </w:rPr>
          <w:t>5</w:t>
        </w:r>
        <w:r w:rsidR="00E41770">
          <w:rPr>
            <w:noProof/>
            <w:webHidden/>
          </w:rPr>
          <w:fldChar w:fldCharType="end"/>
        </w:r>
      </w:hyperlink>
    </w:p>
    <w:p w14:paraId="4F53365D" w14:textId="77777777" w:rsidR="00E41770" w:rsidRDefault="008D5276">
      <w:pPr>
        <w:pStyle w:val="TOC3"/>
        <w:tabs>
          <w:tab w:val="left" w:pos="1100"/>
          <w:tab w:val="right" w:leader="dot" w:pos="9060"/>
        </w:tabs>
        <w:rPr>
          <w:rFonts w:eastAsiaTheme="minorEastAsia" w:cstheme="minorBidi"/>
          <w:i w:val="0"/>
          <w:iCs w:val="0"/>
          <w:noProof/>
          <w:sz w:val="22"/>
          <w:szCs w:val="22"/>
          <w:lang w:eastAsia="en-GB" w:bidi="ar-SA"/>
        </w:rPr>
      </w:pPr>
      <w:hyperlink w:anchor="_Toc419977505" w:history="1">
        <w:r w:rsidR="00E41770" w:rsidRPr="00312C72">
          <w:rPr>
            <w:rStyle w:val="Hyperlink"/>
            <w:noProof/>
          </w:rPr>
          <w:t>2.3.1</w:t>
        </w:r>
        <w:r w:rsidR="00E41770">
          <w:rPr>
            <w:rFonts w:eastAsiaTheme="minorEastAsia" w:cstheme="minorBidi"/>
            <w:i w:val="0"/>
            <w:iCs w:val="0"/>
            <w:noProof/>
            <w:sz w:val="22"/>
            <w:szCs w:val="22"/>
            <w:lang w:eastAsia="en-GB" w:bidi="ar-SA"/>
          </w:rPr>
          <w:tab/>
        </w:r>
        <w:r w:rsidR="00E41770" w:rsidRPr="00312C72">
          <w:rPr>
            <w:rStyle w:val="Hyperlink"/>
            <w:noProof/>
          </w:rPr>
          <w:t>Consultation</w:t>
        </w:r>
        <w:r w:rsidR="00E41770">
          <w:rPr>
            <w:noProof/>
            <w:webHidden/>
          </w:rPr>
          <w:tab/>
        </w:r>
        <w:r w:rsidR="00E41770">
          <w:rPr>
            <w:noProof/>
            <w:webHidden/>
          </w:rPr>
          <w:fldChar w:fldCharType="begin"/>
        </w:r>
        <w:r w:rsidR="00E41770">
          <w:rPr>
            <w:noProof/>
            <w:webHidden/>
          </w:rPr>
          <w:instrText xml:space="preserve"> PAGEREF _Toc419977505 \h </w:instrText>
        </w:r>
        <w:r w:rsidR="00E41770">
          <w:rPr>
            <w:noProof/>
            <w:webHidden/>
          </w:rPr>
        </w:r>
        <w:r w:rsidR="00E41770">
          <w:rPr>
            <w:noProof/>
            <w:webHidden/>
          </w:rPr>
          <w:fldChar w:fldCharType="separate"/>
        </w:r>
        <w:r w:rsidR="000B2725">
          <w:rPr>
            <w:noProof/>
            <w:webHidden/>
          </w:rPr>
          <w:t>5</w:t>
        </w:r>
        <w:r w:rsidR="00E41770">
          <w:rPr>
            <w:noProof/>
            <w:webHidden/>
          </w:rPr>
          <w:fldChar w:fldCharType="end"/>
        </w:r>
      </w:hyperlink>
    </w:p>
    <w:p w14:paraId="46596B5F" w14:textId="77777777" w:rsidR="00E41770" w:rsidRDefault="008D5276">
      <w:pPr>
        <w:pStyle w:val="TOC3"/>
        <w:tabs>
          <w:tab w:val="left" w:pos="1100"/>
          <w:tab w:val="right" w:leader="dot" w:pos="9060"/>
        </w:tabs>
        <w:rPr>
          <w:rFonts w:eastAsiaTheme="minorEastAsia" w:cstheme="minorBidi"/>
          <w:i w:val="0"/>
          <w:iCs w:val="0"/>
          <w:noProof/>
          <w:sz w:val="22"/>
          <w:szCs w:val="22"/>
          <w:lang w:eastAsia="en-GB" w:bidi="ar-SA"/>
        </w:rPr>
      </w:pPr>
      <w:hyperlink w:anchor="_Toc419977506" w:history="1">
        <w:r w:rsidR="00E41770" w:rsidRPr="00312C72">
          <w:rPr>
            <w:rStyle w:val="Hyperlink"/>
            <w:noProof/>
          </w:rPr>
          <w:t>2.3.2</w:t>
        </w:r>
        <w:r w:rsidR="00E41770">
          <w:rPr>
            <w:rFonts w:eastAsiaTheme="minorEastAsia" w:cstheme="minorBidi"/>
            <w:i w:val="0"/>
            <w:iCs w:val="0"/>
            <w:noProof/>
            <w:sz w:val="22"/>
            <w:szCs w:val="22"/>
            <w:lang w:eastAsia="en-GB" w:bidi="ar-SA"/>
          </w:rPr>
          <w:tab/>
        </w:r>
        <w:r w:rsidR="00E41770" w:rsidRPr="00312C72">
          <w:rPr>
            <w:rStyle w:val="Hyperlink"/>
            <w:noProof/>
          </w:rPr>
          <w:t>World Trade Organization (WTO)</w:t>
        </w:r>
        <w:r w:rsidR="00E41770">
          <w:rPr>
            <w:noProof/>
            <w:webHidden/>
          </w:rPr>
          <w:tab/>
        </w:r>
        <w:r w:rsidR="00E41770">
          <w:rPr>
            <w:noProof/>
            <w:webHidden/>
          </w:rPr>
          <w:fldChar w:fldCharType="begin"/>
        </w:r>
        <w:r w:rsidR="00E41770">
          <w:rPr>
            <w:noProof/>
            <w:webHidden/>
          </w:rPr>
          <w:instrText xml:space="preserve"> PAGEREF _Toc419977506 \h </w:instrText>
        </w:r>
        <w:r w:rsidR="00E41770">
          <w:rPr>
            <w:noProof/>
            <w:webHidden/>
          </w:rPr>
        </w:r>
        <w:r w:rsidR="00E41770">
          <w:rPr>
            <w:noProof/>
            <w:webHidden/>
          </w:rPr>
          <w:fldChar w:fldCharType="separate"/>
        </w:r>
        <w:r w:rsidR="000B2725">
          <w:rPr>
            <w:noProof/>
            <w:webHidden/>
          </w:rPr>
          <w:t>6</w:t>
        </w:r>
        <w:r w:rsidR="00E41770">
          <w:rPr>
            <w:noProof/>
            <w:webHidden/>
          </w:rPr>
          <w:fldChar w:fldCharType="end"/>
        </w:r>
      </w:hyperlink>
    </w:p>
    <w:p w14:paraId="6F78F054" w14:textId="77777777" w:rsidR="00E41770" w:rsidRDefault="008D5276">
      <w:pPr>
        <w:pStyle w:val="TOC2"/>
        <w:tabs>
          <w:tab w:val="left" w:pos="880"/>
          <w:tab w:val="right" w:leader="dot" w:pos="9060"/>
        </w:tabs>
        <w:rPr>
          <w:rFonts w:eastAsiaTheme="minorEastAsia" w:cstheme="minorBidi"/>
          <w:smallCaps w:val="0"/>
          <w:noProof/>
          <w:sz w:val="22"/>
          <w:szCs w:val="22"/>
          <w:lang w:eastAsia="en-GB" w:bidi="ar-SA"/>
        </w:rPr>
      </w:pPr>
      <w:hyperlink w:anchor="_Toc419977507" w:history="1">
        <w:r w:rsidR="00E41770" w:rsidRPr="00312C72">
          <w:rPr>
            <w:rStyle w:val="Hyperlink"/>
            <w:noProof/>
          </w:rPr>
          <w:t>2.4</w:t>
        </w:r>
        <w:r w:rsidR="00E41770">
          <w:rPr>
            <w:rFonts w:eastAsiaTheme="minorEastAsia" w:cstheme="minorBidi"/>
            <w:smallCaps w:val="0"/>
            <w:noProof/>
            <w:sz w:val="22"/>
            <w:szCs w:val="22"/>
            <w:lang w:eastAsia="en-GB" w:bidi="ar-SA"/>
          </w:rPr>
          <w:tab/>
        </w:r>
        <w:r w:rsidR="00E41770" w:rsidRPr="00312C72">
          <w:rPr>
            <w:rStyle w:val="Hyperlink"/>
            <w:noProof/>
          </w:rPr>
          <w:t>FSANZ Act assessment requirements</w:t>
        </w:r>
        <w:r w:rsidR="00E41770">
          <w:rPr>
            <w:noProof/>
            <w:webHidden/>
          </w:rPr>
          <w:tab/>
        </w:r>
        <w:r w:rsidR="00E41770">
          <w:rPr>
            <w:noProof/>
            <w:webHidden/>
          </w:rPr>
          <w:fldChar w:fldCharType="begin"/>
        </w:r>
        <w:r w:rsidR="00E41770">
          <w:rPr>
            <w:noProof/>
            <w:webHidden/>
          </w:rPr>
          <w:instrText xml:space="preserve"> PAGEREF _Toc419977507 \h </w:instrText>
        </w:r>
        <w:r w:rsidR="00E41770">
          <w:rPr>
            <w:noProof/>
            <w:webHidden/>
          </w:rPr>
        </w:r>
        <w:r w:rsidR="00E41770">
          <w:rPr>
            <w:noProof/>
            <w:webHidden/>
          </w:rPr>
          <w:fldChar w:fldCharType="separate"/>
        </w:r>
        <w:r w:rsidR="000B2725">
          <w:rPr>
            <w:noProof/>
            <w:webHidden/>
          </w:rPr>
          <w:t>6</w:t>
        </w:r>
        <w:r w:rsidR="00E41770">
          <w:rPr>
            <w:noProof/>
            <w:webHidden/>
          </w:rPr>
          <w:fldChar w:fldCharType="end"/>
        </w:r>
      </w:hyperlink>
    </w:p>
    <w:p w14:paraId="0DA8B809" w14:textId="77777777" w:rsidR="00E41770" w:rsidRDefault="008D5276">
      <w:pPr>
        <w:pStyle w:val="TOC3"/>
        <w:tabs>
          <w:tab w:val="left" w:pos="1100"/>
          <w:tab w:val="right" w:leader="dot" w:pos="9060"/>
        </w:tabs>
        <w:rPr>
          <w:rFonts w:eastAsiaTheme="minorEastAsia" w:cstheme="minorBidi"/>
          <w:i w:val="0"/>
          <w:iCs w:val="0"/>
          <w:noProof/>
          <w:sz w:val="22"/>
          <w:szCs w:val="22"/>
          <w:lang w:eastAsia="en-GB" w:bidi="ar-SA"/>
        </w:rPr>
      </w:pPr>
      <w:hyperlink w:anchor="_Toc419977508" w:history="1">
        <w:r w:rsidR="00E41770" w:rsidRPr="00312C72">
          <w:rPr>
            <w:rStyle w:val="Hyperlink"/>
            <w:noProof/>
          </w:rPr>
          <w:t>2.4.1</w:t>
        </w:r>
        <w:r w:rsidR="00E41770">
          <w:rPr>
            <w:rFonts w:eastAsiaTheme="minorEastAsia" w:cstheme="minorBidi"/>
            <w:i w:val="0"/>
            <w:iCs w:val="0"/>
            <w:noProof/>
            <w:sz w:val="22"/>
            <w:szCs w:val="22"/>
            <w:lang w:eastAsia="en-GB" w:bidi="ar-SA"/>
          </w:rPr>
          <w:tab/>
        </w:r>
        <w:r w:rsidR="00E41770" w:rsidRPr="00312C72">
          <w:rPr>
            <w:rStyle w:val="Hyperlink"/>
            <w:noProof/>
          </w:rPr>
          <w:t>Section 59</w:t>
        </w:r>
        <w:r w:rsidR="00E41770">
          <w:rPr>
            <w:noProof/>
            <w:webHidden/>
          </w:rPr>
          <w:tab/>
        </w:r>
        <w:r w:rsidR="00E41770">
          <w:rPr>
            <w:noProof/>
            <w:webHidden/>
          </w:rPr>
          <w:fldChar w:fldCharType="begin"/>
        </w:r>
        <w:r w:rsidR="00E41770">
          <w:rPr>
            <w:noProof/>
            <w:webHidden/>
          </w:rPr>
          <w:instrText xml:space="preserve"> PAGEREF _Toc419977508 \h </w:instrText>
        </w:r>
        <w:r w:rsidR="00E41770">
          <w:rPr>
            <w:noProof/>
            <w:webHidden/>
          </w:rPr>
        </w:r>
        <w:r w:rsidR="00E41770">
          <w:rPr>
            <w:noProof/>
            <w:webHidden/>
          </w:rPr>
          <w:fldChar w:fldCharType="separate"/>
        </w:r>
        <w:r w:rsidR="000B2725">
          <w:rPr>
            <w:noProof/>
            <w:webHidden/>
          </w:rPr>
          <w:t>6</w:t>
        </w:r>
        <w:r w:rsidR="00E41770">
          <w:rPr>
            <w:noProof/>
            <w:webHidden/>
          </w:rPr>
          <w:fldChar w:fldCharType="end"/>
        </w:r>
      </w:hyperlink>
    </w:p>
    <w:p w14:paraId="1CA8EBF1" w14:textId="77777777" w:rsidR="00E41770" w:rsidRDefault="008D5276">
      <w:pPr>
        <w:pStyle w:val="TOC3"/>
        <w:tabs>
          <w:tab w:val="left" w:pos="1100"/>
          <w:tab w:val="right" w:leader="dot" w:pos="9060"/>
        </w:tabs>
        <w:rPr>
          <w:rFonts w:eastAsiaTheme="minorEastAsia" w:cstheme="minorBidi"/>
          <w:i w:val="0"/>
          <w:iCs w:val="0"/>
          <w:noProof/>
          <w:sz w:val="22"/>
          <w:szCs w:val="22"/>
          <w:lang w:eastAsia="en-GB" w:bidi="ar-SA"/>
        </w:rPr>
      </w:pPr>
      <w:hyperlink w:anchor="_Toc419977509" w:history="1">
        <w:r w:rsidR="00E41770" w:rsidRPr="00312C72">
          <w:rPr>
            <w:rStyle w:val="Hyperlink"/>
            <w:noProof/>
          </w:rPr>
          <w:t>2.4.2</w:t>
        </w:r>
        <w:r w:rsidR="00E41770">
          <w:rPr>
            <w:rFonts w:eastAsiaTheme="minorEastAsia" w:cstheme="minorBidi"/>
            <w:i w:val="0"/>
            <w:iCs w:val="0"/>
            <w:noProof/>
            <w:sz w:val="22"/>
            <w:szCs w:val="22"/>
            <w:lang w:eastAsia="en-GB" w:bidi="ar-SA"/>
          </w:rPr>
          <w:tab/>
        </w:r>
        <w:r w:rsidR="00E41770" w:rsidRPr="00312C72">
          <w:rPr>
            <w:rStyle w:val="Hyperlink"/>
            <w:noProof/>
          </w:rPr>
          <w:t>Subsection 18(1)</w:t>
        </w:r>
        <w:r w:rsidR="00E41770">
          <w:rPr>
            <w:noProof/>
            <w:webHidden/>
          </w:rPr>
          <w:tab/>
        </w:r>
        <w:r w:rsidR="00E41770">
          <w:rPr>
            <w:noProof/>
            <w:webHidden/>
          </w:rPr>
          <w:fldChar w:fldCharType="begin"/>
        </w:r>
        <w:r w:rsidR="00E41770">
          <w:rPr>
            <w:noProof/>
            <w:webHidden/>
          </w:rPr>
          <w:instrText xml:space="preserve"> PAGEREF _Toc419977509 \h </w:instrText>
        </w:r>
        <w:r w:rsidR="00E41770">
          <w:rPr>
            <w:noProof/>
            <w:webHidden/>
          </w:rPr>
        </w:r>
        <w:r w:rsidR="00E41770">
          <w:rPr>
            <w:noProof/>
            <w:webHidden/>
          </w:rPr>
          <w:fldChar w:fldCharType="separate"/>
        </w:r>
        <w:r w:rsidR="000B2725">
          <w:rPr>
            <w:noProof/>
            <w:webHidden/>
          </w:rPr>
          <w:t>7</w:t>
        </w:r>
        <w:r w:rsidR="00E41770">
          <w:rPr>
            <w:noProof/>
            <w:webHidden/>
          </w:rPr>
          <w:fldChar w:fldCharType="end"/>
        </w:r>
      </w:hyperlink>
    </w:p>
    <w:p w14:paraId="177038A5" w14:textId="77777777" w:rsidR="00E41770" w:rsidRDefault="008D5276">
      <w:pPr>
        <w:pStyle w:val="TOC3"/>
        <w:tabs>
          <w:tab w:val="left" w:pos="1100"/>
          <w:tab w:val="right" w:leader="dot" w:pos="9060"/>
        </w:tabs>
        <w:rPr>
          <w:rFonts w:eastAsiaTheme="minorEastAsia" w:cstheme="minorBidi"/>
          <w:i w:val="0"/>
          <w:iCs w:val="0"/>
          <w:noProof/>
          <w:sz w:val="22"/>
          <w:szCs w:val="22"/>
          <w:lang w:eastAsia="en-GB" w:bidi="ar-SA"/>
        </w:rPr>
      </w:pPr>
      <w:hyperlink w:anchor="_Toc419977510" w:history="1">
        <w:r w:rsidR="00E41770" w:rsidRPr="00312C72">
          <w:rPr>
            <w:rStyle w:val="Hyperlink"/>
            <w:noProof/>
          </w:rPr>
          <w:t>2.4.3</w:t>
        </w:r>
        <w:r w:rsidR="00E41770">
          <w:rPr>
            <w:rFonts w:eastAsiaTheme="minorEastAsia" w:cstheme="minorBidi"/>
            <w:i w:val="0"/>
            <w:iCs w:val="0"/>
            <w:noProof/>
            <w:sz w:val="22"/>
            <w:szCs w:val="22"/>
            <w:lang w:eastAsia="en-GB" w:bidi="ar-SA"/>
          </w:rPr>
          <w:tab/>
        </w:r>
        <w:r w:rsidR="00E41770" w:rsidRPr="00312C72">
          <w:rPr>
            <w:rStyle w:val="Hyperlink"/>
            <w:noProof/>
          </w:rPr>
          <w:t>Subsection 18(2) considerations</w:t>
        </w:r>
        <w:r w:rsidR="00E41770">
          <w:rPr>
            <w:noProof/>
            <w:webHidden/>
          </w:rPr>
          <w:tab/>
        </w:r>
        <w:r w:rsidR="00E41770">
          <w:rPr>
            <w:noProof/>
            <w:webHidden/>
          </w:rPr>
          <w:fldChar w:fldCharType="begin"/>
        </w:r>
        <w:r w:rsidR="00E41770">
          <w:rPr>
            <w:noProof/>
            <w:webHidden/>
          </w:rPr>
          <w:instrText xml:space="preserve"> PAGEREF _Toc419977510 \h </w:instrText>
        </w:r>
        <w:r w:rsidR="00E41770">
          <w:rPr>
            <w:noProof/>
            <w:webHidden/>
          </w:rPr>
        </w:r>
        <w:r w:rsidR="00E41770">
          <w:rPr>
            <w:noProof/>
            <w:webHidden/>
          </w:rPr>
          <w:fldChar w:fldCharType="separate"/>
        </w:r>
        <w:r w:rsidR="000B2725">
          <w:rPr>
            <w:noProof/>
            <w:webHidden/>
          </w:rPr>
          <w:t>7</w:t>
        </w:r>
        <w:r w:rsidR="00E41770">
          <w:rPr>
            <w:noProof/>
            <w:webHidden/>
          </w:rPr>
          <w:fldChar w:fldCharType="end"/>
        </w:r>
      </w:hyperlink>
    </w:p>
    <w:p w14:paraId="4739DF58" w14:textId="77777777" w:rsidR="00E41770" w:rsidRDefault="008D5276">
      <w:pPr>
        <w:pStyle w:val="TOC1"/>
        <w:tabs>
          <w:tab w:val="left" w:pos="440"/>
          <w:tab w:val="right" w:leader="dot" w:pos="9060"/>
        </w:tabs>
        <w:rPr>
          <w:rFonts w:eastAsiaTheme="minorEastAsia" w:cstheme="minorBidi"/>
          <w:b w:val="0"/>
          <w:bCs w:val="0"/>
          <w:caps w:val="0"/>
          <w:noProof/>
          <w:sz w:val="22"/>
          <w:szCs w:val="22"/>
          <w:lang w:eastAsia="en-GB" w:bidi="ar-SA"/>
        </w:rPr>
      </w:pPr>
      <w:hyperlink w:anchor="_Toc419977511" w:history="1">
        <w:r w:rsidR="00E41770" w:rsidRPr="00312C72">
          <w:rPr>
            <w:rStyle w:val="Hyperlink"/>
            <w:noProof/>
          </w:rPr>
          <w:t>3</w:t>
        </w:r>
        <w:r w:rsidR="00E41770">
          <w:rPr>
            <w:rFonts w:eastAsiaTheme="minorEastAsia" w:cstheme="minorBidi"/>
            <w:b w:val="0"/>
            <w:bCs w:val="0"/>
            <w:caps w:val="0"/>
            <w:noProof/>
            <w:sz w:val="22"/>
            <w:szCs w:val="22"/>
            <w:lang w:eastAsia="en-GB" w:bidi="ar-SA"/>
          </w:rPr>
          <w:tab/>
        </w:r>
        <w:r w:rsidR="00E41770" w:rsidRPr="00312C72">
          <w:rPr>
            <w:rStyle w:val="Hyperlink"/>
            <w:noProof/>
          </w:rPr>
          <w:t>Draft variation</w:t>
        </w:r>
        <w:r w:rsidR="00E41770">
          <w:rPr>
            <w:noProof/>
            <w:webHidden/>
          </w:rPr>
          <w:tab/>
        </w:r>
        <w:r w:rsidR="00E41770">
          <w:rPr>
            <w:noProof/>
            <w:webHidden/>
          </w:rPr>
          <w:fldChar w:fldCharType="begin"/>
        </w:r>
        <w:r w:rsidR="00E41770">
          <w:rPr>
            <w:noProof/>
            <w:webHidden/>
          </w:rPr>
          <w:instrText xml:space="preserve"> PAGEREF _Toc419977511 \h </w:instrText>
        </w:r>
        <w:r w:rsidR="00E41770">
          <w:rPr>
            <w:noProof/>
            <w:webHidden/>
          </w:rPr>
        </w:r>
        <w:r w:rsidR="00E41770">
          <w:rPr>
            <w:noProof/>
            <w:webHidden/>
          </w:rPr>
          <w:fldChar w:fldCharType="separate"/>
        </w:r>
        <w:r w:rsidR="000B2725">
          <w:rPr>
            <w:noProof/>
            <w:webHidden/>
          </w:rPr>
          <w:t>8</w:t>
        </w:r>
        <w:r w:rsidR="00E41770">
          <w:rPr>
            <w:noProof/>
            <w:webHidden/>
          </w:rPr>
          <w:fldChar w:fldCharType="end"/>
        </w:r>
      </w:hyperlink>
    </w:p>
    <w:p w14:paraId="1239FECD" w14:textId="77777777" w:rsidR="00E41770" w:rsidRDefault="008D5276">
      <w:pPr>
        <w:pStyle w:val="TOC2"/>
        <w:tabs>
          <w:tab w:val="left" w:pos="880"/>
          <w:tab w:val="right" w:leader="dot" w:pos="9060"/>
        </w:tabs>
        <w:rPr>
          <w:rFonts w:eastAsiaTheme="minorEastAsia" w:cstheme="minorBidi"/>
          <w:smallCaps w:val="0"/>
          <w:noProof/>
          <w:sz w:val="22"/>
          <w:szCs w:val="22"/>
          <w:lang w:eastAsia="en-GB" w:bidi="ar-SA"/>
        </w:rPr>
      </w:pPr>
      <w:hyperlink w:anchor="_Toc419977512" w:history="1">
        <w:r w:rsidR="00E41770" w:rsidRPr="00312C72">
          <w:rPr>
            <w:rStyle w:val="Hyperlink"/>
            <w:noProof/>
          </w:rPr>
          <w:t>3.1</w:t>
        </w:r>
        <w:r w:rsidR="00E41770">
          <w:rPr>
            <w:rFonts w:eastAsiaTheme="minorEastAsia" w:cstheme="minorBidi"/>
            <w:smallCaps w:val="0"/>
            <w:noProof/>
            <w:sz w:val="22"/>
            <w:szCs w:val="22"/>
            <w:lang w:eastAsia="en-GB" w:bidi="ar-SA"/>
          </w:rPr>
          <w:tab/>
        </w:r>
        <w:r w:rsidR="00E41770" w:rsidRPr="00312C72">
          <w:rPr>
            <w:rStyle w:val="Hyperlink"/>
            <w:noProof/>
          </w:rPr>
          <w:t>Transitional arrangements</w:t>
        </w:r>
        <w:r w:rsidR="00E41770">
          <w:rPr>
            <w:noProof/>
            <w:webHidden/>
          </w:rPr>
          <w:tab/>
        </w:r>
        <w:r w:rsidR="00E41770">
          <w:rPr>
            <w:noProof/>
            <w:webHidden/>
          </w:rPr>
          <w:fldChar w:fldCharType="begin"/>
        </w:r>
        <w:r w:rsidR="00E41770">
          <w:rPr>
            <w:noProof/>
            <w:webHidden/>
          </w:rPr>
          <w:instrText xml:space="preserve"> PAGEREF _Toc419977512 \h </w:instrText>
        </w:r>
        <w:r w:rsidR="00E41770">
          <w:rPr>
            <w:noProof/>
            <w:webHidden/>
          </w:rPr>
        </w:r>
        <w:r w:rsidR="00E41770">
          <w:rPr>
            <w:noProof/>
            <w:webHidden/>
          </w:rPr>
          <w:fldChar w:fldCharType="separate"/>
        </w:r>
        <w:r w:rsidR="000B2725">
          <w:rPr>
            <w:noProof/>
            <w:webHidden/>
          </w:rPr>
          <w:t>9</w:t>
        </w:r>
        <w:r w:rsidR="00E41770">
          <w:rPr>
            <w:noProof/>
            <w:webHidden/>
          </w:rPr>
          <w:fldChar w:fldCharType="end"/>
        </w:r>
      </w:hyperlink>
    </w:p>
    <w:p w14:paraId="55F0AB0E" w14:textId="77777777" w:rsidR="00E41770" w:rsidRDefault="008D5276">
      <w:pPr>
        <w:pStyle w:val="TOC3"/>
        <w:tabs>
          <w:tab w:val="left" w:pos="1100"/>
          <w:tab w:val="right" w:leader="dot" w:pos="9060"/>
        </w:tabs>
        <w:rPr>
          <w:rFonts w:eastAsiaTheme="minorEastAsia" w:cstheme="minorBidi"/>
          <w:i w:val="0"/>
          <w:iCs w:val="0"/>
          <w:noProof/>
          <w:sz w:val="22"/>
          <w:szCs w:val="22"/>
          <w:lang w:eastAsia="en-GB" w:bidi="ar-SA"/>
        </w:rPr>
      </w:pPr>
      <w:hyperlink w:anchor="_Toc419977513" w:history="1">
        <w:r w:rsidR="00E41770" w:rsidRPr="00312C72">
          <w:rPr>
            <w:rStyle w:val="Hyperlink"/>
            <w:noProof/>
          </w:rPr>
          <w:t>3.1.1</w:t>
        </w:r>
        <w:r w:rsidR="00E41770">
          <w:rPr>
            <w:rFonts w:eastAsiaTheme="minorEastAsia" w:cstheme="minorBidi"/>
            <w:i w:val="0"/>
            <w:iCs w:val="0"/>
            <w:noProof/>
            <w:sz w:val="22"/>
            <w:szCs w:val="22"/>
            <w:lang w:eastAsia="en-GB" w:bidi="ar-SA"/>
          </w:rPr>
          <w:tab/>
        </w:r>
        <w:r w:rsidR="00E41770" w:rsidRPr="00312C72">
          <w:rPr>
            <w:rStyle w:val="Hyperlink"/>
            <w:noProof/>
          </w:rPr>
          <w:t>Transitional arrangements for Code Revision</w:t>
        </w:r>
        <w:r w:rsidR="00E41770">
          <w:rPr>
            <w:noProof/>
            <w:webHidden/>
          </w:rPr>
          <w:tab/>
        </w:r>
        <w:r w:rsidR="00E41770">
          <w:rPr>
            <w:noProof/>
            <w:webHidden/>
          </w:rPr>
          <w:fldChar w:fldCharType="begin"/>
        </w:r>
        <w:r w:rsidR="00E41770">
          <w:rPr>
            <w:noProof/>
            <w:webHidden/>
          </w:rPr>
          <w:instrText xml:space="preserve"> PAGEREF _Toc419977513 \h </w:instrText>
        </w:r>
        <w:r w:rsidR="00E41770">
          <w:rPr>
            <w:noProof/>
            <w:webHidden/>
          </w:rPr>
        </w:r>
        <w:r w:rsidR="00E41770">
          <w:rPr>
            <w:noProof/>
            <w:webHidden/>
          </w:rPr>
          <w:fldChar w:fldCharType="separate"/>
        </w:r>
        <w:r w:rsidR="000B2725">
          <w:rPr>
            <w:noProof/>
            <w:webHidden/>
          </w:rPr>
          <w:t>9</w:t>
        </w:r>
        <w:r w:rsidR="00E41770">
          <w:rPr>
            <w:noProof/>
            <w:webHidden/>
          </w:rPr>
          <w:fldChar w:fldCharType="end"/>
        </w:r>
      </w:hyperlink>
    </w:p>
    <w:p w14:paraId="0CDF14DA" w14:textId="77777777" w:rsidR="00E41770" w:rsidRDefault="008D5276">
      <w:pPr>
        <w:pStyle w:val="TOC2"/>
        <w:tabs>
          <w:tab w:val="right" w:leader="dot" w:pos="9060"/>
        </w:tabs>
        <w:rPr>
          <w:rFonts w:eastAsiaTheme="minorEastAsia" w:cstheme="minorBidi"/>
          <w:smallCaps w:val="0"/>
          <w:noProof/>
          <w:sz w:val="22"/>
          <w:szCs w:val="22"/>
          <w:lang w:eastAsia="en-GB" w:bidi="ar-SA"/>
        </w:rPr>
      </w:pPr>
      <w:hyperlink w:anchor="_Toc419977514" w:history="1">
        <w:r w:rsidR="00E41770" w:rsidRPr="00312C72">
          <w:rPr>
            <w:rStyle w:val="Hyperlink"/>
            <w:noProof/>
          </w:rPr>
          <w:t xml:space="preserve">Attachment A – Draft variation to the </w:t>
        </w:r>
        <w:r w:rsidR="00E41770" w:rsidRPr="00312C72">
          <w:rPr>
            <w:rStyle w:val="Hyperlink"/>
            <w:i/>
            <w:noProof/>
          </w:rPr>
          <w:t>Australia New Zealand Food Standards Code</w:t>
        </w:r>
        <w:r w:rsidR="00E41770">
          <w:rPr>
            <w:noProof/>
            <w:webHidden/>
          </w:rPr>
          <w:tab/>
        </w:r>
        <w:r w:rsidR="00E41770">
          <w:rPr>
            <w:noProof/>
            <w:webHidden/>
          </w:rPr>
          <w:fldChar w:fldCharType="begin"/>
        </w:r>
        <w:r w:rsidR="00E41770">
          <w:rPr>
            <w:noProof/>
            <w:webHidden/>
          </w:rPr>
          <w:instrText xml:space="preserve"> PAGEREF _Toc419977514 \h </w:instrText>
        </w:r>
        <w:r w:rsidR="00E41770">
          <w:rPr>
            <w:noProof/>
            <w:webHidden/>
          </w:rPr>
        </w:r>
        <w:r w:rsidR="00E41770">
          <w:rPr>
            <w:noProof/>
            <w:webHidden/>
          </w:rPr>
          <w:fldChar w:fldCharType="separate"/>
        </w:r>
        <w:r w:rsidR="000B2725">
          <w:rPr>
            <w:noProof/>
            <w:webHidden/>
          </w:rPr>
          <w:t>10</w:t>
        </w:r>
        <w:r w:rsidR="00E41770">
          <w:rPr>
            <w:noProof/>
            <w:webHidden/>
          </w:rPr>
          <w:fldChar w:fldCharType="end"/>
        </w:r>
      </w:hyperlink>
    </w:p>
    <w:p w14:paraId="652F9DB9" w14:textId="77777777" w:rsidR="00E41770" w:rsidRDefault="008D5276">
      <w:pPr>
        <w:pStyle w:val="TOC2"/>
        <w:tabs>
          <w:tab w:val="right" w:leader="dot" w:pos="9060"/>
        </w:tabs>
        <w:rPr>
          <w:rFonts w:eastAsiaTheme="minorEastAsia" w:cstheme="minorBidi"/>
          <w:smallCaps w:val="0"/>
          <w:noProof/>
          <w:sz w:val="22"/>
          <w:szCs w:val="22"/>
          <w:lang w:eastAsia="en-GB" w:bidi="ar-SA"/>
        </w:rPr>
      </w:pPr>
      <w:hyperlink w:anchor="_Toc419977515" w:history="1">
        <w:r w:rsidR="00E41770" w:rsidRPr="00312C72">
          <w:rPr>
            <w:rStyle w:val="Hyperlink"/>
            <w:noProof/>
          </w:rPr>
          <w:t>Draft Explanatory Statement</w:t>
        </w:r>
        <w:r w:rsidR="00E41770">
          <w:rPr>
            <w:noProof/>
            <w:webHidden/>
          </w:rPr>
          <w:tab/>
        </w:r>
        <w:r w:rsidR="00E41770">
          <w:rPr>
            <w:noProof/>
            <w:webHidden/>
          </w:rPr>
          <w:fldChar w:fldCharType="begin"/>
        </w:r>
        <w:r w:rsidR="00E41770">
          <w:rPr>
            <w:noProof/>
            <w:webHidden/>
          </w:rPr>
          <w:instrText xml:space="preserve"> PAGEREF _Toc419977515 \h </w:instrText>
        </w:r>
        <w:r w:rsidR="00E41770">
          <w:rPr>
            <w:noProof/>
            <w:webHidden/>
          </w:rPr>
        </w:r>
        <w:r w:rsidR="00E41770">
          <w:rPr>
            <w:noProof/>
            <w:webHidden/>
          </w:rPr>
          <w:fldChar w:fldCharType="separate"/>
        </w:r>
        <w:r w:rsidR="000B2725">
          <w:rPr>
            <w:noProof/>
            <w:webHidden/>
          </w:rPr>
          <w:t>12</w:t>
        </w:r>
        <w:r w:rsidR="00E41770">
          <w:rPr>
            <w:noProof/>
            <w:webHidden/>
          </w:rPr>
          <w:fldChar w:fldCharType="end"/>
        </w:r>
      </w:hyperlink>
    </w:p>
    <w:p w14:paraId="2292F9FC" w14:textId="77777777" w:rsidR="00051ED9" w:rsidRPr="0059227F" w:rsidRDefault="00051ED9" w:rsidP="00051ED9">
      <w:pPr>
        <w:rPr>
          <w:rFonts w:cs="Arial"/>
        </w:rPr>
      </w:pPr>
      <w:r w:rsidRPr="0059227F">
        <w:rPr>
          <w:rFonts w:cs="Arial"/>
        </w:rPr>
        <w:fldChar w:fldCharType="end"/>
      </w:r>
    </w:p>
    <w:p w14:paraId="2292F9FD" w14:textId="77777777" w:rsidR="00D73931" w:rsidRPr="00E203C2" w:rsidRDefault="00D73931" w:rsidP="00051ED9"/>
    <w:p w14:paraId="2292F9FE" w14:textId="7E9E3073" w:rsidR="0037520F" w:rsidRPr="008844E4" w:rsidRDefault="0037520F" w:rsidP="0037520F">
      <w:pPr>
        <w:rPr>
          <w:b/>
          <w:szCs w:val="22"/>
        </w:rPr>
      </w:pPr>
      <w:r w:rsidRPr="008844E4">
        <w:rPr>
          <w:b/>
          <w:szCs w:val="22"/>
        </w:rPr>
        <w:t>Supporting document</w:t>
      </w:r>
    </w:p>
    <w:p w14:paraId="2292F9FF" w14:textId="77777777" w:rsidR="0037520F" w:rsidRPr="0089264A" w:rsidRDefault="0037520F" w:rsidP="0037520F">
      <w:pPr>
        <w:rPr>
          <w:szCs w:val="22"/>
        </w:rPr>
      </w:pPr>
    </w:p>
    <w:p w14:paraId="2292FA00" w14:textId="39BF2A3B" w:rsidR="0037520F" w:rsidRPr="0043466C" w:rsidRDefault="0037520F" w:rsidP="0037520F">
      <w:pPr>
        <w:rPr>
          <w:szCs w:val="22"/>
        </w:rPr>
      </w:pPr>
      <w:r w:rsidRPr="0089264A">
        <w:rPr>
          <w:szCs w:val="22"/>
        </w:rPr>
        <w:t xml:space="preserve">The following </w:t>
      </w:r>
      <w:r>
        <w:rPr>
          <w:szCs w:val="22"/>
        </w:rPr>
        <w:t>document</w:t>
      </w:r>
      <w:r w:rsidRPr="0089264A">
        <w:rPr>
          <w:szCs w:val="22"/>
        </w:rPr>
        <w:t xml:space="preserve"> </w:t>
      </w:r>
      <w:r w:rsidR="00681754">
        <w:rPr>
          <w:szCs w:val="22"/>
        </w:rPr>
        <w:t xml:space="preserve">which informed the assessment of </w:t>
      </w:r>
      <w:r w:rsidR="00681754" w:rsidRPr="00CA1DF1">
        <w:rPr>
          <w:szCs w:val="22"/>
        </w:rPr>
        <w:t>this Proposal</w:t>
      </w:r>
      <w:r w:rsidRPr="00CA1DF1">
        <w:rPr>
          <w:szCs w:val="22"/>
        </w:rPr>
        <w:t xml:space="preserve"> </w:t>
      </w:r>
      <w:r w:rsidR="006C17B7">
        <w:rPr>
          <w:szCs w:val="22"/>
        </w:rPr>
        <w:t>is</w:t>
      </w:r>
      <w:r w:rsidR="006C17B7" w:rsidRPr="0089264A">
        <w:rPr>
          <w:szCs w:val="22"/>
        </w:rPr>
        <w:t xml:space="preserve"> </w:t>
      </w:r>
      <w:r w:rsidRPr="0089264A">
        <w:rPr>
          <w:szCs w:val="22"/>
        </w:rPr>
        <w:t>available on the FSANZ website at</w:t>
      </w:r>
      <w:r w:rsidRPr="0089264A">
        <w:rPr>
          <w:color w:val="FF0000"/>
          <w:szCs w:val="22"/>
        </w:rPr>
        <w:t xml:space="preserve"> </w:t>
      </w:r>
      <w:hyperlink r:id="rId21" w:history="1">
        <w:r w:rsidR="0043466C" w:rsidRPr="00822279">
          <w:rPr>
            <w:rStyle w:val="Hyperlink"/>
            <w:szCs w:val="22"/>
          </w:rPr>
          <w:t>http://www.foodstandards.gov.au/code/proposals/Pages/M1012-MRLs.aspx</w:t>
        </w:r>
      </w:hyperlink>
    </w:p>
    <w:p w14:paraId="2292FA01" w14:textId="18DC73D8" w:rsidR="0089264A" w:rsidRPr="0089264A" w:rsidRDefault="0089264A" w:rsidP="0089264A">
      <w:pPr>
        <w:rPr>
          <w:szCs w:val="22"/>
        </w:rPr>
      </w:pPr>
    </w:p>
    <w:p w14:paraId="2292FA02" w14:textId="77AC257D" w:rsidR="0089264A" w:rsidRDefault="0089264A" w:rsidP="003A7725">
      <w:pPr>
        <w:ind w:left="1134" w:hanging="1134"/>
      </w:pPr>
      <w:r w:rsidRPr="00861FF8">
        <w:t>SD1</w:t>
      </w:r>
      <w:r w:rsidRPr="00861FF8">
        <w:tab/>
      </w:r>
      <w:r w:rsidR="00325CE2" w:rsidRPr="00861FF8">
        <w:t>MRLs proposed for coumatetralyl and warfarin and dietary exposure estimates</w:t>
      </w:r>
      <w:r w:rsidR="00325CE2">
        <w:t xml:space="preserve"> for the Australian population </w:t>
      </w:r>
    </w:p>
    <w:p w14:paraId="58515AD1" w14:textId="0F9138A0" w:rsidR="00CE6BB9" w:rsidRPr="00861FF8" w:rsidRDefault="00CE6BB9" w:rsidP="003A7725">
      <w:pPr>
        <w:ind w:left="1134" w:hanging="1134"/>
      </w:pPr>
    </w:p>
    <w:p w14:paraId="2292FA03" w14:textId="77777777" w:rsidR="00051ED9" w:rsidRDefault="00562917" w:rsidP="00772BDC">
      <w:r w:rsidRPr="00E203C2">
        <w:br w:type="page"/>
      </w:r>
    </w:p>
    <w:p w14:paraId="2292FA04" w14:textId="77777777" w:rsidR="00E063C6" w:rsidRDefault="00F33BB8" w:rsidP="000A5DF8">
      <w:pPr>
        <w:pStyle w:val="Heading1"/>
      </w:pPr>
      <w:bookmarkStart w:id="1" w:name="_Toc286391001"/>
      <w:bookmarkStart w:id="2" w:name="_Toc300933414"/>
      <w:bookmarkStart w:id="3" w:name="_Toc419977494"/>
      <w:bookmarkStart w:id="4" w:name="_Toc11735627"/>
      <w:bookmarkStart w:id="5" w:name="_Toc29883110"/>
      <w:bookmarkStart w:id="6" w:name="_Toc41906797"/>
      <w:bookmarkStart w:id="7" w:name="_Toc41907544"/>
      <w:bookmarkStart w:id="8" w:name="_Toc120358575"/>
      <w:r>
        <w:lastRenderedPageBreak/>
        <w:t>E</w:t>
      </w:r>
      <w:r w:rsidR="0037520F">
        <w:t>xecutive s</w:t>
      </w:r>
      <w:r w:rsidR="00E063C6" w:rsidRPr="00E203C2">
        <w:t>ummary</w:t>
      </w:r>
      <w:bookmarkEnd w:id="1"/>
      <w:bookmarkEnd w:id="2"/>
      <w:bookmarkEnd w:id="3"/>
    </w:p>
    <w:p w14:paraId="2292FA05" w14:textId="22273382" w:rsidR="00861FF8" w:rsidRPr="006C17B7" w:rsidRDefault="00861FF8" w:rsidP="00861FF8">
      <w:pPr>
        <w:widowControl/>
        <w:autoSpaceDE w:val="0"/>
        <w:autoSpaceDN w:val="0"/>
        <w:adjustRightInd w:val="0"/>
        <w:rPr>
          <w:rFonts w:cs="Arial"/>
          <w:szCs w:val="22"/>
          <w:lang w:eastAsia="en-GB" w:bidi="ar-SA"/>
        </w:rPr>
      </w:pPr>
      <w:r w:rsidRPr="006C17B7">
        <w:rPr>
          <w:rFonts w:cs="Arial"/>
          <w:szCs w:val="22"/>
          <w:lang w:eastAsia="en-GB" w:bidi="ar-SA"/>
        </w:rPr>
        <w:t xml:space="preserve">The purpose of this Proposal is to consider incorporating </w:t>
      </w:r>
      <w:r w:rsidR="0055093D" w:rsidRPr="006C17B7">
        <w:rPr>
          <w:rFonts w:cs="Arial"/>
          <w:szCs w:val="22"/>
          <w:lang w:eastAsia="en-GB" w:bidi="ar-SA"/>
        </w:rPr>
        <w:t xml:space="preserve">temporary </w:t>
      </w:r>
      <w:r w:rsidRPr="006C17B7">
        <w:rPr>
          <w:rFonts w:cs="Arial"/>
          <w:szCs w:val="22"/>
          <w:lang w:eastAsia="en-GB" w:bidi="ar-SA"/>
        </w:rPr>
        <w:t xml:space="preserve">maximum residue limits (MRLs) for </w:t>
      </w:r>
      <w:r w:rsidR="006516A1" w:rsidRPr="006C17B7">
        <w:rPr>
          <w:rFonts w:cs="Arial"/>
          <w:szCs w:val="22"/>
          <w:lang w:eastAsia="en-GB" w:bidi="ar-SA"/>
        </w:rPr>
        <w:t xml:space="preserve">the </w:t>
      </w:r>
      <w:r w:rsidRPr="006C17B7">
        <w:rPr>
          <w:rFonts w:cs="Arial"/>
          <w:szCs w:val="22"/>
          <w:lang w:eastAsia="en-GB" w:bidi="ar-SA"/>
        </w:rPr>
        <w:t xml:space="preserve">agricultural and veterinary </w:t>
      </w:r>
      <w:r w:rsidR="006867E0" w:rsidRPr="006C17B7">
        <w:rPr>
          <w:rFonts w:cs="Arial"/>
          <w:szCs w:val="22"/>
          <w:lang w:eastAsia="en-GB" w:bidi="ar-SA"/>
        </w:rPr>
        <w:t>(</w:t>
      </w:r>
      <w:proofErr w:type="spellStart"/>
      <w:r w:rsidR="006867E0" w:rsidRPr="006C17B7">
        <w:rPr>
          <w:rFonts w:cs="Arial"/>
          <w:szCs w:val="22"/>
          <w:lang w:eastAsia="en-GB" w:bidi="ar-SA"/>
        </w:rPr>
        <w:t>agvet</w:t>
      </w:r>
      <w:proofErr w:type="spellEnd"/>
      <w:r w:rsidR="006867E0" w:rsidRPr="006C17B7">
        <w:rPr>
          <w:rFonts w:cs="Arial"/>
          <w:szCs w:val="22"/>
          <w:lang w:eastAsia="en-GB" w:bidi="ar-SA"/>
        </w:rPr>
        <w:t xml:space="preserve">) </w:t>
      </w:r>
      <w:r w:rsidRPr="00CA1DF1">
        <w:rPr>
          <w:lang w:eastAsia="en-GB"/>
        </w:rPr>
        <w:t xml:space="preserve">chemicals </w:t>
      </w:r>
      <w:r w:rsidR="006516A1">
        <w:rPr>
          <w:lang w:eastAsia="en-GB"/>
        </w:rPr>
        <w:t xml:space="preserve">coumatetralyl and warfarin. </w:t>
      </w:r>
      <w:r w:rsidR="000B0F63">
        <w:rPr>
          <w:lang w:eastAsia="en-GB"/>
        </w:rPr>
        <w:t xml:space="preserve">The changes would align </w:t>
      </w:r>
      <w:r w:rsidR="000B0F63">
        <w:t xml:space="preserve">with </w:t>
      </w:r>
      <w:r w:rsidR="00C43CB7">
        <w:t xml:space="preserve">the temporary MRLs that have been set by the APVMA. </w:t>
      </w:r>
      <w:r w:rsidR="00C55781">
        <w:rPr>
          <w:lang w:eastAsia="en-GB"/>
        </w:rPr>
        <w:t>Low levels of t</w:t>
      </w:r>
      <w:r w:rsidR="006516A1">
        <w:rPr>
          <w:lang w:eastAsia="en-GB"/>
        </w:rPr>
        <w:t xml:space="preserve">hese </w:t>
      </w:r>
      <w:proofErr w:type="spellStart"/>
      <w:r w:rsidR="006516A1">
        <w:rPr>
          <w:lang w:eastAsia="en-GB"/>
        </w:rPr>
        <w:t>agvet</w:t>
      </w:r>
      <w:proofErr w:type="spellEnd"/>
      <w:r w:rsidR="006516A1">
        <w:rPr>
          <w:lang w:eastAsia="en-GB"/>
        </w:rPr>
        <w:t xml:space="preserve"> chemicals</w:t>
      </w:r>
      <w:r w:rsidR="00C55781">
        <w:rPr>
          <w:lang w:eastAsia="en-GB"/>
        </w:rPr>
        <w:t xml:space="preserve">, which </w:t>
      </w:r>
      <w:r w:rsidR="00A91D25">
        <w:rPr>
          <w:lang w:eastAsia="en-GB"/>
        </w:rPr>
        <w:t>are rodenticides</w:t>
      </w:r>
      <w:r w:rsidR="00C55781">
        <w:rPr>
          <w:lang w:eastAsia="en-GB"/>
        </w:rPr>
        <w:t>,</w:t>
      </w:r>
      <w:r w:rsidR="00A91D25">
        <w:rPr>
          <w:lang w:eastAsia="en-GB"/>
        </w:rPr>
        <w:t xml:space="preserve"> </w:t>
      </w:r>
      <w:r w:rsidRPr="00CA1DF1">
        <w:rPr>
          <w:lang w:eastAsia="en-GB"/>
        </w:rPr>
        <w:t xml:space="preserve">may </w:t>
      </w:r>
      <w:r w:rsidR="001D7A55">
        <w:rPr>
          <w:lang w:eastAsia="en-GB"/>
        </w:rPr>
        <w:t>inadvertently</w:t>
      </w:r>
      <w:r w:rsidR="001D7A55" w:rsidRPr="00CA1DF1">
        <w:rPr>
          <w:lang w:eastAsia="en-GB"/>
        </w:rPr>
        <w:t xml:space="preserve"> </w:t>
      </w:r>
      <w:r w:rsidRPr="00CA1DF1">
        <w:rPr>
          <w:lang w:eastAsia="en-GB"/>
        </w:rPr>
        <w:t>occur in</w:t>
      </w:r>
      <w:r w:rsidR="006516A1">
        <w:rPr>
          <w:lang w:eastAsia="en-GB"/>
        </w:rPr>
        <w:t xml:space="preserve"> pork commodities</w:t>
      </w:r>
      <w:r w:rsidR="002667FC">
        <w:rPr>
          <w:lang w:eastAsia="en-GB"/>
        </w:rPr>
        <w:t xml:space="preserve">. </w:t>
      </w:r>
      <w:r w:rsidR="006516A1">
        <w:rPr>
          <w:lang w:eastAsia="en-GB"/>
        </w:rPr>
        <w:t xml:space="preserve">MRLs will be listed </w:t>
      </w:r>
      <w:r w:rsidRPr="00CA1DF1">
        <w:rPr>
          <w:lang w:eastAsia="en-GB"/>
        </w:rPr>
        <w:t xml:space="preserve">in Standard 1.4.2 </w:t>
      </w:r>
      <w:r w:rsidR="006C17B7">
        <w:rPr>
          <w:rFonts w:cs="Arial"/>
          <w:szCs w:val="22"/>
          <w:lang w:eastAsia="en-GB" w:bidi="ar-SA"/>
        </w:rPr>
        <w:t xml:space="preserve">in </w:t>
      </w:r>
      <w:r w:rsidRPr="006C17B7">
        <w:rPr>
          <w:rFonts w:cs="Arial"/>
          <w:szCs w:val="22"/>
          <w:lang w:eastAsia="en-GB" w:bidi="ar-SA"/>
        </w:rPr>
        <w:t xml:space="preserve">the </w:t>
      </w:r>
      <w:r w:rsidRPr="006C17B7">
        <w:rPr>
          <w:rFonts w:cs="Arial"/>
          <w:i/>
          <w:iCs/>
          <w:szCs w:val="22"/>
          <w:lang w:eastAsia="en-GB" w:bidi="ar-SA"/>
        </w:rPr>
        <w:t>Australia New Zealand</w:t>
      </w:r>
      <w:r w:rsidRPr="006C17B7">
        <w:rPr>
          <w:rFonts w:cs="Arial"/>
          <w:szCs w:val="22"/>
          <w:lang w:eastAsia="en-GB" w:bidi="ar-SA"/>
        </w:rPr>
        <w:t xml:space="preserve"> </w:t>
      </w:r>
      <w:r w:rsidRPr="006C17B7">
        <w:rPr>
          <w:rFonts w:cs="Arial"/>
          <w:i/>
          <w:iCs/>
          <w:szCs w:val="22"/>
          <w:lang w:eastAsia="en-GB" w:bidi="ar-SA"/>
        </w:rPr>
        <w:t xml:space="preserve">Food Standards Code </w:t>
      </w:r>
      <w:r w:rsidRPr="006C17B7">
        <w:rPr>
          <w:rFonts w:cs="Arial"/>
          <w:szCs w:val="22"/>
          <w:lang w:eastAsia="en-GB" w:bidi="ar-SA"/>
        </w:rPr>
        <w:t>(the Code).</w:t>
      </w:r>
    </w:p>
    <w:p w14:paraId="2292FA06" w14:textId="77777777" w:rsidR="00861FF8" w:rsidRPr="006C17B7" w:rsidRDefault="00861FF8" w:rsidP="00861FF8">
      <w:pPr>
        <w:widowControl/>
        <w:autoSpaceDE w:val="0"/>
        <w:autoSpaceDN w:val="0"/>
        <w:adjustRightInd w:val="0"/>
        <w:rPr>
          <w:rFonts w:cs="Arial"/>
          <w:szCs w:val="22"/>
          <w:lang w:eastAsia="en-GB" w:bidi="ar-SA"/>
        </w:rPr>
      </w:pPr>
    </w:p>
    <w:p w14:paraId="2292FA07" w14:textId="7EE0B0FF" w:rsidR="00861FF8" w:rsidRPr="00CA1DF1" w:rsidRDefault="00861FF8" w:rsidP="00861FF8">
      <w:pPr>
        <w:widowControl/>
        <w:autoSpaceDE w:val="0"/>
        <w:autoSpaceDN w:val="0"/>
        <w:adjustRightInd w:val="0"/>
        <w:rPr>
          <w:lang w:eastAsia="en-GB"/>
        </w:rPr>
      </w:pPr>
      <w:r w:rsidRPr="006C17B7">
        <w:rPr>
          <w:rFonts w:cs="Arial"/>
          <w:szCs w:val="22"/>
          <w:lang w:eastAsia="en-GB" w:bidi="ar-SA"/>
        </w:rPr>
        <w:t xml:space="preserve">Standard 1.4.2 lists the MRLs for </w:t>
      </w:r>
      <w:proofErr w:type="spellStart"/>
      <w:r w:rsidRPr="006C17B7">
        <w:rPr>
          <w:rFonts w:cs="Arial"/>
          <w:szCs w:val="22"/>
          <w:lang w:eastAsia="en-GB" w:bidi="ar-SA"/>
        </w:rPr>
        <w:t>ag</w:t>
      </w:r>
      <w:r w:rsidR="00196688" w:rsidRPr="00CA1DF1">
        <w:rPr>
          <w:lang w:eastAsia="en-GB"/>
        </w:rPr>
        <w:t>vet</w:t>
      </w:r>
      <w:proofErr w:type="spellEnd"/>
      <w:r w:rsidR="00196688" w:rsidRPr="00CA1DF1">
        <w:rPr>
          <w:lang w:eastAsia="en-GB"/>
        </w:rPr>
        <w:t xml:space="preserve"> </w:t>
      </w:r>
      <w:r w:rsidRPr="00CA1DF1">
        <w:rPr>
          <w:lang w:eastAsia="en-GB"/>
        </w:rPr>
        <w:t xml:space="preserve">chemical residues. </w:t>
      </w:r>
      <w:r w:rsidR="00BE5D19">
        <w:rPr>
          <w:lang w:eastAsia="en-GB"/>
        </w:rPr>
        <w:t xml:space="preserve">Maximum </w:t>
      </w:r>
      <w:r w:rsidR="00BE5D19">
        <w:t>l</w:t>
      </w:r>
      <w:r w:rsidRPr="00CA1DF1">
        <w:t xml:space="preserve">imits prescribed in the Code </w:t>
      </w:r>
      <w:r w:rsidR="002667FC">
        <w:t>are a</w:t>
      </w:r>
      <w:r w:rsidRPr="00CA1DF1">
        <w:t xml:space="preserve"> mandatory requirement applying to all food products of a particular class whether produced domestically or imported.</w:t>
      </w:r>
    </w:p>
    <w:p w14:paraId="2292FA08" w14:textId="77777777" w:rsidR="00861FF8" w:rsidRPr="00CA1DF1" w:rsidRDefault="00861FF8" w:rsidP="00861FF8">
      <w:pPr>
        <w:widowControl/>
        <w:autoSpaceDE w:val="0"/>
        <w:autoSpaceDN w:val="0"/>
        <w:adjustRightInd w:val="0"/>
        <w:rPr>
          <w:lang w:eastAsia="en-GB"/>
        </w:rPr>
      </w:pPr>
    </w:p>
    <w:p w14:paraId="2292FA09" w14:textId="7C504C04" w:rsidR="00861FF8" w:rsidRPr="00CA1DF1" w:rsidRDefault="00861FF8" w:rsidP="00861FF8">
      <w:pPr>
        <w:widowControl/>
        <w:autoSpaceDE w:val="0"/>
        <w:autoSpaceDN w:val="0"/>
        <w:adjustRightInd w:val="0"/>
        <w:rPr>
          <w:lang w:eastAsia="en-GB"/>
        </w:rPr>
      </w:pPr>
      <w:r w:rsidRPr="00CA1DF1">
        <w:rPr>
          <w:lang w:eastAsia="en-GB"/>
        </w:rPr>
        <w:t>The Proposal includes consideration of MRLs gazetted by the Australian Pesticides and Veterinary Medicines Authority (APVMA)</w:t>
      </w:r>
      <w:r w:rsidR="00406A7C">
        <w:rPr>
          <w:lang w:eastAsia="en-GB"/>
        </w:rPr>
        <w:t xml:space="preserve"> and aligns Standard 1.4.2 with the APVMA’s Agricultural and Veterinary Chemicals Code Instrument No.4 (MRL Standard).</w:t>
      </w:r>
      <w:r w:rsidRPr="00CA1DF1">
        <w:rPr>
          <w:lang w:eastAsia="en-GB"/>
        </w:rPr>
        <w:t xml:space="preserve"> The MRLs considered in this Proposal are for the </w:t>
      </w:r>
      <w:proofErr w:type="spellStart"/>
      <w:r w:rsidR="00C55781">
        <w:rPr>
          <w:lang w:eastAsia="en-GB"/>
        </w:rPr>
        <w:t>agvet</w:t>
      </w:r>
      <w:proofErr w:type="spellEnd"/>
      <w:r w:rsidR="00C55781">
        <w:rPr>
          <w:lang w:eastAsia="en-GB"/>
        </w:rPr>
        <w:t xml:space="preserve"> </w:t>
      </w:r>
      <w:r w:rsidRPr="00CA1DF1">
        <w:rPr>
          <w:lang w:eastAsia="en-GB"/>
        </w:rPr>
        <w:t>chemicals coumatetralyl and warfarin</w:t>
      </w:r>
      <w:r w:rsidR="00406A7C">
        <w:rPr>
          <w:lang w:eastAsia="en-GB"/>
        </w:rPr>
        <w:t xml:space="preserve"> in pork commodities</w:t>
      </w:r>
      <w:r w:rsidRPr="00CA1DF1">
        <w:rPr>
          <w:lang w:eastAsia="en-GB"/>
        </w:rPr>
        <w:t xml:space="preserve">. </w:t>
      </w:r>
    </w:p>
    <w:p w14:paraId="2292FA0A" w14:textId="77777777" w:rsidR="00861FF8" w:rsidRPr="00CA1DF1" w:rsidRDefault="00861FF8" w:rsidP="00861FF8">
      <w:pPr>
        <w:widowControl/>
        <w:autoSpaceDE w:val="0"/>
        <w:autoSpaceDN w:val="0"/>
        <w:adjustRightInd w:val="0"/>
        <w:rPr>
          <w:rFonts w:cs="Arial"/>
          <w:szCs w:val="22"/>
          <w:lang w:eastAsia="en-GB" w:bidi="ar-SA"/>
        </w:rPr>
      </w:pPr>
    </w:p>
    <w:p w14:paraId="2292FA0B" w14:textId="48DE3684" w:rsidR="00861FF8" w:rsidRPr="00CA1DF1" w:rsidRDefault="00861FF8" w:rsidP="00861FF8">
      <w:pPr>
        <w:widowControl/>
        <w:autoSpaceDE w:val="0"/>
        <w:autoSpaceDN w:val="0"/>
        <w:adjustRightInd w:val="0"/>
        <w:rPr>
          <w:rFonts w:cs="Arial"/>
          <w:szCs w:val="22"/>
          <w:lang w:eastAsia="en-GB" w:bidi="ar-SA"/>
        </w:rPr>
      </w:pPr>
      <w:r w:rsidRPr="00CA1DF1">
        <w:rPr>
          <w:rFonts w:cs="Arial"/>
          <w:szCs w:val="22"/>
          <w:lang w:eastAsia="en-GB" w:bidi="ar-SA"/>
        </w:rPr>
        <w:t xml:space="preserve">Dietary exposure assessments (DEAs) indicate that the proposed limits for the </w:t>
      </w:r>
      <w:proofErr w:type="spellStart"/>
      <w:r w:rsidRPr="00CA1DF1">
        <w:rPr>
          <w:rFonts w:cs="Arial"/>
          <w:szCs w:val="22"/>
          <w:lang w:eastAsia="en-GB" w:bidi="ar-SA"/>
        </w:rPr>
        <w:t>ag</w:t>
      </w:r>
      <w:r w:rsidR="00196688" w:rsidRPr="00CA1DF1">
        <w:rPr>
          <w:rFonts w:cs="Arial"/>
          <w:szCs w:val="22"/>
          <w:lang w:eastAsia="en-GB" w:bidi="ar-SA"/>
        </w:rPr>
        <w:t>vet</w:t>
      </w:r>
      <w:proofErr w:type="spellEnd"/>
      <w:r w:rsidR="00196688" w:rsidRPr="00CA1DF1">
        <w:rPr>
          <w:rFonts w:cs="Arial"/>
          <w:szCs w:val="22"/>
          <w:lang w:eastAsia="en-GB" w:bidi="ar-SA"/>
        </w:rPr>
        <w:t xml:space="preserve"> </w:t>
      </w:r>
      <w:r w:rsidRPr="00CA1DF1">
        <w:rPr>
          <w:rFonts w:cs="Arial"/>
          <w:szCs w:val="22"/>
          <w:lang w:eastAsia="en-GB" w:bidi="ar-SA"/>
        </w:rPr>
        <w:t>chemical residues of interest do not present any public health and safety concerns in relation to relevant health-based guidance values</w:t>
      </w:r>
      <w:r w:rsidR="004427CD">
        <w:rPr>
          <w:rFonts w:cs="Arial"/>
          <w:szCs w:val="22"/>
          <w:lang w:eastAsia="en-GB" w:bidi="ar-SA"/>
        </w:rPr>
        <w:t xml:space="preserve"> (HBGVs)</w:t>
      </w:r>
      <w:r w:rsidRPr="00CA1DF1">
        <w:rPr>
          <w:rFonts w:cs="Arial"/>
          <w:szCs w:val="22"/>
          <w:lang w:eastAsia="en-GB" w:bidi="ar-SA"/>
        </w:rPr>
        <w:t xml:space="preserve">. </w:t>
      </w:r>
    </w:p>
    <w:p w14:paraId="2292FA0C" w14:textId="77777777" w:rsidR="00861FF8" w:rsidRPr="00CA1DF1" w:rsidRDefault="00861FF8" w:rsidP="00861FF8">
      <w:pPr>
        <w:widowControl/>
        <w:autoSpaceDE w:val="0"/>
        <w:autoSpaceDN w:val="0"/>
        <w:adjustRightInd w:val="0"/>
        <w:rPr>
          <w:rFonts w:cs="Arial"/>
          <w:szCs w:val="22"/>
          <w:lang w:eastAsia="en-GB" w:bidi="ar-SA"/>
        </w:rPr>
      </w:pPr>
    </w:p>
    <w:p w14:paraId="2292FA0D" w14:textId="12063526" w:rsidR="00861FF8" w:rsidRPr="00CA1DF1" w:rsidRDefault="00861FF8" w:rsidP="00861FF8">
      <w:pPr>
        <w:widowControl/>
        <w:autoSpaceDE w:val="0"/>
        <w:autoSpaceDN w:val="0"/>
        <w:adjustRightInd w:val="0"/>
        <w:rPr>
          <w:rFonts w:cs="Arial"/>
          <w:szCs w:val="22"/>
          <w:lang w:eastAsia="en-GB" w:bidi="ar-SA"/>
        </w:rPr>
      </w:pPr>
      <w:r w:rsidRPr="00CA1DF1">
        <w:rPr>
          <w:rFonts w:cs="Arial"/>
          <w:szCs w:val="22"/>
          <w:lang w:eastAsia="en-GB" w:bidi="ar-SA"/>
        </w:rPr>
        <w:t>Inclu</w:t>
      </w:r>
      <w:r w:rsidR="00196688" w:rsidRPr="00CA1DF1">
        <w:rPr>
          <w:rFonts w:cs="Arial"/>
          <w:szCs w:val="22"/>
          <w:lang w:eastAsia="en-GB" w:bidi="ar-SA"/>
        </w:rPr>
        <w:t xml:space="preserve">ding </w:t>
      </w:r>
      <w:r w:rsidRPr="00CA1DF1">
        <w:rPr>
          <w:rFonts w:cs="Arial"/>
          <w:szCs w:val="22"/>
          <w:lang w:eastAsia="en-GB" w:bidi="ar-SA"/>
        </w:rPr>
        <w:t>the MRLs in the Code as proposed will permit the sale of foods containing legitimate residues</w:t>
      </w:r>
      <w:r w:rsidR="00617811">
        <w:rPr>
          <w:rFonts w:cs="Arial"/>
          <w:szCs w:val="22"/>
          <w:lang w:eastAsia="en-GB" w:bidi="ar-SA"/>
        </w:rPr>
        <w:t xml:space="preserve">, </w:t>
      </w:r>
      <w:r w:rsidRPr="004A45DF">
        <w:rPr>
          <w:rFonts w:cs="Arial"/>
          <w:szCs w:val="22"/>
          <w:lang w:eastAsia="en-GB" w:bidi="ar-SA"/>
        </w:rPr>
        <w:t xml:space="preserve">protect public health and safety </w:t>
      </w:r>
      <w:r w:rsidRPr="00CA1DF1">
        <w:rPr>
          <w:rFonts w:cs="Arial"/>
          <w:szCs w:val="22"/>
          <w:lang w:eastAsia="en-GB" w:bidi="ar-SA"/>
        </w:rPr>
        <w:t>and minimise residues in foods consistent with the effective control of pests and diseases.</w:t>
      </w:r>
    </w:p>
    <w:p w14:paraId="2292FA0E" w14:textId="77777777" w:rsidR="00861FF8" w:rsidRPr="00CA1DF1" w:rsidRDefault="00861FF8" w:rsidP="00861FF8">
      <w:pPr>
        <w:widowControl/>
        <w:autoSpaceDE w:val="0"/>
        <w:autoSpaceDN w:val="0"/>
        <w:adjustRightInd w:val="0"/>
        <w:rPr>
          <w:rFonts w:cs="Arial"/>
          <w:szCs w:val="22"/>
          <w:lang w:eastAsia="en-GB" w:bidi="ar-SA"/>
        </w:rPr>
      </w:pPr>
    </w:p>
    <w:p w14:paraId="2292FA0F" w14:textId="300403FF" w:rsidR="00861FF8" w:rsidRPr="00CA1DF1" w:rsidRDefault="00861FF8" w:rsidP="00861FF8">
      <w:pPr>
        <w:widowControl/>
        <w:autoSpaceDE w:val="0"/>
        <w:autoSpaceDN w:val="0"/>
        <w:adjustRightInd w:val="0"/>
        <w:rPr>
          <w:rFonts w:cs="Arial"/>
          <w:i/>
          <w:iCs/>
          <w:szCs w:val="22"/>
          <w:lang w:eastAsia="en-GB" w:bidi="ar-SA"/>
        </w:rPr>
      </w:pPr>
      <w:r w:rsidRPr="00CA1DF1">
        <w:rPr>
          <w:rFonts w:cs="Arial"/>
          <w:szCs w:val="22"/>
          <w:lang w:eastAsia="en-GB" w:bidi="ar-SA"/>
        </w:rPr>
        <w:t xml:space="preserve">The </w:t>
      </w:r>
      <w:r w:rsidRPr="00CA1DF1">
        <w:rPr>
          <w:rFonts w:cs="Arial"/>
          <w:i/>
          <w:iCs/>
          <w:szCs w:val="22"/>
          <w:lang w:eastAsia="en-GB" w:bidi="ar-SA"/>
        </w:rPr>
        <w:t xml:space="preserve">Agreement between the Government of Australia and the Government of New Zealand concerning a Joint Food Standards System </w:t>
      </w:r>
      <w:r w:rsidRPr="00CA1DF1">
        <w:rPr>
          <w:rFonts w:cs="Arial"/>
          <w:szCs w:val="22"/>
          <w:lang w:eastAsia="en-GB" w:bidi="ar-SA"/>
        </w:rPr>
        <w:t xml:space="preserve">(the Treaty) excludes MRLs for </w:t>
      </w:r>
      <w:proofErr w:type="spellStart"/>
      <w:r w:rsidRPr="00CA1DF1">
        <w:rPr>
          <w:rFonts w:cs="Arial"/>
          <w:szCs w:val="22"/>
          <w:lang w:eastAsia="en-GB" w:bidi="ar-SA"/>
        </w:rPr>
        <w:t>ag</w:t>
      </w:r>
      <w:r w:rsidR="003E1505">
        <w:rPr>
          <w:rFonts w:cs="Arial"/>
          <w:szCs w:val="22"/>
          <w:lang w:eastAsia="en-GB" w:bidi="ar-SA"/>
        </w:rPr>
        <w:t>vet</w:t>
      </w:r>
      <w:proofErr w:type="spellEnd"/>
      <w:r w:rsidR="003E1505">
        <w:rPr>
          <w:rFonts w:cs="Arial"/>
          <w:szCs w:val="22"/>
          <w:lang w:eastAsia="en-GB" w:bidi="ar-SA"/>
        </w:rPr>
        <w:t xml:space="preserve"> </w:t>
      </w:r>
      <w:r w:rsidRPr="00CA1DF1">
        <w:rPr>
          <w:rFonts w:cs="Arial"/>
          <w:szCs w:val="22"/>
          <w:lang w:eastAsia="en-GB" w:bidi="ar-SA"/>
        </w:rPr>
        <w:t>chemicals in food from the system setting joint food standards.</w:t>
      </w:r>
    </w:p>
    <w:p w14:paraId="2292FA10" w14:textId="77777777" w:rsidR="00861FF8" w:rsidRPr="00CA1DF1" w:rsidRDefault="00861FF8" w:rsidP="00861FF8">
      <w:pPr>
        <w:widowControl/>
        <w:autoSpaceDE w:val="0"/>
        <w:autoSpaceDN w:val="0"/>
        <w:adjustRightInd w:val="0"/>
        <w:rPr>
          <w:rFonts w:cs="Arial"/>
          <w:szCs w:val="22"/>
          <w:lang w:eastAsia="en-GB" w:bidi="ar-SA"/>
        </w:rPr>
      </w:pPr>
    </w:p>
    <w:p w14:paraId="2292FA11" w14:textId="52E43C57" w:rsidR="00D73931" w:rsidRPr="00196688" w:rsidRDefault="00861FF8" w:rsidP="00861FF8">
      <w:pPr>
        <w:rPr>
          <w:lang w:bidi="ar-SA"/>
        </w:rPr>
      </w:pPr>
      <w:r w:rsidRPr="00CA1DF1">
        <w:rPr>
          <w:rFonts w:cs="Arial"/>
          <w:szCs w:val="22"/>
          <w:lang w:eastAsia="en-GB" w:bidi="ar-SA"/>
        </w:rPr>
        <w:t xml:space="preserve">FSANZ has made a </w:t>
      </w:r>
      <w:r w:rsidR="002667FC">
        <w:rPr>
          <w:rFonts w:cs="Arial"/>
          <w:szCs w:val="22"/>
          <w:lang w:eastAsia="en-GB" w:bidi="ar-SA"/>
        </w:rPr>
        <w:t>sa</w:t>
      </w:r>
      <w:r w:rsidR="002667FC" w:rsidRPr="00CA1DF1">
        <w:rPr>
          <w:rFonts w:cs="Arial"/>
          <w:szCs w:val="22"/>
          <w:lang w:eastAsia="en-GB" w:bidi="ar-SA"/>
        </w:rPr>
        <w:t xml:space="preserve">nitary </w:t>
      </w:r>
      <w:r w:rsidRPr="00CA1DF1">
        <w:rPr>
          <w:rFonts w:cs="Arial"/>
          <w:szCs w:val="22"/>
          <w:lang w:eastAsia="en-GB" w:bidi="ar-SA"/>
        </w:rPr>
        <w:t xml:space="preserve">and </w:t>
      </w:r>
      <w:proofErr w:type="spellStart"/>
      <w:r w:rsidR="002667FC">
        <w:rPr>
          <w:rFonts w:cs="Arial"/>
          <w:szCs w:val="22"/>
          <w:lang w:eastAsia="en-GB" w:bidi="ar-SA"/>
        </w:rPr>
        <w:t>p</w:t>
      </w:r>
      <w:r w:rsidRPr="00CA1DF1">
        <w:rPr>
          <w:rFonts w:cs="Arial"/>
          <w:szCs w:val="22"/>
          <w:lang w:eastAsia="en-GB" w:bidi="ar-SA"/>
        </w:rPr>
        <w:t>hytosanitary</w:t>
      </w:r>
      <w:proofErr w:type="spellEnd"/>
      <w:r w:rsidRPr="00CA1DF1">
        <w:rPr>
          <w:rFonts w:cs="Arial"/>
          <w:szCs w:val="22"/>
          <w:lang w:eastAsia="en-GB" w:bidi="ar-SA"/>
        </w:rPr>
        <w:t xml:space="preserve"> notification to the World Trade Organization (WTO).</w:t>
      </w:r>
    </w:p>
    <w:p w14:paraId="2292FA12" w14:textId="77777777" w:rsidR="0053464E" w:rsidRDefault="0053464E" w:rsidP="00A56E34">
      <w:bookmarkStart w:id="9" w:name="_Toc286391003"/>
      <w:r>
        <w:br w:type="page"/>
      </w:r>
    </w:p>
    <w:p w14:paraId="2292FA13" w14:textId="77777777" w:rsidR="002A5F8B" w:rsidRPr="000B6AF2" w:rsidRDefault="00F33BB8" w:rsidP="000B6AF2">
      <w:pPr>
        <w:pStyle w:val="Heading1"/>
      </w:pPr>
      <w:bookmarkStart w:id="10" w:name="_Toc300933417"/>
      <w:bookmarkStart w:id="11" w:name="_Toc419977495"/>
      <w:r>
        <w:lastRenderedPageBreak/>
        <w:t>1</w:t>
      </w:r>
      <w:r w:rsidR="001542D8">
        <w:tab/>
      </w:r>
      <w:r w:rsidR="002A5F8B" w:rsidRPr="000B6AF2">
        <w:t>Introduction</w:t>
      </w:r>
      <w:bookmarkEnd w:id="9"/>
      <w:bookmarkEnd w:id="10"/>
      <w:bookmarkEnd w:id="11"/>
    </w:p>
    <w:p w14:paraId="2292FA14" w14:textId="77777777" w:rsidR="0053464E" w:rsidRPr="0053464E" w:rsidRDefault="00F33BB8" w:rsidP="00A56E34">
      <w:pPr>
        <w:pStyle w:val="Heading2"/>
      </w:pPr>
      <w:bookmarkStart w:id="12" w:name="_Toc300761891"/>
      <w:bookmarkStart w:id="13" w:name="_Toc300933420"/>
      <w:bookmarkStart w:id="14" w:name="_Toc419977496"/>
      <w:r>
        <w:t>1</w:t>
      </w:r>
      <w:r w:rsidR="0053464E" w:rsidRPr="0053464E">
        <w:t>.</w:t>
      </w:r>
      <w:r w:rsidR="007E14EB">
        <w:t>1</w:t>
      </w:r>
      <w:r w:rsidR="0053464E" w:rsidRPr="0053464E">
        <w:tab/>
      </w:r>
      <w:r w:rsidR="0053464E" w:rsidRPr="006867E0">
        <w:t xml:space="preserve">The </w:t>
      </w:r>
      <w:bookmarkEnd w:id="12"/>
      <w:r w:rsidR="00256D65" w:rsidRPr="006867E0">
        <w:t>Proposal</w:t>
      </w:r>
      <w:bookmarkEnd w:id="13"/>
      <w:bookmarkEnd w:id="14"/>
    </w:p>
    <w:p w14:paraId="2292FA15" w14:textId="69618C7E" w:rsidR="0053464E" w:rsidRPr="006867E0" w:rsidRDefault="0053464E" w:rsidP="0053464E">
      <w:r w:rsidRPr="00CA1DF1">
        <w:t>T</w:t>
      </w:r>
      <w:r w:rsidR="006867E0" w:rsidRPr="00CA1DF1">
        <w:t xml:space="preserve">he Proposal was prepared to consider </w:t>
      </w:r>
      <w:r w:rsidR="001C4806">
        <w:t xml:space="preserve">introducing </w:t>
      </w:r>
      <w:r w:rsidR="006867E0" w:rsidRPr="00CA1DF1">
        <w:t xml:space="preserve">certain </w:t>
      </w:r>
      <w:r w:rsidR="001C4806">
        <w:t xml:space="preserve">temporary </w:t>
      </w:r>
      <w:r w:rsidR="006867E0" w:rsidRPr="00CA1DF1">
        <w:t xml:space="preserve">MRLs </w:t>
      </w:r>
      <w:r w:rsidR="001C4806">
        <w:t xml:space="preserve">for residues of </w:t>
      </w:r>
      <w:proofErr w:type="spellStart"/>
      <w:r w:rsidR="001C4806">
        <w:t>agvet</w:t>
      </w:r>
      <w:proofErr w:type="spellEnd"/>
      <w:r w:rsidR="001C4806">
        <w:t xml:space="preserve"> chemicals that may occur in food</w:t>
      </w:r>
      <w:r w:rsidR="00B27E4F">
        <w:t>,</w:t>
      </w:r>
      <w:r w:rsidR="001C4806">
        <w:t xml:space="preserve"> in order to align standards with the A</w:t>
      </w:r>
      <w:r w:rsidR="00B27E4F">
        <w:t xml:space="preserve">PVMA </w:t>
      </w:r>
      <w:r w:rsidR="001C4806">
        <w:t xml:space="preserve">temporary MRLs for coumatetralyl and warfarin in pork commodities. </w:t>
      </w:r>
    </w:p>
    <w:p w14:paraId="2292FA16" w14:textId="77777777" w:rsidR="0053464E" w:rsidRPr="0053464E" w:rsidRDefault="00F33BB8" w:rsidP="00A56E34">
      <w:pPr>
        <w:pStyle w:val="Heading2"/>
      </w:pPr>
      <w:bookmarkStart w:id="15" w:name="_Toc300761892"/>
      <w:bookmarkStart w:id="16" w:name="_Toc300933421"/>
      <w:bookmarkStart w:id="17" w:name="_Toc419977497"/>
      <w:r>
        <w:t>1</w:t>
      </w:r>
      <w:r w:rsidR="00A56E34">
        <w:t>.</w:t>
      </w:r>
      <w:r w:rsidR="007E14EB">
        <w:t>2</w:t>
      </w:r>
      <w:r w:rsidR="00A56E34">
        <w:tab/>
        <w:t>The c</w:t>
      </w:r>
      <w:r w:rsidR="0053464E" w:rsidRPr="0053464E">
        <w:t>urrent Standard</w:t>
      </w:r>
      <w:bookmarkEnd w:id="15"/>
      <w:bookmarkEnd w:id="16"/>
      <w:bookmarkEnd w:id="17"/>
    </w:p>
    <w:p w14:paraId="2292FA17" w14:textId="775682CC" w:rsidR="006867E0" w:rsidRPr="00443D9D" w:rsidRDefault="006867E0" w:rsidP="006867E0">
      <w:pPr>
        <w:widowControl/>
        <w:autoSpaceDE w:val="0"/>
        <w:autoSpaceDN w:val="0"/>
        <w:adjustRightInd w:val="0"/>
      </w:pPr>
      <w:r w:rsidRPr="00CA1DF1">
        <w:rPr>
          <w:rFonts w:cs="Arial"/>
          <w:szCs w:val="22"/>
          <w:lang w:eastAsia="en-GB" w:bidi="ar-SA"/>
        </w:rPr>
        <w:t xml:space="preserve">Standard 1.4.2 lists the limits for </w:t>
      </w:r>
      <w:proofErr w:type="spellStart"/>
      <w:r w:rsidRPr="00CA1DF1">
        <w:rPr>
          <w:rFonts w:cs="Arial"/>
          <w:szCs w:val="22"/>
          <w:lang w:eastAsia="en-GB" w:bidi="ar-SA"/>
        </w:rPr>
        <w:t>agvet</w:t>
      </w:r>
      <w:proofErr w:type="spellEnd"/>
      <w:r w:rsidRPr="00CA1DF1">
        <w:rPr>
          <w:rFonts w:cs="Arial"/>
          <w:szCs w:val="22"/>
          <w:lang w:eastAsia="en-GB" w:bidi="ar-SA"/>
        </w:rPr>
        <w:t xml:space="preserve"> chemical residues which may occur in foods. </w:t>
      </w:r>
      <w:r w:rsidR="002667FC">
        <w:rPr>
          <w:rFonts w:cs="Arial"/>
          <w:szCs w:val="22"/>
          <w:lang w:eastAsia="en-GB" w:bidi="ar-SA"/>
        </w:rPr>
        <w:t xml:space="preserve">These limits are </w:t>
      </w:r>
      <w:r w:rsidR="002667FC">
        <w:rPr>
          <w:noProof/>
        </w:rPr>
        <w:t>m</w:t>
      </w:r>
      <w:r w:rsidRPr="00CA1DF1">
        <w:rPr>
          <w:noProof/>
        </w:rPr>
        <w:t>andatory</w:t>
      </w:r>
      <w:r w:rsidR="002667FC">
        <w:rPr>
          <w:noProof/>
        </w:rPr>
        <w:t xml:space="preserve"> and apply </w:t>
      </w:r>
      <w:r w:rsidRPr="00CA1DF1">
        <w:rPr>
          <w:noProof/>
        </w:rPr>
        <w:t xml:space="preserve">to all food products of a particular class whether produced domestically or imported. Food products with residues exceeding the relevant limit listed in the Code cannot legally be supplied in Australia. This ensures </w:t>
      </w:r>
      <w:r w:rsidRPr="00CA1DF1">
        <w:t xml:space="preserve">that residues of </w:t>
      </w:r>
      <w:proofErr w:type="spellStart"/>
      <w:r w:rsidRPr="00CA1DF1">
        <w:t>agvet</w:t>
      </w:r>
      <w:proofErr w:type="spellEnd"/>
      <w:r w:rsidRPr="00CA1DF1">
        <w:t xml:space="preserve"> chemicals are kept as low as possible and </w:t>
      </w:r>
      <w:r w:rsidR="002667FC">
        <w:t xml:space="preserve">are </w:t>
      </w:r>
      <w:r w:rsidRPr="00CA1DF1">
        <w:t>consistent with the approved use of chemical products to control pests and diseases of plants and animals.</w:t>
      </w:r>
    </w:p>
    <w:p w14:paraId="2292FA18" w14:textId="77777777" w:rsidR="006867E0" w:rsidRDefault="006867E0" w:rsidP="00CA1DF1">
      <w:pPr>
        <w:pStyle w:val="Heading3"/>
      </w:pPr>
      <w:bookmarkStart w:id="18" w:name="_Toc419977498"/>
      <w:r>
        <w:t>1.2.1</w:t>
      </w:r>
      <w:r w:rsidR="00CA1DF1">
        <w:tab/>
      </w:r>
      <w:r>
        <w:t xml:space="preserve">Codex </w:t>
      </w:r>
      <w:proofErr w:type="spellStart"/>
      <w:r>
        <w:t>Alimentarius</w:t>
      </w:r>
      <w:proofErr w:type="spellEnd"/>
      <w:r>
        <w:t xml:space="preserve"> Commission Standards</w:t>
      </w:r>
      <w:bookmarkEnd w:id="18"/>
    </w:p>
    <w:p w14:paraId="2292FA19" w14:textId="17455BC7" w:rsidR="00CA1DF1" w:rsidRPr="00A102DE" w:rsidRDefault="00CA1DF1" w:rsidP="00CA1DF1">
      <w:pPr>
        <w:widowControl/>
        <w:autoSpaceDE w:val="0"/>
        <w:autoSpaceDN w:val="0"/>
        <w:adjustRightInd w:val="0"/>
        <w:rPr>
          <w:szCs w:val="22"/>
        </w:rPr>
      </w:pPr>
      <w:r w:rsidRPr="00A102DE">
        <w:rPr>
          <w:szCs w:val="22"/>
        </w:rPr>
        <w:t>Codex standards are used as the relevant international standard to determine whether a new or changed standa</w:t>
      </w:r>
      <w:r>
        <w:rPr>
          <w:szCs w:val="22"/>
        </w:rPr>
        <w:t>rd requires a WTO notification.</w:t>
      </w:r>
      <w:r w:rsidR="00B27E4F">
        <w:rPr>
          <w:szCs w:val="22"/>
        </w:rPr>
        <w:t xml:space="preserve"> Codex has not established MRLs for coumatetralyl or warfarin. </w:t>
      </w:r>
      <w:r w:rsidR="00614819">
        <w:rPr>
          <w:szCs w:val="22"/>
        </w:rPr>
        <w:t>MRLs for coumatetralyl and warfarin are not specifically established by other regulatory authorities, however s</w:t>
      </w:r>
      <w:r w:rsidR="001A7767">
        <w:rPr>
          <w:szCs w:val="22"/>
        </w:rPr>
        <w:t xml:space="preserve">ome international pesticide databases </w:t>
      </w:r>
      <w:r w:rsidR="00614819">
        <w:rPr>
          <w:szCs w:val="22"/>
        </w:rPr>
        <w:t xml:space="preserve">list </w:t>
      </w:r>
      <w:r w:rsidR="001A7767">
        <w:rPr>
          <w:szCs w:val="22"/>
        </w:rPr>
        <w:t xml:space="preserve">default MRLs that apply to </w:t>
      </w:r>
      <w:r w:rsidR="00237DE7">
        <w:rPr>
          <w:szCs w:val="22"/>
        </w:rPr>
        <w:t>any chemical/food combination</w:t>
      </w:r>
      <w:r w:rsidR="001A7767">
        <w:rPr>
          <w:szCs w:val="22"/>
        </w:rPr>
        <w:t>, including coumatetralyl and warfarin. Examples include</w:t>
      </w:r>
      <w:r w:rsidR="00614819">
        <w:rPr>
          <w:szCs w:val="22"/>
        </w:rPr>
        <w:t>:</w:t>
      </w:r>
      <w:r w:rsidR="001A7767">
        <w:rPr>
          <w:szCs w:val="22"/>
        </w:rPr>
        <w:t xml:space="preserve"> </w:t>
      </w:r>
      <w:r w:rsidR="00237DE7">
        <w:rPr>
          <w:szCs w:val="22"/>
        </w:rPr>
        <w:t>*0.01</w:t>
      </w:r>
      <w:r w:rsidR="00B101D2">
        <w:rPr>
          <w:rStyle w:val="FootnoteReference"/>
          <w:szCs w:val="22"/>
        </w:rPr>
        <w:footnoteReference w:id="2"/>
      </w:r>
      <w:r w:rsidR="00237DE7">
        <w:rPr>
          <w:szCs w:val="22"/>
        </w:rPr>
        <w:t xml:space="preserve"> </w:t>
      </w:r>
      <w:r w:rsidR="001A7767">
        <w:rPr>
          <w:szCs w:val="22"/>
        </w:rPr>
        <w:t xml:space="preserve">mg/kg </w:t>
      </w:r>
      <w:r w:rsidR="00237DE7">
        <w:rPr>
          <w:szCs w:val="22"/>
        </w:rPr>
        <w:t>by the European Union</w:t>
      </w:r>
      <w:r w:rsidR="001A7767">
        <w:rPr>
          <w:szCs w:val="22"/>
        </w:rPr>
        <w:t xml:space="preserve">, 0.001 mg/kg in Japan </w:t>
      </w:r>
      <w:r w:rsidR="00237DE7">
        <w:rPr>
          <w:szCs w:val="22"/>
        </w:rPr>
        <w:t xml:space="preserve">and 0.1 </w:t>
      </w:r>
      <w:r w:rsidR="001A7767">
        <w:rPr>
          <w:szCs w:val="22"/>
        </w:rPr>
        <w:t xml:space="preserve">mg/kg in </w:t>
      </w:r>
      <w:r w:rsidR="00237DE7">
        <w:rPr>
          <w:szCs w:val="22"/>
        </w:rPr>
        <w:t xml:space="preserve">New Zealand. </w:t>
      </w:r>
    </w:p>
    <w:p w14:paraId="2292FA1A" w14:textId="77777777" w:rsidR="00CA1DF1" w:rsidRPr="00CA1DF1" w:rsidRDefault="00CA1DF1" w:rsidP="00CA1DF1">
      <w:pPr>
        <w:widowControl/>
        <w:autoSpaceDE w:val="0"/>
        <w:autoSpaceDN w:val="0"/>
        <w:adjustRightInd w:val="0"/>
        <w:rPr>
          <w:szCs w:val="22"/>
        </w:rPr>
      </w:pPr>
    </w:p>
    <w:p w14:paraId="2292FA1B" w14:textId="31475CF5" w:rsidR="00CA1DF1" w:rsidRPr="00CA1DF1" w:rsidRDefault="00CA1DF1" w:rsidP="00CA1DF1">
      <w:pPr>
        <w:rPr>
          <w:szCs w:val="22"/>
        </w:rPr>
      </w:pPr>
      <w:r w:rsidRPr="002B698B">
        <w:rPr>
          <w:szCs w:val="22"/>
        </w:rPr>
        <w:t xml:space="preserve">FSANZ may consider varying limits for residues of agricultural or veterinary chemicals in food in a </w:t>
      </w:r>
      <w:r w:rsidR="008D1934">
        <w:rPr>
          <w:szCs w:val="22"/>
        </w:rPr>
        <w:t>p</w:t>
      </w:r>
      <w:r w:rsidRPr="002B698B">
        <w:rPr>
          <w:szCs w:val="22"/>
        </w:rPr>
        <w:t xml:space="preserve">roposal </w:t>
      </w:r>
      <w:r w:rsidR="007C0DDD">
        <w:rPr>
          <w:szCs w:val="22"/>
        </w:rPr>
        <w:t xml:space="preserve">when </w:t>
      </w:r>
      <w:r w:rsidR="002B698B" w:rsidRPr="002B698B">
        <w:rPr>
          <w:szCs w:val="22"/>
        </w:rPr>
        <w:t xml:space="preserve">there are </w:t>
      </w:r>
      <w:r w:rsidRPr="002B698B">
        <w:rPr>
          <w:szCs w:val="22"/>
        </w:rPr>
        <w:t>differences between the Code and international standards that may negatively impact on trade. In some cases, the Australian MRL may exceed a Codex MRL due to different use patterns from those considered at the time the Codex MRL was set. In these cases, as for the consideration for any MRL, the assessment process ensures that the levels of residues in food are safe</w:t>
      </w:r>
      <w:r w:rsidR="0055093D">
        <w:rPr>
          <w:szCs w:val="22"/>
        </w:rPr>
        <w:t xml:space="preserve"> for the Australian population</w:t>
      </w:r>
      <w:r w:rsidRPr="002B698B">
        <w:rPr>
          <w:szCs w:val="22"/>
        </w:rPr>
        <w:t xml:space="preserve">. </w:t>
      </w:r>
    </w:p>
    <w:p w14:paraId="2292FA1C" w14:textId="77777777" w:rsidR="00CA1DF1" w:rsidRPr="00CA1DF1" w:rsidRDefault="00CA1DF1" w:rsidP="00CA1DF1">
      <w:pPr>
        <w:rPr>
          <w:szCs w:val="22"/>
        </w:rPr>
      </w:pPr>
    </w:p>
    <w:p w14:paraId="2292FA1D" w14:textId="3CA8977D" w:rsidR="006867E0" w:rsidRPr="005E02CB" w:rsidRDefault="00CA1DF1" w:rsidP="00CA1DF1">
      <w:r w:rsidRPr="002B698B">
        <w:rPr>
          <w:szCs w:val="22"/>
        </w:rPr>
        <w:t xml:space="preserve">The proposed variations to the Code would permit the sale in Australia of relevant foods containing legitimate residues </w:t>
      </w:r>
      <w:r w:rsidR="007C0DDD">
        <w:rPr>
          <w:szCs w:val="22"/>
        </w:rPr>
        <w:t xml:space="preserve">of </w:t>
      </w:r>
      <w:r w:rsidR="007C0DDD" w:rsidRPr="007C0DDD">
        <w:rPr>
          <w:szCs w:val="22"/>
        </w:rPr>
        <w:t xml:space="preserve">coumatetralyl or warfarin </w:t>
      </w:r>
      <w:r w:rsidRPr="002B698B">
        <w:rPr>
          <w:szCs w:val="22"/>
        </w:rPr>
        <w:t>that do not present health or safety concerns.</w:t>
      </w:r>
      <w:r w:rsidR="006867E0" w:rsidRPr="002B698B">
        <w:t xml:space="preserve"> </w:t>
      </w:r>
    </w:p>
    <w:p w14:paraId="2292FA1E" w14:textId="77777777" w:rsidR="00AF387F" w:rsidRPr="005E02CB" w:rsidRDefault="00F33BB8" w:rsidP="00D062E4">
      <w:pPr>
        <w:pStyle w:val="Heading2"/>
        <w:rPr>
          <w:u w:color="FFFF00"/>
        </w:rPr>
      </w:pPr>
      <w:bookmarkStart w:id="19" w:name="_Toc286391007"/>
      <w:bookmarkStart w:id="20" w:name="_Toc300933423"/>
      <w:bookmarkStart w:id="21" w:name="_Toc419977499"/>
      <w:bookmarkStart w:id="22" w:name="_Toc175381432"/>
      <w:r w:rsidRPr="005E02CB">
        <w:rPr>
          <w:u w:color="FFFF00"/>
        </w:rPr>
        <w:t>1</w:t>
      </w:r>
      <w:r w:rsidR="00606C88" w:rsidRPr="005E02CB">
        <w:rPr>
          <w:u w:color="FFFF00"/>
        </w:rPr>
        <w:t>.</w:t>
      </w:r>
      <w:r w:rsidR="007E14EB" w:rsidRPr="005E02CB">
        <w:rPr>
          <w:u w:color="FFFF00"/>
        </w:rPr>
        <w:t>3</w:t>
      </w:r>
      <w:r w:rsidR="001542D8" w:rsidRPr="005E02CB">
        <w:rPr>
          <w:u w:color="FFFF00"/>
        </w:rPr>
        <w:tab/>
      </w:r>
      <w:r w:rsidR="00741EFE" w:rsidRPr="005E02CB">
        <w:rPr>
          <w:u w:color="FFFF00"/>
        </w:rPr>
        <w:t xml:space="preserve">Reasons for </w:t>
      </w:r>
      <w:bookmarkEnd w:id="19"/>
      <w:bookmarkEnd w:id="20"/>
      <w:r w:rsidR="00DE79D9" w:rsidRPr="005E02CB">
        <w:t>preparing the Proposal</w:t>
      </w:r>
      <w:bookmarkEnd w:id="21"/>
    </w:p>
    <w:p w14:paraId="047E38F9" w14:textId="6ACFF62A" w:rsidR="00887995" w:rsidRDefault="004114DC" w:rsidP="00180C41">
      <w:bookmarkStart w:id="23" w:name="_Toc286391008"/>
      <w:bookmarkStart w:id="24" w:name="_Toc11735630"/>
      <w:bookmarkStart w:id="25" w:name="_Toc29883114"/>
      <w:bookmarkStart w:id="26" w:name="_Toc41906801"/>
      <w:bookmarkStart w:id="27" w:name="_Toc41907548"/>
      <w:bookmarkStart w:id="28" w:name="_Toc120358578"/>
      <w:bookmarkStart w:id="29" w:name="_Toc175381435"/>
      <w:bookmarkEnd w:id="4"/>
      <w:bookmarkEnd w:id="5"/>
      <w:bookmarkEnd w:id="6"/>
      <w:bookmarkEnd w:id="7"/>
      <w:bookmarkEnd w:id="8"/>
      <w:bookmarkEnd w:id="22"/>
      <w:r w:rsidRPr="00CA1DF1">
        <w:t xml:space="preserve">The Proposal </w:t>
      </w:r>
      <w:r w:rsidR="006C17B7">
        <w:t>was prepared to</w:t>
      </w:r>
      <w:r w:rsidR="006C17B7" w:rsidRPr="00CA1DF1">
        <w:t xml:space="preserve"> </w:t>
      </w:r>
      <w:r w:rsidR="00D377CA" w:rsidRPr="00CA1DF1">
        <w:t>consider adding</w:t>
      </w:r>
      <w:r w:rsidR="00021AA4">
        <w:t xml:space="preserve"> </w:t>
      </w:r>
      <w:r w:rsidRPr="00CA1DF1">
        <w:t xml:space="preserve">MRLs </w:t>
      </w:r>
      <w:r w:rsidR="006C17B7">
        <w:t xml:space="preserve">in pork commodities </w:t>
      </w:r>
      <w:r w:rsidR="00021AA4">
        <w:t xml:space="preserve">into Standard 1.4.2 for the </w:t>
      </w:r>
      <w:r w:rsidR="00887995">
        <w:t xml:space="preserve">rodenticides </w:t>
      </w:r>
      <w:r w:rsidR="00021AA4">
        <w:t xml:space="preserve">coumatetralyl and warfarin. </w:t>
      </w:r>
      <w:r w:rsidR="00427C9A">
        <w:t xml:space="preserve">Currently, </w:t>
      </w:r>
      <w:r w:rsidR="0043466C">
        <w:t xml:space="preserve">if </w:t>
      </w:r>
      <w:r w:rsidR="00427C9A">
        <w:t xml:space="preserve">there is no MRL in the Code for a given chemical/commodity combination, there is a zero tolerance approach to enforcement by the jurisdictions. This means that foods with low level residues of </w:t>
      </w:r>
      <w:proofErr w:type="spellStart"/>
      <w:r w:rsidR="00427C9A">
        <w:t>agvet</w:t>
      </w:r>
      <w:proofErr w:type="spellEnd"/>
      <w:r w:rsidR="00427C9A">
        <w:t xml:space="preserve"> chemicals </w:t>
      </w:r>
      <w:r w:rsidR="00A91D25">
        <w:t xml:space="preserve">that do not have </w:t>
      </w:r>
      <w:r w:rsidR="00427C9A">
        <w:t xml:space="preserve">MRLs </w:t>
      </w:r>
      <w:r w:rsidR="00A91D25">
        <w:t xml:space="preserve">listed in Standard 1.4.2 </w:t>
      </w:r>
      <w:r w:rsidR="00427C9A">
        <w:t xml:space="preserve">are in technical violation of the Code and are illegal for sale. Introducing MRLs for coumatetralyl and warfarin will allow certain pork commodities </w:t>
      </w:r>
      <w:r w:rsidR="00A91D25">
        <w:t xml:space="preserve">that </w:t>
      </w:r>
      <w:r w:rsidR="00EF590A">
        <w:t xml:space="preserve">inadvertently </w:t>
      </w:r>
      <w:r w:rsidR="00A91D25">
        <w:t>contain</w:t>
      </w:r>
      <w:r w:rsidR="00427C9A">
        <w:t xml:space="preserve"> residues at low levels</w:t>
      </w:r>
      <w:r w:rsidR="00EF590A">
        <w:t xml:space="preserve"> </w:t>
      </w:r>
      <w:r w:rsidR="00427C9A">
        <w:t xml:space="preserve">to be legally sold in Australia. </w:t>
      </w:r>
    </w:p>
    <w:p w14:paraId="64EF8C23" w14:textId="77777777" w:rsidR="00887995" w:rsidRDefault="00887995" w:rsidP="00180C41"/>
    <w:p w14:paraId="2A343254" w14:textId="77777777" w:rsidR="00A16368" w:rsidRDefault="00A16368" w:rsidP="004255DC">
      <w:r>
        <w:br w:type="page"/>
      </w:r>
    </w:p>
    <w:p w14:paraId="2292FA23" w14:textId="589D6B8F" w:rsidR="004114DC" w:rsidRPr="00964914" w:rsidRDefault="00021AA4" w:rsidP="004255DC">
      <w:pPr>
        <w:rPr>
          <w:b/>
          <w:i/>
        </w:rPr>
      </w:pPr>
      <w:r>
        <w:lastRenderedPageBreak/>
        <w:t xml:space="preserve">These amendments will </w:t>
      </w:r>
      <w:r w:rsidR="004114DC" w:rsidRPr="00CA1DF1">
        <w:t xml:space="preserve">align </w:t>
      </w:r>
      <w:r>
        <w:t xml:space="preserve">Standard 1.4.2 </w:t>
      </w:r>
      <w:r w:rsidR="004114DC" w:rsidRPr="00CA1DF1">
        <w:t xml:space="preserve">with </w:t>
      </w:r>
      <w:r w:rsidR="00D16568">
        <w:t xml:space="preserve">recent temporary MRL amendments gazetted by </w:t>
      </w:r>
      <w:r w:rsidR="004114DC" w:rsidRPr="00CA1DF1">
        <w:t xml:space="preserve">the </w:t>
      </w:r>
      <w:r w:rsidR="00D16568">
        <w:t>APVMA</w:t>
      </w:r>
      <w:r w:rsidR="004114DC" w:rsidRPr="00CA1DF1">
        <w:t xml:space="preserve">. </w:t>
      </w:r>
      <w:r w:rsidR="00B913A5" w:rsidRPr="00B913A5">
        <w:t>These MRLs were inserted into the Agricultural and Veterinary Chemicals Code Instrument No.4 (MRL Standard</w:t>
      </w:r>
      <w:r w:rsidR="00042D9A">
        <w:rPr>
          <w:rStyle w:val="FootnoteReference"/>
        </w:rPr>
        <w:footnoteReference w:id="3"/>
      </w:r>
      <w:r w:rsidR="00B913A5" w:rsidRPr="00B913A5">
        <w:t>) in mid-April 2015</w:t>
      </w:r>
      <w:r w:rsidR="004255DC">
        <w:t>.</w:t>
      </w:r>
    </w:p>
    <w:p w14:paraId="2292FA24" w14:textId="77777777" w:rsidR="009C635E" w:rsidRDefault="009C635E" w:rsidP="00180C41">
      <w:pPr>
        <w:rPr>
          <w:highlight w:val="lightGray"/>
        </w:rPr>
      </w:pPr>
    </w:p>
    <w:p w14:paraId="2292FA25" w14:textId="1331B0B3" w:rsidR="005E02CB" w:rsidRDefault="005E02CB" w:rsidP="00180C41">
      <w:r w:rsidRPr="005E02CB">
        <w:t>MRLs are usually established according to principles of good agricultural practice (GAP) or good veterinary practice (GVP). The proposed MRLs will permit the sale of foods containing legitimate residues</w:t>
      </w:r>
      <w:r w:rsidR="006820B5">
        <w:t>,</w:t>
      </w:r>
      <w:r w:rsidRPr="005E02CB">
        <w:t xml:space="preserve"> protect health and safety and minimise residues in foods consistent with the effective control of pests and diseases.</w:t>
      </w:r>
    </w:p>
    <w:p w14:paraId="2292FA26" w14:textId="77777777" w:rsidR="005E02CB" w:rsidRDefault="005E02CB" w:rsidP="00180C41"/>
    <w:p w14:paraId="2292FA27" w14:textId="77777777" w:rsidR="005E02CB" w:rsidRPr="005E02CB" w:rsidRDefault="005E02CB" w:rsidP="00180C41">
      <w:r>
        <w:t xml:space="preserve">The limits may minimise potential trade disruption and extend consumer choice. </w:t>
      </w:r>
    </w:p>
    <w:p w14:paraId="2292FA28" w14:textId="77777777" w:rsidR="00DE79D9" w:rsidRPr="005E02CB" w:rsidRDefault="00D3171B" w:rsidP="00DE79D9">
      <w:pPr>
        <w:pStyle w:val="Heading2"/>
      </w:pPr>
      <w:bookmarkStart w:id="30" w:name="_Toc419977500"/>
      <w:r w:rsidRPr="005E02CB">
        <w:t>1</w:t>
      </w:r>
      <w:r w:rsidR="00606C88" w:rsidRPr="005E02CB">
        <w:t>.</w:t>
      </w:r>
      <w:r w:rsidR="007E14EB" w:rsidRPr="005E02CB">
        <w:t>4</w:t>
      </w:r>
      <w:r w:rsidR="00DE79D9" w:rsidRPr="005E02CB">
        <w:tab/>
        <w:t>Procedure for assessment</w:t>
      </w:r>
      <w:bookmarkEnd w:id="30"/>
    </w:p>
    <w:p w14:paraId="2292FA29" w14:textId="77777777" w:rsidR="00DE79D9" w:rsidRPr="006661EA" w:rsidRDefault="00DE79D9" w:rsidP="00DE79D9">
      <w:r w:rsidRPr="005E02CB">
        <w:t>The Proposal is being assessed under the General</w:t>
      </w:r>
      <w:r w:rsidR="006661EA" w:rsidRPr="005E02CB">
        <w:t xml:space="preserve"> </w:t>
      </w:r>
      <w:r w:rsidRPr="005E02CB">
        <w:t>Procedure.</w:t>
      </w:r>
    </w:p>
    <w:p w14:paraId="05A2CC64" w14:textId="77777777" w:rsidR="00DE79D9" w:rsidRPr="00D062E4" w:rsidRDefault="00DE79D9" w:rsidP="00180C41"/>
    <w:p w14:paraId="2292FA2B" w14:textId="77777777" w:rsidR="00AF387F" w:rsidRPr="00180C41" w:rsidRDefault="00D3171B" w:rsidP="00180C41">
      <w:pPr>
        <w:pStyle w:val="Heading1"/>
      </w:pPr>
      <w:bookmarkStart w:id="31" w:name="_Toc300933424"/>
      <w:bookmarkStart w:id="32" w:name="_Toc419977501"/>
      <w:r>
        <w:t>2</w:t>
      </w:r>
      <w:r w:rsidR="001542D8">
        <w:tab/>
      </w:r>
      <w:r w:rsidR="00350DBD">
        <w:t>S</w:t>
      </w:r>
      <w:r w:rsidR="00FB1533">
        <w:t>ummary of the a</w:t>
      </w:r>
      <w:r w:rsidR="00FD2FBE">
        <w:t>ssessment</w:t>
      </w:r>
      <w:bookmarkEnd w:id="23"/>
      <w:bookmarkEnd w:id="31"/>
      <w:bookmarkEnd w:id="32"/>
    </w:p>
    <w:p w14:paraId="2292FA2C" w14:textId="77777777" w:rsidR="004F69F6" w:rsidRPr="00495694" w:rsidRDefault="00D3171B" w:rsidP="004646F8">
      <w:pPr>
        <w:pStyle w:val="Heading2"/>
      </w:pPr>
      <w:bookmarkStart w:id="33" w:name="_Toc286391009"/>
      <w:bookmarkStart w:id="34" w:name="_Toc300933425"/>
      <w:bookmarkStart w:id="35" w:name="_Toc419977502"/>
      <w:bookmarkStart w:id="36" w:name="_Toc120358583"/>
      <w:bookmarkStart w:id="37" w:name="_Toc175381440"/>
      <w:r w:rsidRPr="00495694">
        <w:t>2</w:t>
      </w:r>
      <w:r w:rsidR="00271F00" w:rsidRPr="00495694">
        <w:t>.</w:t>
      </w:r>
      <w:r w:rsidR="004B7A29" w:rsidRPr="00495694">
        <w:t>1</w:t>
      </w:r>
      <w:r w:rsidR="00271F00" w:rsidRPr="00495694">
        <w:tab/>
      </w:r>
      <w:r w:rsidR="004F69F6" w:rsidRPr="00495694">
        <w:t xml:space="preserve">Risk </w:t>
      </w:r>
      <w:r w:rsidR="00741EFE" w:rsidRPr="00495694">
        <w:t>a</w:t>
      </w:r>
      <w:r w:rsidR="004F69F6" w:rsidRPr="00495694">
        <w:t>ssessment</w:t>
      </w:r>
      <w:bookmarkEnd w:id="33"/>
      <w:bookmarkEnd w:id="34"/>
      <w:bookmarkEnd w:id="35"/>
      <w:r w:rsidR="004F69F6" w:rsidRPr="00495694">
        <w:t xml:space="preserve"> </w:t>
      </w:r>
      <w:bookmarkEnd w:id="36"/>
      <w:bookmarkEnd w:id="37"/>
    </w:p>
    <w:p w14:paraId="2292FA2D" w14:textId="5B770D31" w:rsidR="006661EA" w:rsidRPr="00892069" w:rsidRDefault="006661EA" w:rsidP="00180C41">
      <w:r w:rsidRPr="00495694">
        <w:t xml:space="preserve">To assess the public health and safety implications of chemical residues in food, FSANZ estimates the dietary exposure to chemical residues from potentially treated foods </w:t>
      </w:r>
      <w:r w:rsidR="004B7A29" w:rsidRPr="00495694">
        <w:t xml:space="preserve">and </w:t>
      </w:r>
      <w:r w:rsidRPr="00532686">
        <w:t>compares the dietary exposure with the relevant HBGV</w:t>
      </w:r>
      <w:r w:rsidR="00865A23">
        <w:t>.</w:t>
      </w:r>
      <w:r w:rsidR="00895AF5">
        <w:t xml:space="preserve"> </w:t>
      </w:r>
      <w:r w:rsidR="00865A23">
        <w:t>Commonly used HBGVs are</w:t>
      </w:r>
      <w:r w:rsidR="004B7A29" w:rsidRPr="00532686">
        <w:t xml:space="preserve"> </w:t>
      </w:r>
      <w:r w:rsidR="00532686" w:rsidRPr="00532686">
        <w:t>the acceptable daily intake (ADI)</w:t>
      </w:r>
      <w:r w:rsidR="00394414">
        <w:t>,</w:t>
      </w:r>
      <w:r w:rsidR="00492AE9">
        <w:t xml:space="preserve"> </w:t>
      </w:r>
      <w:r w:rsidR="00532686" w:rsidRPr="00532686">
        <w:t>the acute reference do</w:t>
      </w:r>
      <w:r w:rsidR="00394414">
        <w:t>se</w:t>
      </w:r>
      <w:r w:rsidR="00532686" w:rsidRPr="00532686">
        <w:t xml:space="preserve"> (</w:t>
      </w:r>
      <w:proofErr w:type="spellStart"/>
      <w:r w:rsidR="00532686" w:rsidRPr="00532686">
        <w:t>ARfD</w:t>
      </w:r>
      <w:proofErr w:type="spellEnd"/>
      <w:r w:rsidR="00532686" w:rsidRPr="00532686">
        <w:t>)</w:t>
      </w:r>
      <w:r w:rsidR="002F433B">
        <w:t xml:space="preserve"> or</w:t>
      </w:r>
      <w:r w:rsidR="00492AE9">
        <w:t xml:space="preserve"> the </w:t>
      </w:r>
      <w:r w:rsidR="008E799D">
        <w:t>t</w:t>
      </w:r>
      <w:r w:rsidR="00492AE9">
        <w:t xml:space="preserve">olerable </w:t>
      </w:r>
      <w:r w:rsidR="008E799D">
        <w:t>d</w:t>
      </w:r>
      <w:r w:rsidR="00492AE9">
        <w:t xml:space="preserve">aily </w:t>
      </w:r>
      <w:r w:rsidR="008E799D">
        <w:t>i</w:t>
      </w:r>
      <w:r w:rsidR="00492AE9">
        <w:t>ntake (TDI)</w:t>
      </w:r>
      <w:r w:rsidR="00532686" w:rsidRPr="00532686">
        <w:t>.</w:t>
      </w:r>
      <w:r w:rsidR="001D5BBC" w:rsidRPr="001D5BBC">
        <w:t xml:space="preserve"> An ADI is usually only </w:t>
      </w:r>
      <w:r w:rsidR="002A0BF4">
        <w:t>established</w:t>
      </w:r>
      <w:r w:rsidR="001D5BBC" w:rsidRPr="001D5BBC">
        <w:t xml:space="preserve"> for pesticides which are </w:t>
      </w:r>
      <w:r w:rsidR="002A0BF4">
        <w:t xml:space="preserve">intentionally </w:t>
      </w:r>
      <w:r w:rsidR="001D5BBC" w:rsidRPr="001D5BBC">
        <w:t xml:space="preserve">used </w:t>
      </w:r>
      <w:r w:rsidR="00E272F2">
        <w:t>i</w:t>
      </w:r>
      <w:r w:rsidR="001D5BBC" w:rsidRPr="001D5BBC">
        <w:t>n food producing crops</w:t>
      </w:r>
      <w:r w:rsidR="00E272F2">
        <w:t>, animals</w:t>
      </w:r>
      <w:r w:rsidR="001D5BBC" w:rsidRPr="001D5BBC">
        <w:t xml:space="preserve"> or crops used for stock feed. Chemicals which are not used in this way but for which there may be the potential for substantial human exposure are assigned a TDI or</w:t>
      </w:r>
      <w:r w:rsidR="00073B3A">
        <w:t xml:space="preserve"> Tolerable Weekly Intake. Both ADIs and TDIs </w:t>
      </w:r>
      <w:r w:rsidR="001D5BBC" w:rsidRPr="001D5BBC">
        <w:t xml:space="preserve">are calculated in </w:t>
      </w:r>
      <w:r w:rsidR="004255DC">
        <w:t>a similar</w:t>
      </w:r>
      <w:r w:rsidR="001D5BBC" w:rsidRPr="001D5BBC">
        <w:t xml:space="preserve"> way</w:t>
      </w:r>
      <w:r w:rsidR="004255DC">
        <w:t>.</w:t>
      </w:r>
      <w:r w:rsidR="001D5BBC">
        <w:t xml:space="preserve"> </w:t>
      </w:r>
      <w:r w:rsidR="00532686">
        <w:t xml:space="preserve"> </w:t>
      </w:r>
    </w:p>
    <w:p w14:paraId="1D31B54D" w14:textId="77EFD2D0" w:rsidR="00F70E29" w:rsidRPr="003277D5" w:rsidRDefault="00F70E29" w:rsidP="00FD5CDF">
      <w:pPr>
        <w:pStyle w:val="Default"/>
        <w:rPr>
          <w:color w:val="auto"/>
          <w:sz w:val="22"/>
          <w:szCs w:val="22"/>
          <w:highlight w:val="yellow"/>
        </w:rPr>
      </w:pPr>
    </w:p>
    <w:p w14:paraId="2292FA31" w14:textId="0E6ECD32" w:rsidR="00FD5CDF" w:rsidRDefault="00FD5CDF" w:rsidP="00FD5CDF">
      <w:pPr>
        <w:pStyle w:val="Default"/>
        <w:rPr>
          <w:sz w:val="22"/>
          <w:szCs w:val="22"/>
        </w:rPr>
      </w:pPr>
      <w:r w:rsidRPr="00492AE9">
        <w:rPr>
          <w:sz w:val="22"/>
          <w:szCs w:val="22"/>
        </w:rPr>
        <w:t xml:space="preserve">FSANZ conducts and reviews DEAs </w:t>
      </w:r>
      <w:r w:rsidR="008F57F5">
        <w:rPr>
          <w:sz w:val="22"/>
          <w:szCs w:val="22"/>
        </w:rPr>
        <w:t xml:space="preserve">for MRLs </w:t>
      </w:r>
      <w:r w:rsidRPr="00492AE9">
        <w:rPr>
          <w:sz w:val="22"/>
          <w:szCs w:val="22"/>
        </w:rPr>
        <w:t xml:space="preserve">using the best available scientific data and internationally recognised risk assessment methodology. Variations to </w:t>
      </w:r>
      <w:r w:rsidR="008F57F5">
        <w:rPr>
          <w:sz w:val="22"/>
          <w:szCs w:val="22"/>
        </w:rPr>
        <w:t>MRLs</w:t>
      </w:r>
      <w:r w:rsidR="008F57F5" w:rsidRPr="00492AE9">
        <w:rPr>
          <w:sz w:val="22"/>
          <w:szCs w:val="22"/>
        </w:rPr>
        <w:t xml:space="preserve"> </w:t>
      </w:r>
      <w:r w:rsidRPr="00492AE9">
        <w:rPr>
          <w:sz w:val="22"/>
          <w:szCs w:val="22"/>
        </w:rPr>
        <w:t>in the Code will not be supported where estimated dietary exposures to the residues of a chemical indicate a potential public health and safety risk for the population or a population sub group.</w:t>
      </w:r>
    </w:p>
    <w:p w14:paraId="2292FA32" w14:textId="77777777" w:rsidR="000C5819" w:rsidRDefault="000C5819" w:rsidP="00FD5CDF">
      <w:pPr>
        <w:pStyle w:val="Default"/>
        <w:rPr>
          <w:sz w:val="22"/>
          <w:szCs w:val="22"/>
        </w:rPr>
      </w:pPr>
    </w:p>
    <w:p w14:paraId="2292FA33" w14:textId="77777777" w:rsidR="00FD5CDF" w:rsidRDefault="00FD5CDF" w:rsidP="00FD5CDF">
      <w:pPr>
        <w:pStyle w:val="Default"/>
        <w:rPr>
          <w:sz w:val="22"/>
          <w:szCs w:val="22"/>
        </w:rPr>
      </w:pPr>
      <w:r>
        <w:rPr>
          <w:sz w:val="22"/>
          <w:szCs w:val="22"/>
        </w:rPr>
        <w:t>The steps undertaken in conducting a DEA are:</w:t>
      </w:r>
    </w:p>
    <w:p w14:paraId="2292FA34" w14:textId="77777777" w:rsidR="00FD5CDF" w:rsidRDefault="00FD5CDF" w:rsidP="00FD5CDF">
      <w:pPr>
        <w:pStyle w:val="Default"/>
        <w:rPr>
          <w:sz w:val="22"/>
          <w:szCs w:val="22"/>
        </w:rPr>
      </w:pPr>
    </w:p>
    <w:p w14:paraId="2292FA35" w14:textId="77777777" w:rsidR="00FD5CDF" w:rsidRDefault="00FD5CDF" w:rsidP="009E176D">
      <w:pPr>
        <w:pStyle w:val="FSBullet1"/>
      </w:pPr>
      <w:r>
        <w:t>determining the residues of a chemical in a treated food</w:t>
      </w:r>
    </w:p>
    <w:p w14:paraId="2292FA37" w14:textId="77777777" w:rsidR="00FD5CDF" w:rsidRDefault="00FD5CDF" w:rsidP="009E176D">
      <w:pPr>
        <w:pStyle w:val="FSBullet1"/>
      </w:pPr>
      <w:r>
        <w:t>calculating dietary exposure to a chemical from relevant foods, using residue data and food consumption data from Australian national nutrition surveys</w:t>
      </w:r>
    </w:p>
    <w:p w14:paraId="2292FA39" w14:textId="77777777" w:rsidR="00FD5CDF" w:rsidRDefault="00FD5CDF" w:rsidP="00C230C5">
      <w:pPr>
        <w:pStyle w:val="FSBullet1"/>
      </w:pPr>
      <w:proofErr w:type="gramStart"/>
      <w:r>
        <w:t>completing</w:t>
      </w:r>
      <w:proofErr w:type="gramEnd"/>
      <w:r>
        <w:t xml:space="preserve"> a risk characterisation where estimated dietary exposures are compared to the relevant HBGV.</w:t>
      </w:r>
    </w:p>
    <w:p w14:paraId="2292FA3B" w14:textId="3B3F9D7E" w:rsidR="00A02BFF" w:rsidRDefault="00A02BFF" w:rsidP="00892069">
      <w:pPr>
        <w:pStyle w:val="Default"/>
        <w:rPr>
          <w:sz w:val="22"/>
          <w:szCs w:val="22"/>
        </w:rPr>
      </w:pPr>
    </w:p>
    <w:p w14:paraId="192E7A76" w14:textId="77777777" w:rsidR="00A16368" w:rsidRDefault="00A02BFF" w:rsidP="00A16368">
      <w:pPr>
        <w:pStyle w:val="FSSubheading"/>
        <w:ind w:left="0" w:right="-286" w:firstLine="0"/>
        <w:rPr>
          <w:b w:val="0"/>
          <w:i w:val="0"/>
        </w:rPr>
      </w:pPr>
      <w:r w:rsidRPr="00997566">
        <w:rPr>
          <w:b w:val="0"/>
          <w:i w:val="0"/>
        </w:rPr>
        <w:t xml:space="preserve">FSANZ has used </w:t>
      </w:r>
      <w:r w:rsidR="00AD4A3B">
        <w:rPr>
          <w:b w:val="0"/>
          <w:i w:val="0"/>
        </w:rPr>
        <w:t xml:space="preserve">a </w:t>
      </w:r>
      <w:r w:rsidRPr="00997566">
        <w:rPr>
          <w:b w:val="0"/>
          <w:i w:val="0"/>
        </w:rPr>
        <w:t xml:space="preserve">standard chronic </w:t>
      </w:r>
      <w:r w:rsidR="008F57F5">
        <w:rPr>
          <w:b w:val="0"/>
          <w:i w:val="0"/>
        </w:rPr>
        <w:t>DEA</w:t>
      </w:r>
      <w:r w:rsidRPr="00997566">
        <w:rPr>
          <w:b w:val="0"/>
          <w:i w:val="0"/>
        </w:rPr>
        <w:t xml:space="preserve"> methodology</w:t>
      </w:r>
      <w:r w:rsidR="004E0776">
        <w:rPr>
          <w:b w:val="0"/>
          <w:i w:val="0"/>
        </w:rPr>
        <w:t xml:space="preserve"> to assess the safety of residues of the two chemicals in food. </w:t>
      </w:r>
      <w:r w:rsidR="004E0776" w:rsidRPr="004E0776">
        <w:rPr>
          <w:b w:val="0"/>
          <w:i w:val="0"/>
          <w:szCs w:val="22"/>
        </w:rPr>
        <w:t xml:space="preserve">The </w:t>
      </w:r>
      <w:r w:rsidR="002B3C10">
        <w:rPr>
          <w:b w:val="0"/>
          <w:i w:val="0"/>
          <w:szCs w:val="22"/>
        </w:rPr>
        <w:t>DEA</w:t>
      </w:r>
      <w:r w:rsidR="004E0776" w:rsidRPr="004E0776">
        <w:rPr>
          <w:b w:val="0"/>
          <w:i w:val="0"/>
          <w:szCs w:val="22"/>
        </w:rPr>
        <w:t xml:space="preserve"> used </w:t>
      </w:r>
      <w:r w:rsidR="004E0776">
        <w:rPr>
          <w:b w:val="0"/>
          <w:i w:val="0"/>
          <w:szCs w:val="22"/>
        </w:rPr>
        <w:t>the MRLs</w:t>
      </w:r>
      <w:r w:rsidR="004E0776" w:rsidRPr="004E0776">
        <w:rPr>
          <w:b w:val="0"/>
          <w:i w:val="0"/>
          <w:szCs w:val="22"/>
        </w:rPr>
        <w:t xml:space="preserve"> </w:t>
      </w:r>
      <w:r w:rsidR="004E0776" w:rsidRPr="00AD4A3B">
        <w:rPr>
          <w:b w:val="0"/>
          <w:i w:val="0"/>
        </w:rPr>
        <w:t>gazetted by the APVMA in their MRL Standard</w:t>
      </w:r>
      <w:r w:rsidR="004E0776" w:rsidRPr="004E0776">
        <w:rPr>
          <w:b w:val="0"/>
          <w:i w:val="0"/>
          <w:szCs w:val="22"/>
        </w:rPr>
        <w:t xml:space="preserve"> and consumption data </w:t>
      </w:r>
      <w:r w:rsidR="004E0776">
        <w:rPr>
          <w:b w:val="0"/>
          <w:i w:val="0"/>
          <w:szCs w:val="22"/>
        </w:rPr>
        <w:t>for the Australian population</w:t>
      </w:r>
      <w:r w:rsidR="004E0776" w:rsidRPr="004E0776">
        <w:rPr>
          <w:b w:val="0"/>
          <w:i w:val="0"/>
          <w:szCs w:val="22"/>
        </w:rPr>
        <w:t xml:space="preserve"> derived from the 1995 National Nutrition Survey (NNS). The 1995</w:t>
      </w:r>
      <w:r w:rsidR="008F57F5">
        <w:rPr>
          <w:b w:val="0"/>
          <w:i w:val="0"/>
          <w:szCs w:val="22"/>
        </w:rPr>
        <w:t xml:space="preserve"> NNS</w:t>
      </w:r>
      <w:r w:rsidR="004E0776" w:rsidRPr="004E0776">
        <w:rPr>
          <w:b w:val="0"/>
          <w:i w:val="0"/>
          <w:szCs w:val="22"/>
        </w:rPr>
        <w:t xml:space="preserve"> data were compared with the most recent 2011</w:t>
      </w:r>
      <w:r w:rsidR="002667FC">
        <w:rPr>
          <w:rFonts w:cs="Arial"/>
          <w:b w:val="0"/>
          <w:i w:val="0"/>
          <w:szCs w:val="22"/>
        </w:rPr>
        <w:t>‒</w:t>
      </w:r>
      <w:r w:rsidR="004E0776" w:rsidRPr="004E0776">
        <w:rPr>
          <w:b w:val="0"/>
          <w:i w:val="0"/>
          <w:szCs w:val="22"/>
        </w:rPr>
        <w:t>12 National Nutrition and Physical Activity Survey, which indicated the proportion of the population consuming bacon and ham has decreased slightly, while the proportion of consumers of pork and liver (all types) is similar to the proportions consuming these foods in 1995.</w:t>
      </w:r>
      <w:r w:rsidR="004E0776" w:rsidRPr="002B3C10">
        <w:rPr>
          <w:b w:val="0"/>
          <w:i w:val="0"/>
        </w:rPr>
        <w:t xml:space="preserve"> </w:t>
      </w:r>
      <w:r w:rsidR="00A16368">
        <w:rPr>
          <w:b w:val="0"/>
          <w:i w:val="0"/>
        </w:rPr>
        <w:br w:type="page"/>
      </w:r>
    </w:p>
    <w:p w14:paraId="1FE432A6" w14:textId="5AA8CF88" w:rsidR="008F57F5" w:rsidRDefault="002B3C10" w:rsidP="00A16368">
      <w:pPr>
        <w:pStyle w:val="FSSubheading"/>
        <w:ind w:left="0" w:right="-286" w:firstLine="0"/>
        <w:rPr>
          <w:b w:val="0"/>
          <w:i w:val="0"/>
        </w:rPr>
      </w:pPr>
      <w:r>
        <w:rPr>
          <w:b w:val="0"/>
          <w:i w:val="0"/>
        </w:rPr>
        <w:lastRenderedPageBreak/>
        <w:t xml:space="preserve">Estimates of exposure were compared to the relevant HBGVs </w:t>
      </w:r>
      <w:r>
        <w:rPr>
          <w:b w:val="0"/>
          <w:i w:val="0"/>
          <w:szCs w:val="22"/>
        </w:rPr>
        <w:t>for</w:t>
      </w:r>
      <w:r w:rsidRPr="002B3C10">
        <w:rPr>
          <w:b w:val="0"/>
          <w:i w:val="0"/>
          <w:szCs w:val="22"/>
        </w:rPr>
        <w:t xml:space="preserve"> coumatetralyl</w:t>
      </w:r>
      <w:r w:rsidRPr="002B3C10">
        <w:rPr>
          <w:rStyle w:val="FootnoteReference"/>
          <w:b w:val="0"/>
          <w:i w:val="0"/>
          <w:szCs w:val="22"/>
        </w:rPr>
        <w:footnoteReference w:id="4"/>
      </w:r>
      <w:r w:rsidRPr="002B3C10">
        <w:rPr>
          <w:b w:val="0"/>
          <w:i w:val="0"/>
          <w:szCs w:val="22"/>
        </w:rPr>
        <w:t xml:space="preserve"> and warfarin</w:t>
      </w:r>
      <w:r w:rsidRPr="002B3C10">
        <w:rPr>
          <w:rStyle w:val="FootnoteReference"/>
          <w:b w:val="0"/>
          <w:i w:val="0"/>
          <w:szCs w:val="22"/>
        </w:rPr>
        <w:footnoteReference w:id="5"/>
      </w:r>
      <w:r w:rsidRPr="002B3C10">
        <w:rPr>
          <w:b w:val="0"/>
          <w:i w:val="0"/>
          <w:szCs w:val="22"/>
        </w:rPr>
        <w:t xml:space="preserve">. </w:t>
      </w:r>
    </w:p>
    <w:p w14:paraId="5F1CB7C8" w14:textId="77777777" w:rsidR="008F57F5" w:rsidRDefault="008F57F5" w:rsidP="00A02BFF">
      <w:pPr>
        <w:pStyle w:val="FSSubheading"/>
        <w:ind w:left="0" w:firstLine="0"/>
        <w:rPr>
          <w:b w:val="0"/>
          <w:i w:val="0"/>
        </w:rPr>
      </w:pPr>
    </w:p>
    <w:p w14:paraId="2292FA3C" w14:textId="04B12739" w:rsidR="00A02BFF" w:rsidRPr="00997566" w:rsidRDefault="008F57F5" w:rsidP="00A02BFF">
      <w:pPr>
        <w:pStyle w:val="FSSubheading"/>
        <w:ind w:left="0" w:firstLine="0"/>
        <w:rPr>
          <w:b w:val="0"/>
          <w:i w:val="0"/>
        </w:rPr>
      </w:pPr>
      <w:r>
        <w:rPr>
          <w:b w:val="0"/>
          <w:i w:val="0"/>
        </w:rPr>
        <w:t xml:space="preserve">The DEA indicates that </w:t>
      </w:r>
      <w:r w:rsidR="002B3C10">
        <w:rPr>
          <w:b w:val="0"/>
          <w:i w:val="0"/>
        </w:rPr>
        <w:t>estimated dietary exposures to coumatetralyl and warfarin at the proposed MRLs are well below their respective HBGVs.</w:t>
      </w:r>
      <w:r>
        <w:rPr>
          <w:b w:val="0"/>
          <w:i w:val="0"/>
        </w:rPr>
        <w:t xml:space="preserve"> </w:t>
      </w:r>
      <w:r w:rsidR="00A02BFF" w:rsidRPr="00997566">
        <w:rPr>
          <w:b w:val="0"/>
          <w:i w:val="0"/>
        </w:rPr>
        <w:t xml:space="preserve">The proposed </w:t>
      </w:r>
      <w:r w:rsidR="00A02BFF" w:rsidRPr="0033672F">
        <w:rPr>
          <w:b w:val="0"/>
          <w:i w:val="0"/>
        </w:rPr>
        <w:t xml:space="preserve">temporary </w:t>
      </w:r>
      <w:r w:rsidR="00A02BFF" w:rsidRPr="00997566">
        <w:rPr>
          <w:b w:val="0"/>
          <w:i w:val="0"/>
        </w:rPr>
        <w:t xml:space="preserve">MRLs for inclusion in Standard 1.4.2 </w:t>
      </w:r>
      <w:r w:rsidR="002B3C10">
        <w:rPr>
          <w:b w:val="0"/>
          <w:i w:val="0"/>
        </w:rPr>
        <w:t>are protective of</w:t>
      </w:r>
      <w:r w:rsidR="00A02BFF" w:rsidRPr="00997566">
        <w:rPr>
          <w:b w:val="0"/>
          <w:i w:val="0"/>
        </w:rPr>
        <w:t xml:space="preserve"> public health and safety.</w:t>
      </w:r>
      <w:r w:rsidR="00A02BFF">
        <w:rPr>
          <w:b w:val="0"/>
          <w:i w:val="0"/>
        </w:rPr>
        <w:t xml:space="preserve"> </w:t>
      </w:r>
    </w:p>
    <w:p w14:paraId="2292FA3D" w14:textId="77777777" w:rsidR="00A02BFF" w:rsidRDefault="00A02BFF" w:rsidP="00892069">
      <w:pPr>
        <w:pStyle w:val="Default"/>
        <w:rPr>
          <w:sz w:val="22"/>
          <w:szCs w:val="22"/>
        </w:rPr>
      </w:pPr>
    </w:p>
    <w:p w14:paraId="2292FA3E" w14:textId="509068C5" w:rsidR="00FD5CDF" w:rsidRPr="00892069" w:rsidRDefault="00FD5CDF" w:rsidP="00FD5CDF">
      <w:r>
        <w:rPr>
          <w:szCs w:val="22"/>
        </w:rPr>
        <w:t xml:space="preserve">A summary of the dietary exposure estimates for </w:t>
      </w:r>
      <w:r w:rsidR="001C2F3B">
        <w:rPr>
          <w:szCs w:val="22"/>
        </w:rPr>
        <w:t xml:space="preserve">coumatetralyl and warfarin </w:t>
      </w:r>
      <w:r>
        <w:rPr>
          <w:szCs w:val="22"/>
        </w:rPr>
        <w:t xml:space="preserve">is provided in </w:t>
      </w:r>
      <w:r w:rsidRPr="00892069">
        <w:rPr>
          <w:b/>
          <w:bCs/>
          <w:szCs w:val="22"/>
        </w:rPr>
        <w:t>SD</w:t>
      </w:r>
      <w:r w:rsidR="00360061">
        <w:rPr>
          <w:b/>
          <w:bCs/>
          <w:szCs w:val="22"/>
        </w:rPr>
        <w:t>1</w:t>
      </w:r>
      <w:r w:rsidRPr="00892069">
        <w:rPr>
          <w:szCs w:val="22"/>
        </w:rPr>
        <w:t>.</w:t>
      </w:r>
    </w:p>
    <w:p w14:paraId="2292FA3F" w14:textId="78FE464B" w:rsidR="004F69F6" w:rsidRPr="00932F14" w:rsidRDefault="00D3171B" w:rsidP="004646F8">
      <w:pPr>
        <w:pStyle w:val="Heading2"/>
      </w:pPr>
      <w:bookmarkStart w:id="38" w:name="_Toc175381442"/>
      <w:bookmarkStart w:id="39" w:name="_Toc286391010"/>
      <w:bookmarkStart w:id="40" w:name="_Toc300933426"/>
      <w:bookmarkStart w:id="41" w:name="_Toc419977503"/>
      <w:r>
        <w:t>2</w:t>
      </w:r>
      <w:r w:rsidR="0045556F">
        <w:t>.</w:t>
      </w:r>
      <w:r w:rsidR="004255DC">
        <w:t>2</w:t>
      </w:r>
      <w:r w:rsidR="00271F00">
        <w:tab/>
      </w:r>
      <w:bookmarkEnd w:id="38"/>
      <w:bookmarkEnd w:id="39"/>
      <w:bookmarkEnd w:id="40"/>
      <w:r w:rsidR="0045556F">
        <w:t>R</w:t>
      </w:r>
      <w:r w:rsidR="00707E72">
        <w:t>isk m</w:t>
      </w:r>
      <w:r w:rsidR="008A35FB">
        <w:t>anagement</w:t>
      </w:r>
      <w:bookmarkEnd w:id="41"/>
    </w:p>
    <w:p w14:paraId="296527F5" w14:textId="634387B8" w:rsidR="006460E6" w:rsidRDefault="000C5819" w:rsidP="00DD3C5E">
      <w:pPr>
        <w:rPr>
          <w:szCs w:val="22"/>
        </w:rPr>
      </w:pPr>
      <w:bookmarkStart w:id="42" w:name="_Toc300761910"/>
      <w:r w:rsidRPr="00E16B5B">
        <w:rPr>
          <w:szCs w:val="22"/>
        </w:rPr>
        <w:t xml:space="preserve">FSANZ is committed to maintaining </w:t>
      </w:r>
      <w:r w:rsidR="0091602E">
        <w:rPr>
          <w:szCs w:val="22"/>
        </w:rPr>
        <w:t>MRLs</w:t>
      </w:r>
      <w:r w:rsidR="0091602E" w:rsidRPr="00E16B5B">
        <w:rPr>
          <w:szCs w:val="22"/>
        </w:rPr>
        <w:t xml:space="preserve"> </w:t>
      </w:r>
      <w:r w:rsidRPr="00E16B5B">
        <w:rPr>
          <w:szCs w:val="22"/>
        </w:rPr>
        <w:t xml:space="preserve">in the Code that reflect </w:t>
      </w:r>
      <w:r w:rsidR="00016D88">
        <w:rPr>
          <w:szCs w:val="22"/>
        </w:rPr>
        <w:t>GAP</w:t>
      </w:r>
      <w:r w:rsidR="0091602E">
        <w:rPr>
          <w:szCs w:val="22"/>
        </w:rPr>
        <w:t xml:space="preserve"> and</w:t>
      </w:r>
      <w:r w:rsidR="0091602E" w:rsidRPr="00E16B5B">
        <w:rPr>
          <w:szCs w:val="22"/>
        </w:rPr>
        <w:t xml:space="preserve"> </w:t>
      </w:r>
      <w:r w:rsidRPr="00E16B5B">
        <w:rPr>
          <w:szCs w:val="22"/>
        </w:rPr>
        <w:t xml:space="preserve">that may </w:t>
      </w:r>
      <w:r w:rsidR="00E16B5B" w:rsidRPr="00E16B5B">
        <w:rPr>
          <w:szCs w:val="22"/>
        </w:rPr>
        <w:t xml:space="preserve">safely </w:t>
      </w:r>
      <w:r w:rsidRPr="00E16B5B">
        <w:rPr>
          <w:szCs w:val="22"/>
        </w:rPr>
        <w:t>occur in food; this ensures that such food may be sold.</w:t>
      </w:r>
      <w:r w:rsidR="006460E6" w:rsidRPr="006460E6">
        <w:rPr>
          <w:szCs w:val="22"/>
        </w:rPr>
        <w:t xml:space="preserve"> </w:t>
      </w:r>
      <w:r w:rsidR="006460E6" w:rsidRPr="00E16B5B">
        <w:rPr>
          <w:szCs w:val="22"/>
        </w:rPr>
        <w:t xml:space="preserve">The safety of the residues in the context of the Australian diet is a key consideration. FSANZ will only approve variations to </w:t>
      </w:r>
      <w:r w:rsidR="0091602E">
        <w:rPr>
          <w:szCs w:val="22"/>
        </w:rPr>
        <w:t>MRLs</w:t>
      </w:r>
      <w:r w:rsidR="0091602E" w:rsidRPr="00E16B5B">
        <w:rPr>
          <w:szCs w:val="22"/>
        </w:rPr>
        <w:t xml:space="preserve"> </w:t>
      </w:r>
      <w:r w:rsidR="006460E6" w:rsidRPr="00E16B5B">
        <w:rPr>
          <w:szCs w:val="22"/>
        </w:rPr>
        <w:t xml:space="preserve">in the Code where the risk assessment concludes that estimated dietary exposure is within </w:t>
      </w:r>
      <w:r w:rsidR="006460E6">
        <w:rPr>
          <w:szCs w:val="22"/>
        </w:rPr>
        <w:t>H</w:t>
      </w:r>
      <w:r w:rsidR="006460E6" w:rsidRPr="00E16B5B">
        <w:rPr>
          <w:szCs w:val="22"/>
        </w:rPr>
        <w:t xml:space="preserve">BGVs. </w:t>
      </w:r>
    </w:p>
    <w:p w14:paraId="1BDF8082" w14:textId="77777777" w:rsidR="006460E6" w:rsidRDefault="006460E6" w:rsidP="00DD3C5E">
      <w:pPr>
        <w:rPr>
          <w:szCs w:val="22"/>
        </w:rPr>
      </w:pPr>
    </w:p>
    <w:p w14:paraId="2292FA40" w14:textId="252002DD" w:rsidR="00D3171B" w:rsidRDefault="00A07E49" w:rsidP="00DD3C5E">
      <w:r>
        <w:rPr>
          <w:szCs w:val="22"/>
        </w:rPr>
        <w:t xml:space="preserve">Currently there are no MRLs established for rodenticides in the Code. As there are no MRLs for </w:t>
      </w:r>
      <w:r w:rsidRPr="00A87792">
        <w:rPr>
          <w:szCs w:val="22"/>
        </w:rPr>
        <w:t>coumatetralyl or warfarin</w:t>
      </w:r>
      <w:r>
        <w:rPr>
          <w:szCs w:val="22"/>
        </w:rPr>
        <w:t xml:space="preserve"> in the Code, the proposed temporary risk management measures </w:t>
      </w:r>
      <w:r w:rsidR="001670B8">
        <w:rPr>
          <w:szCs w:val="22"/>
        </w:rPr>
        <w:t>will facilitate trade</w:t>
      </w:r>
      <w:r w:rsidR="00100623">
        <w:rPr>
          <w:szCs w:val="22"/>
        </w:rPr>
        <w:t xml:space="preserve"> in certain pork commodities that </w:t>
      </w:r>
      <w:r w:rsidR="00154CD1">
        <w:rPr>
          <w:szCs w:val="22"/>
        </w:rPr>
        <w:t>inadvertently</w:t>
      </w:r>
      <w:r w:rsidR="00100623">
        <w:rPr>
          <w:szCs w:val="22"/>
        </w:rPr>
        <w:t xml:space="preserve"> contain residues at low levels</w:t>
      </w:r>
      <w:r w:rsidR="00A87792">
        <w:rPr>
          <w:szCs w:val="22"/>
        </w:rPr>
        <w:t>.</w:t>
      </w:r>
      <w:r w:rsidR="000C5819">
        <w:rPr>
          <w:szCs w:val="22"/>
        </w:rPr>
        <w:t xml:space="preserve"> </w:t>
      </w:r>
    </w:p>
    <w:p w14:paraId="2292FA41" w14:textId="50396F43" w:rsidR="000C5819" w:rsidRDefault="00E520FE" w:rsidP="00E520FE">
      <w:pPr>
        <w:pStyle w:val="Heading2"/>
      </w:pPr>
      <w:bookmarkStart w:id="43" w:name="_Toc300933435"/>
      <w:bookmarkStart w:id="44" w:name="_Toc419977504"/>
      <w:r>
        <w:t>2.</w:t>
      </w:r>
      <w:r w:rsidR="004255DC">
        <w:t>3</w:t>
      </w:r>
      <w:r>
        <w:tab/>
        <w:t>Risk communication</w:t>
      </w:r>
      <w:bookmarkEnd w:id="43"/>
      <w:bookmarkEnd w:id="44"/>
    </w:p>
    <w:p w14:paraId="2292FA42" w14:textId="77777777" w:rsidR="000C5819" w:rsidRPr="007110CC" w:rsidRDefault="000C5819" w:rsidP="000C5819">
      <w:pPr>
        <w:pStyle w:val="Default"/>
        <w:rPr>
          <w:sz w:val="22"/>
          <w:szCs w:val="22"/>
        </w:rPr>
      </w:pPr>
      <w:r w:rsidRPr="007110CC">
        <w:rPr>
          <w:sz w:val="22"/>
          <w:szCs w:val="22"/>
        </w:rPr>
        <w:t>FSANZ has adopted a basic communication strategy for this Proposal, with a focus on alerting the community that changes to the Code are being contemplated.</w:t>
      </w:r>
    </w:p>
    <w:p w14:paraId="2292FA43" w14:textId="77777777" w:rsidR="000C5819" w:rsidRPr="000C5819" w:rsidRDefault="000C5819" w:rsidP="000C5819">
      <w:pPr>
        <w:pStyle w:val="Default"/>
        <w:rPr>
          <w:sz w:val="22"/>
          <w:szCs w:val="22"/>
          <w:highlight w:val="lightGray"/>
        </w:rPr>
      </w:pPr>
    </w:p>
    <w:p w14:paraId="2292FA44" w14:textId="241EB81B" w:rsidR="000C5819" w:rsidRPr="000C5819" w:rsidRDefault="000C5819" w:rsidP="000C5819">
      <w:pPr>
        <w:pStyle w:val="Default"/>
        <w:rPr>
          <w:sz w:val="22"/>
          <w:szCs w:val="22"/>
          <w:highlight w:val="lightGray"/>
        </w:rPr>
      </w:pPr>
      <w:r w:rsidRPr="007110CC">
        <w:rPr>
          <w:sz w:val="22"/>
          <w:szCs w:val="22"/>
        </w:rPr>
        <w:t>FSANZ is seeking public comment on the proposed changes to the Code outlined in this consultation document to help finalise the assessment. All comments are welcome. However</w:t>
      </w:r>
      <w:r w:rsidR="006C17B7">
        <w:rPr>
          <w:sz w:val="22"/>
          <w:szCs w:val="22"/>
        </w:rPr>
        <w:t>,</w:t>
      </w:r>
      <w:r w:rsidRPr="007110CC">
        <w:rPr>
          <w:sz w:val="22"/>
          <w:szCs w:val="22"/>
        </w:rPr>
        <w:t xml:space="preserve"> FSANZ is particularly interested in comments on any impacts (costs/benefits) of the proposed variations, in particular, likely impacts on importation of food if specific variations are advanced and any public health and safety considerations associated with the proposed changes.</w:t>
      </w:r>
    </w:p>
    <w:p w14:paraId="2292FA45" w14:textId="77777777" w:rsidR="000C5819" w:rsidRPr="000C5819" w:rsidRDefault="000C5819" w:rsidP="000C5819">
      <w:pPr>
        <w:pStyle w:val="Default"/>
        <w:rPr>
          <w:sz w:val="22"/>
          <w:szCs w:val="22"/>
          <w:highlight w:val="lightGray"/>
        </w:rPr>
      </w:pPr>
    </w:p>
    <w:p w14:paraId="2292FA46" w14:textId="77777777" w:rsidR="000C5819" w:rsidRPr="007110CC" w:rsidRDefault="000C5819" w:rsidP="000C5819">
      <w:pPr>
        <w:pStyle w:val="Default"/>
        <w:rPr>
          <w:sz w:val="22"/>
          <w:szCs w:val="22"/>
        </w:rPr>
      </w:pPr>
      <w:r w:rsidRPr="007110CC">
        <w:rPr>
          <w:sz w:val="22"/>
          <w:szCs w:val="22"/>
        </w:rPr>
        <w:t>FSANZ publishes details about proposed changes, submissions and subsequent reports on its website</w:t>
      </w:r>
      <w:r w:rsidR="007110CC" w:rsidRPr="007110CC">
        <w:rPr>
          <w:sz w:val="22"/>
          <w:szCs w:val="22"/>
        </w:rPr>
        <w:t xml:space="preserve"> and issues a Notification Circular and media releases drawing attention to proposed Code amendments and calls for comment. Email</w:t>
      </w:r>
      <w:r w:rsidRPr="007110CC">
        <w:rPr>
          <w:sz w:val="22"/>
          <w:szCs w:val="22"/>
        </w:rPr>
        <w:t xml:space="preserve"> alerts </w:t>
      </w:r>
      <w:r w:rsidR="007110CC" w:rsidRPr="007110CC">
        <w:rPr>
          <w:sz w:val="22"/>
          <w:szCs w:val="22"/>
        </w:rPr>
        <w:t xml:space="preserve">are sent to </w:t>
      </w:r>
      <w:r w:rsidRPr="007110CC">
        <w:rPr>
          <w:sz w:val="22"/>
          <w:szCs w:val="22"/>
        </w:rPr>
        <w:t>more than 5000 subscribers</w:t>
      </w:r>
      <w:r w:rsidR="007110CC" w:rsidRPr="007110CC">
        <w:rPr>
          <w:sz w:val="22"/>
          <w:szCs w:val="22"/>
        </w:rPr>
        <w:t xml:space="preserve">. </w:t>
      </w:r>
      <w:r w:rsidRPr="007110CC">
        <w:rPr>
          <w:sz w:val="22"/>
          <w:szCs w:val="22"/>
        </w:rPr>
        <w:t>Social media and FSANZ publications are also used to communicate calls for submissions.</w:t>
      </w:r>
    </w:p>
    <w:p w14:paraId="2292FA47" w14:textId="77777777" w:rsidR="000C5819" w:rsidRPr="000C5819" w:rsidRDefault="000C5819" w:rsidP="000C5819">
      <w:pPr>
        <w:pStyle w:val="Default"/>
        <w:rPr>
          <w:sz w:val="22"/>
          <w:szCs w:val="22"/>
          <w:highlight w:val="lightGray"/>
        </w:rPr>
      </w:pPr>
    </w:p>
    <w:p w14:paraId="2292FA48" w14:textId="77777777" w:rsidR="000C5819" w:rsidRDefault="000C5819" w:rsidP="000C5819">
      <w:pPr>
        <w:pStyle w:val="Default"/>
        <w:rPr>
          <w:sz w:val="22"/>
          <w:szCs w:val="22"/>
        </w:rPr>
      </w:pPr>
      <w:r w:rsidRPr="007110CC">
        <w:rPr>
          <w:sz w:val="22"/>
          <w:szCs w:val="22"/>
        </w:rPr>
        <w:t>Individuals and organisations making submissions on this Proposal will be notified at each stage of the assessment. If the FSANZ Board approves the draft variations to the Code, FSANZ will notify its decision to the Australia and New Zealand Ministerial Forum on Food Regulation. FSANZ will notify the gazetted changes to the Code in the national press and on the FSANZ website.</w:t>
      </w:r>
    </w:p>
    <w:p w14:paraId="2292FA49" w14:textId="098FC933" w:rsidR="00E520FE" w:rsidRPr="004A45DF" w:rsidRDefault="00E520FE" w:rsidP="00022DBC">
      <w:pPr>
        <w:pStyle w:val="Heading3"/>
        <w:rPr>
          <w:color w:val="auto"/>
        </w:rPr>
      </w:pPr>
      <w:bookmarkStart w:id="45" w:name="_Toc300933437"/>
      <w:bookmarkStart w:id="46" w:name="_Toc419977505"/>
      <w:bookmarkStart w:id="47" w:name="_Toc286391012"/>
      <w:r w:rsidRPr="004A45DF">
        <w:rPr>
          <w:color w:val="auto"/>
        </w:rPr>
        <w:t>2.</w:t>
      </w:r>
      <w:r w:rsidR="004255DC">
        <w:rPr>
          <w:color w:val="auto"/>
        </w:rPr>
        <w:t>3</w:t>
      </w:r>
      <w:r w:rsidRPr="004A45DF">
        <w:rPr>
          <w:color w:val="auto"/>
        </w:rPr>
        <w:t>.1</w:t>
      </w:r>
      <w:r w:rsidRPr="004A45DF">
        <w:rPr>
          <w:color w:val="auto"/>
        </w:rPr>
        <w:tab/>
        <w:t>Consultation</w:t>
      </w:r>
      <w:bookmarkEnd w:id="45"/>
      <w:bookmarkEnd w:id="46"/>
    </w:p>
    <w:p w14:paraId="2292FA4A" w14:textId="4A2ADA70" w:rsidR="00A16368" w:rsidRDefault="0027513D" w:rsidP="0027513D">
      <w:pPr>
        <w:rPr>
          <w:szCs w:val="22"/>
        </w:rPr>
      </w:pPr>
      <w:r w:rsidRPr="004A45DF">
        <w:rPr>
          <w:szCs w:val="22"/>
        </w:rPr>
        <w:t xml:space="preserve">Consultation is a key part of FSANZ’s standards development process. </w:t>
      </w:r>
      <w:r w:rsidR="004A45DF">
        <w:rPr>
          <w:szCs w:val="22"/>
        </w:rPr>
        <w:t xml:space="preserve">FSANZ’s consideration of M1012 will include one round of public consultation following </w:t>
      </w:r>
      <w:r w:rsidR="005B73FA">
        <w:rPr>
          <w:szCs w:val="22"/>
        </w:rPr>
        <w:t xml:space="preserve">an </w:t>
      </w:r>
      <w:r w:rsidR="004A45DF">
        <w:rPr>
          <w:szCs w:val="22"/>
        </w:rPr>
        <w:t xml:space="preserve">assessment and </w:t>
      </w:r>
      <w:r w:rsidR="005B73FA">
        <w:rPr>
          <w:szCs w:val="22"/>
        </w:rPr>
        <w:t xml:space="preserve">the </w:t>
      </w:r>
      <w:r w:rsidR="004A45DF">
        <w:rPr>
          <w:szCs w:val="22"/>
        </w:rPr>
        <w:t xml:space="preserve">preparation of </w:t>
      </w:r>
      <w:r w:rsidR="005B73FA">
        <w:rPr>
          <w:szCs w:val="22"/>
        </w:rPr>
        <w:t xml:space="preserve">a </w:t>
      </w:r>
      <w:r w:rsidR="004A45DF">
        <w:rPr>
          <w:szCs w:val="22"/>
        </w:rPr>
        <w:t xml:space="preserve">draft variation to Standard 1.4.2 and associated </w:t>
      </w:r>
      <w:r w:rsidR="005B73FA">
        <w:rPr>
          <w:szCs w:val="22"/>
        </w:rPr>
        <w:t>report.</w:t>
      </w:r>
      <w:r w:rsidR="004A45DF">
        <w:rPr>
          <w:szCs w:val="22"/>
        </w:rPr>
        <w:t xml:space="preserve"> </w:t>
      </w:r>
      <w:r w:rsidR="00A16368">
        <w:rPr>
          <w:szCs w:val="22"/>
        </w:rPr>
        <w:br w:type="page"/>
      </w:r>
    </w:p>
    <w:p w14:paraId="2292FA4C" w14:textId="77777777" w:rsidR="00FB67A3" w:rsidRPr="004A45DF" w:rsidRDefault="0027513D" w:rsidP="00FB67A3">
      <w:pPr>
        <w:rPr>
          <w:szCs w:val="22"/>
        </w:rPr>
      </w:pPr>
      <w:r w:rsidRPr="00036247">
        <w:rPr>
          <w:szCs w:val="22"/>
        </w:rPr>
        <w:lastRenderedPageBreak/>
        <w:t xml:space="preserve">FSANZ </w:t>
      </w:r>
      <w:r w:rsidRPr="004A45DF">
        <w:rPr>
          <w:szCs w:val="22"/>
        </w:rPr>
        <w:t xml:space="preserve">acknowledges the time taken by individuals and organisations to make submissions on this Proposal. </w:t>
      </w:r>
      <w:r w:rsidR="00FB67A3" w:rsidRPr="004A45DF">
        <w:rPr>
          <w:szCs w:val="22"/>
        </w:rPr>
        <w:t>Every submission on a proposal</w:t>
      </w:r>
      <w:r w:rsidR="009456AE">
        <w:rPr>
          <w:szCs w:val="22"/>
        </w:rPr>
        <w:t xml:space="preserve"> will be c</w:t>
      </w:r>
      <w:r w:rsidR="00FB67A3" w:rsidRPr="004A45DF">
        <w:rPr>
          <w:szCs w:val="22"/>
        </w:rPr>
        <w:t xml:space="preserve">onsidered by the FSANZ Board. All comments are valued and contribute to the rigour of our assessment. </w:t>
      </w:r>
    </w:p>
    <w:p w14:paraId="2292FA4D" w14:textId="584598A3" w:rsidR="00E520FE" w:rsidRPr="00022DBC" w:rsidRDefault="00022DBC" w:rsidP="00022DBC">
      <w:pPr>
        <w:pStyle w:val="Heading3"/>
      </w:pPr>
      <w:bookmarkStart w:id="48" w:name="_Toc300761912"/>
      <w:bookmarkStart w:id="49" w:name="_Toc300933439"/>
      <w:bookmarkStart w:id="50" w:name="_Toc419977506"/>
      <w:bookmarkEnd w:id="47"/>
      <w:r w:rsidRPr="00022DBC">
        <w:t>2.</w:t>
      </w:r>
      <w:r w:rsidR="004255DC">
        <w:t>3</w:t>
      </w:r>
      <w:r w:rsidRPr="00022DBC">
        <w:t>.2</w:t>
      </w:r>
      <w:r w:rsidR="00E520FE" w:rsidRPr="00022DBC">
        <w:tab/>
        <w:t>World Trade Organization (WTO)</w:t>
      </w:r>
      <w:bookmarkEnd w:id="48"/>
      <w:bookmarkEnd w:id="49"/>
      <w:bookmarkEnd w:id="50"/>
    </w:p>
    <w:p w14:paraId="2292FA4E" w14:textId="77777777" w:rsidR="00E520FE" w:rsidRPr="00036247" w:rsidRDefault="00E520FE" w:rsidP="00E520FE">
      <w:pPr>
        <w:rPr>
          <w:rFonts w:cs="Arial"/>
        </w:rPr>
      </w:pPr>
      <w:r w:rsidRPr="009456AE">
        <w:rPr>
          <w:rFonts w:cs="Arial"/>
          <w:color w:val="000000"/>
        </w:rPr>
        <w:t>As members of the World Trade Organization (WTO), Australia and New Zealand are obliged to notify WTO member</w:t>
      </w:r>
      <w:r w:rsidR="00BB5930" w:rsidRPr="009456AE">
        <w:rPr>
          <w:rFonts w:cs="Arial"/>
          <w:color w:val="000000"/>
        </w:rPr>
        <w:t>s</w:t>
      </w:r>
      <w:r w:rsidRPr="009456AE">
        <w:rPr>
          <w:rFonts w:cs="Arial"/>
          <w:color w:val="000000"/>
        </w:rPr>
        <w:t xml:space="preserve"> where proposed mandatory regulatory measures are inconsistent with any existing or imminent international standards and the proposed measure may have a </w:t>
      </w:r>
      <w:r w:rsidRPr="00036247">
        <w:rPr>
          <w:rFonts w:cs="Arial"/>
        </w:rPr>
        <w:t>significant effect on trade.</w:t>
      </w:r>
    </w:p>
    <w:p w14:paraId="2292FA51" w14:textId="026F3F29" w:rsidR="00E520FE" w:rsidRPr="00036247" w:rsidRDefault="00E520FE" w:rsidP="00E520FE"/>
    <w:p w14:paraId="2292FA52" w14:textId="1B7ACC18" w:rsidR="00E520FE" w:rsidRDefault="00C926A5" w:rsidP="00E520FE">
      <w:pPr>
        <w:tabs>
          <w:tab w:val="left" w:pos="1560"/>
        </w:tabs>
        <w:rPr>
          <w:rFonts w:cs="Arial"/>
        </w:rPr>
      </w:pPr>
      <w:r>
        <w:rPr>
          <w:rFonts w:cs="Arial"/>
        </w:rPr>
        <w:t xml:space="preserve">FSANZ considers that the proposed measure of </w:t>
      </w:r>
      <w:r w:rsidR="00E520FE" w:rsidRPr="009456AE">
        <w:rPr>
          <w:rFonts w:cs="Arial"/>
        </w:rPr>
        <w:t xml:space="preserve">amending </w:t>
      </w:r>
      <w:r w:rsidR="007F5C0C" w:rsidRPr="009456AE">
        <w:rPr>
          <w:rFonts w:cs="Arial"/>
        </w:rPr>
        <w:t xml:space="preserve">MRLs in Standard 1.4.2 </w:t>
      </w:r>
      <w:r>
        <w:rPr>
          <w:rFonts w:cs="Arial"/>
        </w:rPr>
        <w:t>will not</w:t>
      </w:r>
      <w:r w:rsidR="00E520FE" w:rsidRPr="009456AE">
        <w:rPr>
          <w:rFonts w:cs="Arial"/>
        </w:rPr>
        <w:t xml:space="preserve"> have a significant </w:t>
      </w:r>
      <w:r>
        <w:rPr>
          <w:rFonts w:cs="Arial"/>
        </w:rPr>
        <w:t>impact</w:t>
      </w:r>
      <w:r w:rsidR="00E520FE" w:rsidRPr="009456AE">
        <w:rPr>
          <w:rFonts w:cs="Arial"/>
        </w:rPr>
        <w:t xml:space="preserve"> on trade</w:t>
      </w:r>
      <w:r>
        <w:rPr>
          <w:rFonts w:cs="Arial"/>
        </w:rPr>
        <w:t>.</w:t>
      </w:r>
      <w:r w:rsidR="007F5C0C" w:rsidRPr="009456AE">
        <w:rPr>
          <w:rFonts w:cs="Arial"/>
        </w:rPr>
        <w:t xml:space="preserve"> </w:t>
      </w:r>
      <w:r w:rsidR="00100623">
        <w:rPr>
          <w:rFonts w:cs="Arial"/>
        </w:rPr>
        <w:t>However</w:t>
      </w:r>
      <w:r w:rsidR="00E520FE" w:rsidRPr="009456AE">
        <w:rPr>
          <w:rFonts w:cs="Arial"/>
          <w:iCs/>
        </w:rPr>
        <w:t xml:space="preserve">, a notification to the WTO under </w:t>
      </w:r>
      <w:r w:rsidR="00E520FE" w:rsidRPr="009456AE">
        <w:rPr>
          <w:rFonts w:cs="Arial"/>
        </w:rPr>
        <w:t xml:space="preserve">Australia’s </w:t>
      </w:r>
      <w:r w:rsidR="00E520FE" w:rsidRPr="009456AE">
        <w:rPr>
          <w:rFonts w:cs="Arial"/>
          <w:iCs/>
        </w:rPr>
        <w:t xml:space="preserve">obligations under the WTO </w:t>
      </w:r>
      <w:r w:rsidR="00D04529" w:rsidRPr="009456AE">
        <w:rPr>
          <w:rFonts w:cs="Arial"/>
          <w:iCs/>
        </w:rPr>
        <w:t xml:space="preserve">Application of </w:t>
      </w:r>
      <w:r w:rsidR="00E520FE" w:rsidRPr="009456AE">
        <w:rPr>
          <w:rFonts w:cs="Arial"/>
          <w:iCs/>
        </w:rPr>
        <w:t xml:space="preserve">Sanitary and </w:t>
      </w:r>
      <w:proofErr w:type="spellStart"/>
      <w:r w:rsidR="00E520FE" w:rsidRPr="009456AE">
        <w:rPr>
          <w:rFonts w:cs="Arial"/>
          <w:iCs/>
        </w:rPr>
        <w:t>Phytosanitary</w:t>
      </w:r>
      <w:proofErr w:type="spellEnd"/>
      <w:r w:rsidR="00E520FE" w:rsidRPr="009456AE">
        <w:rPr>
          <w:rFonts w:cs="Arial"/>
          <w:iCs/>
        </w:rPr>
        <w:t xml:space="preserve"> Measures Agreement has been made to</w:t>
      </w:r>
      <w:r w:rsidR="00E520FE" w:rsidRPr="009456AE">
        <w:rPr>
          <w:rFonts w:cs="Arial"/>
        </w:rPr>
        <w:t xml:space="preserve"> enable other WTO members to comment on the proposed amendments.</w:t>
      </w:r>
    </w:p>
    <w:p w14:paraId="2292FA53" w14:textId="24A2761A" w:rsidR="00E520FE" w:rsidRDefault="004255DC" w:rsidP="00022DBC">
      <w:pPr>
        <w:pStyle w:val="Heading2"/>
      </w:pPr>
      <w:bookmarkStart w:id="51" w:name="_Toc419977507"/>
      <w:r>
        <w:t>2.4</w:t>
      </w:r>
      <w:r w:rsidR="00022DBC">
        <w:tab/>
        <w:t>FSANZ Act assessment requirements</w:t>
      </w:r>
      <w:bookmarkEnd w:id="51"/>
    </w:p>
    <w:p w14:paraId="2292FA54" w14:textId="77777777" w:rsidR="00726C2F" w:rsidRPr="009456AE" w:rsidRDefault="00726C2F" w:rsidP="00726C2F">
      <w:r w:rsidRPr="009456AE">
        <w:t xml:space="preserve">When assessing this Proposal and the subsequent development of a food regulatory measure, FSANZ has had regard to the </w:t>
      </w:r>
      <w:r w:rsidRPr="009456AE" w:rsidDel="00932F14">
        <w:t xml:space="preserve">following </w:t>
      </w:r>
      <w:r w:rsidRPr="009456AE">
        <w:t>matters in section 59 of the FSANZ Act:</w:t>
      </w:r>
    </w:p>
    <w:p w14:paraId="2292FA55" w14:textId="2162FF56" w:rsidR="00726C2F" w:rsidRPr="00070134" w:rsidRDefault="00726C2F" w:rsidP="00726C2F">
      <w:pPr>
        <w:pStyle w:val="Heading3"/>
        <w:rPr>
          <w:color w:val="auto"/>
        </w:rPr>
      </w:pPr>
      <w:bookmarkStart w:id="52" w:name="_Toc419977508"/>
      <w:r w:rsidRPr="009456AE">
        <w:t>2.</w:t>
      </w:r>
      <w:r w:rsidR="004255DC">
        <w:t>4</w:t>
      </w:r>
      <w:r w:rsidRPr="009456AE">
        <w:t>.1</w:t>
      </w:r>
      <w:r w:rsidRPr="009456AE">
        <w:tab/>
      </w:r>
      <w:r w:rsidRPr="009456AE">
        <w:rPr>
          <w:color w:val="auto"/>
        </w:rPr>
        <w:t>Section 59</w:t>
      </w:r>
      <w:bookmarkEnd w:id="52"/>
    </w:p>
    <w:p w14:paraId="2292FA56" w14:textId="099130CE" w:rsidR="00726C2F" w:rsidRPr="009456AE" w:rsidRDefault="00726C2F" w:rsidP="00726C2F">
      <w:pPr>
        <w:pStyle w:val="Heading4"/>
      </w:pPr>
      <w:r w:rsidRPr="009456AE">
        <w:t>2.</w:t>
      </w:r>
      <w:r w:rsidR="004255DC">
        <w:t>4</w:t>
      </w:r>
      <w:r w:rsidRPr="009456AE">
        <w:t>.1.1</w:t>
      </w:r>
      <w:r w:rsidRPr="009456AE">
        <w:tab/>
        <w:t>Cost benefit analysis</w:t>
      </w:r>
    </w:p>
    <w:p w14:paraId="2292FA57" w14:textId="426E88EA" w:rsidR="009456AE" w:rsidRDefault="009456AE" w:rsidP="00656E41">
      <w:pPr>
        <w:pStyle w:val="Default"/>
        <w:rPr>
          <w:sz w:val="22"/>
          <w:szCs w:val="22"/>
        </w:rPr>
      </w:pPr>
      <w:r w:rsidRPr="009456AE">
        <w:rPr>
          <w:sz w:val="22"/>
          <w:szCs w:val="22"/>
        </w:rPr>
        <w:t xml:space="preserve">A Regulation Impact Statement is not required because the proposed variations to Standard 1.4.2 are minor and do not substantially alter existing arrangements. </w:t>
      </w:r>
      <w:r w:rsidR="00656E41" w:rsidRPr="009456AE">
        <w:rPr>
          <w:sz w:val="22"/>
          <w:szCs w:val="22"/>
        </w:rPr>
        <w:t xml:space="preserve">In 2010, the Office of Best Practice Regulation provided a standing exemption from the need to assess if a Regulation Impact Statement is required for applications relating to </w:t>
      </w:r>
      <w:r w:rsidR="00F31A8D">
        <w:rPr>
          <w:sz w:val="22"/>
          <w:szCs w:val="22"/>
        </w:rPr>
        <w:t>MRLs</w:t>
      </w:r>
      <w:r w:rsidR="00656E41" w:rsidRPr="009456AE">
        <w:rPr>
          <w:sz w:val="22"/>
          <w:szCs w:val="22"/>
        </w:rPr>
        <w:t xml:space="preserve"> as they are machinery in nature and their use is voluntary. </w:t>
      </w:r>
    </w:p>
    <w:p w14:paraId="2292FA58" w14:textId="77777777" w:rsidR="009456AE" w:rsidRDefault="009456AE" w:rsidP="00656E41">
      <w:pPr>
        <w:pStyle w:val="Default"/>
        <w:rPr>
          <w:sz w:val="22"/>
          <w:szCs w:val="22"/>
        </w:rPr>
      </w:pPr>
    </w:p>
    <w:p w14:paraId="2292FA5A" w14:textId="66EEFF2E" w:rsidR="009456AE" w:rsidRPr="009456AE" w:rsidRDefault="00656E41" w:rsidP="00656E41">
      <w:pPr>
        <w:pStyle w:val="Default"/>
        <w:rPr>
          <w:sz w:val="22"/>
          <w:szCs w:val="22"/>
        </w:rPr>
      </w:pPr>
      <w:r w:rsidRPr="009456AE">
        <w:rPr>
          <w:sz w:val="22"/>
          <w:szCs w:val="22"/>
        </w:rPr>
        <w:t xml:space="preserve">A limited impact analysis on different stakeholders is provided below. </w:t>
      </w:r>
      <w:r w:rsidR="009456AE" w:rsidRPr="009456AE">
        <w:rPr>
          <w:sz w:val="22"/>
          <w:szCs w:val="22"/>
        </w:rPr>
        <w:t xml:space="preserve">This indicates that the </w:t>
      </w:r>
      <w:r w:rsidRPr="009456AE">
        <w:rPr>
          <w:sz w:val="22"/>
          <w:szCs w:val="22"/>
        </w:rPr>
        <w:t xml:space="preserve">direct and indirect benefits that would arise from </w:t>
      </w:r>
      <w:r w:rsidR="009456AE" w:rsidRPr="009456AE">
        <w:rPr>
          <w:sz w:val="22"/>
          <w:szCs w:val="22"/>
        </w:rPr>
        <w:t xml:space="preserve">the proposed MRL variations outweigh the costs to the community, </w:t>
      </w:r>
      <w:r w:rsidR="00AC3DC6">
        <w:rPr>
          <w:sz w:val="22"/>
          <w:szCs w:val="22"/>
        </w:rPr>
        <w:t>g</w:t>
      </w:r>
      <w:r w:rsidR="009456AE" w:rsidRPr="009456AE">
        <w:rPr>
          <w:sz w:val="22"/>
          <w:szCs w:val="22"/>
        </w:rPr>
        <w:t xml:space="preserve">overnment or industry that would arise from their development or making. </w:t>
      </w:r>
    </w:p>
    <w:p w14:paraId="2292FA5B" w14:textId="77777777" w:rsidR="009456AE" w:rsidRDefault="009456AE" w:rsidP="00656E41">
      <w:pPr>
        <w:pStyle w:val="Default"/>
        <w:rPr>
          <w:sz w:val="22"/>
          <w:szCs w:val="22"/>
          <w:highlight w:val="lightGray"/>
        </w:rPr>
      </w:pPr>
    </w:p>
    <w:p w14:paraId="2292FA5C" w14:textId="77777777" w:rsidR="00656E41" w:rsidRPr="00E80DE8" w:rsidRDefault="00656E41" w:rsidP="00656E41">
      <w:pPr>
        <w:pStyle w:val="Default"/>
        <w:rPr>
          <w:sz w:val="22"/>
          <w:szCs w:val="22"/>
        </w:rPr>
      </w:pPr>
      <w:r w:rsidRPr="00E80DE8">
        <w:rPr>
          <w:sz w:val="22"/>
          <w:szCs w:val="22"/>
        </w:rPr>
        <w:t xml:space="preserve">The proposed MRL variations benefit Australian Government, state and territory agencies, growers and producers, in that they serve to further harmonise agricultural and food standards. Achieving further consistency between agricultural and food legislation will minimise compliance costs to primary producers and assist in efficient enforcement of regulations. </w:t>
      </w:r>
    </w:p>
    <w:p w14:paraId="2292FA5D" w14:textId="77777777" w:rsidR="00656E41" w:rsidRPr="00E80DE8" w:rsidRDefault="00656E41" w:rsidP="00656E41">
      <w:pPr>
        <w:pStyle w:val="Default"/>
        <w:rPr>
          <w:sz w:val="22"/>
          <w:szCs w:val="22"/>
        </w:rPr>
      </w:pPr>
    </w:p>
    <w:p w14:paraId="2292FA5E" w14:textId="38AB2E4E" w:rsidR="00656E41" w:rsidRPr="00E80DE8" w:rsidRDefault="00656E41" w:rsidP="00656E41">
      <w:pPr>
        <w:pStyle w:val="Default"/>
        <w:rPr>
          <w:sz w:val="22"/>
          <w:szCs w:val="22"/>
        </w:rPr>
      </w:pPr>
      <w:r w:rsidRPr="00E80DE8">
        <w:rPr>
          <w:sz w:val="22"/>
          <w:szCs w:val="22"/>
        </w:rPr>
        <w:t xml:space="preserve">Importers may benefit by the approval of the proposed draft variations. Additional or increased MRLs may benefit importers and consequently consumers in that this may extend the options to source safe foods. </w:t>
      </w:r>
    </w:p>
    <w:p w14:paraId="2292FA61" w14:textId="281EF16A" w:rsidR="00726C2F" w:rsidRPr="004544F5" w:rsidRDefault="00726C2F" w:rsidP="00726C2F">
      <w:pPr>
        <w:pStyle w:val="Heading4"/>
      </w:pPr>
      <w:r w:rsidRPr="004544F5">
        <w:t>2.</w:t>
      </w:r>
      <w:r w:rsidR="004255DC">
        <w:t>4</w:t>
      </w:r>
      <w:r w:rsidRPr="004544F5">
        <w:t>.1.2</w:t>
      </w:r>
      <w:r w:rsidRPr="004544F5">
        <w:tab/>
        <w:t>Other measures</w:t>
      </w:r>
    </w:p>
    <w:p w14:paraId="2292FA62" w14:textId="77777777" w:rsidR="00726C2F" w:rsidRPr="00656E41" w:rsidRDefault="00726C2F" w:rsidP="00726C2F">
      <w:r w:rsidRPr="004544F5">
        <w:t>There are no other measures (whether available to FSANZ or not) that would be more cost-effective than a food regulatory measure developed or varied as a result of the Proposal.</w:t>
      </w:r>
    </w:p>
    <w:p w14:paraId="7D720618" w14:textId="77777777" w:rsidR="00A16368" w:rsidRDefault="00A16368" w:rsidP="008B0075">
      <w:pPr>
        <w:pStyle w:val="Heading4"/>
      </w:pPr>
      <w:r>
        <w:br w:type="page"/>
      </w:r>
    </w:p>
    <w:p w14:paraId="2292FA63" w14:textId="188690E9" w:rsidR="00726C2F" w:rsidRPr="004544F5" w:rsidRDefault="008B0075" w:rsidP="008B0075">
      <w:pPr>
        <w:pStyle w:val="Heading4"/>
      </w:pPr>
      <w:r w:rsidRPr="004544F5">
        <w:lastRenderedPageBreak/>
        <w:t>2.</w:t>
      </w:r>
      <w:r w:rsidR="004255DC">
        <w:t>4</w:t>
      </w:r>
      <w:r w:rsidRPr="004544F5">
        <w:t>.1.3</w:t>
      </w:r>
      <w:r w:rsidRPr="004544F5">
        <w:tab/>
        <w:t>A</w:t>
      </w:r>
      <w:r w:rsidR="00726C2F" w:rsidRPr="004544F5">
        <w:t>ny relevant New Zealand standards</w:t>
      </w:r>
    </w:p>
    <w:p w14:paraId="2292FA64" w14:textId="618C771C" w:rsidR="00656E41" w:rsidRPr="004544F5" w:rsidRDefault="00656E41" w:rsidP="00656E41">
      <w:pPr>
        <w:pStyle w:val="Default"/>
        <w:rPr>
          <w:sz w:val="22"/>
          <w:szCs w:val="22"/>
        </w:rPr>
      </w:pPr>
      <w:r w:rsidRPr="004544F5">
        <w:rPr>
          <w:sz w:val="22"/>
          <w:szCs w:val="22"/>
        </w:rPr>
        <w:t xml:space="preserve">The </w:t>
      </w:r>
      <w:r w:rsidRPr="004544F5">
        <w:rPr>
          <w:i/>
          <w:iCs/>
          <w:sz w:val="22"/>
          <w:szCs w:val="22"/>
        </w:rPr>
        <w:t xml:space="preserve">Agreement between the Government of Australia and the Government of New Zealand concerning a Joint Food Standards System </w:t>
      </w:r>
      <w:r w:rsidRPr="004544F5">
        <w:rPr>
          <w:sz w:val="22"/>
          <w:szCs w:val="22"/>
        </w:rPr>
        <w:t xml:space="preserve">(the Treaty) excludes MRLs for </w:t>
      </w:r>
      <w:proofErr w:type="spellStart"/>
      <w:r w:rsidRPr="004544F5">
        <w:rPr>
          <w:sz w:val="22"/>
          <w:szCs w:val="22"/>
        </w:rPr>
        <w:t>ag</w:t>
      </w:r>
      <w:r w:rsidR="003E1505">
        <w:rPr>
          <w:sz w:val="22"/>
          <w:szCs w:val="22"/>
        </w:rPr>
        <w:t>vet</w:t>
      </w:r>
      <w:proofErr w:type="spellEnd"/>
      <w:r w:rsidR="003E1505">
        <w:rPr>
          <w:sz w:val="22"/>
          <w:szCs w:val="22"/>
        </w:rPr>
        <w:t xml:space="preserve"> </w:t>
      </w:r>
      <w:r w:rsidRPr="004544F5">
        <w:rPr>
          <w:sz w:val="22"/>
          <w:szCs w:val="22"/>
        </w:rPr>
        <w:t xml:space="preserve">chemicals in food from the system setting joint food standards. Australia and New Zealand independently and separately develop MRLs for </w:t>
      </w:r>
      <w:proofErr w:type="spellStart"/>
      <w:r w:rsidRPr="004544F5">
        <w:rPr>
          <w:sz w:val="22"/>
          <w:szCs w:val="22"/>
        </w:rPr>
        <w:t>ag</w:t>
      </w:r>
      <w:r w:rsidR="003E1505">
        <w:rPr>
          <w:sz w:val="22"/>
          <w:szCs w:val="22"/>
        </w:rPr>
        <w:t>vet</w:t>
      </w:r>
      <w:proofErr w:type="spellEnd"/>
      <w:r w:rsidR="003E1505">
        <w:rPr>
          <w:sz w:val="22"/>
          <w:szCs w:val="22"/>
        </w:rPr>
        <w:t xml:space="preserve"> </w:t>
      </w:r>
      <w:r w:rsidRPr="004544F5">
        <w:rPr>
          <w:sz w:val="22"/>
          <w:szCs w:val="22"/>
        </w:rPr>
        <w:t xml:space="preserve">chemicals in food. </w:t>
      </w:r>
    </w:p>
    <w:p w14:paraId="2292FA65" w14:textId="77777777" w:rsidR="00656E41" w:rsidRPr="00656E41" w:rsidRDefault="00656E41" w:rsidP="00656E41">
      <w:pPr>
        <w:pStyle w:val="Default"/>
        <w:rPr>
          <w:sz w:val="22"/>
          <w:szCs w:val="22"/>
          <w:highlight w:val="lightGray"/>
        </w:rPr>
      </w:pPr>
    </w:p>
    <w:p w14:paraId="2292FA66" w14:textId="77777777" w:rsidR="00656E41" w:rsidRPr="004544F5" w:rsidRDefault="00656E41" w:rsidP="00656E41">
      <w:pPr>
        <w:pStyle w:val="Default"/>
        <w:rPr>
          <w:sz w:val="22"/>
          <w:szCs w:val="22"/>
        </w:rPr>
      </w:pPr>
      <w:r w:rsidRPr="004544F5">
        <w:rPr>
          <w:sz w:val="22"/>
          <w:szCs w:val="22"/>
        </w:rPr>
        <w:t xml:space="preserve">All domestically produced food sold in New Zealand must comply with the New Zealand (Maximum Residue Limits of Agricultural Compounds) Food Standards 2012 and any amendments (the New Zealand MRL Standards). If food is imported into New Zealand, such food must comply either with the New Zealand MRL Standards or with Codex MRLs (except for food imported from Australia). </w:t>
      </w:r>
    </w:p>
    <w:p w14:paraId="2292FA67" w14:textId="77777777" w:rsidR="00656E41" w:rsidRPr="00656E41" w:rsidRDefault="00656E41" w:rsidP="00656E41">
      <w:pPr>
        <w:pStyle w:val="Default"/>
        <w:rPr>
          <w:sz w:val="22"/>
          <w:szCs w:val="22"/>
          <w:highlight w:val="lightGray"/>
        </w:rPr>
      </w:pPr>
    </w:p>
    <w:p w14:paraId="2292FA68" w14:textId="77777777" w:rsidR="004544F5" w:rsidRDefault="00656E41" w:rsidP="004544F5">
      <w:pPr>
        <w:pStyle w:val="Default"/>
        <w:rPr>
          <w:sz w:val="22"/>
          <w:szCs w:val="22"/>
        </w:rPr>
      </w:pPr>
      <w:r w:rsidRPr="004544F5">
        <w:rPr>
          <w:sz w:val="22"/>
          <w:szCs w:val="22"/>
        </w:rPr>
        <w:t xml:space="preserve">Under the New Zealand MRL Standards, agricultural chemical residues in food must comply with the specific MRLs listed in the Standards. The New Zealand MRL Standards also include a provision for residues of up to 0.1 mg/kg for agricultural chemical/commodity combinations not specifically listed. </w:t>
      </w:r>
    </w:p>
    <w:p w14:paraId="2292FA69" w14:textId="77777777" w:rsidR="004544F5" w:rsidRDefault="004544F5" w:rsidP="004544F5">
      <w:pPr>
        <w:pStyle w:val="Default"/>
        <w:rPr>
          <w:sz w:val="22"/>
          <w:szCs w:val="22"/>
        </w:rPr>
      </w:pPr>
    </w:p>
    <w:p w14:paraId="2292FA6A" w14:textId="77777777" w:rsidR="00656E41" w:rsidRPr="004544F5" w:rsidRDefault="00656E41" w:rsidP="004544F5">
      <w:pPr>
        <w:pStyle w:val="Default"/>
        <w:rPr>
          <w:color w:val="auto"/>
          <w:sz w:val="22"/>
          <w:szCs w:val="22"/>
        </w:rPr>
      </w:pPr>
      <w:r w:rsidRPr="004544F5">
        <w:rPr>
          <w:color w:val="auto"/>
          <w:sz w:val="22"/>
          <w:szCs w:val="22"/>
        </w:rPr>
        <w:t xml:space="preserve">Further information about the New Zealand MRL Standards is available on the New Zealand Ministry for Primary Industries website at </w:t>
      </w:r>
      <w:hyperlink r:id="rId22" w:history="1">
        <w:r w:rsidRPr="004544F5">
          <w:rPr>
            <w:rStyle w:val="Hyperlink"/>
            <w:sz w:val="22"/>
            <w:szCs w:val="22"/>
          </w:rPr>
          <w:t>http://www.foodsafety.govt.nz/industry/sectors/plant-products/pesticide-mrl/</w:t>
        </w:r>
      </w:hyperlink>
      <w:r w:rsidRPr="004544F5">
        <w:rPr>
          <w:color w:val="auto"/>
          <w:sz w:val="22"/>
          <w:szCs w:val="22"/>
        </w:rPr>
        <w:t>.</w:t>
      </w:r>
    </w:p>
    <w:p w14:paraId="2292FA6B" w14:textId="77777777" w:rsidR="00656E41" w:rsidRPr="004544F5" w:rsidRDefault="00656E41" w:rsidP="00656E41">
      <w:pPr>
        <w:rPr>
          <w:szCs w:val="22"/>
        </w:rPr>
      </w:pPr>
    </w:p>
    <w:p w14:paraId="2292FA6C" w14:textId="77777777" w:rsidR="00656E41" w:rsidRDefault="00656E41" w:rsidP="00656E41">
      <w:pPr>
        <w:rPr>
          <w:lang w:bidi="ar-SA"/>
        </w:rPr>
      </w:pPr>
      <w:r w:rsidRPr="004544F5">
        <w:rPr>
          <w:szCs w:val="22"/>
        </w:rPr>
        <w:t>Limits in the Code and in the New Zealand MRL Standards may differ for a number of legitimate reasons including differing use patterns for chemical products as a result of varying pest and disease pressures and varying climatic conditions.</w:t>
      </w:r>
    </w:p>
    <w:p w14:paraId="2292FA6D" w14:textId="10F710B5" w:rsidR="00726C2F" w:rsidRPr="004544F5" w:rsidRDefault="00BE3818" w:rsidP="00BE3818">
      <w:pPr>
        <w:pStyle w:val="Heading4"/>
      </w:pPr>
      <w:r w:rsidRPr="004544F5">
        <w:t>2.</w:t>
      </w:r>
      <w:r w:rsidR="004255DC">
        <w:t>4</w:t>
      </w:r>
      <w:r w:rsidRPr="004544F5">
        <w:t>.1.4</w:t>
      </w:r>
      <w:r w:rsidRPr="004544F5">
        <w:tab/>
      </w:r>
      <w:r w:rsidR="0027513D" w:rsidRPr="004544F5">
        <w:t>A</w:t>
      </w:r>
      <w:r w:rsidRPr="004544F5">
        <w:t>ny other relevant matters</w:t>
      </w:r>
    </w:p>
    <w:p w14:paraId="2292FA6E" w14:textId="77777777" w:rsidR="00BE3818" w:rsidRDefault="00BE3818" w:rsidP="00BE3818">
      <w:pPr>
        <w:rPr>
          <w:lang w:bidi="ar-SA"/>
        </w:rPr>
      </w:pPr>
      <w:r w:rsidRPr="004544F5">
        <w:rPr>
          <w:lang w:bidi="ar-SA"/>
        </w:rPr>
        <w:t>There are no other relevant matters.</w:t>
      </w:r>
    </w:p>
    <w:p w14:paraId="2292FA6F" w14:textId="4169BB24" w:rsidR="00022DBC" w:rsidRPr="004544F5" w:rsidRDefault="00BE3818" w:rsidP="00022DBC">
      <w:pPr>
        <w:pStyle w:val="Heading3"/>
      </w:pPr>
      <w:bookmarkStart w:id="53" w:name="_Toc419977509"/>
      <w:bookmarkStart w:id="54" w:name="_Toc300761897"/>
      <w:bookmarkStart w:id="55" w:name="_Toc300933440"/>
      <w:r w:rsidRPr="004544F5">
        <w:t>2.</w:t>
      </w:r>
      <w:r w:rsidR="004255DC">
        <w:t>4</w:t>
      </w:r>
      <w:r w:rsidRPr="004544F5">
        <w:t>.2</w:t>
      </w:r>
      <w:r w:rsidR="00022DBC" w:rsidRPr="004544F5">
        <w:tab/>
      </w:r>
      <w:r w:rsidRPr="004544F5">
        <w:t>Subsection 18(1)</w:t>
      </w:r>
      <w:bookmarkEnd w:id="53"/>
      <w:r w:rsidRPr="004544F5">
        <w:t xml:space="preserve"> </w:t>
      </w:r>
      <w:bookmarkEnd w:id="54"/>
      <w:bookmarkEnd w:id="55"/>
    </w:p>
    <w:p w14:paraId="2292FA70" w14:textId="77777777" w:rsidR="00022DBC" w:rsidRPr="00914030" w:rsidRDefault="00022DBC" w:rsidP="00022DBC">
      <w:r w:rsidRPr="004544F5">
        <w:rPr>
          <w:rFonts w:cs="Arial"/>
        </w:rPr>
        <w:t xml:space="preserve">FSANZ has also </w:t>
      </w:r>
      <w:r w:rsidRPr="004544F5">
        <w:t>considered the three objectives in subsection 18(1) of the FSANZ Act during the assessment.</w:t>
      </w:r>
    </w:p>
    <w:p w14:paraId="2292FA71" w14:textId="4E147C7D" w:rsidR="00022DBC" w:rsidRPr="004544F5" w:rsidRDefault="00BE3818" w:rsidP="00022DBC">
      <w:pPr>
        <w:pStyle w:val="Heading4"/>
        <w:rPr>
          <w:lang w:eastAsia="en-AU"/>
        </w:rPr>
      </w:pPr>
      <w:bookmarkStart w:id="56" w:name="_Toc297029117"/>
      <w:bookmarkStart w:id="57" w:name="_Toc300761898"/>
      <w:bookmarkStart w:id="58" w:name="_Toc300933441"/>
      <w:r w:rsidRPr="004544F5">
        <w:rPr>
          <w:lang w:eastAsia="en-AU"/>
        </w:rPr>
        <w:t>2.</w:t>
      </w:r>
      <w:r w:rsidR="004255DC">
        <w:rPr>
          <w:lang w:eastAsia="en-AU"/>
        </w:rPr>
        <w:t>4</w:t>
      </w:r>
      <w:r w:rsidRPr="004544F5">
        <w:rPr>
          <w:lang w:eastAsia="en-AU"/>
        </w:rPr>
        <w:t>.2</w:t>
      </w:r>
      <w:r w:rsidR="00022DBC" w:rsidRPr="004544F5">
        <w:rPr>
          <w:lang w:eastAsia="en-AU"/>
        </w:rPr>
        <w:t>.1</w:t>
      </w:r>
      <w:r w:rsidR="00022DBC" w:rsidRPr="004544F5">
        <w:rPr>
          <w:lang w:eastAsia="en-AU"/>
        </w:rPr>
        <w:tab/>
        <w:t>Protection of public health and safety</w:t>
      </w:r>
      <w:bookmarkEnd w:id="56"/>
      <w:bookmarkEnd w:id="57"/>
      <w:bookmarkEnd w:id="58"/>
    </w:p>
    <w:p w14:paraId="2292FA72" w14:textId="6F516AE2" w:rsidR="00656E41" w:rsidRPr="004544F5" w:rsidRDefault="00656E41" w:rsidP="00022DBC">
      <w:pPr>
        <w:rPr>
          <w:szCs w:val="22"/>
        </w:rPr>
      </w:pPr>
      <w:r w:rsidRPr="004544F5">
        <w:rPr>
          <w:szCs w:val="22"/>
        </w:rPr>
        <w:t xml:space="preserve">FSANZ has </w:t>
      </w:r>
      <w:r w:rsidR="0002245D">
        <w:rPr>
          <w:szCs w:val="22"/>
        </w:rPr>
        <w:t>undertaken a</w:t>
      </w:r>
      <w:r w:rsidRPr="004544F5">
        <w:rPr>
          <w:szCs w:val="22"/>
        </w:rPr>
        <w:t xml:space="preserve"> DEA</w:t>
      </w:r>
      <w:r w:rsidR="0002245D">
        <w:rPr>
          <w:szCs w:val="22"/>
        </w:rPr>
        <w:t xml:space="preserve"> based on the temporary MRLs recently gazetted by the</w:t>
      </w:r>
      <w:r w:rsidRPr="004544F5">
        <w:rPr>
          <w:szCs w:val="22"/>
        </w:rPr>
        <w:t xml:space="preserve"> APVMA. Using the best available scientific data and internationally recognised risk assessment methodology, FSANZ concluded that </w:t>
      </w:r>
      <w:r w:rsidR="0002245D">
        <w:rPr>
          <w:szCs w:val="22"/>
        </w:rPr>
        <w:t>the proposed MRLs for coumatetralyl and warfarin do</w:t>
      </w:r>
      <w:r w:rsidRPr="004544F5">
        <w:rPr>
          <w:szCs w:val="22"/>
        </w:rPr>
        <w:t xml:space="preserve"> not present any public health and safety concerns. </w:t>
      </w:r>
    </w:p>
    <w:p w14:paraId="2292FA73" w14:textId="3115CB79" w:rsidR="00022DBC" w:rsidRPr="004544F5" w:rsidRDefault="00BE3818" w:rsidP="00022DBC">
      <w:pPr>
        <w:pStyle w:val="Heading4"/>
        <w:rPr>
          <w:lang w:eastAsia="en-AU"/>
        </w:rPr>
      </w:pPr>
      <w:bookmarkStart w:id="59" w:name="_Toc300761899"/>
      <w:bookmarkStart w:id="60" w:name="_Toc300933442"/>
      <w:r w:rsidRPr="004544F5">
        <w:rPr>
          <w:lang w:eastAsia="en-AU"/>
        </w:rPr>
        <w:t>2.</w:t>
      </w:r>
      <w:r w:rsidR="004255DC">
        <w:rPr>
          <w:lang w:eastAsia="en-AU"/>
        </w:rPr>
        <w:t>4</w:t>
      </w:r>
      <w:r w:rsidRPr="004544F5">
        <w:rPr>
          <w:lang w:eastAsia="en-AU"/>
        </w:rPr>
        <w:t>.2</w:t>
      </w:r>
      <w:r w:rsidR="00022DBC" w:rsidRPr="004544F5">
        <w:rPr>
          <w:lang w:eastAsia="en-AU"/>
        </w:rPr>
        <w:t>.2</w:t>
      </w:r>
      <w:r w:rsidR="00022DBC" w:rsidRPr="004544F5">
        <w:rPr>
          <w:lang w:eastAsia="en-AU"/>
        </w:rPr>
        <w:tab/>
        <w:t>The provision of adequate information relating to food to enable consumers to make informed choices</w:t>
      </w:r>
      <w:bookmarkEnd w:id="59"/>
      <w:bookmarkEnd w:id="60"/>
    </w:p>
    <w:p w14:paraId="2292FA74" w14:textId="77777777" w:rsidR="00022DBC" w:rsidRPr="004544F5" w:rsidRDefault="00022DBC" w:rsidP="00022DBC">
      <w:r w:rsidRPr="004544F5">
        <w:t>T</w:t>
      </w:r>
      <w:r w:rsidR="00656E41" w:rsidRPr="004544F5">
        <w:t>his objective is not relevant to matters under consideration in the Proposal.</w:t>
      </w:r>
    </w:p>
    <w:p w14:paraId="2292FA75" w14:textId="3A3DA8D7" w:rsidR="00022DBC" w:rsidRPr="004544F5" w:rsidRDefault="004255DC" w:rsidP="00022DBC">
      <w:pPr>
        <w:pStyle w:val="Heading4"/>
        <w:rPr>
          <w:lang w:eastAsia="en-AU"/>
        </w:rPr>
      </w:pPr>
      <w:bookmarkStart w:id="61" w:name="_Toc300761900"/>
      <w:bookmarkStart w:id="62" w:name="_Toc300933443"/>
      <w:r>
        <w:rPr>
          <w:lang w:eastAsia="en-AU"/>
        </w:rPr>
        <w:t>2.4</w:t>
      </w:r>
      <w:r w:rsidR="00BE3818" w:rsidRPr="004544F5">
        <w:rPr>
          <w:lang w:eastAsia="en-AU"/>
        </w:rPr>
        <w:t>.2</w:t>
      </w:r>
      <w:r w:rsidR="00022DBC" w:rsidRPr="004544F5">
        <w:rPr>
          <w:lang w:eastAsia="en-AU"/>
        </w:rPr>
        <w:t>.3</w:t>
      </w:r>
      <w:r w:rsidR="00022DBC" w:rsidRPr="004544F5">
        <w:rPr>
          <w:lang w:eastAsia="en-AU"/>
        </w:rPr>
        <w:tab/>
        <w:t>The prevention of misleading or deceptive conduct</w:t>
      </w:r>
      <w:bookmarkEnd w:id="61"/>
      <w:bookmarkEnd w:id="62"/>
    </w:p>
    <w:p w14:paraId="2292FA76" w14:textId="77777777" w:rsidR="00022DBC" w:rsidRPr="00656E41" w:rsidRDefault="00656E41" w:rsidP="00022DBC">
      <w:r w:rsidRPr="004544F5">
        <w:t>This objective is not relevant to matters under consideration in the Proposal.</w:t>
      </w:r>
    </w:p>
    <w:p w14:paraId="2292FA77" w14:textId="7600148D" w:rsidR="00022DBC" w:rsidRPr="004544F5" w:rsidRDefault="00B51E03" w:rsidP="00B51E03">
      <w:pPr>
        <w:pStyle w:val="Heading3"/>
      </w:pPr>
      <w:bookmarkStart w:id="63" w:name="_Toc300761901"/>
      <w:bookmarkStart w:id="64" w:name="_Toc300933444"/>
      <w:bookmarkStart w:id="65" w:name="_Toc419977510"/>
      <w:r w:rsidRPr="004544F5">
        <w:t>2.</w:t>
      </w:r>
      <w:r w:rsidR="004255DC">
        <w:t>4</w:t>
      </w:r>
      <w:r w:rsidRPr="004544F5">
        <w:t>.3</w:t>
      </w:r>
      <w:r w:rsidR="00022DBC" w:rsidRPr="004544F5">
        <w:tab/>
        <w:t xml:space="preserve">Subsection 18(2) </w:t>
      </w:r>
      <w:bookmarkEnd w:id="63"/>
      <w:bookmarkEnd w:id="64"/>
      <w:r w:rsidR="00022DBC" w:rsidRPr="004544F5">
        <w:t>considerations</w:t>
      </w:r>
      <w:bookmarkEnd w:id="65"/>
    </w:p>
    <w:p w14:paraId="2292FA78" w14:textId="77777777" w:rsidR="00022DBC" w:rsidRPr="004544F5" w:rsidRDefault="00022DBC" w:rsidP="00022DBC">
      <w:pPr>
        <w:rPr>
          <w:rFonts w:cs="Arial"/>
        </w:rPr>
      </w:pPr>
      <w:r w:rsidRPr="004544F5">
        <w:rPr>
          <w:rFonts w:cs="Arial"/>
        </w:rPr>
        <w:t>FSANZ has also had regard to:</w:t>
      </w:r>
    </w:p>
    <w:p w14:paraId="2292FA79" w14:textId="65936515" w:rsidR="00A16368" w:rsidRDefault="00A16368" w:rsidP="00022DBC">
      <w:pPr>
        <w:rPr>
          <w:rFonts w:cs="Arial"/>
        </w:rPr>
      </w:pPr>
      <w:r>
        <w:rPr>
          <w:rFonts w:cs="Arial"/>
        </w:rPr>
        <w:br w:type="page"/>
      </w:r>
    </w:p>
    <w:p w14:paraId="2292FA7A" w14:textId="77777777" w:rsidR="00022DBC" w:rsidRPr="004544F5" w:rsidRDefault="00022DBC" w:rsidP="00022DBC">
      <w:pPr>
        <w:pStyle w:val="FSBullet1"/>
        <w:rPr>
          <w:b/>
        </w:rPr>
      </w:pPr>
      <w:r w:rsidRPr="004544F5">
        <w:rPr>
          <w:b/>
        </w:rPr>
        <w:lastRenderedPageBreak/>
        <w:t>the need for standards to be based on risk analysis using the best available scientific evidence</w:t>
      </w:r>
    </w:p>
    <w:p w14:paraId="2292FA7B" w14:textId="77777777" w:rsidR="008828D9" w:rsidRPr="00656E41" w:rsidRDefault="008828D9" w:rsidP="008828D9">
      <w:pPr>
        <w:rPr>
          <w:highlight w:val="lightGray"/>
          <w:lang w:bidi="ar-SA"/>
        </w:rPr>
      </w:pPr>
    </w:p>
    <w:p w14:paraId="2292FA7C" w14:textId="5D335E22" w:rsidR="008828D9" w:rsidRPr="004544F5" w:rsidRDefault="00656E41" w:rsidP="008828D9">
      <w:r w:rsidRPr="004544F5">
        <w:rPr>
          <w:szCs w:val="22"/>
        </w:rPr>
        <w:t xml:space="preserve">FSANZ’s primary role in developing food regulatory measures for residues of </w:t>
      </w:r>
      <w:proofErr w:type="spellStart"/>
      <w:r w:rsidRPr="004544F5">
        <w:rPr>
          <w:szCs w:val="22"/>
        </w:rPr>
        <w:t>ag</w:t>
      </w:r>
      <w:r w:rsidR="004544F5" w:rsidRPr="004544F5">
        <w:rPr>
          <w:szCs w:val="22"/>
        </w:rPr>
        <w:t>vet</w:t>
      </w:r>
      <w:proofErr w:type="spellEnd"/>
      <w:r w:rsidR="004544F5" w:rsidRPr="004544F5">
        <w:rPr>
          <w:szCs w:val="22"/>
        </w:rPr>
        <w:t xml:space="preserve"> </w:t>
      </w:r>
      <w:r w:rsidRPr="004544F5">
        <w:rPr>
          <w:szCs w:val="22"/>
        </w:rPr>
        <w:t xml:space="preserve">chemicals in food is to ensure that estimated dietary exposures to potential residues are within </w:t>
      </w:r>
      <w:r w:rsidR="00154CD1">
        <w:rPr>
          <w:szCs w:val="22"/>
        </w:rPr>
        <w:t>HBGV’s</w:t>
      </w:r>
      <w:r w:rsidRPr="004544F5">
        <w:rPr>
          <w:szCs w:val="22"/>
        </w:rPr>
        <w:t>. As described in Section 2.</w:t>
      </w:r>
      <w:r w:rsidR="008E692F">
        <w:rPr>
          <w:szCs w:val="22"/>
        </w:rPr>
        <w:t>4</w:t>
      </w:r>
      <w:r w:rsidRPr="004544F5">
        <w:rPr>
          <w:szCs w:val="22"/>
        </w:rPr>
        <w:t>.2.1</w:t>
      </w:r>
      <w:r w:rsidR="008D1934">
        <w:rPr>
          <w:szCs w:val="22"/>
        </w:rPr>
        <w:t>,</w:t>
      </w:r>
      <w:r w:rsidRPr="004544F5">
        <w:rPr>
          <w:szCs w:val="22"/>
        </w:rPr>
        <w:t xml:space="preserve"> FSANZ conducts and reviews DEA’s using the best available scientific data and internationally recognised risk assessment methodology. </w:t>
      </w:r>
    </w:p>
    <w:p w14:paraId="2292FA7D" w14:textId="77777777" w:rsidR="008828D9" w:rsidRPr="008828D9" w:rsidRDefault="008828D9" w:rsidP="008828D9">
      <w:pPr>
        <w:rPr>
          <w:lang w:bidi="ar-SA"/>
        </w:rPr>
      </w:pPr>
    </w:p>
    <w:p w14:paraId="2292FA7E" w14:textId="77777777" w:rsidR="00022DBC" w:rsidRPr="009025FE" w:rsidRDefault="00022DBC" w:rsidP="00022DBC">
      <w:pPr>
        <w:pStyle w:val="FSBullet1"/>
        <w:rPr>
          <w:b/>
        </w:rPr>
      </w:pPr>
      <w:r w:rsidRPr="009025FE">
        <w:rPr>
          <w:b/>
        </w:rPr>
        <w:t>the promotion of consistency between domestic and international food standards</w:t>
      </w:r>
    </w:p>
    <w:p w14:paraId="2292FA7F" w14:textId="77777777" w:rsidR="008828D9" w:rsidRPr="009025FE" w:rsidRDefault="008828D9" w:rsidP="008828D9">
      <w:pPr>
        <w:rPr>
          <w:lang w:bidi="ar-SA"/>
        </w:rPr>
      </w:pPr>
    </w:p>
    <w:p w14:paraId="2292FA80" w14:textId="77777777" w:rsidR="008828D9" w:rsidRDefault="00656E41" w:rsidP="008828D9">
      <w:pPr>
        <w:rPr>
          <w:szCs w:val="22"/>
          <w:highlight w:val="lightGray"/>
        </w:rPr>
      </w:pPr>
      <w:r w:rsidRPr="009025FE">
        <w:rPr>
          <w:szCs w:val="22"/>
        </w:rPr>
        <w:t>The proposed changes w</w:t>
      </w:r>
      <w:r w:rsidR="004544F5" w:rsidRPr="009025FE">
        <w:rPr>
          <w:szCs w:val="22"/>
        </w:rPr>
        <w:t xml:space="preserve">ill better align the Agricultural and Veterinary Chemicals Code Instrument No.4 (MRL Standard), which relates to foods that are produced domestically, and Standard 1.4.2 which applies to both foods that are produced domestically and </w:t>
      </w:r>
      <w:r w:rsidR="009025FE" w:rsidRPr="009025FE">
        <w:rPr>
          <w:szCs w:val="22"/>
        </w:rPr>
        <w:t xml:space="preserve">foods that are imported into Australia. </w:t>
      </w:r>
    </w:p>
    <w:p w14:paraId="2292FA81" w14:textId="77777777" w:rsidR="009025FE" w:rsidRPr="00656E41" w:rsidRDefault="009025FE" w:rsidP="008828D9">
      <w:pPr>
        <w:rPr>
          <w:highlight w:val="lightGray"/>
          <w:lang w:bidi="ar-SA"/>
        </w:rPr>
      </w:pPr>
    </w:p>
    <w:p w14:paraId="2292FA82" w14:textId="77777777" w:rsidR="00022DBC" w:rsidRPr="000E64CD" w:rsidRDefault="00022DBC" w:rsidP="00022DBC">
      <w:pPr>
        <w:pStyle w:val="FSBullet1"/>
        <w:rPr>
          <w:b/>
        </w:rPr>
      </w:pPr>
      <w:r w:rsidRPr="000E64CD">
        <w:rPr>
          <w:b/>
        </w:rPr>
        <w:t>the desirability of an efficient and internationally competitive food industry</w:t>
      </w:r>
    </w:p>
    <w:p w14:paraId="2292FA83" w14:textId="77777777" w:rsidR="008828D9" w:rsidRPr="000E64CD" w:rsidRDefault="008828D9" w:rsidP="008828D9">
      <w:pPr>
        <w:rPr>
          <w:lang w:bidi="ar-SA"/>
        </w:rPr>
      </w:pPr>
    </w:p>
    <w:p w14:paraId="2292FA84" w14:textId="77777777" w:rsidR="00656E41" w:rsidRPr="000E64CD" w:rsidRDefault="00656E41" w:rsidP="00656E41">
      <w:pPr>
        <w:pStyle w:val="Default"/>
        <w:rPr>
          <w:color w:val="auto"/>
          <w:sz w:val="22"/>
          <w:szCs w:val="22"/>
        </w:rPr>
      </w:pPr>
      <w:r w:rsidRPr="000E64CD">
        <w:rPr>
          <w:color w:val="auto"/>
          <w:sz w:val="22"/>
          <w:szCs w:val="22"/>
        </w:rPr>
        <w:t xml:space="preserve">The proposed MRL variations ensure an open and transparent process has been followed in relation to the residues that could reasonably occur in food. </w:t>
      </w:r>
    </w:p>
    <w:p w14:paraId="2292FA85" w14:textId="77777777" w:rsidR="00656E41" w:rsidRPr="000E64CD" w:rsidRDefault="00656E41" w:rsidP="00656E41">
      <w:pPr>
        <w:pStyle w:val="Default"/>
        <w:rPr>
          <w:color w:val="auto"/>
          <w:sz w:val="22"/>
          <w:szCs w:val="22"/>
        </w:rPr>
      </w:pPr>
    </w:p>
    <w:p w14:paraId="2292FA86" w14:textId="77777777" w:rsidR="008828D9" w:rsidRPr="00656E41" w:rsidRDefault="00656E41" w:rsidP="00656E41">
      <w:r w:rsidRPr="000E64CD">
        <w:rPr>
          <w:szCs w:val="22"/>
        </w:rPr>
        <w:t>The changes will minimise potential costs to primary producers, rural and regional communities and importers in terms of permitting the sale of food containing legitimate residues.</w:t>
      </w:r>
      <w:r w:rsidRPr="00656E41">
        <w:rPr>
          <w:szCs w:val="22"/>
        </w:rPr>
        <w:t xml:space="preserve"> </w:t>
      </w:r>
    </w:p>
    <w:p w14:paraId="2292FA87" w14:textId="77777777" w:rsidR="008828D9" w:rsidRPr="00656E41" w:rsidRDefault="008828D9" w:rsidP="008828D9">
      <w:pPr>
        <w:rPr>
          <w:lang w:bidi="ar-SA"/>
        </w:rPr>
      </w:pPr>
    </w:p>
    <w:p w14:paraId="2292FA88" w14:textId="77777777" w:rsidR="00022DBC" w:rsidRPr="00464599" w:rsidRDefault="00022DBC" w:rsidP="00022DBC">
      <w:pPr>
        <w:pStyle w:val="FSBullet1"/>
        <w:rPr>
          <w:b/>
        </w:rPr>
      </w:pPr>
      <w:r w:rsidRPr="00464599">
        <w:rPr>
          <w:b/>
        </w:rPr>
        <w:t>the promotion of fair trading in food</w:t>
      </w:r>
    </w:p>
    <w:p w14:paraId="2292FA89" w14:textId="77777777" w:rsidR="008828D9" w:rsidRPr="00464599" w:rsidRDefault="008828D9" w:rsidP="008828D9">
      <w:pPr>
        <w:rPr>
          <w:lang w:bidi="ar-SA"/>
        </w:rPr>
      </w:pPr>
    </w:p>
    <w:p w14:paraId="2292FA8A" w14:textId="16AF247B" w:rsidR="008828D9" w:rsidRPr="00464599" w:rsidRDefault="00656E41" w:rsidP="008828D9">
      <w:r w:rsidRPr="00464599">
        <w:rPr>
          <w:szCs w:val="22"/>
        </w:rPr>
        <w:t>Section 2.</w:t>
      </w:r>
      <w:r w:rsidR="008E692F">
        <w:rPr>
          <w:szCs w:val="22"/>
        </w:rPr>
        <w:t>4</w:t>
      </w:r>
      <w:r w:rsidRPr="00464599">
        <w:rPr>
          <w:szCs w:val="22"/>
        </w:rPr>
        <w:t xml:space="preserve">.1.1 lists a number of considerations that address fair trading with respect to variations to MRLs in this proposal. </w:t>
      </w:r>
    </w:p>
    <w:p w14:paraId="2292FA8B" w14:textId="77777777" w:rsidR="008828D9" w:rsidRPr="00656E41" w:rsidRDefault="008828D9" w:rsidP="008828D9">
      <w:pPr>
        <w:rPr>
          <w:highlight w:val="lightGray"/>
          <w:lang w:bidi="ar-SA"/>
        </w:rPr>
      </w:pPr>
    </w:p>
    <w:p w14:paraId="2292FA8C" w14:textId="77777777" w:rsidR="00022DBC" w:rsidRPr="000E64CD" w:rsidRDefault="00022DBC" w:rsidP="00022DBC">
      <w:pPr>
        <w:pStyle w:val="FSBullet1"/>
      </w:pPr>
      <w:r w:rsidRPr="000E64CD">
        <w:rPr>
          <w:b/>
        </w:rPr>
        <w:t>any written policy guidelines formulated by the Ministerial Council</w:t>
      </w:r>
      <w:r w:rsidRPr="000E64CD">
        <w:rPr>
          <w:rStyle w:val="FootnoteReference"/>
        </w:rPr>
        <w:footnoteReference w:id="6"/>
      </w:r>
    </w:p>
    <w:p w14:paraId="2292FA8D" w14:textId="77777777" w:rsidR="00022DBC" w:rsidRPr="000E64CD" w:rsidRDefault="00022DBC" w:rsidP="00022DBC">
      <w:pPr>
        <w:rPr>
          <w:lang w:bidi="ar-SA"/>
        </w:rPr>
      </w:pPr>
    </w:p>
    <w:p w14:paraId="2292FA8E" w14:textId="761D6BCE" w:rsidR="00022DBC" w:rsidRPr="00656E41" w:rsidRDefault="00656E41" w:rsidP="00022DBC">
      <w:r w:rsidRPr="000E64CD">
        <w:rPr>
          <w:szCs w:val="22"/>
        </w:rPr>
        <w:t xml:space="preserve">The proposal has regard to the </w:t>
      </w:r>
      <w:r w:rsidR="000E64CD" w:rsidRPr="000E64CD">
        <w:rPr>
          <w:szCs w:val="22"/>
        </w:rPr>
        <w:t xml:space="preserve">Ministerial Council policy guideline on the regulation of residues of </w:t>
      </w:r>
      <w:proofErr w:type="spellStart"/>
      <w:r w:rsidR="000E64CD" w:rsidRPr="000E64CD">
        <w:rPr>
          <w:szCs w:val="22"/>
        </w:rPr>
        <w:t>agvet</w:t>
      </w:r>
      <w:proofErr w:type="spellEnd"/>
      <w:r w:rsidR="000E64CD" w:rsidRPr="000E64CD">
        <w:rPr>
          <w:szCs w:val="22"/>
        </w:rPr>
        <w:t xml:space="preserve"> chemicals in food, in particular the specific policy principles to</w:t>
      </w:r>
      <w:r w:rsidR="006E0384">
        <w:rPr>
          <w:szCs w:val="22"/>
        </w:rPr>
        <w:t>:</w:t>
      </w:r>
      <w:r w:rsidR="000E64CD" w:rsidRPr="000E64CD">
        <w:rPr>
          <w:szCs w:val="22"/>
        </w:rPr>
        <w:t xml:space="preserve"> be consistent with the effective regulation of the registration, permission and use of </w:t>
      </w:r>
      <w:proofErr w:type="spellStart"/>
      <w:r w:rsidR="000E64CD" w:rsidRPr="000E64CD">
        <w:rPr>
          <w:szCs w:val="22"/>
        </w:rPr>
        <w:t>agvet</w:t>
      </w:r>
      <w:proofErr w:type="spellEnd"/>
      <w:r w:rsidR="000E64CD" w:rsidRPr="000E64CD">
        <w:rPr>
          <w:szCs w:val="22"/>
        </w:rPr>
        <w:t xml:space="preserve"> chemicals; promote </w:t>
      </w:r>
      <w:r w:rsidRPr="000E64CD">
        <w:rPr>
          <w:szCs w:val="22"/>
        </w:rPr>
        <w:t>a consistent approach to MRLs for both domestic and imported foods, where appropriate</w:t>
      </w:r>
      <w:r w:rsidR="000E64CD" w:rsidRPr="000E64CD">
        <w:rPr>
          <w:szCs w:val="22"/>
        </w:rPr>
        <w:t xml:space="preserve">; and be </w:t>
      </w:r>
      <w:r w:rsidRPr="000E64CD">
        <w:rPr>
          <w:szCs w:val="22"/>
        </w:rPr>
        <w:t xml:space="preserve">consistent with Australia’s obligations under the WTO Sanitary and </w:t>
      </w:r>
      <w:proofErr w:type="spellStart"/>
      <w:r w:rsidRPr="000E64CD">
        <w:rPr>
          <w:szCs w:val="22"/>
        </w:rPr>
        <w:t>Phytosanitary</w:t>
      </w:r>
      <w:proofErr w:type="spellEnd"/>
      <w:r w:rsidRPr="000E64CD">
        <w:rPr>
          <w:szCs w:val="22"/>
        </w:rPr>
        <w:t xml:space="preserve"> Agreement (SPS Agreement).</w:t>
      </w:r>
      <w:r w:rsidRPr="00656E41">
        <w:rPr>
          <w:szCs w:val="22"/>
        </w:rPr>
        <w:t xml:space="preserve"> </w:t>
      </w:r>
    </w:p>
    <w:p w14:paraId="29F37CAA" w14:textId="76F1CC2E" w:rsidR="006E0384" w:rsidRDefault="006E0384" w:rsidP="00A16368">
      <w:pPr>
        <w:rPr>
          <w:lang w:bidi="ar-SA"/>
        </w:rPr>
      </w:pPr>
      <w:bookmarkStart w:id="66" w:name="_Toc286391014"/>
      <w:bookmarkStart w:id="67" w:name="_Toc175381455"/>
      <w:bookmarkStart w:id="68" w:name="_Toc300933445"/>
      <w:bookmarkEnd w:id="24"/>
      <w:bookmarkEnd w:id="25"/>
      <w:bookmarkEnd w:id="26"/>
      <w:bookmarkEnd w:id="27"/>
      <w:bookmarkEnd w:id="28"/>
      <w:bookmarkEnd w:id="29"/>
      <w:bookmarkEnd w:id="42"/>
    </w:p>
    <w:p w14:paraId="2292FA90" w14:textId="3A6AB020" w:rsidR="005F7342" w:rsidRPr="00656E41" w:rsidRDefault="00867B23" w:rsidP="00E203C2">
      <w:pPr>
        <w:pStyle w:val="Heading1"/>
      </w:pPr>
      <w:bookmarkStart w:id="69" w:name="_Toc419977511"/>
      <w:r w:rsidRPr="00656E41">
        <w:t>3</w:t>
      </w:r>
      <w:r w:rsidR="00F604DE" w:rsidRPr="00656E41">
        <w:tab/>
      </w:r>
      <w:bookmarkEnd w:id="66"/>
      <w:bookmarkEnd w:id="67"/>
      <w:bookmarkEnd w:id="68"/>
      <w:r w:rsidR="00D14405" w:rsidRPr="00656E41">
        <w:t>Draft variation</w:t>
      </w:r>
      <w:bookmarkEnd w:id="69"/>
    </w:p>
    <w:p w14:paraId="2292FA91" w14:textId="77777777" w:rsidR="00E75054" w:rsidRPr="00C230C5" w:rsidRDefault="00A12B44" w:rsidP="00E75054">
      <w:r w:rsidRPr="00C230C5">
        <w:t xml:space="preserve">The draft </w:t>
      </w:r>
      <w:r w:rsidR="000D295F" w:rsidRPr="00C230C5">
        <w:t>variation</w:t>
      </w:r>
      <w:r w:rsidRPr="00C230C5">
        <w:t xml:space="preserve"> </w:t>
      </w:r>
      <w:r w:rsidR="005358B0" w:rsidRPr="00C230C5">
        <w:t xml:space="preserve">to the </w:t>
      </w:r>
      <w:r w:rsidR="00656E41" w:rsidRPr="00C230C5">
        <w:t xml:space="preserve">Standard 1.4.2 of the </w:t>
      </w:r>
      <w:r w:rsidR="005358B0" w:rsidRPr="00C230C5">
        <w:t xml:space="preserve">current Code and related draft explanatory statement are </w:t>
      </w:r>
      <w:r w:rsidRPr="00C230C5">
        <w:t xml:space="preserve">at </w:t>
      </w:r>
      <w:r w:rsidR="00D26814" w:rsidRPr="00C230C5">
        <w:t xml:space="preserve">Attachment A. </w:t>
      </w:r>
      <w:r w:rsidR="006066BC" w:rsidRPr="00C230C5">
        <w:t xml:space="preserve">The variation is intended to take effect on </w:t>
      </w:r>
      <w:r w:rsidR="00656E41" w:rsidRPr="00C230C5">
        <w:t>gazettal.</w:t>
      </w:r>
    </w:p>
    <w:p w14:paraId="75DD3688" w14:textId="77777777" w:rsidR="006231A3" w:rsidRDefault="006231A3" w:rsidP="00A12B44"/>
    <w:p w14:paraId="2292FA95" w14:textId="4281F079" w:rsidR="00A12B44" w:rsidRPr="00D26814" w:rsidRDefault="00D26814" w:rsidP="00A12B44">
      <w:pPr>
        <w:rPr>
          <w:u w:val="single"/>
        </w:rPr>
      </w:pPr>
      <w:r w:rsidRPr="00C230C5">
        <w:t>An explanatory statement is required to accompany an instrument if it is lodged on the Federal Register of Legislative Instruments</w:t>
      </w:r>
      <w:r w:rsidR="00407DF4" w:rsidRPr="00C230C5">
        <w:t xml:space="preserve"> (FRLI)</w:t>
      </w:r>
      <w:r w:rsidRPr="00C230C5">
        <w:t>.</w:t>
      </w:r>
      <w:r>
        <w:t xml:space="preserve"> </w:t>
      </w:r>
    </w:p>
    <w:p w14:paraId="2292FA96" w14:textId="77777777" w:rsidR="00924C80" w:rsidRPr="005B01E7" w:rsidRDefault="00867B23" w:rsidP="00C63580">
      <w:pPr>
        <w:pStyle w:val="Heading2"/>
      </w:pPr>
      <w:bookmarkStart w:id="70" w:name="_Toc175381456"/>
      <w:bookmarkStart w:id="71" w:name="_Toc300761917"/>
      <w:bookmarkStart w:id="72" w:name="_Toc300933449"/>
      <w:bookmarkStart w:id="73" w:name="_Toc419977512"/>
      <w:bookmarkStart w:id="74" w:name="_Toc11735643"/>
      <w:bookmarkStart w:id="75" w:name="_Toc29883130"/>
      <w:bookmarkStart w:id="76" w:name="_Toc41906817"/>
      <w:bookmarkStart w:id="77" w:name="_Toc41907564"/>
      <w:bookmarkStart w:id="78" w:name="_Toc43112360"/>
      <w:r w:rsidRPr="005B01E7">
        <w:lastRenderedPageBreak/>
        <w:t>3</w:t>
      </w:r>
      <w:r w:rsidR="00F604DE" w:rsidRPr="005B01E7">
        <w:t>.</w:t>
      </w:r>
      <w:r w:rsidR="00C95A55" w:rsidRPr="005B01E7">
        <w:t>1</w:t>
      </w:r>
      <w:r w:rsidR="00924C80" w:rsidRPr="005B01E7">
        <w:tab/>
        <w:t xml:space="preserve">Transitional </w:t>
      </w:r>
      <w:r w:rsidR="006C28E2" w:rsidRPr="005B01E7">
        <w:t>a</w:t>
      </w:r>
      <w:r w:rsidR="00924C80" w:rsidRPr="005B01E7">
        <w:t>rrangements</w:t>
      </w:r>
      <w:bookmarkEnd w:id="70"/>
      <w:bookmarkEnd w:id="71"/>
      <w:bookmarkEnd w:id="72"/>
      <w:bookmarkEnd w:id="73"/>
    </w:p>
    <w:p w14:paraId="2292FA98" w14:textId="77777777" w:rsidR="00E24DE8" w:rsidRPr="00E24DE8" w:rsidRDefault="00E24DE8" w:rsidP="006066BC">
      <w:pPr>
        <w:pStyle w:val="Heading3"/>
      </w:pPr>
      <w:bookmarkStart w:id="79" w:name="_Toc419977513"/>
      <w:r w:rsidRPr="00E24DE8">
        <w:t>3.1</w:t>
      </w:r>
      <w:r w:rsidR="00C95A55">
        <w:t>.1</w:t>
      </w:r>
      <w:r w:rsidRPr="00E24DE8">
        <w:tab/>
        <w:t>Transitional arrangements for Code Revision</w:t>
      </w:r>
      <w:bookmarkEnd w:id="79"/>
    </w:p>
    <w:p w14:paraId="2292FA99" w14:textId="161FEF75" w:rsidR="00AB0275" w:rsidRPr="00725B56" w:rsidRDefault="00AB0275" w:rsidP="00AB0275">
      <w:bookmarkStart w:id="80" w:name="_Toc11735642"/>
      <w:bookmarkStart w:id="81" w:name="_Toc29883129"/>
      <w:bookmarkStart w:id="82" w:name="_Toc41906816"/>
      <w:bookmarkStart w:id="83" w:name="_Toc41907563"/>
      <w:bookmarkStart w:id="84" w:name="_Toc120358595"/>
      <w:bookmarkStart w:id="85" w:name="_Toc175381457"/>
      <w:bookmarkStart w:id="86" w:name="_Toc300761918"/>
      <w:bookmarkStart w:id="87" w:name="_Toc300933450"/>
      <w:r w:rsidRPr="00AB0275">
        <w:t>FSANZ has completed a review of the Code undertaken under Proposal P1025</w:t>
      </w:r>
      <w:r w:rsidRPr="00AB0275">
        <w:rPr>
          <w:vertAlign w:val="superscript"/>
        </w:rPr>
        <w:footnoteReference w:id="7"/>
      </w:r>
      <w:r w:rsidRPr="00AB0275">
        <w:t xml:space="preserve"> in order to improve its clarity and legal efficacy. Following approval of the revision and Ministerial consideration, the new Code will commence on 1 March 2016 (following gazettal 10 April 2015 and registration on the Federal Register of Legislative Instruments). The current Code will also be repealed on this </w:t>
      </w:r>
      <w:r w:rsidRPr="00725B56">
        <w:t>date. The approved variation</w:t>
      </w:r>
      <w:r w:rsidR="006C17B7">
        <w:t xml:space="preserve"> at Attachment A will be included in a Code maintenance proposal on MRLs to be prepared and finalised before the end of 2015 to enable an updated Schedule 20 in the revised Code to take effect on 1 March 2016.</w:t>
      </w:r>
    </w:p>
    <w:bookmarkEnd w:id="74"/>
    <w:bookmarkEnd w:id="75"/>
    <w:bookmarkEnd w:id="76"/>
    <w:bookmarkEnd w:id="77"/>
    <w:bookmarkEnd w:id="78"/>
    <w:bookmarkEnd w:id="80"/>
    <w:bookmarkEnd w:id="81"/>
    <w:bookmarkEnd w:id="82"/>
    <w:bookmarkEnd w:id="83"/>
    <w:bookmarkEnd w:id="84"/>
    <w:bookmarkEnd w:id="85"/>
    <w:bookmarkEnd w:id="86"/>
    <w:bookmarkEnd w:id="87"/>
    <w:p w14:paraId="2292FA9D" w14:textId="66FD1B9E" w:rsidR="003C4969" w:rsidRPr="00924C80" w:rsidRDefault="00924C80" w:rsidP="002432EE">
      <w:pPr>
        <w:spacing w:before="240"/>
        <w:rPr>
          <w:b/>
          <w:sz w:val="28"/>
          <w:szCs w:val="28"/>
        </w:rPr>
      </w:pPr>
      <w:r w:rsidRPr="00924C80">
        <w:rPr>
          <w:b/>
          <w:sz w:val="28"/>
          <w:szCs w:val="28"/>
        </w:rPr>
        <w:t>A</w:t>
      </w:r>
      <w:r w:rsidR="00E41770">
        <w:rPr>
          <w:b/>
          <w:sz w:val="28"/>
          <w:szCs w:val="28"/>
        </w:rPr>
        <w:t>ttachment</w:t>
      </w:r>
    </w:p>
    <w:p w14:paraId="2292FA9E" w14:textId="77777777" w:rsidR="00A4175D" w:rsidRPr="00E203C2" w:rsidRDefault="00A4175D" w:rsidP="00AF06FC"/>
    <w:p w14:paraId="2292FA9F" w14:textId="7FF6E192" w:rsidR="00AB0275" w:rsidRDefault="00AB0275" w:rsidP="00AB0275">
      <w:pPr>
        <w:ind w:left="567" w:hanging="567"/>
      </w:pPr>
      <w:r>
        <w:t>A.</w:t>
      </w:r>
      <w:r>
        <w:tab/>
      </w:r>
      <w:r w:rsidR="00D663E8">
        <w:t>D</w:t>
      </w:r>
      <w:r>
        <w:t xml:space="preserve">raft variation to the </w:t>
      </w:r>
      <w:r w:rsidRPr="000576EB">
        <w:rPr>
          <w:i/>
        </w:rPr>
        <w:t xml:space="preserve">Australia New </w:t>
      </w:r>
      <w:r>
        <w:rPr>
          <w:i/>
        </w:rPr>
        <w:t>Zealand Food Sta</w:t>
      </w:r>
      <w:r w:rsidRPr="000576EB">
        <w:rPr>
          <w:i/>
        </w:rPr>
        <w:t>n</w:t>
      </w:r>
      <w:r>
        <w:rPr>
          <w:i/>
        </w:rPr>
        <w:t>d</w:t>
      </w:r>
      <w:r w:rsidRPr="000576EB">
        <w:rPr>
          <w:i/>
        </w:rPr>
        <w:t>ards Code</w:t>
      </w:r>
      <w:r>
        <w:rPr>
          <w:i/>
        </w:rPr>
        <w:t xml:space="preserve"> </w:t>
      </w:r>
      <w:r w:rsidRPr="00456BD5">
        <w:t>and related</w:t>
      </w:r>
      <w:r>
        <w:rPr>
          <w:i/>
        </w:rPr>
        <w:t xml:space="preserve"> </w:t>
      </w:r>
      <w:r w:rsidR="00D84C42" w:rsidRPr="00D84C42">
        <w:t>Draft</w:t>
      </w:r>
      <w:r w:rsidR="00D84C42">
        <w:rPr>
          <w:i/>
        </w:rPr>
        <w:t xml:space="preserve"> </w:t>
      </w:r>
      <w:r>
        <w:t>Explanatory Statement</w:t>
      </w:r>
    </w:p>
    <w:p w14:paraId="2292FAA1" w14:textId="77777777" w:rsidR="00D60568" w:rsidRPr="00E203C2" w:rsidRDefault="00D60568" w:rsidP="002432EE"/>
    <w:p w14:paraId="2292FAA2" w14:textId="68E729E9" w:rsidR="00AB0275" w:rsidRPr="00795D86" w:rsidRDefault="00AB0275" w:rsidP="00AB0275">
      <w:pPr>
        <w:pStyle w:val="Heading2"/>
        <w:ind w:left="0" w:firstLine="0"/>
      </w:pPr>
      <w:bookmarkStart w:id="88" w:name="_Toc300933454"/>
      <w:r w:rsidRPr="00932F14">
        <w:br w:type="page"/>
      </w:r>
      <w:bookmarkStart w:id="89" w:name="_Toc29883131"/>
      <w:bookmarkStart w:id="90" w:name="_Toc41906818"/>
      <w:bookmarkStart w:id="91" w:name="_Toc41907565"/>
      <w:bookmarkStart w:id="92" w:name="_Toc120358596"/>
      <w:bookmarkStart w:id="93" w:name="_Toc175381458"/>
      <w:bookmarkStart w:id="94" w:name="_Toc11735644"/>
      <w:bookmarkStart w:id="95" w:name="_Toc415572037"/>
      <w:bookmarkStart w:id="96" w:name="_Toc419977514"/>
      <w:r w:rsidRPr="00932F14">
        <w:lastRenderedPageBreak/>
        <w:t xml:space="preserve">Attachment </w:t>
      </w:r>
      <w:bookmarkEnd w:id="89"/>
      <w:bookmarkEnd w:id="90"/>
      <w:bookmarkEnd w:id="91"/>
      <w:bookmarkEnd w:id="92"/>
      <w:bookmarkEnd w:id="93"/>
      <w:r>
        <w:t>A</w:t>
      </w:r>
      <w:bookmarkStart w:id="97" w:name="_Toc120358597"/>
      <w:bookmarkStart w:id="98" w:name="_Toc175381459"/>
      <w:bookmarkEnd w:id="94"/>
      <w:r>
        <w:t xml:space="preserve"> –</w:t>
      </w:r>
      <w:r w:rsidR="00313E29">
        <w:t xml:space="preserve"> </w:t>
      </w:r>
      <w:r w:rsidR="00B0376A">
        <w:t>D</w:t>
      </w:r>
      <w:r>
        <w:t xml:space="preserve">raft </w:t>
      </w:r>
      <w:r w:rsidRPr="00932F14">
        <w:t>variation to the</w:t>
      </w:r>
      <w:r w:rsidRPr="00755F02">
        <w:t xml:space="preserve"> </w:t>
      </w:r>
      <w:r w:rsidRPr="00795D86">
        <w:rPr>
          <w:i/>
        </w:rPr>
        <w:t>Australia New Zealand Food Standards Code</w:t>
      </w:r>
      <w:bookmarkEnd w:id="95"/>
      <w:bookmarkEnd w:id="96"/>
      <w:bookmarkEnd w:id="97"/>
      <w:bookmarkEnd w:id="98"/>
    </w:p>
    <w:p w14:paraId="2292FAA4" w14:textId="77777777" w:rsidR="00D84C42" w:rsidRPr="002B2402" w:rsidRDefault="00D84C42" w:rsidP="00D84C42">
      <w:pPr>
        <w:rPr>
          <w:szCs w:val="20"/>
        </w:rPr>
      </w:pPr>
      <w:r w:rsidRPr="002B2402">
        <w:rPr>
          <w:noProof/>
          <w:sz w:val="20"/>
          <w:lang w:eastAsia="en-GB" w:bidi="ar-SA"/>
        </w:rPr>
        <w:drawing>
          <wp:inline distT="0" distB="0" distL="0" distR="0" wp14:anchorId="2292FB2C" wp14:editId="2292FB2D">
            <wp:extent cx="2656936" cy="438061"/>
            <wp:effectExtent l="0" t="0" r="0" b="635"/>
            <wp:docPr id="4" name="Picture 4"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36EDE6D3" w14:textId="77777777" w:rsidR="00313E29" w:rsidRDefault="00313E29" w:rsidP="00D84C42">
      <w:pPr>
        <w:pBdr>
          <w:bottom w:val="single" w:sz="4" w:space="1" w:color="auto"/>
        </w:pBdr>
        <w:rPr>
          <w:b/>
          <w:sz w:val="20"/>
        </w:rPr>
      </w:pPr>
    </w:p>
    <w:p w14:paraId="2292FAA5" w14:textId="5F7DC378" w:rsidR="00D84C42" w:rsidRPr="002B2402" w:rsidRDefault="00D84C42" w:rsidP="00D84C42">
      <w:pPr>
        <w:pBdr>
          <w:bottom w:val="single" w:sz="4" w:space="1" w:color="auto"/>
        </w:pBdr>
        <w:rPr>
          <w:b/>
          <w:sz w:val="20"/>
        </w:rPr>
      </w:pPr>
      <w:r w:rsidRPr="002B2402">
        <w:rPr>
          <w:b/>
          <w:sz w:val="20"/>
        </w:rPr>
        <w:t>Food Standards (Proposal M10</w:t>
      </w:r>
      <w:r w:rsidR="00D37954">
        <w:rPr>
          <w:b/>
          <w:sz w:val="20"/>
        </w:rPr>
        <w:t>12</w:t>
      </w:r>
      <w:r w:rsidRPr="002B2402">
        <w:rPr>
          <w:b/>
          <w:sz w:val="20"/>
        </w:rPr>
        <w:t xml:space="preserve"> – </w:t>
      </w:r>
      <w:r w:rsidR="00D37954">
        <w:rPr>
          <w:b/>
          <w:sz w:val="20"/>
        </w:rPr>
        <w:t>Amendments to Standard 1.4.2</w:t>
      </w:r>
      <w:r w:rsidRPr="002B2402">
        <w:rPr>
          <w:b/>
          <w:sz w:val="20"/>
        </w:rPr>
        <w:t>) Variation</w:t>
      </w:r>
    </w:p>
    <w:p w14:paraId="2292FAA6" w14:textId="77777777" w:rsidR="00D84C42" w:rsidRPr="002B2402" w:rsidRDefault="00D84C42" w:rsidP="00D84C42">
      <w:pPr>
        <w:pBdr>
          <w:bottom w:val="single" w:sz="4" w:space="1" w:color="auto"/>
        </w:pBdr>
        <w:rPr>
          <w:b/>
          <w:sz w:val="20"/>
        </w:rPr>
      </w:pPr>
    </w:p>
    <w:p w14:paraId="2292FAA7" w14:textId="77777777" w:rsidR="00D84C42" w:rsidRPr="002B2402" w:rsidRDefault="00D84C42" w:rsidP="00D84C42">
      <w:pPr>
        <w:rPr>
          <w:sz w:val="20"/>
        </w:rPr>
      </w:pPr>
    </w:p>
    <w:p w14:paraId="2292FAA8" w14:textId="77777777" w:rsidR="00D84C42" w:rsidRPr="002B2402" w:rsidRDefault="00D84C42" w:rsidP="00D84C42">
      <w:pPr>
        <w:rPr>
          <w:sz w:val="20"/>
        </w:rPr>
      </w:pPr>
      <w:r w:rsidRPr="002B2402">
        <w:rPr>
          <w:sz w:val="20"/>
        </w:rPr>
        <w:t>The Board of Food Standards Australia New Zealand gives notice of the making of this variation under section 92 of the Food Standards Australia New Zealand Act 1991.  The Standard commences on the date specified in clause 3 of this variation.</w:t>
      </w:r>
    </w:p>
    <w:p w14:paraId="2292FAA9" w14:textId="77777777" w:rsidR="00D84C42" w:rsidRPr="002B2402" w:rsidRDefault="00D84C42" w:rsidP="00D84C42">
      <w:pPr>
        <w:rPr>
          <w:sz w:val="20"/>
        </w:rPr>
      </w:pPr>
    </w:p>
    <w:p w14:paraId="2292FAAA" w14:textId="77777777" w:rsidR="00D84C42" w:rsidRPr="002B2402" w:rsidRDefault="00D84C42" w:rsidP="00D84C42">
      <w:pPr>
        <w:rPr>
          <w:sz w:val="20"/>
        </w:rPr>
      </w:pPr>
      <w:r w:rsidRPr="002B2402">
        <w:rPr>
          <w:sz w:val="20"/>
        </w:rPr>
        <w:t>Dated [To be completed by Standards Management Officer]</w:t>
      </w:r>
    </w:p>
    <w:p w14:paraId="2292FAAB" w14:textId="77777777" w:rsidR="00D84C42" w:rsidRPr="002B2402" w:rsidRDefault="00D84C42" w:rsidP="00D84C42">
      <w:pPr>
        <w:rPr>
          <w:sz w:val="20"/>
        </w:rPr>
      </w:pPr>
    </w:p>
    <w:p w14:paraId="2292FAAC" w14:textId="77777777" w:rsidR="00D84C42" w:rsidRPr="002B2402" w:rsidRDefault="00D84C42" w:rsidP="00D84C42">
      <w:pPr>
        <w:rPr>
          <w:sz w:val="20"/>
        </w:rPr>
      </w:pPr>
    </w:p>
    <w:p w14:paraId="2292FAAD" w14:textId="77777777" w:rsidR="00D84C42" w:rsidRPr="002B2402" w:rsidRDefault="00D84C42" w:rsidP="00D84C42">
      <w:pPr>
        <w:rPr>
          <w:sz w:val="20"/>
        </w:rPr>
      </w:pPr>
    </w:p>
    <w:p w14:paraId="2292FAAE" w14:textId="77777777" w:rsidR="00D84C42" w:rsidRPr="002B2402" w:rsidRDefault="00D84C42" w:rsidP="00D84C42">
      <w:pPr>
        <w:rPr>
          <w:sz w:val="20"/>
        </w:rPr>
      </w:pPr>
    </w:p>
    <w:p w14:paraId="2292FAAF" w14:textId="77777777" w:rsidR="00D84C42" w:rsidRPr="002B2402" w:rsidRDefault="00D84C42" w:rsidP="00D84C42">
      <w:pPr>
        <w:rPr>
          <w:sz w:val="20"/>
        </w:rPr>
      </w:pPr>
    </w:p>
    <w:p w14:paraId="2292FAB0" w14:textId="77777777" w:rsidR="00D84C42" w:rsidRPr="002B2402" w:rsidRDefault="00D84C42" w:rsidP="00D84C42">
      <w:pPr>
        <w:rPr>
          <w:sz w:val="20"/>
        </w:rPr>
      </w:pPr>
      <w:r w:rsidRPr="002B2402">
        <w:rPr>
          <w:sz w:val="20"/>
        </w:rPr>
        <w:t>Standards Management Officer</w:t>
      </w:r>
    </w:p>
    <w:p w14:paraId="2292FAB1" w14:textId="77777777" w:rsidR="00D84C42" w:rsidRPr="002B2402" w:rsidRDefault="00D84C42" w:rsidP="00D84C42">
      <w:pPr>
        <w:rPr>
          <w:sz w:val="20"/>
        </w:rPr>
      </w:pPr>
      <w:r w:rsidRPr="002B2402">
        <w:rPr>
          <w:sz w:val="20"/>
        </w:rPr>
        <w:t>Delegate of the Board of Food Standards Australia New Zealand</w:t>
      </w:r>
    </w:p>
    <w:p w14:paraId="2292FAB2" w14:textId="77777777" w:rsidR="00D84C42" w:rsidRPr="002B2402" w:rsidRDefault="00D84C42" w:rsidP="00D84C42">
      <w:pPr>
        <w:rPr>
          <w:sz w:val="20"/>
        </w:rPr>
      </w:pPr>
    </w:p>
    <w:p w14:paraId="2292FAB3" w14:textId="77777777" w:rsidR="00D84C42" w:rsidRPr="002B2402" w:rsidRDefault="00D84C42" w:rsidP="00D84C42">
      <w:pPr>
        <w:rPr>
          <w:sz w:val="20"/>
        </w:rPr>
      </w:pPr>
    </w:p>
    <w:p w14:paraId="2292FAB4" w14:textId="77777777" w:rsidR="00D84C42" w:rsidRPr="002B2402" w:rsidRDefault="00D84C42" w:rsidP="00D84C42">
      <w:pPr>
        <w:rPr>
          <w:sz w:val="20"/>
        </w:rPr>
      </w:pPr>
    </w:p>
    <w:p w14:paraId="2292FAB5" w14:textId="77777777" w:rsidR="00D84C42" w:rsidRPr="002B2402" w:rsidRDefault="00D84C42" w:rsidP="00D84C42">
      <w:pPr>
        <w:rPr>
          <w:sz w:val="20"/>
        </w:rPr>
      </w:pPr>
    </w:p>
    <w:p w14:paraId="2292FAB6" w14:textId="77777777" w:rsidR="00D84C42" w:rsidRPr="002B2402" w:rsidRDefault="00D84C42" w:rsidP="00D84C42">
      <w:pPr>
        <w:rPr>
          <w:sz w:val="20"/>
        </w:rPr>
      </w:pPr>
    </w:p>
    <w:p w14:paraId="2292FAB7" w14:textId="77777777" w:rsidR="00D84C42" w:rsidRPr="002B2402" w:rsidRDefault="00D84C42" w:rsidP="00D84C42">
      <w:pPr>
        <w:pBdr>
          <w:top w:val="single" w:sz="6" w:space="0" w:color="auto"/>
          <w:left w:val="single" w:sz="6" w:space="0" w:color="auto"/>
          <w:bottom w:val="single" w:sz="6" w:space="0" w:color="auto"/>
          <w:right w:val="single" w:sz="6" w:space="0" w:color="auto"/>
        </w:pBdr>
        <w:tabs>
          <w:tab w:val="left" w:pos="851"/>
        </w:tabs>
        <w:rPr>
          <w:b/>
          <w:sz w:val="20"/>
          <w:szCs w:val="20"/>
          <w:lang w:val="en-AU"/>
        </w:rPr>
      </w:pPr>
      <w:r w:rsidRPr="002B2402">
        <w:rPr>
          <w:b/>
          <w:sz w:val="20"/>
          <w:szCs w:val="20"/>
          <w:lang w:val="en-AU"/>
        </w:rPr>
        <w:t xml:space="preserve">Note:  </w:t>
      </w:r>
    </w:p>
    <w:p w14:paraId="2292FAB8" w14:textId="77777777" w:rsidR="00D84C42" w:rsidRPr="002B2402" w:rsidRDefault="00D84C42" w:rsidP="00D84C42">
      <w:pPr>
        <w:pBdr>
          <w:top w:val="single" w:sz="6" w:space="0" w:color="auto"/>
          <w:left w:val="single" w:sz="6" w:space="0" w:color="auto"/>
          <w:bottom w:val="single" w:sz="6" w:space="0" w:color="auto"/>
          <w:right w:val="single" w:sz="6" w:space="0" w:color="auto"/>
        </w:pBdr>
        <w:tabs>
          <w:tab w:val="left" w:pos="851"/>
        </w:tabs>
        <w:rPr>
          <w:sz w:val="20"/>
          <w:szCs w:val="20"/>
          <w:lang w:val="en-AU"/>
        </w:rPr>
      </w:pPr>
    </w:p>
    <w:p w14:paraId="2292FAB9" w14:textId="77777777" w:rsidR="00D84C42" w:rsidRPr="002B2402" w:rsidRDefault="00D84C42" w:rsidP="00D84C42">
      <w:pPr>
        <w:pBdr>
          <w:top w:val="single" w:sz="6" w:space="0" w:color="auto"/>
          <w:left w:val="single" w:sz="6" w:space="0" w:color="auto"/>
          <w:bottom w:val="single" w:sz="6" w:space="0" w:color="auto"/>
          <w:right w:val="single" w:sz="6" w:space="0" w:color="auto"/>
        </w:pBdr>
        <w:tabs>
          <w:tab w:val="left" w:pos="851"/>
        </w:tabs>
        <w:rPr>
          <w:sz w:val="20"/>
          <w:szCs w:val="20"/>
          <w:lang w:val="en-AU"/>
        </w:rPr>
      </w:pPr>
      <w:r w:rsidRPr="002B2402">
        <w:rPr>
          <w:sz w:val="20"/>
          <w:szCs w:val="20"/>
          <w:lang w:val="en-AU"/>
        </w:rPr>
        <w:t xml:space="preserve">This variation will be published in the Commonwealth of Australia Gazette No. </w:t>
      </w:r>
      <w:proofErr w:type="gramStart"/>
      <w:r w:rsidRPr="002B2402">
        <w:rPr>
          <w:sz w:val="20"/>
          <w:szCs w:val="20"/>
          <w:lang w:val="en-AU"/>
        </w:rPr>
        <w:t xml:space="preserve">FSC </w:t>
      </w:r>
      <w:r w:rsidRPr="002B2402">
        <w:rPr>
          <w:color w:val="FF0000"/>
          <w:sz w:val="20"/>
          <w:szCs w:val="20"/>
          <w:lang w:val="en-AU"/>
        </w:rPr>
        <w:t xml:space="preserve">XX on XX </w:t>
      </w:r>
      <w:r>
        <w:rPr>
          <w:color w:val="FF0000"/>
          <w:sz w:val="20"/>
          <w:szCs w:val="20"/>
          <w:lang w:val="en-AU"/>
        </w:rPr>
        <w:t>Month 20XX</w:t>
      </w:r>
      <w:r w:rsidRPr="002B2402">
        <w:rPr>
          <w:sz w:val="20"/>
          <w:szCs w:val="20"/>
          <w:lang w:val="en-AU"/>
        </w:rPr>
        <w:t>.</w:t>
      </w:r>
      <w:proofErr w:type="gramEnd"/>
      <w:r w:rsidRPr="002B2402">
        <w:rPr>
          <w:sz w:val="20"/>
          <w:szCs w:val="20"/>
          <w:lang w:val="en-AU"/>
        </w:rPr>
        <w:t xml:space="preserve"> This means that this date is the gazettal date for the purposes of clause 3 of the variation. </w:t>
      </w:r>
    </w:p>
    <w:p w14:paraId="2292FABA" w14:textId="77777777" w:rsidR="00D84C42" w:rsidRPr="002B2402" w:rsidRDefault="00D84C42" w:rsidP="00D84C42">
      <w:pPr>
        <w:rPr>
          <w:sz w:val="20"/>
        </w:rPr>
      </w:pPr>
    </w:p>
    <w:p w14:paraId="2292FABB" w14:textId="77777777" w:rsidR="00D84C42" w:rsidRDefault="00D84C42">
      <w:pPr>
        <w:widowControl/>
        <w:rPr>
          <w:lang w:bidi="ar-SA"/>
        </w:rPr>
      </w:pPr>
      <w:r>
        <w:rPr>
          <w:lang w:bidi="ar-SA"/>
        </w:rPr>
        <w:br w:type="page"/>
      </w:r>
    </w:p>
    <w:p w14:paraId="2292FABC" w14:textId="77777777" w:rsidR="00D84C42" w:rsidRPr="002B2402" w:rsidRDefault="00D84C42" w:rsidP="00D84C42">
      <w:pPr>
        <w:tabs>
          <w:tab w:val="left" w:pos="851"/>
        </w:tabs>
        <w:rPr>
          <w:b/>
          <w:sz w:val="20"/>
          <w:szCs w:val="20"/>
        </w:rPr>
      </w:pPr>
      <w:r w:rsidRPr="002B2402">
        <w:rPr>
          <w:b/>
          <w:sz w:val="20"/>
          <w:szCs w:val="20"/>
        </w:rPr>
        <w:lastRenderedPageBreak/>
        <w:t>1</w:t>
      </w:r>
      <w:r w:rsidRPr="002B2402">
        <w:rPr>
          <w:b/>
          <w:sz w:val="20"/>
          <w:szCs w:val="20"/>
        </w:rPr>
        <w:tab/>
        <w:t>Name</w:t>
      </w:r>
    </w:p>
    <w:p w14:paraId="2292FABD" w14:textId="77777777" w:rsidR="00D84C42" w:rsidRPr="002B2402" w:rsidRDefault="00D84C42" w:rsidP="00D84C42">
      <w:pPr>
        <w:tabs>
          <w:tab w:val="left" w:pos="851"/>
        </w:tabs>
        <w:rPr>
          <w:sz w:val="20"/>
          <w:szCs w:val="20"/>
        </w:rPr>
      </w:pPr>
    </w:p>
    <w:p w14:paraId="2292FABE" w14:textId="5364D739" w:rsidR="00D84C42" w:rsidRPr="002B2402" w:rsidRDefault="00D84C42" w:rsidP="00D84C42">
      <w:pPr>
        <w:tabs>
          <w:tab w:val="left" w:pos="851"/>
        </w:tabs>
        <w:rPr>
          <w:sz w:val="20"/>
          <w:szCs w:val="20"/>
        </w:rPr>
      </w:pPr>
      <w:r w:rsidRPr="002B2402">
        <w:rPr>
          <w:sz w:val="20"/>
          <w:szCs w:val="20"/>
        </w:rPr>
        <w:t xml:space="preserve">This instrument is the </w:t>
      </w:r>
      <w:r w:rsidRPr="002B2402">
        <w:rPr>
          <w:i/>
          <w:sz w:val="20"/>
          <w:szCs w:val="20"/>
        </w:rPr>
        <w:t>Food Standards (Proposal M101</w:t>
      </w:r>
      <w:r>
        <w:rPr>
          <w:i/>
          <w:sz w:val="20"/>
          <w:szCs w:val="20"/>
        </w:rPr>
        <w:t>2</w:t>
      </w:r>
      <w:r w:rsidRPr="002B2402">
        <w:rPr>
          <w:i/>
          <w:sz w:val="20"/>
          <w:szCs w:val="20"/>
        </w:rPr>
        <w:t xml:space="preserve"> – </w:t>
      </w:r>
      <w:r w:rsidR="00921FA5">
        <w:rPr>
          <w:i/>
          <w:sz w:val="20"/>
          <w:szCs w:val="20"/>
        </w:rPr>
        <w:t>Amendments to Standard 1.4.2</w:t>
      </w:r>
      <w:r w:rsidRPr="002B2402">
        <w:rPr>
          <w:i/>
          <w:sz w:val="20"/>
          <w:szCs w:val="20"/>
        </w:rPr>
        <w:t>) Variation</w:t>
      </w:r>
      <w:r w:rsidRPr="002B2402">
        <w:rPr>
          <w:sz w:val="20"/>
          <w:szCs w:val="20"/>
        </w:rPr>
        <w:t>.</w:t>
      </w:r>
    </w:p>
    <w:p w14:paraId="2292FABF" w14:textId="77777777" w:rsidR="00D84C42" w:rsidRPr="002B2402" w:rsidRDefault="00D84C42" w:rsidP="00D84C42">
      <w:pPr>
        <w:tabs>
          <w:tab w:val="left" w:pos="851"/>
        </w:tabs>
        <w:rPr>
          <w:sz w:val="20"/>
          <w:szCs w:val="20"/>
        </w:rPr>
      </w:pPr>
    </w:p>
    <w:p w14:paraId="2292FAC0" w14:textId="77777777" w:rsidR="00D84C42" w:rsidRPr="002B2402" w:rsidRDefault="00D84C42" w:rsidP="00D84C42">
      <w:pPr>
        <w:tabs>
          <w:tab w:val="left" w:pos="851"/>
        </w:tabs>
        <w:rPr>
          <w:b/>
          <w:sz w:val="20"/>
          <w:szCs w:val="20"/>
        </w:rPr>
      </w:pPr>
      <w:r w:rsidRPr="002B2402">
        <w:rPr>
          <w:b/>
          <w:sz w:val="20"/>
          <w:szCs w:val="20"/>
        </w:rPr>
        <w:t>2</w:t>
      </w:r>
      <w:r w:rsidRPr="002B2402">
        <w:rPr>
          <w:b/>
          <w:sz w:val="20"/>
          <w:szCs w:val="20"/>
        </w:rPr>
        <w:tab/>
        <w:t xml:space="preserve">Variation to Standards in the </w:t>
      </w:r>
      <w:r w:rsidRPr="002B2402">
        <w:rPr>
          <w:b/>
          <w:i/>
          <w:sz w:val="20"/>
          <w:szCs w:val="20"/>
        </w:rPr>
        <w:t>Australia New Zealand Food Standards Code</w:t>
      </w:r>
    </w:p>
    <w:p w14:paraId="2292FAC1" w14:textId="77777777" w:rsidR="00D84C42" w:rsidRPr="002B2402" w:rsidRDefault="00D84C42" w:rsidP="00D84C42">
      <w:pPr>
        <w:tabs>
          <w:tab w:val="left" w:pos="851"/>
        </w:tabs>
        <w:rPr>
          <w:sz w:val="20"/>
          <w:szCs w:val="20"/>
        </w:rPr>
      </w:pPr>
    </w:p>
    <w:p w14:paraId="2292FAC2" w14:textId="77777777" w:rsidR="00D84C42" w:rsidRPr="002B2402" w:rsidRDefault="00D84C42" w:rsidP="00D84C42">
      <w:pPr>
        <w:tabs>
          <w:tab w:val="left" w:pos="851"/>
        </w:tabs>
        <w:rPr>
          <w:sz w:val="20"/>
          <w:szCs w:val="20"/>
        </w:rPr>
      </w:pPr>
      <w:r w:rsidRPr="002B2402">
        <w:rPr>
          <w:sz w:val="20"/>
          <w:szCs w:val="20"/>
        </w:rPr>
        <w:t xml:space="preserve">The Schedule varies a Standard in the </w:t>
      </w:r>
      <w:r w:rsidRPr="002B2402">
        <w:rPr>
          <w:i/>
          <w:sz w:val="20"/>
          <w:szCs w:val="20"/>
        </w:rPr>
        <w:t>Australia New Zealand Food Standards Code</w:t>
      </w:r>
      <w:r w:rsidRPr="002B2402">
        <w:rPr>
          <w:sz w:val="20"/>
          <w:szCs w:val="20"/>
        </w:rPr>
        <w:t>.</w:t>
      </w:r>
    </w:p>
    <w:p w14:paraId="2292FAC3" w14:textId="77777777" w:rsidR="00D84C42" w:rsidRPr="002B2402" w:rsidRDefault="00D84C42" w:rsidP="00D84C42">
      <w:pPr>
        <w:rPr>
          <w:sz w:val="20"/>
        </w:rPr>
      </w:pPr>
    </w:p>
    <w:p w14:paraId="2292FAC4" w14:textId="77777777" w:rsidR="00D84C42" w:rsidRPr="002B2402" w:rsidRDefault="00D84C42" w:rsidP="00D84C42">
      <w:pPr>
        <w:tabs>
          <w:tab w:val="left" w:pos="851"/>
        </w:tabs>
        <w:rPr>
          <w:b/>
          <w:sz w:val="20"/>
          <w:szCs w:val="20"/>
        </w:rPr>
      </w:pPr>
      <w:r w:rsidRPr="002B2402">
        <w:rPr>
          <w:b/>
          <w:sz w:val="20"/>
          <w:szCs w:val="20"/>
        </w:rPr>
        <w:t>3</w:t>
      </w:r>
      <w:r w:rsidRPr="002B2402">
        <w:rPr>
          <w:b/>
          <w:sz w:val="20"/>
          <w:szCs w:val="20"/>
        </w:rPr>
        <w:tab/>
        <w:t>Commencement</w:t>
      </w:r>
    </w:p>
    <w:p w14:paraId="2292FAC5" w14:textId="77777777" w:rsidR="00D84C42" w:rsidRPr="002B2402" w:rsidRDefault="00D84C42" w:rsidP="00D84C42">
      <w:pPr>
        <w:tabs>
          <w:tab w:val="left" w:pos="851"/>
        </w:tabs>
        <w:rPr>
          <w:sz w:val="20"/>
          <w:szCs w:val="20"/>
        </w:rPr>
      </w:pPr>
    </w:p>
    <w:p w14:paraId="2292FAC6" w14:textId="77777777" w:rsidR="00D84C42" w:rsidRPr="002B2402" w:rsidRDefault="00D84C42" w:rsidP="00D84C42">
      <w:pPr>
        <w:tabs>
          <w:tab w:val="left" w:pos="851"/>
        </w:tabs>
        <w:rPr>
          <w:sz w:val="20"/>
          <w:szCs w:val="20"/>
        </w:rPr>
      </w:pPr>
      <w:r w:rsidRPr="002B2402">
        <w:rPr>
          <w:sz w:val="20"/>
          <w:szCs w:val="20"/>
        </w:rPr>
        <w:t xml:space="preserve">The variation commences on </w:t>
      </w:r>
      <w:r w:rsidRPr="002B2402">
        <w:rPr>
          <w:bCs/>
          <w:sz w:val="20"/>
          <w:szCs w:val="20"/>
        </w:rPr>
        <w:t>the date of gazettal</w:t>
      </w:r>
      <w:r w:rsidRPr="002B2402">
        <w:rPr>
          <w:sz w:val="20"/>
          <w:szCs w:val="20"/>
        </w:rPr>
        <w:t>.</w:t>
      </w:r>
    </w:p>
    <w:p w14:paraId="2292FAC7" w14:textId="77777777" w:rsidR="00D84C42" w:rsidRPr="002B2402" w:rsidRDefault="00D84C42" w:rsidP="00D84C42">
      <w:pPr>
        <w:tabs>
          <w:tab w:val="left" w:pos="851"/>
        </w:tabs>
        <w:ind w:hanging="11"/>
        <w:rPr>
          <w:sz w:val="20"/>
          <w:szCs w:val="20"/>
        </w:rPr>
      </w:pPr>
    </w:p>
    <w:p w14:paraId="2292FAC8" w14:textId="77777777" w:rsidR="00D84C42" w:rsidRPr="002B2402" w:rsidRDefault="00D84C42" w:rsidP="00D84C42">
      <w:pPr>
        <w:tabs>
          <w:tab w:val="left" w:pos="851"/>
        </w:tabs>
        <w:jc w:val="center"/>
        <w:rPr>
          <w:b/>
          <w:caps/>
          <w:sz w:val="20"/>
          <w:szCs w:val="20"/>
        </w:rPr>
      </w:pPr>
      <w:r w:rsidRPr="002B2402">
        <w:rPr>
          <w:b/>
          <w:caps/>
          <w:sz w:val="20"/>
          <w:szCs w:val="20"/>
        </w:rPr>
        <w:t>SCHEDULE</w:t>
      </w:r>
    </w:p>
    <w:p w14:paraId="2292FAC9" w14:textId="77777777" w:rsidR="00D84C42" w:rsidRPr="002B2402" w:rsidRDefault="00D84C42" w:rsidP="00D84C42">
      <w:pPr>
        <w:widowControl/>
        <w:rPr>
          <w:sz w:val="20"/>
        </w:rPr>
      </w:pPr>
    </w:p>
    <w:p w14:paraId="2292FACC" w14:textId="078DC70F" w:rsidR="00D84C42" w:rsidRPr="00303DCB" w:rsidRDefault="00D84C42" w:rsidP="006231A3">
      <w:pPr>
        <w:tabs>
          <w:tab w:val="left" w:pos="851"/>
        </w:tabs>
        <w:rPr>
          <w:sz w:val="20"/>
          <w:lang w:bidi="ar-SA"/>
        </w:rPr>
      </w:pPr>
      <w:r w:rsidRPr="002B2402">
        <w:rPr>
          <w:b/>
          <w:bCs/>
          <w:sz w:val="20"/>
          <w:szCs w:val="20"/>
        </w:rPr>
        <w:t>[1]</w:t>
      </w:r>
      <w:r w:rsidRPr="002B2402">
        <w:rPr>
          <w:b/>
          <w:sz w:val="20"/>
          <w:szCs w:val="20"/>
        </w:rPr>
        <w:tab/>
        <w:t>Standard 1.4.2</w:t>
      </w:r>
      <w:r w:rsidRPr="002B2402">
        <w:rPr>
          <w:sz w:val="20"/>
          <w:szCs w:val="20"/>
        </w:rPr>
        <w:t xml:space="preserve"> is varied by</w:t>
      </w:r>
      <w:r w:rsidR="006231A3">
        <w:rPr>
          <w:sz w:val="20"/>
          <w:szCs w:val="20"/>
        </w:rPr>
        <w:t xml:space="preserve"> </w:t>
      </w:r>
      <w:r w:rsidR="00680EE6" w:rsidRPr="00303DCB">
        <w:rPr>
          <w:sz w:val="20"/>
          <w:lang w:bidi="ar-SA"/>
        </w:rPr>
        <w:t>inserting in alphabetical order in Schedule 1</w:t>
      </w:r>
    </w:p>
    <w:p w14:paraId="2F3214B0" w14:textId="77777777" w:rsidR="00680EE6" w:rsidRDefault="00680EE6" w:rsidP="00AB0275">
      <w:pPr>
        <w:rPr>
          <w:lang w:bidi="ar-SA"/>
        </w:rPr>
      </w:pPr>
    </w:p>
    <w:p w14:paraId="1806B84F" w14:textId="77777777" w:rsidR="00680EE6" w:rsidRPr="002B2402" w:rsidRDefault="00680EE6" w:rsidP="00680EE6">
      <w:pPr>
        <w:tabs>
          <w:tab w:val="left" w:pos="851"/>
        </w:tabs>
        <w:rPr>
          <w:iCs/>
          <w:sz w:val="20"/>
          <w:szCs w:val="20"/>
        </w:rPr>
      </w:pPr>
      <w:r w:rsidRPr="002B2402">
        <w:rPr>
          <w:sz w:val="20"/>
          <w:szCs w:val="20"/>
        </w:rPr>
        <w:t>“</w:t>
      </w:r>
    </w:p>
    <w:tbl>
      <w:tblPr>
        <w:tblW w:w="4423" w:type="dxa"/>
        <w:tblBorders>
          <w:top w:val="single" w:sz="4" w:space="0" w:color="auto"/>
          <w:bottom w:val="single" w:sz="4" w:space="0" w:color="auto"/>
        </w:tblBorders>
        <w:tblLayout w:type="fixed"/>
        <w:tblCellMar>
          <w:left w:w="80" w:type="dxa"/>
          <w:right w:w="80" w:type="dxa"/>
        </w:tblCellMar>
        <w:tblLook w:val="0000" w:firstRow="0" w:lastRow="0" w:firstColumn="0" w:lastColumn="0" w:noHBand="0" w:noVBand="0"/>
      </w:tblPr>
      <w:tblGrid>
        <w:gridCol w:w="3402"/>
        <w:gridCol w:w="1021"/>
      </w:tblGrid>
      <w:tr w:rsidR="006C17B7" w:rsidRPr="006C17B7" w14:paraId="13242764" w14:textId="77777777" w:rsidTr="006C17B7">
        <w:trPr>
          <w:cantSplit/>
          <w:trHeight w:val="64"/>
        </w:trPr>
        <w:tc>
          <w:tcPr>
            <w:tcW w:w="4423" w:type="dxa"/>
            <w:gridSpan w:val="2"/>
            <w:tcBorders>
              <w:top w:val="single" w:sz="6" w:space="0" w:color="auto"/>
              <w:bottom w:val="nil"/>
            </w:tcBorders>
            <w:shd w:val="pct10" w:color="auto" w:fill="auto"/>
          </w:tcPr>
          <w:p w14:paraId="40F85D68" w14:textId="46E63A08" w:rsidR="006C17B7" w:rsidRPr="006C17B7" w:rsidRDefault="006C17B7" w:rsidP="006C17B7">
            <w:pPr>
              <w:pStyle w:val="142tableheading1"/>
              <w:rPr>
                <w:rFonts w:ascii="Arial" w:hAnsi="Arial" w:cs="Arial"/>
                <w:iCs/>
                <w:sz w:val="18"/>
                <w:szCs w:val="18"/>
                <w:lang w:bidi="ar-SA"/>
              </w:rPr>
            </w:pPr>
            <w:r w:rsidRPr="006C17B7">
              <w:rPr>
                <w:rFonts w:ascii="Arial" w:hAnsi="Arial" w:cs="Arial"/>
                <w:smallCaps w:val="0"/>
                <w:sz w:val="18"/>
                <w:szCs w:val="18"/>
              </w:rPr>
              <w:t>Coumatetralyl</w:t>
            </w:r>
          </w:p>
        </w:tc>
      </w:tr>
      <w:tr w:rsidR="006C17B7" w:rsidRPr="006C17B7" w14:paraId="617041DC" w14:textId="77777777" w:rsidTr="006C17B7">
        <w:trPr>
          <w:cantSplit/>
        </w:trPr>
        <w:tc>
          <w:tcPr>
            <w:tcW w:w="4423" w:type="dxa"/>
            <w:gridSpan w:val="2"/>
            <w:tcBorders>
              <w:top w:val="nil"/>
              <w:bottom w:val="single" w:sz="6" w:space="0" w:color="auto"/>
            </w:tcBorders>
            <w:shd w:val="pct10" w:color="auto" w:fill="auto"/>
          </w:tcPr>
          <w:p w14:paraId="6D07DB2D" w14:textId="065BDB7D" w:rsidR="006C17B7" w:rsidRPr="006C17B7" w:rsidRDefault="006C17B7" w:rsidP="006C17B7">
            <w:pPr>
              <w:keepNext/>
              <w:jc w:val="center"/>
              <w:rPr>
                <w:rFonts w:cs="Arial"/>
                <w:bCs/>
                <w:iCs/>
                <w:sz w:val="18"/>
                <w:szCs w:val="18"/>
                <w:lang w:bidi="ar-SA"/>
              </w:rPr>
            </w:pPr>
            <w:r w:rsidRPr="006C17B7">
              <w:rPr>
                <w:rFonts w:cs="Arial"/>
                <w:sz w:val="18"/>
                <w:szCs w:val="18"/>
              </w:rPr>
              <w:t>Coumatetralyl</w:t>
            </w:r>
          </w:p>
        </w:tc>
      </w:tr>
      <w:tr w:rsidR="006C17B7" w:rsidRPr="006C17B7" w14:paraId="6CF1719C" w14:textId="77777777" w:rsidTr="006231A3">
        <w:trPr>
          <w:cantSplit/>
          <w:trHeight w:val="227"/>
        </w:trPr>
        <w:tc>
          <w:tcPr>
            <w:tcW w:w="3402" w:type="dxa"/>
            <w:tcBorders>
              <w:top w:val="single" w:sz="6" w:space="0" w:color="auto"/>
            </w:tcBorders>
          </w:tcPr>
          <w:p w14:paraId="2A9B8025" w14:textId="78299C13" w:rsidR="006C17B7" w:rsidRPr="006C17B7" w:rsidRDefault="006C17B7" w:rsidP="006C17B7">
            <w:pPr>
              <w:keepLines/>
              <w:widowControl/>
              <w:spacing w:before="20" w:after="20"/>
              <w:rPr>
                <w:rFonts w:cs="Arial"/>
                <w:sz w:val="18"/>
                <w:szCs w:val="18"/>
                <w:lang w:val="en-AU" w:eastAsia="en-AU" w:bidi="ar-SA"/>
              </w:rPr>
            </w:pPr>
            <w:r w:rsidRPr="006C17B7">
              <w:rPr>
                <w:sz w:val="18"/>
              </w:rPr>
              <w:t>Pig, edible offal of [except liver]</w:t>
            </w:r>
          </w:p>
        </w:tc>
        <w:tc>
          <w:tcPr>
            <w:tcW w:w="1021" w:type="dxa"/>
            <w:tcBorders>
              <w:top w:val="single" w:sz="6" w:space="0" w:color="auto"/>
            </w:tcBorders>
          </w:tcPr>
          <w:p w14:paraId="2A8FE282" w14:textId="6F55857A" w:rsidR="006C17B7" w:rsidRPr="006C17B7" w:rsidRDefault="006C17B7" w:rsidP="006C17B7">
            <w:pPr>
              <w:keepLines/>
              <w:widowControl/>
              <w:spacing w:before="20" w:after="20"/>
              <w:jc w:val="right"/>
              <w:rPr>
                <w:rFonts w:eastAsiaTheme="minorHAnsi" w:cs="Arial"/>
                <w:sz w:val="18"/>
                <w:szCs w:val="18"/>
                <w:lang w:val="en-AU" w:bidi="ar-SA"/>
              </w:rPr>
            </w:pPr>
            <w:r w:rsidRPr="006C17B7">
              <w:rPr>
                <w:sz w:val="18"/>
              </w:rPr>
              <w:t>T0.003</w:t>
            </w:r>
          </w:p>
        </w:tc>
      </w:tr>
      <w:tr w:rsidR="006C17B7" w:rsidRPr="006C17B7" w14:paraId="5CCF55D3" w14:textId="77777777" w:rsidTr="006231A3">
        <w:trPr>
          <w:cantSplit/>
          <w:trHeight w:val="227"/>
        </w:trPr>
        <w:tc>
          <w:tcPr>
            <w:tcW w:w="3402" w:type="dxa"/>
          </w:tcPr>
          <w:p w14:paraId="05A06C74" w14:textId="3EEE8DD6" w:rsidR="006C17B7" w:rsidRPr="006C17B7" w:rsidRDefault="006C17B7" w:rsidP="006C17B7">
            <w:pPr>
              <w:keepLines/>
              <w:widowControl/>
              <w:spacing w:before="20" w:after="20"/>
              <w:rPr>
                <w:rFonts w:cs="Arial"/>
                <w:sz w:val="18"/>
                <w:szCs w:val="18"/>
                <w:lang w:val="en-AU" w:eastAsia="en-AU" w:bidi="ar-SA"/>
              </w:rPr>
            </w:pPr>
            <w:r w:rsidRPr="006C17B7">
              <w:rPr>
                <w:sz w:val="18"/>
              </w:rPr>
              <w:t>Pig fat</w:t>
            </w:r>
          </w:p>
        </w:tc>
        <w:tc>
          <w:tcPr>
            <w:tcW w:w="1021" w:type="dxa"/>
          </w:tcPr>
          <w:p w14:paraId="766D5E80" w14:textId="60C40F9A" w:rsidR="006C17B7" w:rsidRPr="006C17B7" w:rsidRDefault="006C17B7" w:rsidP="006C17B7">
            <w:pPr>
              <w:keepLines/>
              <w:widowControl/>
              <w:spacing w:before="20" w:after="20"/>
              <w:jc w:val="right"/>
              <w:rPr>
                <w:rFonts w:eastAsiaTheme="minorHAnsi" w:cs="Arial"/>
                <w:sz w:val="18"/>
                <w:szCs w:val="18"/>
                <w:lang w:val="en-AU" w:bidi="ar-SA"/>
              </w:rPr>
            </w:pPr>
            <w:r w:rsidRPr="006C17B7">
              <w:rPr>
                <w:sz w:val="18"/>
              </w:rPr>
              <w:t>T*0.001</w:t>
            </w:r>
          </w:p>
        </w:tc>
      </w:tr>
      <w:tr w:rsidR="006C17B7" w:rsidRPr="006C17B7" w14:paraId="123B3629" w14:textId="77777777" w:rsidTr="006231A3">
        <w:trPr>
          <w:cantSplit/>
          <w:trHeight w:val="227"/>
        </w:trPr>
        <w:tc>
          <w:tcPr>
            <w:tcW w:w="3402" w:type="dxa"/>
          </w:tcPr>
          <w:p w14:paraId="191C6D20" w14:textId="5C975E03" w:rsidR="006C17B7" w:rsidRPr="006C17B7" w:rsidRDefault="006C17B7" w:rsidP="006C17B7">
            <w:pPr>
              <w:keepLines/>
              <w:widowControl/>
              <w:spacing w:before="20" w:after="20"/>
              <w:rPr>
                <w:rFonts w:cs="Arial"/>
                <w:sz w:val="18"/>
                <w:szCs w:val="18"/>
                <w:lang w:val="en-AU" w:eastAsia="en-AU" w:bidi="ar-SA"/>
              </w:rPr>
            </w:pPr>
            <w:r w:rsidRPr="006C17B7">
              <w:rPr>
                <w:sz w:val="18"/>
              </w:rPr>
              <w:t>Pig liver</w:t>
            </w:r>
          </w:p>
        </w:tc>
        <w:tc>
          <w:tcPr>
            <w:tcW w:w="1021" w:type="dxa"/>
          </w:tcPr>
          <w:p w14:paraId="7293268F" w14:textId="35FE757A" w:rsidR="006C17B7" w:rsidRPr="006C17B7" w:rsidRDefault="006C17B7" w:rsidP="006C17B7">
            <w:pPr>
              <w:keepLines/>
              <w:widowControl/>
              <w:spacing w:before="20" w:after="20"/>
              <w:jc w:val="right"/>
              <w:rPr>
                <w:rFonts w:eastAsiaTheme="minorHAnsi" w:cs="Arial"/>
                <w:sz w:val="18"/>
                <w:szCs w:val="18"/>
                <w:lang w:val="en-AU" w:bidi="ar-SA"/>
              </w:rPr>
            </w:pPr>
            <w:r w:rsidRPr="006C17B7">
              <w:rPr>
                <w:sz w:val="18"/>
              </w:rPr>
              <w:t>T0.004</w:t>
            </w:r>
          </w:p>
        </w:tc>
      </w:tr>
      <w:tr w:rsidR="006C17B7" w:rsidRPr="006C17B7" w14:paraId="57C914E4" w14:textId="77777777" w:rsidTr="006231A3">
        <w:trPr>
          <w:cantSplit/>
          <w:trHeight w:val="227"/>
        </w:trPr>
        <w:tc>
          <w:tcPr>
            <w:tcW w:w="3402" w:type="dxa"/>
          </w:tcPr>
          <w:p w14:paraId="485F3A47" w14:textId="40929A5F" w:rsidR="006C17B7" w:rsidRPr="006C17B7" w:rsidRDefault="006C17B7" w:rsidP="006C17B7">
            <w:pPr>
              <w:keepLines/>
              <w:widowControl/>
              <w:spacing w:before="20" w:after="20"/>
              <w:rPr>
                <w:rFonts w:cs="Arial"/>
                <w:sz w:val="18"/>
                <w:szCs w:val="18"/>
                <w:lang w:val="en-AU" w:eastAsia="en-AU" w:bidi="ar-SA"/>
              </w:rPr>
            </w:pPr>
            <w:r w:rsidRPr="006C17B7">
              <w:rPr>
                <w:sz w:val="18"/>
              </w:rPr>
              <w:t>Pig meat</w:t>
            </w:r>
          </w:p>
        </w:tc>
        <w:tc>
          <w:tcPr>
            <w:tcW w:w="1021" w:type="dxa"/>
          </w:tcPr>
          <w:p w14:paraId="084B9CC0" w14:textId="12AEEA65" w:rsidR="006C17B7" w:rsidRPr="006C17B7" w:rsidRDefault="006C17B7" w:rsidP="006C17B7">
            <w:pPr>
              <w:keepLines/>
              <w:widowControl/>
              <w:spacing w:before="20" w:after="20"/>
              <w:jc w:val="right"/>
              <w:rPr>
                <w:rFonts w:eastAsiaTheme="minorHAnsi" w:cs="Arial"/>
                <w:sz w:val="18"/>
                <w:szCs w:val="18"/>
                <w:lang w:val="en-AU" w:bidi="ar-SA"/>
              </w:rPr>
            </w:pPr>
            <w:r w:rsidRPr="006C17B7">
              <w:rPr>
                <w:sz w:val="18"/>
              </w:rPr>
              <w:t>T*0.001</w:t>
            </w:r>
          </w:p>
        </w:tc>
      </w:tr>
    </w:tbl>
    <w:p w14:paraId="5C9ADF77" w14:textId="77777777" w:rsidR="00680EE6" w:rsidRDefault="00680EE6" w:rsidP="00680EE6">
      <w:pPr>
        <w:tabs>
          <w:tab w:val="left" w:pos="851"/>
        </w:tabs>
        <w:jc w:val="center"/>
        <w:rPr>
          <w:sz w:val="20"/>
          <w:szCs w:val="20"/>
        </w:rPr>
      </w:pPr>
      <w:r w:rsidRPr="002B2402">
        <w:rPr>
          <w:sz w:val="20"/>
          <w:szCs w:val="20"/>
        </w:rPr>
        <w:t>”</w:t>
      </w:r>
    </w:p>
    <w:p w14:paraId="70D744E7" w14:textId="42CF23CC" w:rsidR="006C17B7" w:rsidRPr="002B2402" w:rsidRDefault="006C17B7" w:rsidP="00680EE6">
      <w:pPr>
        <w:tabs>
          <w:tab w:val="left" w:pos="851"/>
        </w:tabs>
        <w:jc w:val="center"/>
        <w:rPr>
          <w:sz w:val="20"/>
          <w:szCs w:val="20"/>
        </w:rPr>
      </w:pPr>
    </w:p>
    <w:p w14:paraId="54D9780E" w14:textId="77777777" w:rsidR="00680EE6" w:rsidRPr="002B2402" w:rsidRDefault="00680EE6" w:rsidP="00680EE6">
      <w:pPr>
        <w:tabs>
          <w:tab w:val="left" w:pos="851"/>
        </w:tabs>
        <w:rPr>
          <w:iCs/>
          <w:sz w:val="20"/>
          <w:szCs w:val="20"/>
        </w:rPr>
      </w:pPr>
      <w:r w:rsidRPr="002B2402">
        <w:rPr>
          <w:sz w:val="20"/>
          <w:szCs w:val="20"/>
        </w:rPr>
        <w:t>“</w:t>
      </w:r>
    </w:p>
    <w:tbl>
      <w:tblPr>
        <w:tblW w:w="4423" w:type="dxa"/>
        <w:tblBorders>
          <w:top w:val="single" w:sz="4" w:space="0" w:color="auto"/>
          <w:bottom w:val="single" w:sz="4" w:space="0" w:color="auto"/>
        </w:tblBorders>
        <w:tblLayout w:type="fixed"/>
        <w:tblCellMar>
          <w:left w:w="80" w:type="dxa"/>
          <w:right w:w="80" w:type="dxa"/>
        </w:tblCellMar>
        <w:tblLook w:val="0000" w:firstRow="0" w:lastRow="0" w:firstColumn="0" w:lastColumn="0" w:noHBand="0" w:noVBand="0"/>
      </w:tblPr>
      <w:tblGrid>
        <w:gridCol w:w="3402"/>
        <w:gridCol w:w="1021"/>
      </w:tblGrid>
      <w:tr w:rsidR="006C17B7" w:rsidRPr="006C17B7" w14:paraId="56B4D9F8" w14:textId="77777777" w:rsidTr="006C17B7">
        <w:trPr>
          <w:cantSplit/>
          <w:trHeight w:val="64"/>
        </w:trPr>
        <w:tc>
          <w:tcPr>
            <w:tcW w:w="4423" w:type="dxa"/>
            <w:gridSpan w:val="2"/>
            <w:tcBorders>
              <w:top w:val="single" w:sz="6" w:space="0" w:color="auto"/>
              <w:bottom w:val="nil"/>
            </w:tcBorders>
            <w:shd w:val="pct10" w:color="auto" w:fill="auto"/>
          </w:tcPr>
          <w:p w14:paraId="72558AA5" w14:textId="69129B8F" w:rsidR="006C17B7" w:rsidRPr="006C17B7" w:rsidRDefault="006C17B7" w:rsidP="006C17B7">
            <w:pPr>
              <w:pStyle w:val="142tableheading1"/>
              <w:rPr>
                <w:rFonts w:ascii="Arial" w:hAnsi="Arial" w:cs="Arial"/>
                <w:iCs/>
                <w:sz w:val="18"/>
                <w:szCs w:val="18"/>
                <w:lang w:bidi="ar-SA"/>
              </w:rPr>
            </w:pPr>
            <w:r w:rsidRPr="006C17B7">
              <w:rPr>
                <w:smallCaps w:val="0"/>
                <w:sz w:val="18"/>
                <w:szCs w:val="18"/>
              </w:rPr>
              <w:t>Warfarin</w:t>
            </w:r>
          </w:p>
        </w:tc>
      </w:tr>
      <w:tr w:rsidR="006C17B7" w:rsidRPr="006C17B7" w14:paraId="6AFDB818" w14:textId="77777777" w:rsidTr="006C17B7">
        <w:trPr>
          <w:cantSplit/>
        </w:trPr>
        <w:tc>
          <w:tcPr>
            <w:tcW w:w="4423" w:type="dxa"/>
            <w:gridSpan w:val="2"/>
            <w:tcBorders>
              <w:top w:val="nil"/>
              <w:bottom w:val="single" w:sz="6" w:space="0" w:color="auto"/>
            </w:tcBorders>
            <w:shd w:val="pct10" w:color="auto" w:fill="auto"/>
          </w:tcPr>
          <w:p w14:paraId="731AECDC" w14:textId="15DB8F33" w:rsidR="006C17B7" w:rsidRPr="006C17B7" w:rsidRDefault="006C17B7" w:rsidP="006C17B7">
            <w:pPr>
              <w:keepNext/>
              <w:jc w:val="center"/>
              <w:rPr>
                <w:rFonts w:cs="Arial"/>
                <w:bCs/>
                <w:iCs/>
                <w:sz w:val="18"/>
                <w:szCs w:val="18"/>
                <w:lang w:bidi="ar-SA"/>
              </w:rPr>
            </w:pPr>
            <w:r w:rsidRPr="006C17B7">
              <w:rPr>
                <w:sz w:val="18"/>
                <w:szCs w:val="18"/>
              </w:rPr>
              <w:t>Warfarin</w:t>
            </w:r>
          </w:p>
        </w:tc>
      </w:tr>
      <w:tr w:rsidR="006C17B7" w:rsidRPr="006C17B7" w14:paraId="470A3AD8" w14:textId="77777777" w:rsidTr="006C17B7">
        <w:trPr>
          <w:cantSplit/>
          <w:trHeight w:val="227"/>
        </w:trPr>
        <w:tc>
          <w:tcPr>
            <w:tcW w:w="3402" w:type="dxa"/>
            <w:tcBorders>
              <w:top w:val="single" w:sz="6" w:space="0" w:color="auto"/>
            </w:tcBorders>
          </w:tcPr>
          <w:p w14:paraId="228C5A72" w14:textId="5C53EEEC" w:rsidR="006C17B7" w:rsidRPr="006C17B7" w:rsidRDefault="006C17B7" w:rsidP="006C17B7">
            <w:pPr>
              <w:keepLines/>
              <w:widowControl/>
              <w:spacing w:before="20" w:after="20"/>
              <w:rPr>
                <w:rFonts w:cs="Arial"/>
                <w:sz w:val="18"/>
                <w:szCs w:val="18"/>
                <w:lang w:val="en-AU" w:eastAsia="en-AU" w:bidi="ar-SA"/>
              </w:rPr>
            </w:pPr>
            <w:r w:rsidRPr="006C17B7">
              <w:rPr>
                <w:sz w:val="18"/>
                <w:szCs w:val="18"/>
              </w:rPr>
              <w:t xml:space="preserve">Pig, edible offal [except liver] </w:t>
            </w:r>
          </w:p>
        </w:tc>
        <w:tc>
          <w:tcPr>
            <w:tcW w:w="1021" w:type="dxa"/>
            <w:tcBorders>
              <w:top w:val="single" w:sz="6" w:space="0" w:color="auto"/>
            </w:tcBorders>
          </w:tcPr>
          <w:p w14:paraId="7D768647" w14:textId="2D32B222" w:rsidR="006C17B7" w:rsidRPr="006C17B7" w:rsidRDefault="006C17B7" w:rsidP="006C17B7">
            <w:pPr>
              <w:keepLines/>
              <w:widowControl/>
              <w:spacing w:before="20" w:after="20"/>
              <w:jc w:val="right"/>
              <w:rPr>
                <w:rFonts w:eastAsiaTheme="minorHAnsi" w:cs="Arial"/>
                <w:sz w:val="18"/>
                <w:szCs w:val="18"/>
                <w:lang w:val="en-AU" w:bidi="ar-SA"/>
              </w:rPr>
            </w:pPr>
            <w:r w:rsidRPr="006C17B7">
              <w:rPr>
                <w:sz w:val="18"/>
                <w:szCs w:val="18"/>
              </w:rPr>
              <w:t>T0.007</w:t>
            </w:r>
          </w:p>
        </w:tc>
      </w:tr>
      <w:tr w:rsidR="006C17B7" w:rsidRPr="006C17B7" w14:paraId="57803EED" w14:textId="77777777" w:rsidTr="006C17B7">
        <w:trPr>
          <w:cantSplit/>
          <w:trHeight w:val="227"/>
        </w:trPr>
        <w:tc>
          <w:tcPr>
            <w:tcW w:w="3402" w:type="dxa"/>
          </w:tcPr>
          <w:p w14:paraId="6E803D45" w14:textId="4F9AD98E" w:rsidR="006C17B7" w:rsidRPr="006C17B7" w:rsidRDefault="006C17B7" w:rsidP="006C17B7">
            <w:pPr>
              <w:keepLines/>
              <w:widowControl/>
              <w:spacing w:before="20" w:after="20"/>
              <w:rPr>
                <w:rFonts w:cs="Arial"/>
                <w:sz w:val="18"/>
                <w:szCs w:val="18"/>
                <w:lang w:val="en-AU" w:eastAsia="en-AU" w:bidi="ar-SA"/>
              </w:rPr>
            </w:pPr>
            <w:r w:rsidRPr="006C17B7">
              <w:rPr>
                <w:sz w:val="18"/>
                <w:szCs w:val="18"/>
              </w:rPr>
              <w:t>Pig fat</w:t>
            </w:r>
          </w:p>
        </w:tc>
        <w:tc>
          <w:tcPr>
            <w:tcW w:w="1021" w:type="dxa"/>
          </w:tcPr>
          <w:p w14:paraId="48BB60E0" w14:textId="40F627FC" w:rsidR="006C17B7" w:rsidRPr="006C17B7" w:rsidRDefault="006C17B7" w:rsidP="006C17B7">
            <w:pPr>
              <w:keepLines/>
              <w:widowControl/>
              <w:spacing w:before="20" w:after="20"/>
              <w:jc w:val="right"/>
              <w:rPr>
                <w:rFonts w:eastAsiaTheme="minorHAnsi" w:cs="Arial"/>
                <w:sz w:val="18"/>
                <w:szCs w:val="18"/>
                <w:lang w:val="en-AU" w:bidi="ar-SA"/>
              </w:rPr>
            </w:pPr>
            <w:r w:rsidRPr="006C17B7">
              <w:rPr>
                <w:sz w:val="18"/>
                <w:szCs w:val="18"/>
              </w:rPr>
              <w:t>T0.007</w:t>
            </w:r>
          </w:p>
        </w:tc>
      </w:tr>
      <w:tr w:rsidR="006C17B7" w:rsidRPr="006C17B7" w14:paraId="3BE34A7F" w14:textId="77777777" w:rsidTr="006C17B7">
        <w:trPr>
          <w:cantSplit/>
          <w:trHeight w:val="227"/>
        </w:trPr>
        <w:tc>
          <w:tcPr>
            <w:tcW w:w="3402" w:type="dxa"/>
          </w:tcPr>
          <w:p w14:paraId="6DFAE3DC" w14:textId="5643B679" w:rsidR="006C17B7" w:rsidRPr="006C17B7" w:rsidRDefault="006C17B7" w:rsidP="006C17B7">
            <w:pPr>
              <w:keepLines/>
              <w:widowControl/>
              <w:spacing w:before="20" w:after="20"/>
              <w:rPr>
                <w:rFonts w:cs="Arial"/>
                <w:sz w:val="18"/>
                <w:szCs w:val="18"/>
                <w:lang w:val="en-AU" w:eastAsia="en-AU" w:bidi="ar-SA"/>
              </w:rPr>
            </w:pPr>
            <w:r w:rsidRPr="006C17B7">
              <w:rPr>
                <w:sz w:val="18"/>
                <w:szCs w:val="18"/>
              </w:rPr>
              <w:t>Pig liver</w:t>
            </w:r>
          </w:p>
        </w:tc>
        <w:tc>
          <w:tcPr>
            <w:tcW w:w="1021" w:type="dxa"/>
          </w:tcPr>
          <w:p w14:paraId="4D045FFD" w14:textId="1313A351" w:rsidR="006C17B7" w:rsidRPr="006C17B7" w:rsidRDefault="006C17B7" w:rsidP="006C17B7">
            <w:pPr>
              <w:keepLines/>
              <w:widowControl/>
              <w:spacing w:before="20" w:after="20"/>
              <w:jc w:val="right"/>
              <w:rPr>
                <w:rFonts w:eastAsiaTheme="minorHAnsi" w:cs="Arial"/>
                <w:sz w:val="18"/>
                <w:szCs w:val="18"/>
                <w:lang w:val="en-AU" w:bidi="ar-SA"/>
              </w:rPr>
            </w:pPr>
            <w:r w:rsidRPr="006C17B7">
              <w:rPr>
                <w:sz w:val="18"/>
                <w:szCs w:val="18"/>
              </w:rPr>
              <w:t>T0.04</w:t>
            </w:r>
          </w:p>
        </w:tc>
      </w:tr>
      <w:tr w:rsidR="006C17B7" w:rsidRPr="006C17B7" w14:paraId="060B477E" w14:textId="77777777" w:rsidTr="006C17B7">
        <w:trPr>
          <w:cantSplit/>
          <w:trHeight w:val="227"/>
        </w:trPr>
        <w:tc>
          <w:tcPr>
            <w:tcW w:w="3402" w:type="dxa"/>
          </w:tcPr>
          <w:p w14:paraId="19ADBEF5" w14:textId="3AA11E3F" w:rsidR="006C17B7" w:rsidRPr="006C17B7" w:rsidRDefault="006C17B7" w:rsidP="006C17B7">
            <w:pPr>
              <w:keepLines/>
              <w:widowControl/>
              <w:spacing w:before="20" w:after="20"/>
              <w:rPr>
                <w:rFonts w:cs="Arial"/>
                <w:sz w:val="18"/>
                <w:szCs w:val="18"/>
                <w:lang w:val="en-AU" w:eastAsia="en-AU" w:bidi="ar-SA"/>
              </w:rPr>
            </w:pPr>
            <w:r w:rsidRPr="006C17B7">
              <w:rPr>
                <w:sz w:val="18"/>
                <w:szCs w:val="18"/>
              </w:rPr>
              <w:t>Pig meat</w:t>
            </w:r>
          </w:p>
        </w:tc>
        <w:tc>
          <w:tcPr>
            <w:tcW w:w="1021" w:type="dxa"/>
          </w:tcPr>
          <w:p w14:paraId="39838828" w14:textId="50442029" w:rsidR="006C17B7" w:rsidRPr="006C17B7" w:rsidRDefault="006C17B7" w:rsidP="006C17B7">
            <w:pPr>
              <w:keepLines/>
              <w:widowControl/>
              <w:spacing w:before="20" w:after="20"/>
              <w:jc w:val="right"/>
              <w:rPr>
                <w:rFonts w:eastAsiaTheme="minorHAnsi" w:cs="Arial"/>
                <w:sz w:val="18"/>
                <w:szCs w:val="18"/>
                <w:lang w:val="en-AU" w:bidi="ar-SA"/>
              </w:rPr>
            </w:pPr>
            <w:r w:rsidRPr="006C17B7">
              <w:rPr>
                <w:sz w:val="18"/>
                <w:szCs w:val="18"/>
              </w:rPr>
              <w:t>T0.007</w:t>
            </w:r>
          </w:p>
        </w:tc>
      </w:tr>
    </w:tbl>
    <w:p w14:paraId="3C7BB7D7" w14:textId="77777777" w:rsidR="00680EE6" w:rsidRPr="002B2402" w:rsidRDefault="00680EE6" w:rsidP="00680EE6">
      <w:pPr>
        <w:tabs>
          <w:tab w:val="left" w:pos="851"/>
        </w:tabs>
        <w:jc w:val="center"/>
        <w:rPr>
          <w:sz w:val="20"/>
          <w:szCs w:val="20"/>
        </w:rPr>
      </w:pPr>
      <w:r w:rsidRPr="002B2402">
        <w:rPr>
          <w:sz w:val="20"/>
          <w:szCs w:val="20"/>
        </w:rPr>
        <w:t>”</w:t>
      </w:r>
    </w:p>
    <w:p w14:paraId="2292FACD" w14:textId="77777777" w:rsidR="00AF06FC" w:rsidRDefault="00AB0275" w:rsidP="00AB0275">
      <w:pPr>
        <w:pStyle w:val="Heading2"/>
        <w:ind w:left="0" w:firstLine="0"/>
      </w:pPr>
      <w:r w:rsidRPr="00932F14">
        <w:br w:type="page"/>
      </w:r>
      <w:bookmarkStart w:id="99" w:name="_Toc419977515"/>
      <w:r w:rsidR="00AF06FC">
        <w:lastRenderedPageBreak/>
        <w:t>Draft Explanatory Statement</w:t>
      </w:r>
      <w:bookmarkEnd w:id="88"/>
      <w:bookmarkEnd w:id="99"/>
    </w:p>
    <w:p w14:paraId="2292FACE" w14:textId="77777777" w:rsidR="00AF06FC" w:rsidRPr="00B54A8C" w:rsidRDefault="00AF06FC" w:rsidP="00B0376A">
      <w:pPr>
        <w:rPr>
          <w:b/>
          <w:lang w:val="en-AU" w:eastAsia="en-GB" w:bidi="ar-SA"/>
        </w:rPr>
      </w:pPr>
      <w:r w:rsidRPr="00B54A8C">
        <w:rPr>
          <w:b/>
          <w:lang w:val="en-AU" w:eastAsia="en-GB" w:bidi="ar-SA"/>
        </w:rPr>
        <w:t>1.</w:t>
      </w:r>
      <w:r w:rsidRPr="00B54A8C">
        <w:rPr>
          <w:b/>
          <w:lang w:val="en-AU" w:eastAsia="en-GB" w:bidi="ar-SA"/>
        </w:rPr>
        <w:tab/>
        <w:t>Authority</w:t>
      </w:r>
    </w:p>
    <w:p w14:paraId="2292FACF" w14:textId="77777777" w:rsidR="00AF06FC" w:rsidRPr="00B54A8C" w:rsidRDefault="00AF06FC" w:rsidP="00B0376A">
      <w:pPr>
        <w:rPr>
          <w:lang w:val="en-AU" w:eastAsia="en-GB" w:bidi="ar-SA"/>
        </w:rPr>
      </w:pPr>
    </w:p>
    <w:p w14:paraId="2292FAD0" w14:textId="77777777" w:rsidR="00AF06FC" w:rsidRPr="00B54A8C" w:rsidRDefault="00AF06FC" w:rsidP="00B0376A">
      <w:pPr>
        <w:widowControl/>
        <w:autoSpaceDE w:val="0"/>
        <w:autoSpaceDN w:val="0"/>
        <w:adjustRightInd w:val="0"/>
        <w:rPr>
          <w:rFonts w:eastAsia="Calibri" w:cs="Arial"/>
          <w:bCs/>
          <w:szCs w:val="22"/>
          <w:lang w:val="en-AU" w:bidi="ar-SA"/>
        </w:rPr>
      </w:pPr>
      <w:r w:rsidRPr="00B54A8C">
        <w:rPr>
          <w:rFonts w:eastAsia="Calibri" w:cs="Arial"/>
          <w:bCs/>
          <w:szCs w:val="22"/>
          <w:lang w:val="en-AU" w:bidi="ar-SA"/>
        </w:rPr>
        <w:t xml:space="preserve">Section 13 of the </w:t>
      </w:r>
      <w:r w:rsidRPr="00B54A8C">
        <w:rPr>
          <w:rFonts w:eastAsia="Calibri" w:cs="Arial"/>
          <w:bCs/>
          <w:i/>
          <w:szCs w:val="22"/>
          <w:lang w:val="en-AU" w:bidi="ar-SA"/>
        </w:rPr>
        <w:t>Food Standards Australia New Zealand Act 1991</w:t>
      </w:r>
      <w:r w:rsidRPr="00B54A8C">
        <w:rPr>
          <w:rFonts w:eastAsia="Calibri" w:cs="Arial"/>
          <w:bCs/>
          <w:szCs w:val="22"/>
          <w:lang w:val="en-AU" w:bidi="ar-SA"/>
        </w:rPr>
        <w:t xml:space="preserve"> (the FSANZ Act) provides that the functions of Food Standards Australia New Zealand (the Authority) include the development of standards and variations of standards for inclusion in the </w:t>
      </w:r>
      <w:r w:rsidRPr="00B54A8C">
        <w:rPr>
          <w:rFonts w:eastAsia="Calibri" w:cs="Arial"/>
          <w:bCs/>
          <w:i/>
          <w:szCs w:val="22"/>
          <w:lang w:val="en-AU" w:bidi="ar-SA"/>
        </w:rPr>
        <w:t>Australia New Zealand Food Standards Code</w:t>
      </w:r>
      <w:r w:rsidRPr="00B54A8C">
        <w:rPr>
          <w:rFonts w:eastAsia="Calibri" w:cs="Arial"/>
          <w:bCs/>
          <w:szCs w:val="22"/>
          <w:lang w:val="en-AU" w:bidi="ar-SA"/>
        </w:rPr>
        <w:t xml:space="preserve"> (the Code).</w:t>
      </w:r>
    </w:p>
    <w:p w14:paraId="2292FAD1" w14:textId="77777777" w:rsidR="00AF06FC" w:rsidRPr="00541B43" w:rsidRDefault="00AF06FC" w:rsidP="00AF06FC">
      <w:pPr>
        <w:widowControl/>
        <w:autoSpaceDE w:val="0"/>
        <w:autoSpaceDN w:val="0"/>
        <w:adjustRightInd w:val="0"/>
        <w:rPr>
          <w:rFonts w:eastAsia="Calibri" w:cs="Arial"/>
          <w:bCs/>
          <w:szCs w:val="22"/>
          <w:lang w:val="en-AU" w:bidi="ar-SA"/>
        </w:rPr>
      </w:pPr>
    </w:p>
    <w:p w14:paraId="2292FAD2" w14:textId="77777777" w:rsidR="00AF06FC" w:rsidRPr="00B54A8C" w:rsidRDefault="00AF06FC" w:rsidP="00AF06FC">
      <w:pPr>
        <w:widowControl/>
        <w:autoSpaceDE w:val="0"/>
        <w:autoSpaceDN w:val="0"/>
        <w:adjustRightInd w:val="0"/>
        <w:rPr>
          <w:rFonts w:eastAsia="Calibri" w:cs="Arial"/>
          <w:bCs/>
          <w:szCs w:val="22"/>
          <w:lang w:val="en-AU" w:bidi="ar-SA"/>
        </w:rPr>
      </w:pPr>
      <w:r w:rsidRPr="00B54A8C">
        <w:rPr>
          <w:rFonts w:eastAsia="Calibri" w:cs="Arial"/>
          <w:bCs/>
          <w:szCs w:val="22"/>
          <w:lang w:val="en-AU" w:bidi="ar-SA"/>
        </w:rPr>
        <w:t>Division 2 of Part 3 of the FSANZ Act specifies that the Authority may prepare a proposal for the development or variation of food regulatory measures, including standards. This Division also stipulates the procedure for considering a proposal for the development or variation of food regulatory measures</w:t>
      </w:r>
      <w:r w:rsidR="006B4BA1" w:rsidRPr="00B54A8C">
        <w:rPr>
          <w:rFonts w:eastAsia="Calibri" w:cs="Arial"/>
          <w:bCs/>
          <w:szCs w:val="22"/>
          <w:lang w:val="en-AU" w:bidi="ar-SA"/>
        </w:rPr>
        <w:t xml:space="preserve">. </w:t>
      </w:r>
    </w:p>
    <w:p w14:paraId="2292FAD3" w14:textId="77777777" w:rsidR="00AF06FC" w:rsidRPr="00B0376A" w:rsidRDefault="00AF06FC" w:rsidP="00AF06FC">
      <w:pPr>
        <w:widowControl/>
        <w:autoSpaceDE w:val="0"/>
        <w:autoSpaceDN w:val="0"/>
        <w:adjustRightInd w:val="0"/>
        <w:rPr>
          <w:rFonts w:eastAsia="Calibri" w:cs="Arial"/>
          <w:bCs/>
          <w:szCs w:val="22"/>
          <w:highlight w:val="lightGray"/>
          <w:lang w:val="en-AU" w:bidi="ar-SA"/>
        </w:rPr>
      </w:pPr>
    </w:p>
    <w:p w14:paraId="2292FAD4" w14:textId="57954558" w:rsidR="00AF06FC" w:rsidRPr="00B0376A" w:rsidRDefault="00AF06FC" w:rsidP="00AF06FC">
      <w:pPr>
        <w:widowControl/>
        <w:autoSpaceDE w:val="0"/>
        <w:autoSpaceDN w:val="0"/>
        <w:adjustRightInd w:val="0"/>
        <w:rPr>
          <w:rFonts w:eastAsia="Calibri" w:cs="Arial"/>
          <w:bCs/>
          <w:szCs w:val="22"/>
          <w:lang w:val="en-AU" w:bidi="ar-SA"/>
        </w:rPr>
      </w:pPr>
      <w:r w:rsidRPr="001C2F6A">
        <w:rPr>
          <w:rFonts w:eastAsia="Calibri" w:cs="Arial"/>
          <w:bCs/>
          <w:szCs w:val="22"/>
          <w:lang w:val="en-AU" w:bidi="ar-SA"/>
        </w:rPr>
        <w:t xml:space="preserve">FSANZ prepared Proposal </w:t>
      </w:r>
      <w:r w:rsidR="00B0376A" w:rsidRPr="001C2F6A">
        <w:rPr>
          <w:rFonts w:eastAsia="Calibri" w:cs="Arial"/>
          <w:bCs/>
          <w:szCs w:val="22"/>
          <w:lang w:val="en-AU" w:bidi="ar-SA"/>
        </w:rPr>
        <w:t>M1012</w:t>
      </w:r>
      <w:r w:rsidRPr="001C2F6A">
        <w:rPr>
          <w:rFonts w:eastAsia="Calibri" w:cs="Arial"/>
          <w:bCs/>
          <w:szCs w:val="22"/>
          <w:lang w:val="en-AU" w:bidi="ar-SA"/>
        </w:rPr>
        <w:t xml:space="preserve"> </w:t>
      </w:r>
      <w:r w:rsidR="000475BD">
        <w:rPr>
          <w:rFonts w:eastAsia="Calibri" w:cs="Arial"/>
          <w:bCs/>
          <w:szCs w:val="22"/>
          <w:lang w:val="en-AU" w:bidi="ar-SA"/>
        </w:rPr>
        <w:t>t</w:t>
      </w:r>
      <w:r w:rsidR="000475BD" w:rsidRPr="000475BD">
        <w:rPr>
          <w:rFonts w:eastAsia="Calibri" w:cs="Arial"/>
          <w:bCs/>
          <w:szCs w:val="22"/>
          <w:lang w:val="en-AU" w:bidi="ar-SA"/>
        </w:rPr>
        <w:t xml:space="preserve">o consider introducing certain temporary maximum residue limits (MRLs) for residues of agricultural and veterinary </w:t>
      </w:r>
      <w:r w:rsidR="008E692F">
        <w:rPr>
          <w:rFonts w:eastAsia="Calibri" w:cs="Arial"/>
          <w:bCs/>
          <w:szCs w:val="22"/>
          <w:lang w:val="en-AU" w:bidi="ar-SA"/>
        </w:rPr>
        <w:t>(</w:t>
      </w:r>
      <w:proofErr w:type="spellStart"/>
      <w:r w:rsidR="008E692F">
        <w:rPr>
          <w:rFonts w:eastAsia="Calibri" w:cs="Arial"/>
          <w:bCs/>
          <w:szCs w:val="22"/>
          <w:lang w:val="en-AU" w:bidi="ar-SA"/>
        </w:rPr>
        <w:t>agvet</w:t>
      </w:r>
      <w:proofErr w:type="spellEnd"/>
      <w:r w:rsidR="008E692F">
        <w:rPr>
          <w:rFonts w:eastAsia="Calibri" w:cs="Arial"/>
          <w:bCs/>
          <w:szCs w:val="22"/>
          <w:lang w:val="en-AU" w:bidi="ar-SA"/>
        </w:rPr>
        <w:t xml:space="preserve">) </w:t>
      </w:r>
      <w:r w:rsidR="000475BD" w:rsidRPr="000475BD">
        <w:rPr>
          <w:rFonts w:eastAsia="Calibri" w:cs="Arial"/>
          <w:bCs/>
          <w:szCs w:val="22"/>
          <w:lang w:val="en-AU" w:bidi="ar-SA"/>
        </w:rPr>
        <w:t xml:space="preserve">chemicals that may occur in food, in order to align standards with the Australian Pesticides and Veterinary Medicines Authority </w:t>
      </w:r>
      <w:r w:rsidR="008E692F">
        <w:rPr>
          <w:rFonts w:eastAsia="Calibri" w:cs="Arial"/>
          <w:bCs/>
          <w:szCs w:val="22"/>
          <w:lang w:val="en-AU" w:bidi="ar-SA"/>
        </w:rPr>
        <w:t xml:space="preserve">(APVMA) </w:t>
      </w:r>
      <w:r w:rsidR="000475BD" w:rsidRPr="000475BD">
        <w:rPr>
          <w:rFonts w:eastAsia="Calibri" w:cs="Arial"/>
          <w:bCs/>
          <w:szCs w:val="22"/>
          <w:lang w:val="en-AU" w:bidi="ar-SA"/>
        </w:rPr>
        <w:t>temporary MRLs for coumatetralyl and warfarin in pork commodities.</w:t>
      </w:r>
      <w:r w:rsidRPr="001C2F6A">
        <w:rPr>
          <w:rFonts w:eastAsia="Calibri" w:cs="Arial"/>
          <w:bCs/>
          <w:szCs w:val="22"/>
          <w:lang w:val="en-AU" w:bidi="ar-SA"/>
        </w:rPr>
        <w:t xml:space="preserve"> The Authority considered the Proposal in accordance with Division 2 of Part 3 and has approved a draft Standard. </w:t>
      </w:r>
    </w:p>
    <w:p w14:paraId="2292FAD5" w14:textId="77777777" w:rsidR="00AF06FC" w:rsidRPr="00D13E34" w:rsidRDefault="00AF06FC" w:rsidP="00AF06FC">
      <w:pPr>
        <w:widowControl/>
        <w:autoSpaceDE w:val="0"/>
        <w:autoSpaceDN w:val="0"/>
        <w:adjustRightInd w:val="0"/>
        <w:rPr>
          <w:rFonts w:eastAsia="Calibri" w:cs="Arial"/>
          <w:bCs/>
          <w:szCs w:val="22"/>
          <w:lang w:val="en-AU" w:bidi="ar-SA"/>
        </w:rPr>
      </w:pPr>
    </w:p>
    <w:p w14:paraId="2292FAD6" w14:textId="77777777" w:rsidR="00AF06FC" w:rsidRDefault="006C28E2" w:rsidP="00AF06FC">
      <w:pPr>
        <w:rPr>
          <w:b/>
          <w:lang w:val="en-AU" w:eastAsia="en-GB" w:bidi="ar-SA"/>
        </w:rPr>
      </w:pPr>
      <w:r>
        <w:rPr>
          <w:b/>
          <w:lang w:val="en-AU" w:eastAsia="en-GB" w:bidi="ar-SA"/>
        </w:rPr>
        <w:t>2.</w:t>
      </w:r>
      <w:r>
        <w:rPr>
          <w:b/>
          <w:lang w:val="en-AU" w:eastAsia="en-GB" w:bidi="ar-SA"/>
        </w:rPr>
        <w:tab/>
        <w:t xml:space="preserve">Purpose </w:t>
      </w:r>
    </w:p>
    <w:p w14:paraId="2292FAD7" w14:textId="77777777" w:rsidR="00CB1375" w:rsidRDefault="00CB1375" w:rsidP="00AF06FC">
      <w:pPr>
        <w:rPr>
          <w:lang w:val="en-AU" w:eastAsia="en-GB" w:bidi="ar-SA"/>
        </w:rPr>
      </w:pPr>
    </w:p>
    <w:p w14:paraId="2292FAD8" w14:textId="29621189" w:rsidR="00B0376A" w:rsidRPr="001C2F6A" w:rsidRDefault="00B0376A" w:rsidP="00B0376A">
      <w:pPr>
        <w:pStyle w:val="Default"/>
        <w:rPr>
          <w:sz w:val="22"/>
          <w:szCs w:val="22"/>
        </w:rPr>
      </w:pPr>
      <w:r w:rsidRPr="001C2F6A">
        <w:rPr>
          <w:sz w:val="22"/>
          <w:szCs w:val="22"/>
        </w:rPr>
        <w:t xml:space="preserve">The purpose of the proposed variation to Standard 1.4.2 is to </w:t>
      </w:r>
      <w:r w:rsidR="001C2F6A" w:rsidRPr="001C2F6A">
        <w:rPr>
          <w:sz w:val="22"/>
          <w:szCs w:val="22"/>
        </w:rPr>
        <w:t xml:space="preserve">include </w:t>
      </w:r>
      <w:r w:rsidR="0032749D">
        <w:rPr>
          <w:sz w:val="22"/>
          <w:szCs w:val="22"/>
        </w:rPr>
        <w:t xml:space="preserve">temporary </w:t>
      </w:r>
      <w:r w:rsidRPr="001C2F6A">
        <w:rPr>
          <w:sz w:val="22"/>
          <w:szCs w:val="22"/>
        </w:rPr>
        <w:t xml:space="preserve">MRLs for residues of </w:t>
      </w:r>
      <w:r w:rsidR="001C2F6A" w:rsidRPr="001C2F6A">
        <w:rPr>
          <w:sz w:val="22"/>
          <w:szCs w:val="22"/>
        </w:rPr>
        <w:t xml:space="preserve">the </w:t>
      </w:r>
      <w:proofErr w:type="spellStart"/>
      <w:r w:rsidR="001C2F6A" w:rsidRPr="001C2F6A">
        <w:rPr>
          <w:sz w:val="22"/>
          <w:szCs w:val="22"/>
        </w:rPr>
        <w:t>agvet</w:t>
      </w:r>
      <w:proofErr w:type="spellEnd"/>
      <w:r w:rsidR="001C2F6A" w:rsidRPr="001C2F6A">
        <w:rPr>
          <w:sz w:val="22"/>
          <w:szCs w:val="22"/>
        </w:rPr>
        <w:t xml:space="preserve"> chemicals coumatetralyl and warfarin in pork commodities. </w:t>
      </w:r>
    </w:p>
    <w:p w14:paraId="2292FAD9" w14:textId="77777777" w:rsidR="00B0376A" w:rsidRPr="00B0376A" w:rsidRDefault="00B0376A" w:rsidP="00B0376A">
      <w:pPr>
        <w:pStyle w:val="Default"/>
        <w:rPr>
          <w:sz w:val="22"/>
          <w:szCs w:val="22"/>
          <w:highlight w:val="lightGray"/>
        </w:rPr>
      </w:pPr>
    </w:p>
    <w:p w14:paraId="2292FADA" w14:textId="64AC0C69" w:rsidR="00B0376A" w:rsidRDefault="00B0376A" w:rsidP="00B0376A">
      <w:pPr>
        <w:pStyle w:val="Default"/>
        <w:rPr>
          <w:sz w:val="22"/>
          <w:szCs w:val="22"/>
        </w:rPr>
      </w:pPr>
      <w:r w:rsidRPr="001C2F6A">
        <w:rPr>
          <w:sz w:val="22"/>
          <w:szCs w:val="22"/>
        </w:rPr>
        <w:t xml:space="preserve">Standard 1.4.2 lists the limits for </w:t>
      </w:r>
      <w:proofErr w:type="spellStart"/>
      <w:r w:rsidRPr="001C2F6A">
        <w:rPr>
          <w:sz w:val="22"/>
          <w:szCs w:val="22"/>
        </w:rPr>
        <w:t>ag</w:t>
      </w:r>
      <w:r w:rsidR="001C2F6A" w:rsidRPr="001C2F6A">
        <w:rPr>
          <w:sz w:val="22"/>
          <w:szCs w:val="22"/>
        </w:rPr>
        <w:t>vet</w:t>
      </w:r>
      <w:proofErr w:type="spellEnd"/>
      <w:r w:rsidR="001C2F6A" w:rsidRPr="001C2F6A">
        <w:rPr>
          <w:sz w:val="22"/>
          <w:szCs w:val="22"/>
        </w:rPr>
        <w:t xml:space="preserve"> </w:t>
      </w:r>
      <w:r w:rsidRPr="001C2F6A">
        <w:rPr>
          <w:sz w:val="22"/>
          <w:szCs w:val="22"/>
        </w:rPr>
        <w:t xml:space="preserve">chemical residues which may occur in foods. If a limit is not listed for a particular agricultural or veterinary chemical/food combination, there must be no detectable residues of that chemical in that food. This general prohibition means that, in the absence of the relevant limit in the Code, food may not be sold where there are detectable residues. </w:t>
      </w:r>
    </w:p>
    <w:p w14:paraId="2292FADB" w14:textId="77777777" w:rsidR="00B0376A" w:rsidRDefault="00B0376A" w:rsidP="00B0376A">
      <w:pPr>
        <w:pStyle w:val="Default"/>
        <w:rPr>
          <w:sz w:val="22"/>
          <w:szCs w:val="22"/>
        </w:rPr>
      </w:pPr>
    </w:p>
    <w:p w14:paraId="2292FADC" w14:textId="200BC1B9" w:rsidR="00B0376A" w:rsidRDefault="00B0376A" w:rsidP="00B0376A">
      <w:pPr>
        <w:pStyle w:val="Default"/>
        <w:rPr>
          <w:sz w:val="22"/>
          <w:szCs w:val="22"/>
        </w:rPr>
      </w:pPr>
      <w:r w:rsidRPr="001C2F6A">
        <w:rPr>
          <w:sz w:val="22"/>
          <w:szCs w:val="22"/>
        </w:rPr>
        <w:t xml:space="preserve">MRL variations may be required to permit the sale of foods containing legitimate residues. </w:t>
      </w:r>
      <w:r w:rsidRPr="00150257">
        <w:rPr>
          <w:sz w:val="22"/>
          <w:szCs w:val="22"/>
        </w:rPr>
        <w:t xml:space="preserve">These are technical amendments </w:t>
      </w:r>
      <w:r w:rsidR="001C2F6A" w:rsidRPr="00150257">
        <w:rPr>
          <w:sz w:val="22"/>
          <w:szCs w:val="22"/>
        </w:rPr>
        <w:t xml:space="preserve">that align Standard 1.4.2 with </w:t>
      </w:r>
      <w:r w:rsidR="00150257" w:rsidRPr="00150257">
        <w:rPr>
          <w:sz w:val="22"/>
          <w:szCs w:val="22"/>
        </w:rPr>
        <w:t>the APVMA’s Agricultural and Veterinary Chemicals Code Instrument No.4 (MRL Standard).</w:t>
      </w:r>
      <w:r w:rsidRPr="00150257">
        <w:rPr>
          <w:sz w:val="22"/>
          <w:szCs w:val="22"/>
        </w:rPr>
        <w:t xml:space="preserve"> </w:t>
      </w:r>
    </w:p>
    <w:p w14:paraId="2292FADD" w14:textId="77777777" w:rsidR="00B0376A" w:rsidRDefault="00B0376A" w:rsidP="00B0376A">
      <w:pPr>
        <w:pStyle w:val="Default"/>
        <w:rPr>
          <w:sz w:val="22"/>
          <w:szCs w:val="22"/>
        </w:rPr>
      </w:pPr>
    </w:p>
    <w:p w14:paraId="2292FADE" w14:textId="0B2C499A" w:rsidR="00B0376A" w:rsidRDefault="00B0376A" w:rsidP="00B0376A">
      <w:pPr>
        <w:rPr>
          <w:szCs w:val="22"/>
        </w:rPr>
      </w:pPr>
      <w:r w:rsidRPr="00F5044C">
        <w:rPr>
          <w:szCs w:val="22"/>
        </w:rPr>
        <w:t xml:space="preserve">A </w:t>
      </w:r>
      <w:r w:rsidR="008E692F">
        <w:rPr>
          <w:szCs w:val="22"/>
        </w:rPr>
        <w:t xml:space="preserve">dietary exposure assessment </w:t>
      </w:r>
      <w:r w:rsidRPr="00F5044C">
        <w:rPr>
          <w:szCs w:val="22"/>
        </w:rPr>
        <w:t>is conducted before MRLs are varied to ensure that proposed limits do not present any public health or safety concerns.</w:t>
      </w:r>
    </w:p>
    <w:p w14:paraId="2292FAE1" w14:textId="77777777" w:rsidR="00AF06FC" w:rsidRDefault="00AF06FC" w:rsidP="00AF06FC">
      <w:pPr>
        <w:rPr>
          <w:lang w:val="en-AU" w:eastAsia="en-GB" w:bidi="ar-SA"/>
        </w:rPr>
      </w:pPr>
    </w:p>
    <w:p w14:paraId="2292FAE2" w14:textId="77777777" w:rsidR="00AF06FC" w:rsidRPr="00F5044C" w:rsidRDefault="00AF06FC" w:rsidP="00AF06FC">
      <w:pPr>
        <w:rPr>
          <w:b/>
          <w:lang w:val="en-AU" w:eastAsia="en-GB" w:bidi="ar-SA"/>
        </w:rPr>
      </w:pPr>
      <w:r w:rsidRPr="00F5044C">
        <w:rPr>
          <w:b/>
          <w:lang w:val="en-AU" w:eastAsia="en-GB" w:bidi="ar-SA"/>
        </w:rPr>
        <w:t>3.</w:t>
      </w:r>
      <w:r w:rsidRPr="00F5044C">
        <w:rPr>
          <w:b/>
          <w:lang w:val="en-AU" w:eastAsia="en-GB" w:bidi="ar-SA"/>
        </w:rPr>
        <w:tab/>
        <w:t>Documents incorporated by reference</w:t>
      </w:r>
    </w:p>
    <w:p w14:paraId="2292FAE3" w14:textId="77777777" w:rsidR="00AF06FC" w:rsidRPr="00F5044C" w:rsidRDefault="00AF06FC" w:rsidP="00AF06FC">
      <w:pPr>
        <w:rPr>
          <w:lang w:val="en-AU" w:eastAsia="en-GB" w:bidi="ar-SA"/>
        </w:rPr>
      </w:pPr>
    </w:p>
    <w:p w14:paraId="2292FAE4" w14:textId="77777777" w:rsidR="00AF06FC" w:rsidRPr="00D13E34" w:rsidRDefault="00AF06FC" w:rsidP="00AF06FC">
      <w:pPr>
        <w:widowControl/>
        <w:autoSpaceDE w:val="0"/>
        <w:autoSpaceDN w:val="0"/>
        <w:adjustRightInd w:val="0"/>
        <w:rPr>
          <w:rFonts w:eastAsia="Calibri" w:cs="Arial"/>
          <w:bCs/>
          <w:szCs w:val="22"/>
          <w:lang w:val="en-AU" w:bidi="ar-SA"/>
        </w:rPr>
      </w:pPr>
      <w:r w:rsidRPr="00F5044C">
        <w:rPr>
          <w:rFonts w:eastAsia="Calibri" w:cs="Arial"/>
          <w:bCs/>
          <w:szCs w:val="22"/>
          <w:lang w:val="en-AU" w:bidi="ar-SA"/>
        </w:rPr>
        <w:t>The variations to food regulatory measures do not incorporate any documents by reference.</w:t>
      </w:r>
    </w:p>
    <w:p w14:paraId="2292FAE5" w14:textId="77777777" w:rsidR="00AF06FC" w:rsidRDefault="00AF06FC" w:rsidP="00AF06FC">
      <w:pPr>
        <w:rPr>
          <w:lang w:val="en-AU" w:eastAsia="en-GB" w:bidi="ar-SA"/>
        </w:rPr>
      </w:pPr>
    </w:p>
    <w:p w14:paraId="2292FAE6" w14:textId="77777777" w:rsidR="00AF06FC" w:rsidRPr="00F5044C" w:rsidRDefault="00AF06FC" w:rsidP="00AF06FC">
      <w:pPr>
        <w:rPr>
          <w:b/>
          <w:lang w:val="en-AU" w:eastAsia="en-GB" w:bidi="ar-SA"/>
        </w:rPr>
      </w:pPr>
      <w:r w:rsidRPr="00F5044C">
        <w:rPr>
          <w:b/>
          <w:lang w:val="en-AU" w:eastAsia="en-GB" w:bidi="ar-SA"/>
        </w:rPr>
        <w:t>4.</w:t>
      </w:r>
      <w:r w:rsidRPr="00F5044C">
        <w:rPr>
          <w:b/>
          <w:lang w:val="en-AU" w:eastAsia="en-GB" w:bidi="ar-SA"/>
        </w:rPr>
        <w:tab/>
        <w:t>Consultation</w:t>
      </w:r>
    </w:p>
    <w:p w14:paraId="2292FAE7" w14:textId="77777777" w:rsidR="00AF06FC" w:rsidRPr="00F5044C" w:rsidRDefault="00AF06FC" w:rsidP="00AF06FC">
      <w:pPr>
        <w:rPr>
          <w:lang w:val="en-AU" w:eastAsia="en-GB" w:bidi="ar-SA"/>
        </w:rPr>
      </w:pPr>
    </w:p>
    <w:p w14:paraId="2292FAE8" w14:textId="06BD084F" w:rsidR="00F64653" w:rsidRPr="00B0376A" w:rsidRDefault="00CC36E7" w:rsidP="00F64653">
      <w:pPr>
        <w:rPr>
          <w:lang w:val="en-AU"/>
        </w:rPr>
      </w:pPr>
      <w:r w:rsidRPr="00F5044C">
        <w:rPr>
          <w:szCs w:val="22"/>
        </w:rPr>
        <w:t xml:space="preserve">In accordance with the procedure in Division </w:t>
      </w:r>
      <w:r w:rsidR="00B0376A" w:rsidRPr="00F5044C">
        <w:rPr>
          <w:szCs w:val="22"/>
        </w:rPr>
        <w:t>2</w:t>
      </w:r>
      <w:r w:rsidRPr="00F5044C">
        <w:rPr>
          <w:szCs w:val="22"/>
        </w:rPr>
        <w:t xml:space="preserve"> of Part </w:t>
      </w:r>
      <w:r w:rsidR="00B0376A" w:rsidRPr="00F5044C">
        <w:rPr>
          <w:szCs w:val="22"/>
        </w:rPr>
        <w:t>3</w:t>
      </w:r>
      <w:r w:rsidRPr="00F5044C">
        <w:rPr>
          <w:szCs w:val="22"/>
        </w:rPr>
        <w:t xml:space="preserve"> of the FSANZ Act, </w:t>
      </w:r>
      <w:r w:rsidRPr="00F5044C">
        <w:rPr>
          <w:rFonts w:eastAsia="Calibri" w:cs="Arial"/>
          <w:bCs/>
          <w:szCs w:val="22"/>
          <w:lang w:val="en-AU" w:bidi="ar-SA"/>
        </w:rPr>
        <w:t>the Authority</w:t>
      </w:r>
      <w:r w:rsidRPr="00F5044C">
        <w:rPr>
          <w:szCs w:val="22"/>
        </w:rPr>
        <w:t xml:space="preserve">’s consideration of Proposal </w:t>
      </w:r>
      <w:r w:rsidR="00B0376A" w:rsidRPr="00F5044C">
        <w:rPr>
          <w:szCs w:val="22"/>
        </w:rPr>
        <w:t xml:space="preserve">M1012 </w:t>
      </w:r>
      <w:r w:rsidRPr="00F5044C">
        <w:rPr>
          <w:szCs w:val="22"/>
        </w:rPr>
        <w:t>will include one round of public consultation following an assessment and the preparation of a draft Standard and associated report</w:t>
      </w:r>
      <w:r w:rsidR="00B0376A" w:rsidRPr="00F5044C">
        <w:rPr>
          <w:szCs w:val="22"/>
        </w:rPr>
        <w:t>. Submissions were called for o</w:t>
      </w:r>
      <w:r w:rsidR="00B0376A" w:rsidRPr="00E41770">
        <w:rPr>
          <w:szCs w:val="22"/>
        </w:rPr>
        <w:t xml:space="preserve">n </w:t>
      </w:r>
      <w:r w:rsidR="00E41770" w:rsidRPr="00E41770">
        <w:rPr>
          <w:szCs w:val="22"/>
        </w:rPr>
        <w:t>25</w:t>
      </w:r>
      <w:r w:rsidR="00B0376A" w:rsidRPr="00E41770">
        <w:rPr>
          <w:szCs w:val="22"/>
        </w:rPr>
        <w:t xml:space="preserve"> May</w:t>
      </w:r>
      <w:r w:rsidR="00B0376A" w:rsidRPr="00F5044C">
        <w:rPr>
          <w:szCs w:val="22"/>
        </w:rPr>
        <w:t xml:space="preserve"> 2015 for a four-week consultation period.</w:t>
      </w:r>
      <w:r w:rsidR="00B0376A" w:rsidRPr="00B0376A">
        <w:rPr>
          <w:szCs w:val="22"/>
        </w:rPr>
        <w:t xml:space="preserve"> </w:t>
      </w:r>
    </w:p>
    <w:p w14:paraId="2292FAE9" w14:textId="77777777" w:rsidR="00294BAD" w:rsidRPr="008F0C00" w:rsidRDefault="00294BAD" w:rsidP="00F64653"/>
    <w:p w14:paraId="2292FAEA" w14:textId="77777777" w:rsidR="00AF06FC" w:rsidRDefault="00AF06FC" w:rsidP="00AF06FC">
      <w:pPr>
        <w:widowControl/>
        <w:autoSpaceDE w:val="0"/>
        <w:autoSpaceDN w:val="0"/>
        <w:adjustRightInd w:val="0"/>
        <w:rPr>
          <w:rFonts w:eastAsia="Calibri" w:cs="Arial"/>
          <w:bCs/>
          <w:szCs w:val="22"/>
          <w:lang w:val="en-AU" w:bidi="ar-SA"/>
        </w:rPr>
      </w:pPr>
      <w:r w:rsidRPr="006C2E0A">
        <w:rPr>
          <w:rFonts w:eastAsia="Calibri" w:cs="Arial"/>
          <w:bCs/>
          <w:szCs w:val="22"/>
          <w:lang w:val="en-AU" w:bidi="ar-SA"/>
        </w:rPr>
        <w:t xml:space="preserve">A Regulation Impact Statement was not required because the proposed variations to Standard </w:t>
      </w:r>
      <w:r w:rsidR="00B0376A" w:rsidRPr="006C2E0A">
        <w:rPr>
          <w:rFonts w:eastAsia="Calibri" w:cs="Arial"/>
          <w:bCs/>
          <w:szCs w:val="22"/>
          <w:lang w:val="en-AU" w:bidi="ar-SA"/>
        </w:rPr>
        <w:t>1.4.2</w:t>
      </w:r>
      <w:r w:rsidR="008F0C00" w:rsidRPr="006C2E0A">
        <w:rPr>
          <w:rFonts w:eastAsia="Calibri" w:cs="Arial"/>
          <w:bCs/>
          <w:szCs w:val="22"/>
          <w:lang w:val="en-AU" w:bidi="ar-SA"/>
        </w:rPr>
        <w:t xml:space="preserve"> are minor and do not substantially alter existing arrangements.</w:t>
      </w:r>
      <w:r w:rsidR="008F0C00" w:rsidRPr="008F0C00">
        <w:rPr>
          <w:rFonts w:eastAsia="Calibri" w:cs="Arial"/>
          <w:bCs/>
          <w:szCs w:val="22"/>
          <w:lang w:val="en-AU" w:bidi="ar-SA"/>
        </w:rPr>
        <w:t xml:space="preserve"> </w:t>
      </w:r>
    </w:p>
    <w:p w14:paraId="2292FAEB" w14:textId="77777777" w:rsidR="00D174EE" w:rsidRDefault="00D174EE" w:rsidP="00AF06FC">
      <w:pPr>
        <w:widowControl/>
        <w:autoSpaceDE w:val="0"/>
        <w:autoSpaceDN w:val="0"/>
        <w:adjustRightInd w:val="0"/>
        <w:rPr>
          <w:rFonts w:eastAsia="Calibri" w:cs="Arial"/>
          <w:bCs/>
          <w:szCs w:val="22"/>
          <w:lang w:val="en-AU" w:bidi="ar-SA"/>
        </w:rPr>
      </w:pPr>
    </w:p>
    <w:p w14:paraId="10F9D1B8" w14:textId="77777777" w:rsidR="006C17B7" w:rsidRDefault="006C17B7" w:rsidP="00AF06FC">
      <w:pPr>
        <w:widowControl/>
        <w:autoSpaceDE w:val="0"/>
        <w:autoSpaceDN w:val="0"/>
        <w:adjustRightInd w:val="0"/>
        <w:rPr>
          <w:szCs w:val="22"/>
        </w:rPr>
      </w:pPr>
      <w:r>
        <w:rPr>
          <w:szCs w:val="22"/>
        </w:rPr>
        <w:br w:type="page"/>
      </w:r>
    </w:p>
    <w:p w14:paraId="2292FAEC" w14:textId="77777777" w:rsidR="00D174EE" w:rsidRPr="00D174EE" w:rsidRDefault="00D174EE" w:rsidP="00AF06FC">
      <w:pPr>
        <w:widowControl/>
        <w:autoSpaceDE w:val="0"/>
        <w:autoSpaceDN w:val="0"/>
        <w:adjustRightInd w:val="0"/>
        <w:rPr>
          <w:rFonts w:cs="Arial"/>
          <w:b/>
          <w:szCs w:val="22"/>
        </w:rPr>
      </w:pPr>
      <w:r w:rsidRPr="006C2E0A">
        <w:rPr>
          <w:szCs w:val="22"/>
        </w:rPr>
        <w:lastRenderedPageBreak/>
        <w:t>Business compliance costs and other impacts on business, individuals, regulatory agencies and the economy are low or nil. The regulatory proposal does not impose impacts on business, individuals, regulatory agencies or the economy that warrant further analysis. The changes to regulation are machinery in nature involving technical variations to the Standard, which will not have appreciable impacts and are consistent with existing policy.</w:t>
      </w:r>
    </w:p>
    <w:p w14:paraId="2292FAED" w14:textId="77777777" w:rsidR="00553969" w:rsidRDefault="00553969" w:rsidP="00553969">
      <w:pPr>
        <w:widowControl/>
        <w:rPr>
          <w:rFonts w:eastAsiaTheme="minorHAnsi" w:cs="Arial"/>
          <w:b/>
          <w:bCs/>
          <w:szCs w:val="22"/>
          <w:lang w:val="en-AU" w:bidi="ar-SA"/>
        </w:rPr>
      </w:pPr>
    </w:p>
    <w:p w14:paraId="2292FAEE" w14:textId="77777777" w:rsidR="00553969" w:rsidRPr="006C2E0A" w:rsidRDefault="00553969" w:rsidP="00553969">
      <w:pPr>
        <w:widowControl/>
        <w:rPr>
          <w:rFonts w:eastAsiaTheme="minorHAnsi" w:cs="Arial"/>
          <w:b/>
          <w:bCs/>
          <w:szCs w:val="22"/>
          <w:lang w:val="en-AU" w:bidi="ar-SA"/>
        </w:rPr>
      </w:pPr>
      <w:r w:rsidRPr="006C2E0A">
        <w:rPr>
          <w:rFonts w:eastAsiaTheme="minorHAnsi" w:cs="Arial"/>
          <w:b/>
          <w:bCs/>
          <w:szCs w:val="22"/>
          <w:lang w:val="en-AU" w:bidi="ar-SA"/>
        </w:rPr>
        <w:t>5.</w:t>
      </w:r>
      <w:r w:rsidRPr="006C2E0A">
        <w:rPr>
          <w:rFonts w:eastAsiaTheme="minorHAnsi" w:cs="Arial"/>
          <w:b/>
          <w:bCs/>
          <w:szCs w:val="22"/>
          <w:lang w:val="en-AU" w:bidi="ar-SA"/>
        </w:rPr>
        <w:tab/>
        <w:t>Statement of compatibility with human rights</w:t>
      </w:r>
    </w:p>
    <w:p w14:paraId="2292FAEF" w14:textId="77777777" w:rsidR="00553969" w:rsidRPr="00D174EE" w:rsidRDefault="00553969" w:rsidP="00553969">
      <w:pPr>
        <w:rPr>
          <w:rFonts w:eastAsiaTheme="minorHAnsi"/>
          <w:highlight w:val="lightGray"/>
          <w:lang w:val="en-AU" w:bidi="ar-SA"/>
        </w:rPr>
      </w:pPr>
    </w:p>
    <w:p w14:paraId="2292FAF0" w14:textId="77777777" w:rsidR="00553969" w:rsidRDefault="00553969" w:rsidP="00553969">
      <w:pPr>
        <w:rPr>
          <w:rFonts w:eastAsiaTheme="minorHAnsi"/>
          <w:lang w:val="en-AU" w:bidi="ar-SA"/>
        </w:rPr>
      </w:pPr>
      <w:r w:rsidRPr="008A4C51">
        <w:rPr>
          <w:rFonts w:eastAsiaTheme="minorHAnsi"/>
          <w:lang w:val="en-AU" w:bidi="ar-SA"/>
        </w:rPr>
        <w:t>This instrument is exempt from the requirements for a statement of compatibility with human rights as it is a non-disallowable instrument under section 9</w:t>
      </w:r>
      <w:r w:rsidR="00447E67" w:rsidRPr="008A4C51">
        <w:rPr>
          <w:rFonts w:eastAsiaTheme="minorHAnsi"/>
          <w:lang w:val="en-AU" w:bidi="ar-SA"/>
        </w:rPr>
        <w:t>4</w:t>
      </w:r>
      <w:r w:rsidRPr="008A4C51">
        <w:rPr>
          <w:rFonts w:eastAsiaTheme="minorHAnsi"/>
          <w:lang w:val="en-AU" w:bidi="ar-SA"/>
        </w:rPr>
        <w:t xml:space="preserve"> of the FSANZ Act.</w:t>
      </w:r>
    </w:p>
    <w:p w14:paraId="2292FAF1" w14:textId="77777777" w:rsidR="00553969" w:rsidRDefault="00553969" w:rsidP="00553969">
      <w:pPr>
        <w:rPr>
          <w:rFonts w:eastAsiaTheme="minorHAnsi"/>
          <w:lang w:val="en-AU" w:bidi="ar-SA"/>
        </w:rPr>
      </w:pPr>
    </w:p>
    <w:p w14:paraId="2292FAF2" w14:textId="77777777" w:rsidR="00700239" w:rsidRPr="001C2F6A" w:rsidRDefault="00700239" w:rsidP="00700239">
      <w:pPr>
        <w:rPr>
          <w:b/>
          <w:lang w:val="en-AU" w:eastAsia="en-GB" w:bidi="ar-SA"/>
        </w:rPr>
      </w:pPr>
      <w:r w:rsidRPr="001C2F6A">
        <w:rPr>
          <w:b/>
        </w:rPr>
        <w:t>6.</w:t>
      </w:r>
      <w:r w:rsidRPr="001C2F6A">
        <w:rPr>
          <w:b/>
        </w:rPr>
        <w:tab/>
      </w:r>
      <w:r w:rsidRPr="001C2F6A">
        <w:rPr>
          <w:b/>
          <w:lang w:val="en-AU" w:eastAsia="en-GB" w:bidi="ar-SA"/>
        </w:rPr>
        <w:t>Variation</w:t>
      </w:r>
    </w:p>
    <w:p w14:paraId="2292FAF3" w14:textId="77777777" w:rsidR="00294BAD" w:rsidRPr="00D174EE" w:rsidRDefault="00294BAD" w:rsidP="00AF06FC">
      <w:pPr>
        <w:rPr>
          <w:b/>
          <w:highlight w:val="lightGray"/>
        </w:rPr>
      </w:pPr>
    </w:p>
    <w:p w14:paraId="0A2927B7" w14:textId="30AB8665" w:rsidR="00F81BA4" w:rsidRPr="00DE5528" w:rsidRDefault="00D174EE" w:rsidP="006C17B7">
      <w:r w:rsidRPr="001C2F6A">
        <w:t xml:space="preserve">Item 1 </w:t>
      </w:r>
      <w:r w:rsidR="00F81BA4">
        <w:t xml:space="preserve">inserts new entries for the chemicals listed. The entries include the chemical name, residue definition, foods and associated MRLs. This item incorporates the new entries in alphabetical order among the chemicals listed in the Schedule. </w:t>
      </w:r>
    </w:p>
    <w:p w14:paraId="2292FB27" w14:textId="22CCA972" w:rsidR="007C174F" w:rsidRDefault="007C174F" w:rsidP="007C174F"/>
    <w:sectPr w:rsidR="007C174F" w:rsidSect="00A16368">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6D2ACB" w14:textId="77777777" w:rsidR="008D5276" w:rsidRDefault="008D5276">
      <w:r>
        <w:separator/>
      </w:r>
    </w:p>
  </w:endnote>
  <w:endnote w:type="continuationSeparator" w:id="0">
    <w:p w14:paraId="330DDFF6" w14:textId="77777777" w:rsidR="008D5276" w:rsidRDefault="008D5276">
      <w:r>
        <w:continuationSeparator/>
      </w:r>
    </w:p>
  </w:endnote>
  <w:endnote w:type="continuationNotice" w:id="1">
    <w:p w14:paraId="0DC4C3BF" w14:textId="77777777" w:rsidR="008D5276" w:rsidRDefault="008D52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altName w:val="Arial"/>
    <w:panose1 w:val="020B0704020202020204"/>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92FBCB" w14:textId="77777777" w:rsidR="002F0555" w:rsidRDefault="002F0555"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292FBCC" w14:textId="77777777" w:rsidR="002F0555" w:rsidRDefault="002F05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92FBCD" w14:textId="77777777" w:rsidR="002F0555" w:rsidRDefault="002F0555"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B2725">
      <w:rPr>
        <w:rStyle w:val="PageNumber"/>
        <w:noProof/>
      </w:rPr>
      <w:t>1</w:t>
    </w:r>
    <w:r>
      <w:rPr>
        <w:rStyle w:val="PageNumber"/>
      </w:rPr>
      <w:fldChar w:fldCharType="end"/>
    </w:r>
  </w:p>
  <w:p w14:paraId="2292FBCE" w14:textId="77777777" w:rsidR="002F0555" w:rsidRDefault="002F0555">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03FD65" w14:textId="77777777" w:rsidR="00D27B86" w:rsidRDefault="00D27B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132F3E" w14:textId="77777777" w:rsidR="008D5276" w:rsidRDefault="008D5276">
      <w:r>
        <w:separator/>
      </w:r>
    </w:p>
  </w:footnote>
  <w:footnote w:type="continuationSeparator" w:id="0">
    <w:p w14:paraId="1F68FAA6" w14:textId="77777777" w:rsidR="008D5276" w:rsidRDefault="008D5276">
      <w:r>
        <w:continuationSeparator/>
      </w:r>
    </w:p>
  </w:footnote>
  <w:footnote w:type="continuationNotice" w:id="1">
    <w:p w14:paraId="3E6A5B41" w14:textId="77777777" w:rsidR="008D5276" w:rsidRDefault="008D5276"/>
  </w:footnote>
  <w:footnote w:id="2">
    <w:p w14:paraId="0DB80112" w14:textId="26FA33D6" w:rsidR="002F0555" w:rsidRPr="00D377CA" w:rsidRDefault="002F0555">
      <w:pPr>
        <w:pStyle w:val="FootnoteText"/>
        <w:rPr>
          <w:sz w:val="18"/>
          <w:lang w:val="en-AU"/>
        </w:rPr>
      </w:pPr>
      <w:r w:rsidRPr="00D377CA">
        <w:rPr>
          <w:rStyle w:val="FootnoteReference"/>
          <w:sz w:val="18"/>
        </w:rPr>
        <w:footnoteRef/>
      </w:r>
      <w:r w:rsidRPr="00D377CA">
        <w:rPr>
          <w:sz w:val="18"/>
        </w:rPr>
        <w:t xml:space="preserve"> </w:t>
      </w:r>
      <w:r w:rsidRPr="00D377CA">
        <w:rPr>
          <w:sz w:val="18"/>
          <w:lang w:val="en-AU"/>
        </w:rPr>
        <w:t xml:space="preserve">An asterisk indicates that the limit is at or about the limit of analytical quantification. </w:t>
      </w:r>
    </w:p>
  </w:footnote>
  <w:footnote w:id="3">
    <w:p w14:paraId="59FC5D9E" w14:textId="463494A0" w:rsidR="002F0555" w:rsidRPr="009E176D" w:rsidRDefault="002F0555">
      <w:pPr>
        <w:pStyle w:val="FootnoteText"/>
        <w:rPr>
          <w:sz w:val="18"/>
          <w:lang w:val="en-AU"/>
        </w:rPr>
      </w:pPr>
      <w:r>
        <w:rPr>
          <w:rStyle w:val="FootnoteReference"/>
        </w:rPr>
        <w:footnoteRef/>
      </w:r>
      <w:r>
        <w:t xml:space="preserve"> </w:t>
      </w:r>
      <w:r w:rsidRPr="00895AF5">
        <w:rPr>
          <w:sz w:val="18"/>
          <w:szCs w:val="18"/>
        </w:rPr>
        <w:t xml:space="preserve">The Agricultural and Veterinary Chemicals Code Instrument 4 (MRL Standard) sets MRLs for </w:t>
      </w:r>
      <w:proofErr w:type="spellStart"/>
      <w:r w:rsidRPr="00895AF5">
        <w:rPr>
          <w:sz w:val="18"/>
          <w:szCs w:val="18"/>
        </w:rPr>
        <w:t>agvet</w:t>
      </w:r>
      <w:proofErr w:type="spellEnd"/>
      <w:r w:rsidRPr="00042D9A">
        <w:t xml:space="preserve"> </w:t>
      </w:r>
      <w:r w:rsidRPr="009E176D">
        <w:rPr>
          <w:sz w:val="18"/>
        </w:rPr>
        <w:t xml:space="preserve">chemicals in agricultural produce particularly produce entering the food chain. This can be accessed via the APVMA website at </w:t>
      </w:r>
      <w:hyperlink r:id="rId1" w:history="1">
        <w:r w:rsidRPr="009E176D">
          <w:rPr>
            <w:rStyle w:val="Hyperlink"/>
            <w:sz w:val="18"/>
          </w:rPr>
          <w:t>http://apvma.gov.au/node/10806</w:t>
        </w:r>
      </w:hyperlink>
      <w:r w:rsidRPr="009E176D">
        <w:rPr>
          <w:sz w:val="18"/>
        </w:rPr>
        <w:t>.</w:t>
      </w:r>
    </w:p>
  </w:footnote>
  <w:footnote w:id="4">
    <w:p w14:paraId="280E0A8D" w14:textId="77777777" w:rsidR="002F0555" w:rsidRPr="009E176D" w:rsidRDefault="002F0555" w:rsidP="002B3C10">
      <w:pPr>
        <w:pStyle w:val="FootnoteText"/>
        <w:rPr>
          <w:sz w:val="18"/>
          <w:lang w:val="en-AU"/>
        </w:rPr>
      </w:pPr>
      <w:r w:rsidRPr="009E176D">
        <w:rPr>
          <w:rStyle w:val="FootnoteReference"/>
          <w:sz w:val="18"/>
        </w:rPr>
        <w:footnoteRef/>
      </w:r>
      <w:r w:rsidRPr="009E176D">
        <w:rPr>
          <w:sz w:val="18"/>
        </w:rPr>
        <w:t xml:space="preserve"> C</w:t>
      </w:r>
      <w:proofErr w:type="spellStart"/>
      <w:r w:rsidRPr="009E176D">
        <w:rPr>
          <w:sz w:val="18"/>
          <w:lang w:val="en-AU"/>
        </w:rPr>
        <w:t>oumatetralyl</w:t>
      </w:r>
      <w:proofErr w:type="spellEnd"/>
      <w:r w:rsidRPr="009E176D">
        <w:rPr>
          <w:sz w:val="18"/>
          <w:lang w:val="en-AU"/>
        </w:rPr>
        <w:t xml:space="preserve"> – TDI: 0.000003 mg/kg </w:t>
      </w:r>
      <w:proofErr w:type="spellStart"/>
      <w:r w:rsidRPr="009E176D">
        <w:rPr>
          <w:sz w:val="18"/>
          <w:lang w:val="en-AU"/>
        </w:rPr>
        <w:t>bw</w:t>
      </w:r>
      <w:proofErr w:type="spellEnd"/>
      <w:r w:rsidRPr="009E176D">
        <w:rPr>
          <w:sz w:val="18"/>
          <w:lang w:val="en-AU"/>
        </w:rPr>
        <w:t>/day</w:t>
      </w:r>
    </w:p>
  </w:footnote>
  <w:footnote w:id="5">
    <w:p w14:paraId="3DB77E91" w14:textId="77777777" w:rsidR="002F0555" w:rsidRPr="009E176D" w:rsidRDefault="002F0555" w:rsidP="002B3C10">
      <w:pPr>
        <w:pStyle w:val="FootnoteText"/>
        <w:rPr>
          <w:sz w:val="18"/>
          <w:lang w:val="en-AU"/>
        </w:rPr>
      </w:pPr>
      <w:r w:rsidRPr="009E176D">
        <w:rPr>
          <w:rStyle w:val="FootnoteReference"/>
          <w:sz w:val="18"/>
        </w:rPr>
        <w:footnoteRef/>
      </w:r>
      <w:r w:rsidRPr="009E176D">
        <w:rPr>
          <w:sz w:val="18"/>
        </w:rPr>
        <w:t xml:space="preserve"> </w:t>
      </w:r>
      <w:r w:rsidRPr="009E176D">
        <w:rPr>
          <w:sz w:val="18"/>
          <w:lang w:val="en-AU"/>
        </w:rPr>
        <w:t xml:space="preserve">Warfarin – TDI: 0.0003 mg/kg </w:t>
      </w:r>
      <w:proofErr w:type="spellStart"/>
      <w:r w:rsidRPr="009E176D">
        <w:rPr>
          <w:sz w:val="18"/>
          <w:lang w:val="en-AU"/>
        </w:rPr>
        <w:t>bw</w:t>
      </w:r>
      <w:proofErr w:type="spellEnd"/>
      <w:r w:rsidRPr="009E176D">
        <w:rPr>
          <w:sz w:val="18"/>
          <w:lang w:val="en-AU"/>
        </w:rPr>
        <w:t>/day</w:t>
      </w:r>
    </w:p>
  </w:footnote>
  <w:footnote w:id="6">
    <w:p w14:paraId="2292FBD1" w14:textId="77777777" w:rsidR="002F0555" w:rsidRPr="008828D9" w:rsidRDefault="002F0555" w:rsidP="008828D9">
      <w:pPr>
        <w:pStyle w:val="Footnote"/>
        <w:rPr>
          <w:lang w:val="en-AU"/>
        </w:rPr>
      </w:pPr>
      <w:r w:rsidRPr="008828D9">
        <w:rPr>
          <w:rStyle w:val="FootnoteReference"/>
        </w:rPr>
        <w:footnoteRef/>
      </w:r>
      <w:r w:rsidRPr="008828D9">
        <w:t xml:space="preserve"> </w:t>
      </w:r>
      <w:r w:rsidRPr="008828D9">
        <w:rPr>
          <w:lang w:val="en-AU"/>
        </w:rPr>
        <w:t>Now known as the</w:t>
      </w:r>
      <w:r w:rsidRPr="00011187">
        <w:rPr>
          <w:rFonts w:cs="Helvetica"/>
          <w:lang w:val="en-AU"/>
        </w:rPr>
        <w:t xml:space="preserve"> </w:t>
      </w:r>
      <w:r>
        <w:rPr>
          <w:rFonts w:cs="Helvetica"/>
          <w:lang w:val="en-AU"/>
        </w:rPr>
        <w:t>Australia and New Zealand Ministerial Forum on Food Regulation (convening as the Australia and New Zealand Food Regulation Ministerial Council)</w:t>
      </w:r>
    </w:p>
  </w:footnote>
  <w:footnote w:id="7">
    <w:p w14:paraId="2292FBD2" w14:textId="77777777" w:rsidR="002F0555" w:rsidRPr="00E24DE8" w:rsidRDefault="002F0555" w:rsidP="00AB0275">
      <w:pPr>
        <w:pStyle w:val="FootnoteText"/>
        <w:rPr>
          <w:lang w:val="en-AU"/>
        </w:rPr>
      </w:pPr>
      <w:r w:rsidRPr="00B91684">
        <w:rPr>
          <w:rStyle w:val="FootnoteReference"/>
        </w:rPr>
        <w:footnoteRef/>
      </w:r>
      <w:r w:rsidRPr="00B91684">
        <w:t xml:space="preserve"> </w:t>
      </w:r>
      <w:hyperlink r:id="rId2" w:history="1">
        <w:r w:rsidRPr="003E1505">
          <w:rPr>
            <w:rStyle w:val="Hyperlink"/>
            <w:sz w:val="18"/>
            <w:szCs w:val="18"/>
          </w:rPr>
          <w:t>http://www.foodstandards.gov.au/code/proposals/Pages/proposalp1025coderev5755.aspx</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FDF293" w14:textId="77777777" w:rsidR="00D27B86" w:rsidRDefault="00D27B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6D0E3E" w14:textId="0EB53C7B" w:rsidR="002F0555" w:rsidRPr="00E41770" w:rsidRDefault="002F0555" w:rsidP="00E41770">
    <w:pPr>
      <w:pStyle w:val="Header"/>
      <w:tabs>
        <w:tab w:val="center" w:pos="4535"/>
      </w:tabs>
      <w:rPr>
        <w:rFonts w:cs="Arial"/>
        <w:b/>
      </w:rPr>
    </w:pPr>
    <w:r>
      <w:rPr>
        <w:rFonts w:cs="Arial"/>
        <w:b/>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92FBCF" w14:textId="77777777" w:rsidR="002F0555" w:rsidRDefault="002F0555">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632DCD"/>
    <w:multiLevelType w:val="hybridMultilevel"/>
    <w:tmpl w:val="BDFA9D22"/>
    <w:lvl w:ilvl="0" w:tplc="CB2A9E0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4CBD36CE"/>
    <w:multiLevelType w:val="hybridMultilevel"/>
    <w:tmpl w:val="7FA69D36"/>
    <w:lvl w:ilvl="0" w:tplc="0388B4F4">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7">
    <w:nsid w:val="68F97509"/>
    <w:multiLevelType w:val="hybridMultilevel"/>
    <w:tmpl w:val="2A2ADC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9">
    <w:nsid w:val="76D473A4"/>
    <w:multiLevelType w:val="multilevel"/>
    <w:tmpl w:val="D85E4A62"/>
    <w:lvl w:ilvl="0">
      <w:start w:val="2"/>
      <w:numFmt w:val="decimal"/>
      <w:lvlText w:val="%1."/>
      <w:lvlJc w:val="left"/>
      <w:pPr>
        <w:tabs>
          <w:tab w:val="num" w:pos="567"/>
        </w:tabs>
        <w:ind w:left="567" w:hanging="567"/>
      </w:pPr>
      <w:rPr>
        <w:rFonts w:hint="default"/>
      </w:rPr>
    </w:lvl>
    <w:lvl w:ilvl="1">
      <w:start w:val="1"/>
      <w:numFmt w:val="decimal"/>
      <w:lvlText w:val="(%2)"/>
      <w:lvlJc w:val="left"/>
      <w:pPr>
        <w:tabs>
          <w:tab w:val="num" w:pos="1134"/>
        </w:tabs>
        <w:ind w:left="1134" w:hanging="567"/>
      </w:pPr>
      <w:rPr>
        <w:rFonts w:hint="default"/>
      </w:rPr>
    </w:lvl>
    <w:lvl w:ilvl="2">
      <w:start w:val="1"/>
      <w:numFmt w:val="lowerLetter"/>
      <w:lvlText w:val="(%3)"/>
      <w:lvlJc w:val="left"/>
      <w:pPr>
        <w:tabs>
          <w:tab w:val="num" w:pos="1701"/>
        </w:tabs>
        <w:ind w:left="1701" w:hanging="567"/>
      </w:pPr>
      <w:rPr>
        <w:rFonts w:ascii="Times New Roman" w:hAnsi="Times New Roman" w:hint="default"/>
        <w:b w:val="0"/>
        <w:i w:val="0"/>
        <w:sz w:val="24"/>
      </w:rPr>
    </w:lvl>
    <w:lvl w:ilvl="3">
      <w:start w:val="1"/>
      <w:numFmt w:val="lowerRoman"/>
      <w:lvlText w:val="(%4)"/>
      <w:lvlJc w:val="left"/>
      <w:pPr>
        <w:tabs>
          <w:tab w:val="num" w:pos="2421"/>
        </w:tabs>
        <w:ind w:left="2268" w:hanging="567"/>
      </w:pPr>
      <w:rPr>
        <w:rFonts w:ascii="Times New Roman" w:hAnsi="Times New Roman" w:hint="default"/>
        <w:b w:val="0"/>
        <w:i w:val="0"/>
        <w:sz w:val="22"/>
      </w:rPr>
    </w:lvl>
    <w:lvl w:ilvl="4">
      <w:start w:val="1"/>
      <w:numFmt w:val="lowerLetter"/>
      <w:lvlText w:val="(%5)"/>
      <w:lvlJc w:val="left"/>
      <w:pPr>
        <w:tabs>
          <w:tab w:val="num" w:pos="2458"/>
        </w:tabs>
        <w:ind w:left="1800" w:firstLine="298"/>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num w:numId="1">
    <w:abstractNumId w:val="1"/>
  </w:num>
  <w:num w:numId="2">
    <w:abstractNumId w:val="5"/>
  </w:num>
  <w:num w:numId="3">
    <w:abstractNumId w:val="0"/>
  </w:num>
  <w:num w:numId="4">
    <w:abstractNumId w:val="6"/>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7"/>
  </w:num>
  <w:num w:numId="9">
    <w:abstractNumId w:val="2"/>
  </w:num>
  <w:num w:numId="10">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42"/>
    <w:rsid w:val="00000BD4"/>
    <w:rsid w:val="00001CF2"/>
    <w:rsid w:val="0000247B"/>
    <w:rsid w:val="00004274"/>
    <w:rsid w:val="0000469B"/>
    <w:rsid w:val="00016CB6"/>
    <w:rsid w:val="00016D88"/>
    <w:rsid w:val="00020520"/>
    <w:rsid w:val="00021AA4"/>
    <w:rsid w:val="0002245D"/>
    <w:rsid w:val="00022DBC"/>
    <w:rsid w:val="00034F87"/>
    <w:rsid w:val="00035FF3"/>
    <w:rsid w:val="00036247"/>
    <w:rsid w:val="000427B2"/>
    <w:rsid w:val="00042D9A"/>
    <w:rsid w:val="000475BD"/>
    <w:rsid w:val="00051021"/>
    <w:rsid w:val="00051ED9"/>
    <w:rsid w:val="000553B1"/>
    <w:rsid w:val="00056785"/>
    <w:rsid w:val="00057181"/>
    <w:rsid w:val="00062C9C"/>
    <w:rsid w:val="00064B2D"/>
    <w:rsid w:val="00065F1F"/>
    <w:rsid w:val="00070134"/>
    <w:rsid w:val="00073B3A"/>
    <w:rsid w:val="0007466A"/>
    <w:rsid w:val="00076D33"/>
    <w:rsid w:val="000778D6"/>
    <w:rsid w:val="000837E7"/>
    <w:rsid w:val="00091CC2"/>
    <w:rsid w:val="00092645"/>
    <w:rsid w:val="000A0AB8"/>
    <w:rsid w:val="000A27E9"/>
    <w:rsid w:val="000A3D8B"/>
    <w:rsid w:val="000A3E39"/>
    <w:rsid w:val="000A5DF8"/>
    <w:rsid w:val="000B0F63"/>
    <w:rsid w:val="000B2725"/>
    <w:rsid w:val="000B4E9D"/>
    <w:rsid w:val="000B6AF2"/>
    <w:rsid w:val="000C5819"/>
    <w:rsid w:val="000C6D00"/>
    <w:rsid w:val="000D295F"/>
    <w:rsid w:val="000D6FD4"/>
    <w:rsid w:val="000E0AE4"/>
    <w:rsid w:val="000E3DBC"/>
    <w:rsid w:val="000E64CD"/>
    <w:rsid w:val="00100623"/>
    <w:rsid w:val="001067CF"/>
    <w:rsid w:val="00113CE3"/>
    <w:rsid w:val="00117522"/>
    <w:rsid w:val="00127635"/>
    <w:rsid w:val="00147597"/>
    <w:rsid w:val="00150257"/>
    <w:rsid w:val="001542D8"/>
    <w:rsid w:val="001549AE"/>
    <w:rsid w:val="00154CD1"/>
    <w:rsid w:val="00165B31"/>
    <w:rsid w:val="001670B8"/>
    <w:rsid w:val="001707EF"/>
    <w:rsid w:val="00180C41"/>
    <w:rsid w:val="00182C4C"/>
    <w:rsid w:val="00186235"/>
    <w:rsid w:val="00196688"/>
    <w:rsid w:val="00197D8D"/>
    <w:rsid w:val="001A1A75"/>
    <w:rsid w:val="001A7767"/>
    <w:rsid w:val="001A7E9A"/>
    <w:rsid w:val="001C0AE6"/>
    <w:rsid w:val="001C27A3"/>
    <w:rsid w:val="001C282C"/>
    <w:rsid w:val="001C2F3B"/>
    <w:rsid w:val="001C2F6A"/>
    <w:rsid w:val="001C3D2F"/>
    <w:rsid w:val="001C4806"/>
    <w:rsid w:val="001C5295"/>
    <w:rsid w:val="001D5BBC"/>
    <w:rsid w:val="001D7A55"/>
    <w:rsid w:val="001E09FA"/>
    <w:rsid w:val="001E1C5D"/>
    <w:rsid w:val="001F5B9C"/>
    <w:rsid w:val="001F74B2"/>
    <w:rsid w:val="00203540"/>
    <w:rsid w:val="00221D07"/>
    <w:rsid w:val="0022642D"/>
    <w:rsid w:val="00227ACD"/>
    <w:rsid w:val="00227E4A"/>
    <w:rsid w:val="0023572A"/>
    <w:rsid w:val="00237DE7"/>
    <w:rsid w:val="002408F4"/>
    <w:rsid w:val="002432EE"/>
    <w:rsid w:val="0024582E"/>
    <w:rsid w:val="002547EF"/>
    <w:rsid w:val="00256D65"/>
    <w:rsid w:val="002667FC"/>
    <w:rsid w:val="002679A6"/>
    <w:rsid w:val="00271F00"/>
    <w:rsid w:val="00273A80"/>
    <w:rsid w:val="0027513D"/>
    <w:rsid w:val="00276026"/>
    <w:rsid w:val="00283836"/>
    <w:rsid w:val="002851C8"/>
    <w:rsid w:val="002870FA"/>
    <w:rsid w:val="0029204E"/>
    <w:rsid w:val="00294BAD"/>
    <w:rsid w:val="0029631C"/>
    <w:rsid w:val="002A0194"/>
    <w:rsid w:val="002A0BF4"/>
    <w:rsid w:val="002A5F8B"/>
    <w:rsid w:val="002A7F6C"/>
    <w:rsid w:val="002B0B01"/>
    <w:rsid w:val="002B0D8E"/>
    <w:rsid w:val="002B3039"/>
    <w:rsid w:val="002B3C10"/>
    <w:rsid w:val="002B698B"/>
    <w:rsid w:val="002D6809"/>
    <w:rsid w:val="002E086A"/>
    <w:rsid w:val="002E1686"/>
    <w:rsid w:val="002F0555"/>
    <w:rsid w:val="002F3E06"/>
    <w:rsid w:val="002F433B"/>
    <w:rsid w:val="002F6488"/>
    <w:rsid w:val="00303DCB"/>
    <w:rsid w:val="00310E84"/>
    <w:rsid w:val="00313E29"/>
    <w:rsid w:val="00315829"/>
    <w:rsid w:val="00315A71"/>
    <w:rsid w:val="003213F9"/>
    <w:rsid w:val="00323DBF"/>
    <w:rsid w:val="00325CE2"/>
    <w:rsid w:val="003265E0"/>
    <w:rsid w:val="0032749D"/>
    <w:rsid w:val="003277D5"/>
    <w:rsid w:val="003309A8"/>
    <w:rsid w:val="00332B12"/>
    <w:rsid w:val="00336711"/>
    <w:rsid w:val="00347935"/>
    <w:rsid w:val="0035076E"/>
    <w:rsid w:val="00350DBD"/>
    <w:rsid w:val="00351927"/>
    <w:rsid w:val="00351B07"/>
    <w:rsid w:val="00353439"/>
    <w:rsid w:val="00360061"/>
    <w:rsid w:val="0036268A"/>
    <w:rsid w:val="00364841"/>
    <w:rsid w:val="00371B29"/>
    <w:rsid w:val="00372182"/>
    <w:rsid w:val="0037520F"/>
    <w:rsid w:val="00391769"/>
    <w:rsid w:val="00394414"/>
    <w:rsid w:val="003953E1"/>
    <w:rsid w:val="003956B3"/>
    <w:rsid w:val="0039698B"/>
    <w:rsid w:val="003A0AAD"/>
    <w:rsid w:val="003A68BE"/>
    <w:rsid w:val="003A7725"/>
    <w:rsid w:val="003B3C9D"/>
    <w:rsid w:val="003B42E8"/>
    <w:rsid w:val="003B78E0"/>
    <w:rsid w:val="003C4969"/>
    <w:rsid w:val="003C7B7E"/>
    <w:rsid w:val="003E1505"/>
    <w:rsid w:val="003E41D5"/>
    <w:rsid w:val="003E46BA"/>
    <w:rsid w:val="003E7D22"/>
    <w:rsid w:val="003F74C1"/>
    <w:rsid w:val="00405B1A"/>
    <w:rsid w:val="004063E8"/>
    <w:rsid w:val="00406A7C"/>
    <w:rsid w:val="00407241"/>
    <w:rsid w:val="0040761E"/>
    <w:rsid w:val="00407DF4"/>
    <w:rsid w:val="00410C76"/>
    <w:rsid w:val="004114DC"/>
    <w:rsid w:val="00411907"/>
    <w:rsid w:val="00413CA8"/>
    <w:rsid w:val="00417DF2"/>
    <w:rsid w:val="00417EE3"/>
    <w:rsid w:val="004207EB"/>
    <w:rsid w:val="004255DC"/>
    <w:rsid w:val="00427C9A"/>
    <w:rsid w:val="00427DA4"/>
    <w:rsid w:val="0043466C"/>
    <w:rsid w:val="00435FA5"/>
    <w:rsid w:val="00436B8D"/>
    <w:rsid w:val="00437276"/>
    <w:rsid w:val="004427CD"/>
    <w:rsid w:val="00443A2F"/>
    <w:rsid w:val="00447E67"/>
    <w:rsid w:val="004544F5"/>
    <w:rsid w:val="0045556F"/>
    <w:rsid w:val="00456B54"/>
    <w:rsid w:val="00464599"/>
    <w:rsid w:val="00464643"/>
    <w:rsid w:val="004646F8"/>
    <w:rsid w:val="00486793"/>
    <w:rsid w:val="00492AE9"/>
    <w:rsid w:val="00495694"/>
    <w:rsid w:val="004A0BF3"/>
    <w:rsid w:val="004A2037"/>
    <w:rsid w:val="004A3685"/>
    <w:rsid w:val="004A45DF"/>
    <w:rsid w:val="004B28EE"/>
    <w:rsid w:val="004B3678"/>
    <w:rsid w:val="004B7A29"/>
    <w:rsid w:val="004C2CE7"/>
    <w:rsid w:val="004D30A6"/>
    <w:rsid w:val="004E0776"/>
    <w:rsid w:val="004F2C65"/>
    <w:rsid w:val="004F4F98"/>
    <w:rsid w:val="004F69F6"/>
    <w:rsid w:val="004F79AC"/>
    <w:rsid w:val="005017CF"/>
    <w:rsid w:val="00502CA2"/>
    <w:rsid w:val="005044F4"/>
    <w:rsid w:val="00507FFA"/>
    <w:rsid w:val="00512290"/>
    <w:rsid w:val="00516967"/>
    <w:rsid w:val="005207D8"/>
    <w:rsid w:val="00521F70"/>
    <w:rsid w:val="0052433B"/>
    <w:rsid w:val="00532686"/>
    <w:rsid w:val="0053464E"/>
    <w:rsid w:val="005358B0"/>
    <w:rsid w:val="005374A5"/>
    <w:rsid w:val="00541413"/>
    <w:rsid w:val="00541B43"/>
    <w:rsid w:val="0055093D"/>
    <w:rsid w:val="00553969"/>
    <w:rsid w:val="00562917"/>
    <w:rsid w:val="005707FF"/>
    <w:rsid w:val="0058040A"/>
    <w:rsid w:val="00583FF7"/>
    <w:rsid w:val="00586228"/>
    <w:rsid w:val="0059227F"/>
    <w:rsid w:val="0059498B"/>
    <w:rsid w:val="005A3A03"/>
    <w:rsid w:val="005B01E7"/>
    <w:rsid w:val="005B615C"/>
    <w:rsid w:val="005B6AF4"/>
    <w:rsid w:val="005B73FA"/>
    <w:rsid w:val="005C04CB"/>
    <w:rsid w:val="005C3E46"/>
    <w:rsid w:val="005C71BA"/>
    <w:rsid w:val="005D16AD"/>
    <w:rsid w:val="005D72E1"/>
    <w:rsid w:val="005E02CB"/>
    <w:rsid w:val="005E2F53"/>
    <w:rsid w:val="005E6E16"/>
    <w:rsid w:val="005F400E"/>
    <w:rsid w:val="005F7342"/>
    <w:rsid w:val="00603A08"/>
    <w:rsid w:val="006066BC"/>
    <w:rsid w:val="00606C88"/>
    <w:rsid w:val="00610A3C"/>
    <w:rsid w:val="00614819"/>
    <w:rsid w:val="00617811"/>
    <w:rsid w:val="006231A3"/>
    <w:rsid w:val="00627F48"/>
    <w:rsid w:val="00633ACA"/>
    <w:rsid w:val="00633ACE"/>
    <w:rsid w:val="006342E0"/>
    <w:rsid w:val="00642A47"/>
    <w:rsid w:val="006460E6"/>
    <w:rsid w:val="00646FDD"/>
    <w:rsid w:val="006516A1"/>
    <w:rsid w:val="00656E41"/>
    <w:rsid w:val="00663FCF"/>
    <w:rsid w:val="006652A2"/>
    <w:rsid w:val="006661EA"/>
    <w:rsid w:val="00680EE6"/>
    <w:rsid w:val="00681754"/>
    <w:rsid w:val="00681920"/>
    <w:rsid w:val="00681D53"/>
    <w:rsid w:val="006820B5"/>
    <w:rsid w:val="00683E69"/>
    <w:rsid w:val="006867E0"/>
    <w:rsid w:val="006937FF"/>
    <w:rsid w:val="006965BF"/>
    <w:rsid w:val="006A48A7"/>
    <w:rsid w:val="006B4BA1"/>
    <w:rsid w:val="006C17B7"/>
    <w:rsid w:val="006C28E2"/>
    <w:rsid w:val="006C2E0A"/>
    <w:rsid w:val="006C3B31"/>
    <w:rsid w:val="006C5CF5"/>
    <w:rsid w:val="006E0384"/>
    <w:rsid w:val="006E1662"/>
    <w:rsid w:val="006F3A9F"/>
    <w:rsid w:val="006F4A82"/>
    <w:rsid w:val="00700239"/>
    <w:rsid w:val="00702F66"/>
    <w:rsid w:val="0070373B"/>
    <w:rsid w:val="00707E72"/>
    <w:rsid w:val="007110CC"/>
    <w:rsid w:val="007113EB"/>
    <w:rsid w:val="0072150F"/>
    <w:rsid w:val="00724FA4"/>
    <w:rsid w:val="00725B56"/>
    <w:rsid w:val="00726C2F"/>
    <w:rsid w:val="00730800"/>
    <w:rsid w:val="00730B16"/>
    <w:rsid w:val="00735428"/>
    <w:rsid w:val="007368AB"/>
    <w:rsid w:val="00737902"/>
    <w:rsid w:val="00741EFE"/>
    <w:rsid w:val="00746D27"/>
    <w:rsid w:val="007602AA"/>
    <w:rsid w:val="007652EF"/>
    <w:rsid w:val="00767D83"/>
    <w:rsid w:val="00772BDC"/>
    <w:rsid w:val="00773033"/>
    <w:rsid w:val="00780792"/>
    <w:rsid w:val="00787210"/>
    <w:rsid w:val="0078781D"/>
    <w:rsid w:val="007A44B4"/>
    <w:rsid w:val="007A7D3D"/>
    <w:rsid w:val="007A7FD0"/>
    <w:rsid w:val="007B225D"/>
    <w:rsid w:val="007B268B"/>
    <w:rsid w:val="007B655D"/>
    <w:rsid w:val="007B7276"/>
    <w:rsid w:val="007C0DDD"/>
    <w:rsid w:val="007C174F"/>
    <w:rsid w:val="007C1C64"/>
    <w:rsid w:val="007C33EE"/>
    <w:rsid w:val="007D40A1"/>
    <w:rsid w:val="007D5C95"/>
    <w:rsid w:val="007E14EB"/>
    <w:rsid w:val="007E48BC"/>
    <w:rsid w:val="007E79F7"/>
    <w:rsid w:val="007F3630"/>
    <w:rsid w:val="007F5C0C"/>
    <w:rsid w:val="007F7603"/>
    <w:rsid w:val="00807559"/>
    <w:rsid w:val="008450BC"/>
    <w:rsid w:val="00846532"/>
    <w:rsid w:val="00851A60"/>
    <w:rsid w:val="0085334B"/>
    <w:rsid w:val="0086053B"/>
    <w:rsid w:val="00861FF8"/>
    <w:rsid w:val="008637CF"/>
    <w:rsid w:val="00864036"/>
    <w:rsid w:val="00864A1E"/>
    <w:rsid w:val="00865A23"/>
    <w:rsid w:val="00867B23"/>
    <w:rsid w:val="00870214"/>
    <w:rsid w:val="00874C31"/>
    <w:rsid w:val="00876515"/>
    <w:rsid w:val="008828D9"/>
    <w:rsid w:val="00885C51"/>
    <w:rsid w:val="00885EB0"/>
    <w:rsid w:val="00887995"/>
    <w:rsid w:val="00892069"/>
    <w:rsid w:val="0089264A"/>
    <w:rsid w:val="00895AF5"/>
    <w:rsid w:val="008968C1"/>
    <w:rsid w:val="00896B85"/>
    <w:rsid w:val="008A22BE"/>
    <w:rsid w:val="008A3221"/>
    <w:rsid w:val="008A35FB"/>
    <w:rsid w:val="008A4C51"/>
    <w:rsid w:val="008A79E9"/>
    <w:rsid w:val="008B0075"/>
    <w:rsid w:val="008C0E7A"/>
    <w:rsid w:val="008C1B36"/>
    <w:rsid w:val="008D06C6"/>
    <w:rsid w:val="008D1934"/>
    <w:rsid w:val="008D5276"/>
    <w:rsid w:val="008E3675"/>
    <w:rsid w:val="008E6250"/>
    <w:rsid w:val="008E692F"/>
    <w:rsid w:val="008E799D"/>
    <w:rsid w:val="008F0C00"/>
    <w:rsid w:val="008F57F5"/>
    <w:rsid w:val="009025FE"/>
    <w:rsid w:val="00902AF6"/>
    <w:rsid w:val="00912AA7"/>
    <w:rsid w:val="00914030"/>
    <w:rsid w:val="0091602E"/>
    <w:rsid w:val="00917CCE"/>
    <w:rsid w:val="00920249"/>
    <w:rsid w:val="00921FA5"/>
    <w:rsid w:val="00924C80"/>
    <w:rsid w:val="00932F14"/>
    <w:rsid w:val="00936142"/>
    <w:rsid w:val="0094247F"/>
    <w:rsid w:val="00942D60"/>
    <w:rsid w:val="00944BA4"/>
    <w:rsid w:val="009456AE"/>
    <w:rsid w:val="00964914"/>
    <w:rsid w:val="0096523B"/>
    <w:rsid w:val="00966EE3"/>
    <w:rsid w:val="00972D06"/>
    <w:rsid w:val="00974F55"/>
    <w:rsid w:val="00981978"/>
    <w:rsid w:val="00995A75"/>
    <w:rsid w:val="009A391C"/>
    <w:rsid w:val="009A50F2"/>
    <w:rsid w:val="009C4322"/>
    <w:rsid w:val="009C635E"/>
    <w:rsid w:val="009D017A"/>
    <w:rsid w:val="009D176C"/>
    <w:rsid w:val="009D5E1E"/>
    <w:rsid w:val="009D790B"/>
    <w:rsid w:val="009E0A61"/>
    <w:rsid w:val="009E176D"/>
    <w:rsid w:val="009E3010"/>
    <w:rsid w:val="009F007E"/>
    <w:rsid w:val="009F42EF"/>
    <w:rsid w:val="009F4F85"/>
    <w:rsid w:val="009F7065"/>
    <w:rsid w:val="009F7D33"/>
    <w:rsid w:val="00A02BFF"/>
    <w:rsid w:val="00A07E49"/>
    <w:rsid w:val="00A12B44"/>
    <w:rsid w:val="00A141D7"/>
    <w:rsid w:val="00A16368"/>
    <w:rsid w:val="00A16D3B"/>
    <w:rsid w:val="00A26988"/>
    <w:rsid w:val="00A37AA5"/>
    <w:rsid w:val="00A40193"/>
    <w:rsid w:val="00A4175D"/>
    <w:rsid w:val="00A54934"/>
    <w:rsid w:val="00A56DC7"/>
    <w:rsid w:val="00A56E34"/>
    <w:rsid w:val="00A74FD1"/>
    <w:rsid w:val="00A82B8B"/>
    <w:rsid w:val="00A84A58"/>
    <w:rsid w:val="00A87792"/>
    <w:rsid w:val="00A91D25"/>
    <w:rsid w:val="00A91DF1"/>
    <w:rsid w:val="00AA2C90"/>
    <w:rsid w:val="00AB0275"/>
    <w:rsid w:val="00AC3DC6"/>
    <w:rsid w:val="00AC74CB"/>
    <w:rsid w:val="00AD22F9"/>
    <w:rsid w:val="00AD297D"/>
    <w:rsid w:val="00AD4A3B"/>
    <w:rsid w:val="00AD7A3D"/>
    <w:rsid w:val="00AE0C82"/>
    <w:rsid w:val="00AE4E6E"/>
    <w:rsid w:val="00AE766D"/>
    <w:rsid w:val="00AF06FC"/>
    <w:rsid w:val="00AF3391"/>
    <w:rsid w:val="00AF387F"/>
    <w:rsid w:val="00AF602C"/>
    <w:rsid w:val="00B00E7F"/>
    <w:rsid w:val="00B0376A"/>
    <w:rsid w:val="00B04C76"/>
    <w:rsid w:val="00B101D2"/>
    <w:rsid w:val="00B13CAE"/>
    <w:rsid w:val="00B173DA"/>
    <w:rsid w:val="00B21B47"/>
    <w:rsid w:val="00B21DCC"/>
    <w:rsid w:val="00B25F37"/>
    <w:rsid w:val="00B27E4F"/>
    <w:rsid w:val="00B44422"/>
    <w:rsid w:val="00B46EA0"/>
    <w:rsid w:val="00B51E03"/>
    <w:rsid w:val="00B54A8C"/>
    <w:rsid w:val="00B67BDA"/>
    <w:rsid w:val="00B71F51"/>
    <w:rsid w:val="00B731D3"/>
    <w:rsid w:val="00B7656D"/>
    <w:rsid w:val="00B839A3"/>
    <w:rsid w:val="00B853D2"/>
    <w:rsid w:val="00B86CE7"/>
    <w:rsid w:val="00B902BD"/>
    <w:rsid w:val="00B913A5"/>
    <w:rsid w:val="00B9694C"/>
    <w:rsid w:val="00BA24E2"/>
    <w:rsid w:val="00BB3F2E"/>
    <w:rsid w:val="00BB5930"/>
    <w:rsid w:val="00BC353B"/>
    <w:rsid w:val="00BC3D26"/>
    <w:rsid w:val="00BC6BC1"/>
    <w:rsid w:val="00BD2A39"/>
    <w:rsid w:val="00BD2E80"/>
    <w:rsid w:val="00BE11B8"/>
    <w:rsid w:val="00BE3818"/>
    <w:rsid w:val="00BE5D19"/>
    <w:rsid w:val="00BF7FF0"/>
    <w:rsid w:val="00C07A90"/>
    <w:rsid w:val="00C12502"/>
    <w:rsid w:val="00C1266C"/>
    <w:rsid w:val="00C14FD2"/>
    <w:rsid w:val="00C230C5"/>
    <w:rsid w:val="00C236E4"/>
    <w:rsid w:val="00C36578"/>
    <w:rsid w:val="00C40AA5"/>
    <w:rsid w:val="00C42A29"/>
    <w:rsid w:val="00C43CB7"/>
    <w:rsid w:val="00C46F70"/>
    <w:rsid w:val="00C47070"/>
    <w:rsid w:val="00C476D0"/>
    <w:rsid w:val="00C55781"/>
    <w:rsid w:val="00C56F71"/>
    <w:rsid w:val="00C63580"/>
    <w:rsid w:val="00C836E3"/>
    <w:rsid w:val="00C847A2"/>
    <w:rsid w:val="00C86577"/>
    <w:rsid w:val="00C907C0"/>
    <w:rsid w:val="00C926A5"/>
    <w:rsid w:val="00C92E07"/>
    <w:rsid w:val="00C94942"/>
    <w:rsid w:val="00C95A55"/>
    <w:rsid w:val="00C96868"/>
    <w:rsid w:val="00C96A50"/>
    <w:rsid w:val="00CA0416"/>
    <w:rsid w:val="00CA1DF1"/>
    <w:rsid w:val="00CA5DF6"/>
    <w:rsid w:val="00CA7F35"/>
    <w:rsid w:val="00CB1375"/>
    <w:rsid w:val="00CC36E7"/>
    <w:rsid w:val="00CC560B"/>
    <w:rsid w:val="00CC75E2"/>
    <w:rsid w:val="00CD46EB"/>
    <w:rsid w:val="00CD68B1"/>
    <w:rsid w:val="00CD7EBF"/>
    <w:rsid w:val="00CE0AEB"/>
    <w:rsid w:val="00CE25C8"/>
    <w:rsid w:val="00CE6BB9"/>
    <w:rsid w:val="00CE73CA"/>
    <w:rsid w:val="00D013DD"/>
    <w:rsid w:val="00D04529"/>
    <w:rsid w:val="00D056F1"/>
    <w:rsid w:val="00D062E4"/>
    <w:rsid w:val="00D071BC"/>
    <w:rsid w:val="00D11171"/>
    <w:rsid w:val="00D14405"/>
    <w:rsid w:val="00D16568"/>
    <w:rsid w:val="00D174EE"/>
    <w:rsid w:val="00D22F3C"/>
    <w:rsid w:val="00D23DB6"/>
    <w:rsid w:val="00D26814"/>
    <w:rsid w:val="00D27B86"/>
    <w:rsid w:val="00D30C2D"/>
    <w:rsid w:val="00D3171B"/>
    <w:rsid w:val="00D33F56"/>
    <w:rsid w:val="00D37759"/>
    <w:rsid w:val="00D377CA"/>
    <w:rsid w:val="00D37954"/>
    <w:rsid w:val="00D43FE6"/>
    <w:rsid w:val="00D51A95"/>
    <w:rsid w:val="00D54E60"/>
    <w:rsid w:val="00D57955"/>
    <w:rsid w:val="00D60568"/>
    <w:rsid w:val="00D663E8"/>
    <w:rsid w:val="00D70C7A"/>
    <w:rsid w:val="00D73931"/>
    <w:rsid w:val="00D8022C"/>
    <w:rsid w:val="00D81D38"/>
    <w:rsid w:val="00D8470F"/>
    <w:rsid w:val="00D8471A"/>
    <w:rsid w:val="00D84C42"/>
    <w:rsid w:val="00DA10A8"/>
    <w:rsid w:val="00DB1E08"/>
    <w:rsid w:val="00DB2973"/>
    <w:rsid w:val="00DB324A"/>
    <w:rsid w:val="00DB7A08"/>
    <w:rsid w:val="00DC1B56"/>
    <w:rsid w:val="00DC2129"/>
    <w:rsid w:val="00DC3C72"/>
    <w:rsid w:val="00DC6570"/>
    <w:rsid w:val="00DD3C5E"/>
    <w:rsid w:val="00DE2710"/>
    <w:rsid w:val="00DE79D9"/>
    <w:rsid w:val="00DF25C3"/>
    <w:rsid w:val="00DF6A4D"/>
    <w:rsid w:val="00E04062"/>
    <w:rsid w:val="00E063C6"/>
    <w:rsid w:val="00E10212"/>
    <w:rsid w:val="00E16B5B"/>
    <w:rsid w:val="00E2003B"/>
    <w:rsid w:val="00E203C2"/>
    <w:rsid w:val="00E2123D"/>
    <w:rsid w:val="00E24DE8"/>
    <w:rsid w:val="00E272F2"/>
    <w:rsid w:val="00E279D8"/>
    <w:rsid w:val="00E319B1"/>
    <w:rsid w:val="00E330FF"/>
    <w:rsid w:val="00E3541C"/>
    <w:rsid w:val="00E37FAB"/>
    <w:rsid w:val="00E40ED4"/>
    <w:rsid w:val="00E410FA"/>
    <w:rsid w:val="00E41770"/>
    <w:rsid w:val="00E44E0D"/>
    <w:rsid w:val="00E46C22"/>
    <w:rsid w:val="00E520FE"/>
    <w:rsid w:val="00E5492F"/>
    <w:rsid w:val="00E57422"/>
    <w:rsid w:val="00E62DEF"/>
    <w:rsid w:val="00E70A86"/>
    <w:rsid w:val="00E75054"/>
    <w:rsid w:val="00E751D6"/>
    <w:rsid w:val="00E777EC"/>
    <w:rsid w:val="00E80DE8"/>
    <w:rsid w:val="00E80FCD"/>
    <w:rsid w:val="00E81F6E"/>
    <w:rsid w:val="00EA7F2F"/>
    <w:rsid w:val="00EB7D1F"/>
    <w:rsid w:val="00EC00DE"/>
    <w:rsid w:val="00EC30E1"/>
    <w:rsid w:val="00EC3B99"/>
    <w:rsid w:val="00ED172A"/>
    <w:rsid w:val="00EE0A23"/>
    <w:rsid w:val="00EF590A"/>
    <w:rsid w:val="00F03386"/>
    <w:rsid w:val="00F0750B"/>
    <w:rsid w:val="00F14BEC"/>
    <w:rsid w:val="00F225C5"/>
    <w:rsid w:val="00F24161"/>
    <w:rsid w:val="00F24F86"/>
    <w:rsid w:val="00F2587A"/>
    <w:rsid w:val="00F31A8D"/>
    <w:rsid w:val="00F33BB8"/>
    <w:rsid w:val="00F3609E"/>
    <w:rsid w:val="00F367E7"/>
    <w:rsid w:val="00F3715D"/>
    <w:rsid w:val="00F3799C"/>
    <w:rsid w:val="00F420C8"/>
    <w:rsid w:val="00F42937"/>
    <w:rsid w:val="00F42A4C"/>
    <w:rsid w:val="00F5044C"/>
    <w:rsid w:val="00F50D92"/>
    <w:rsid w:val="00F53B04"/>
    <w:rsid w:val="00F604DE"/>
    <w:rsid w:val="00F64653"/>
    <w:rsid w:val="00F67CF8"/>
    <w:rsid w:val="00F70E29"/>
    <w:rsid w:val="00F742A7"/>
    <w:rsid w:val="00F81BA4"/>
    <w:rsid w:val="00FB1533"/>
    <w:rsid w:val="00FB67A3"/>
    <w:rsid w:val="00FB7512"/>
    <w:rsid w:val="00FD2FBE"/>
    <w:rsid w:val="00FD476F"/>
    <w:rsid w:val="00FD5CDF"/>
    <w:rsid w:val="00FD7547"/>
    <w:rsid w:val="00FF51D2"/>
    <w:rsid w:val="00FF5F5C"/>
    <w:rsid w:val="00FF78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92F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caption" w:semiHidden="1" w:unhideWhenUsed="1"/>
    <w:lsdException w:name="Title" w:uiPriority="10"/>
    <w:lsdException w:name="Default Paragraph Font" w:uiPriority="1"/>
    <w:lsdException w:name="Subtitle" w:uiPriority="11"/>
    <w:lsdException w:name="Hyperlink" w:uiPriority="99"/>
    <w:lsdException w:name="Strong" w:uiPriority="22"/>
    <w:lsdException w:name="Emphasis" w:uiPriority="20"/>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37520F"/>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D73931"/>
    <w:pPr>
      <w:keepNext/>
      <w:spacing w:after="240"/>
      <w:ind w:left="851" w:hanging="851"/>
      <w:outlineLvl w:val="0"/>
    </w:pPr>
    <w:rPr>
      <w:b/>
      <w:bCs/>
      <w:sz w:val="36"/>
      <w:szCs w:val="28"/>
      <w:lang w:bidi="ar-SA"/>
    </w:rPr>
  </w:style>
  <w:style w:type="paragraph" w:styleId="Heading2">
    <w:name w:val="heading 2"/>
    <w:aliases w:val="FSHeading 2,Section heading,FS Heading 2"/>
    <w:basedOn w:val="Normal"/>
    <w:next w:val="Normal"/>
    <w:link w:val="Heading2Char"/>
    <w:uiPriority w:val="9"/>
    <w:unhideWhenUsed/>
    <w:qFormat/>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FS Heading 2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qFormat/>
    <w:rsid w:val="00512290"/>
    <w:pPr>
      <w:keepNext/>
      <w:jc w:val="center"/>
    </w:pPr>
    <w:rPr>
      <w:iCs/>
      <w:sz w:val="20"/>
      <w:szCs w:val="20"/>
    </w:rPr>
  </w:style>
  <w:style w:type="paragraph" w:customStyle="1" w:styleId="142tableheading1">
    <w:name w:val="1.4.2 table heading1"/>
    <w:basedOn w:val="142Tableheading2"/>
    <w:qFormat/>
    <w:rsid w:val="00512290"/>
    <w:rPr>
      <w:rFonts w:ascii="Arial Bold" w:hAnsi="Arial Bold"/>
      <w:b/>
      <w:bCs/>
      <w:iCs w:val="0"/>
      <w:smallCaps/>
    </w:rPr>
  </w:style>
  <w:style w:type="paragraph" w:customStyle="1" w:styleId="142tabletext1">
    <w:name w:val="1.4.2 table text1"/>
    <w:basedOn w:val="Normal"/>
    <w:link w:val="142tabletext1Char"/>
    <w:qFormat/>
    <w:rsid w:val="00512290"/>
    <w:pPr>
      <w:ind w:left="142" w:hanging="142"/>
    </w:pPr>
    <w:rPr>
      <w:sz w:val="20"/>
      <w:szCs w:val="20"/>
    </w:rPr>
  </w:style>
  <w:style w:type="paragraph" w:customStyle="1" w:styleId="142tabletext2">
    <w:name w:val="1.4.2 table text2"/>
    <w:basedOn w:val="142tabletext1"/>
    <w:qFormat/>
    <w:pPr>
      <w:jc w:val="right"/>
    </w:pPr>
  </w:style>
  <w:style w:type="paragraph" w:customStyle="1" w:styleId="Clause">
    <w:name w:val="Clause"/>
    <w:basedOn w:val="Normal"/>
    <w:next w:val="Normal"/>
    <w:link w:val="ClauseChar"/>
    <w:qFormat/>
    <w:rsid w:val="00E40ED4"/>
    <w:pPr>
      <w:tabs>
        <w:tab w:val="left" w:pos="851"/>
      </w:tabs>
    </w:pPr>
    <w:rPr>
      <w:sz w:val="20"/>
      <w:szCs w:val="20"/>
    </w:rPr>
  </w:style>
  <w:style w:type="paragraph" w:customStyle="1" w:styleId="Clauseheading">
    <w:name w:val="Clause heading"/>
    <w:basedOn w:val="Normal"/>
    <w:next w:val="Normal"/>
    <w:rsid w:val="00E40ED4"/>
    <w:pPr>
      <w:tabs>
        <w:tab w:val="left" w:pos="851"/>
      </w:tabs>
    </w:pPr>
    <w:rPr>
      <w:b/>
      <w:sz w:val="20"/>
      <w:szCs w:val="20"/>
    </w:rPr>
  </w:style>
  <w:style w:type="paragraph" w:customStyle="1" w:styleId="ClauseList">
    <w:name w:val="Clause List"/>
    <w:basedOn w:val="Clause"/>
    <w:next w:val="Normal"/>
  </w:style>
  <w:style w:type="paragraph" w:customStyle="1" w:styleId="Definition">
    <w:name w:val="Definition"/>
    <w:basedOn w:val="Normal"/>
    <w:next w:val="Normal"/>
    <w:rsid w:val="00E40ED4"/>
    <w:pPr>
      <w:ind w:left="1701" w:hanging="851"/>
    </w:pPr>
    <w:rPr>
      <w:sz w:val="20"/>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rsid w:val="00E40ED4"/>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Pr>
      <w:b w:val="0"/>
    </w:rPr>
  </w:style>
  <w:style w:type="paragraph" w:customStyle="1" w:styleId="Footnote">
    <w:name w:val="Footnote"/>
    <w:basedOn w:val="Normal"/>
    <w:rsid w:val="00E40ED4"/>
    <w:pPr>
      <w:tabs>
        <w:tab w:val="left" w:pos="851"/>
      </w:tabs>
    </w:pPr>
    <w:rPr>
      <w:sz w:val="18"/>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rsid w:val="00E40ED4"/>
    <w:pPr>
      <w:tabs>
        <w:tab w:val="left" w:pos="851"/>
      </w:tabs>
      <w:jc w:val="center"/>
    </w:pPr>
    <w:rPr>
      <w:b/>
      <w:caps/>
      <w:sz w:val="20"/>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rsid w:val="00E40ED4"/>
    <w:pPr>
      <w:spacing w:after="120"/>
      <w:jc w:val="center"/>
    </w:pPr>
    <w:rPr>
      <w:b/>
      <w:bCs/>
      <w:sz w:val="18"/>
      <w:szCs w:val="20"/>
    </w:rPr>
  </w:style>
  <w:style w:type="paragraph" w:customStyle="1" w:styleId="Table2">
    <w:name w:val="Table 2"/>
    <w:basedOn w:val="Normal"/>
    <w:rsid w:val="00E40ED4"/>
    <w:pPr>
      <w:ind w:left="142" w:hanging="142"/>
    </w:pPr>
    <w:rPr>
      <w:bCs/>
      <w:sz w:val="18"/>
      <w:szCs w:val="20"/>
    </w:rPr>
  </w:style>
  <w:style w:type="paragraph" w:customStyle="1" w:styleId="TableHeading">
    <w:name w:val="Table Heading"/>
    <w:basedOn w:val="Normal"/>
    <w:next w:val="Normal"/>
    <w:rsid w:val="00E40ED4"/>
    <w:pPr>
      <w:tabs>
        <w:tab w:val="left" w:pos="851"/>
      </w:tabs>
      <w:jc w:val="center"/>
    </w:pPr>
    <w:rPr>
      <w:b/>
      <w:sz w:val="20"/>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basedOn w:val="Normal"/>
    <w:link w:val="FootnoteTextChar"/>
    <w:rPr>
      <w:sz w:val="20"/>
      <w:szCs w:val="20"/>
    </w:rPr>
  </w:style>
  <w:style w:type="character" w:styleId="FootnoteReference">
    <w:name w:val="footnote reference"/>
    <w:basedOn w:val="DefaultParagraphFont"/>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customStyle="1" w:styleId="FSBullet1">
    <w:name w:val="FSBullet 1"/>
    <w:basedOn w:val="Normal"/>
    <w:next w:val="Normal"/>
    <w:link w:val="FSBullet1Char"/>
    <w:qFormat/>
    <w:rsid w:val="00944BA4"/>
    <w:pPr>
      <w:widowControl/>
      <w:numPr>
        <w:numId w:val="2"/>
      </w:numPr>
      <w:ind w:left="567" w:hanging="567"/>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rsid w:val="00944BA4"/>
    <w:pPr>
      <w:widowControl/>
      <w:numPr>
        <w:numId w:val="3"/>
      </w:numPr>
      <w:ind w:left="1134" w:hanging="567"/>
    </w:pPr>
    <w:rPr>
      <w:rFonts w:eastAsia="Calibri"/>
      <w:szCs w:val="22"/>
      <w:lang w:bidi="ar-SA"/>
    </w:rPr>
  </w:style>
  <w:style w:type="paragraph" w:customStyle="1" w:styleId="FSBullet3">
    <w:name w:val="FSBullet 3"/>
    <w:basedOn w:val="Normal"/>
    <w:qFormat/>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character" w:customStyle="1" w:styleId="FootnoteTextChar">
    <w:name w:val="Footnote Text Char"/>
    <w:basedOn w:val="DefaultParagraphFont"/>
    <w:link w:val="FootnoteText"/>
    <w:rsid w:val="00F42937"/>
    <w:rPr>
      <w:rFonts w:ascii="Arial" w:hAnsi="Arial"/>
      <w:lang w:eastAsia="en-US" w:bidi="en-US"/>
    </w:rPr>
  </w:style>
  <w:style w:type="paragraph" w:customStyle="1" w:styleId="Default">
    <w:name w:val="Default"/>
    <w:rsid w:val="00B0376A"/>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rsid w:val="00892069"/>
    <w:pPr>
      <w:ind w:left="720"/>
      <w:contextualSpacing/>
    </w:pPr>
  </w:style>
  <w:style w:type="paragraph" w:customStyle="1" w:styleId="FSSubheading">
    <w:name w:val="FS Subheading"/>
    <w:basedOn w:val="Normal"/>
    <w:qFormat/>
    <w:rsid w:val="00964914"/>
    <w:pPr>
      <w:ind w:left="851" w:hanging="851"/>
    </w:pPr>
    <w:rPr>
      <w:b/>
      <w:i/>
      <w:szCs w:val="20"/>
      <w:lang w:bidi="ar-SA"/>
    </w:rPr>
  </w:style>
  <w:style w:type="character" w:customStyle="1" w:styleId="142tabletext1Char">
    <w:name w:val="1.4.2 table text1 Char"/>
    <w:basedOn w:val="DefaultParagraphFont"/>
    <w:link w:val="142tabletext1"/>
    <w:locked/>
    <w:rsid w:val="00680EE6"/>
    <w:rPr>
      <w:rFonts w:ascii="Arial" w:hAnsi="Arial"/>
      <w:lang w:eastAsia="en-US" w:bidi="en-US"/>
    </w:rPr>
  </w:style>
  <w:style w:type="paragraph" w:customStyle="1" w:styleId="ttCrest">
    <w:name w:val="tt_Crest"/>
    <w:basedOn w:val="Normal"/>
    <w:rsid w:val="00020520"/>
    <w:pPr>
      <w:widowControl/>
      <w:spacing w:before="60" w:after="80"/>
    </w:pPr>
    <w:rPr>
      <w:sz w:val="24"/>
      <w:lang w:val="en-AU" w:eastAsia="en-AU" w:bidi="ar-SA"/>
    </w:rPr>
  </w:style>
  <w:style w:type="paragraph" w:customStyle="1" w:styleId="ttAuthorisingAct">
    <w:name w:val="tt_Authorising_Act"/>
    <w:basedOn w:val="Normal"/>
    <w:rsid w:val="00020520"/>
    <w:pPr>
      <w:widowControl/>
      <w:pBdr>
        <w:bottom w:val="single" w:sz="4" w:space="3" w:color="auto"/>
      </w:pBdr>
      <w:spacing w:before="480" w:after="80"/>
    </w:pPr>
    <w:rPr>
      <w:rFonts w:cs="Arial"/>
      <w:i/>
      <w:sz w:val="28"/>
      <w:szCs w:val="28"/>
      <w:lang w:val="en-US" w:eastAsia="en-AU" w:bidi="ar-SA"/>
    </w:rPr>
  </w:style>
  <w:style w:type="paragraph" w:customStyle="1" w:styleId="ttTitleofInstrument">
    <w:name w:val="tt_Title_of_Instrument"/>
    <w:basedOn w:val="Normal"/>
    <w:rsid w:val="00020520"/>
    <w:pPr>
      <w:widowControl/>
      <w:spacing w:before="200" w:after="80"/>
    </w:pPr>
    <w:rPr>
      <w:b/>
      <w:sz w:val="32"/>
      <w:lang w:val="en-AU" w:eastAsia="en-AU" w:bidi="ar-SA"/>
    </w:rPr>
  </w:style>
  <w:style w:type="paragraph" w:customStyle="1" w:styleId="HR">
    <w:name w:val="HR"/>
    <w:aliases w:val="Regulation Heading"/>
    <w:basedOn w:val="Normal"/>
    <w:next w:val="R1"/>
    <w:rsid w:val="00020520"/>
    <w:pPr>
      <w:keepNext/>
      <w:keepLines/>
      <w:widowControl/>
      <w:spacing w:before="360"/>
      <w:ind w:left="964" w:hanging="964"/>
    </w:pPr>
    <w:rPr>
      <w:b/>
      <w:sz w:val="24"/>
      <w:lang w:val="en-AU" w:eastAsia="en-AU" w:bidi="ar-SA"/>
    </w:rPr>
  </w:style>
  <w:style w:type="paragraph" w:customStyle="1" w:styleId="R1">
    <w:name w:val="R1"/>
    <w:aliases w:val="1. or 1.(1)"/>
    <w:basedOn w:val="Normal"/>
    <w:next w:val="Normal"/>
    <w:rsid w:val="00020520"/>
    <w:pPr>
      <w:keepLines/>
      <w:widowControl/>
      <w:tabs>
        <w:tab w:val="right" w:pos="794"/>
      </w:tabs>
      <w:spacing w:before="120" w:line="260" w:lineRule="exact"/>
      <w:ind w:left="964" w:hanging="964"/>
      <w:jc w:val="both"/>
    </w:pPr>
    <w:rPr>
      <w:rFonts w:ascii="Times New Roman" w:hAnsi="Times New Roman"/>
      <w:sz w:val="24"/>
      <w:lang w:val="en-AU" w:eastAsia="en-AU" w:bidi="ar-SA"/>
    </w:rPr>
  </w:style>
  <w:style w:type="paragraph" w:customStyle="1" w:styleId="Schedulereference">
    <w:name w:val="Schedule reference"/>
    <w:basedOn w:val="Normal"/>
    <w:next w:val="Normal"/>
    <w:rsid w:val="00020520"/>
    <w:pPr>
      <w:keepNext/>
      <w:keepLines/>
      <w:widowControl/>
      <w:spacing w:before="60" w:line="200" w:lineRule="exact"/>
      <w:ind w:left="2410"/>
    </w:pPr>
    <w:rPr>
      <w:sz w:val="18"/>
      <w:lang w:val="en-AU" w:eastAsia="en-AU" w:bidi="ar-SA"/>
    </w:rPr>
  </w:style>
  <w:style w:type="paragraph" w:customStyle="1" w:styleId="Scheduletitle">
    <w:name w:val="Schedule title"/>
    <w:basedOn w:val="Normal"/>
    <w:next w:val="Schedulereference"/>
    <w:rsid w:val="00020520"/>
    <w:pPr>
      <w:keepNext/>
      <w:keepLines/>
      <w:widowControl/>
      <w:spacing w:before="480"/>
      <w:ind w:left="2410" w:hanging="2410"/>
    </w:pPr>
    <w:rPr>
      <w:b/>
      <w:sz w:val="32"/>
      <w:lang w:val="en-AU" w:eastAsia="en-AU" w:bidi="ar-SA"/>
    </w:rPr>
  </w:style>
  <w:style w:type="character" w:customStyle="1" w:styleId="ClauseChar">
    <w:name w:val="Clause Char"/>
    <w:basedOn w:val="DefaultParagraphFont"/>
    <w:link w:val="Clause"/>
    <w:rsid w:val="00020520"/>
    <w:rPr>
      <w:rFonts w:ascii="Arial" w:hAnsi="Arial"/>
      <w:lang w:eastAsia="en-US" w:bidi="en-US"/>
    </w:rPr>
  </w:style>
  <w:style w:type="paragraph" w:customStyle="1" w:styleId="tbMRLh3">
    <w:name w:val="tb_MRL_h3"/>
    <w:basedOn w:val="Normal"/>
    <w:rsid w:val="00020520"/>
    <w:pPr>
      <w:keepNext/>
      <w:keepLines/>
      <w:widowControl/>
      <w:pBdr>
        <w:top w:val="single" w:sz="4" w:space="1" w:color="auto"/>
      </w:pBdr>
      <w:tabs>
        <w:tab w:val="left" w:pos="1701"/>
      </w:tabs>
      <w:spacing w:before="300"/>
    </w:pPr>
    <w:rPr>
      <w:rFonts w:cs="Arial"/>
      <w:b/>
      <w:bCs/>
      <w:sz w:val="20"/>
      <w:szCs w:val="22"/>
      <w:lang w:val="en-AU" w:eastAsia="en-AU" w:bidi="ar-SA"/>
    </w:rPr>
  </w:style>
  <w:style w:type="paragraph" w:customStyle="1" w:styleId="tbMRLh4">
    <w:name w:val="tb_MRL_h4"/>
    <w:basedOn w:val="Normal"/>
    <w:rsid w:val="00020520"/>
    <w:pPr>
      <w:keepNext/>
      <w:keepLines/>
      <w:pBdr>
        <w:bottom w:val="single" w:sz="4" w:space="1" w:color="auto"/>
      </w:pBdr>
      <w:tabs>
        <w:tab w:val="left" w:pos="1701"/>
      </w:tabs>
      <w:spacing w:before="60"/>
      <w:jc w:val="center"/>
    </w:pPr>
    <w:rPr>
      <w:rFonts w:cs="Arial"/>
      <w:i/>
      <w:iCs/>
      <w:sz w:val="18"/>
      <w:szCs w:val="22"/>
      <w:lang w:val="en-AU" w:eastAsia="en-AU" w:bidi="ar-SA"/>
    </w:rPr>
  </w:style>
  <w:style w:type="paragraph" w:customStyle="1" w:styleId="tbMRLt1item">
    <w:name w:val="tb_MRL_t1_item"/>
    <w:basedOn w:val="Normal"/>
    <w:rsid w:val="00020520"/>
    <w:pPr>
      <w:keepLines/>
      <w:widowControl/>
      <w:tabs>
        <w:tab w:val="right" w:pos="3969"/>
      </w:tabs>
    </w:pPr>
    <w:rPr>
      <w:rFonts w:ascii="Times New Roman" w:hAnsi="Times New Roman" w:cs="Arial"/>
      <w:iCs/>
      <w:sz w:val="20"/>
      <w:szCs w:val="20"/>
      <w:lang w:val="en-AU" w:eastAsia="en-AU" w:bidi="ar-SA"/>
    </w:rPr>
  </w:style>
  <w:style w:type="paragraph" w:customStyle="1" w:styleId="FSCtblAh3">
    <w:name w:val="FSC_tbl_A_h3"/>
    <w:aliases w:val="tbA_h3"/>
    <w:basedOn w:val="Normal"/>
    <w:next w:val="Normal"/>
    <w:rsid w:val="00BB3F2E"/>
    <w:pPr>
      <w:keepNext/>
      <w:keepLines/>
      <w:widowControl/>
      <w:spacing w:before="60" w:after="60"/>
    </w:pPr>
    <w:rPr>
      <w:rFonts w:cs="Arial"/>
      <w:b/>
      <w:i/>
      <w:sz w:val="18"/>
      <w:szCs w:val="22"/>
      <w:lang w:eastAsia="en-AU" w:bidi="ar-SA"/>
    </w:rPr>
  </w:style>
  <w:style w:type="table" w:customStyle="1" w:styleId="TableGrid1">
    <w:name w:val="Table Grid1"/>
    <w:basedOn w:val="TableNormal"/>
    <w:next w:val="TableGrid"/>
    <w:rsid w:val="00BB3F2E"/>
    <w:rPr>
      <w:rFonts w:ascii="Arial" w:eastAsia="Calibr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caption" w:semiHidden="1" w:unhideWhenUsed="1"/>
    <w:lsdException w:name="Title" w:uiPriority="10"/>
    <w:lsdException w:name="Default Paragraph Font" w:uiPriority="1"/>
    <w:lsdException w:name="Subtitle" w:uiPriority="11"/>
    <w:lsdException w:name="Hyperlink" w:uiPriority="99"/>
    <w:lsdException w:name="Strong" w:uiPriority="22"/>
    <w:lsdException w:name="Emphasis" w:uiPriority="20"/>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37520F"/>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D73931"/>
    <w:pPr>
      <w:keepNext/>
      <w:spacing w:after="240"/>
      <w:ind w:left="851" w:hanging="851"/>
      <w:outlineLvl w:val="0"/>
    </w:pPr>
    <w:rPr>
      <w:b/>
      <w:bCs/>
      <w:sz w:val="36"/>
      <w:szCs w:val="28"/>
      <w:lang w:bidi="ar-SA"/>
    </w:rPr>
  </w:style>
  <w:style w:type="paragraph" w:styleId="Heading2">
    <w:name w:val="heading 2"/>
    <w:aliases w:val="FSHeading 2,Section heading,FS Heading 2"/>
    <w:basedOn w:val="Normal"/>
    <w:next w:val="Normal"/>
    <w:link w:val="Heading2Char"/>
    <w:uiPriority w:val="9"/>
    <w:unhideWhenUsed/>
    <w:qFormat/>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FS Heading 2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qFormat/>
    <w:rsid w:val="00512290"/>
    <w:pPr>
      <w:keepNext/>
      <w:jc w:val="center"/>
    </w:pPr>
    <w:rPr>
      <w:iCs/>
      <w:sz w:val="20"/>
      <w:szCs w:val="20"/>
    </w:rPr>
  </w:style>
  <w:style w:type="paragraph" w:customStyle="1" w:styleId="142tableheading1">
    <w:name w:val="1.4.2 table heading1"/>
    <w:basedOn w:val="142Tableheading2"/>
    <w:qFormat/>
    <w:rsid w:val="00512290"/>
    <w:rPr>
      <w:rFonts w:ascii="Arial Bold" w:hAnsi="Arial Bold"/>
      <w:b/>
      <w:bCs/>
      <w:iCs w:val="0"/>
      <w:smallCaps/>
    </w:rPr>
  </w:style>
  <w:style w:type="paragraph" w:customStyle="1" w:styleId="142tabletext1">
    <w:name w:val="1.4.2 table text1"/>
    <w:basedOn w:val="Normal"/>
    <w:link w:val="142tabletext1Char"/>
    <w:qFormat/>
    <w:rsid w:val="00512290"/>
    <w:pPr>
      <w:ind w:left="142" w:hanging="142"/>
    </w:pPr>
    <w:rPr>
      <w:sz w:val="20"/>
      <w:szCs w:val="20"/>
    </w:rPr>
  </w:style>
  <w:style w:type="paragraph" w:customStyle="1" w:styleId="142tabletext2">
    <w:name w:val="1.4.2 table text2"/>
    <w:basedOn w:val="142tabletext1"/>
    <w:qFormat/>
    <w:pPr>
      <w:jc w:val="right"/>
    </w:pPr>
  </w:style>
  <w:style w:type="paragraph" w:customStyle="1" w:styleId="Clause">
    <w:name w:val="Clause"/>
    <w:basedOn w:val="Normal"/>
    <w:next w:val="Normal"/>
    <w:link w:val="ClauseChar"/>
    <w:qFormat/>
    <w:rsid w:val="00E40ED4"/>
    <w:pPr>
      <w:tabs>
        <w:tab w:val="left" w:pos="851"/>
      </w:tabs>
    </w:pPr>
    <w:rPr>
      <w:sz w:val="20"/>
      <w:szCs w:val="20"/>
    </w:rPr>
  </w:style>
  <w:style w:type="paragraph" w:customStyle="1" w:styleId="Clauseheading">
    <w:name w:val="Clause heading"/>
    <w:basedOn w:val="Normal"/>
    <w:next w:val="Normal"/>
    <w:rsid w:val="00E40ED4"/>
    <w:pPr>
      <w:tabs>
        <w:tab w:val="left" w:pos="851"/>
      </w:tabs>
    </w:pPr>
    <w:rPr>
      <w:b/>
      <w:sz w:val="20"/>
      <w:szCs w:val="20"/>
    </w:rPr>
  </w:style>
  <w:style w:type="paragraph" w:customStyle="1" w:styleId="ClauseList">
    <w:name w:val="Clause List"/>
    <w:basedOn w:val="Clause"/>
    <w:next w:val="Normal"/>
  </w:style>
  <w:style w:type="paragraph" w:customStyle="1" w:styleId="Definition">
    <w:name w:val="Definition"/>
    <w:basedOn w:val="Normal"/>
    <w:next w:val="Normal"/>
    <w:rsid w:val="00E40ED4"/>
    <w:pPr>
      <w:ind w:left="1701" w:hanging="851"/>
    </w:pPr>
    <w:rPr>
      <w:sz w:val="20"/>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rsid w:val="00E40ED4"/>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Pr>
      <w:b w:val="0"/>
    </w:rPr>
  </w:style>
  <w:style w:type="paragraph" w:customStyle="1" w:styleId="Footnote">
    <w:name w:val="Footnote"/>
    <w:basedOn w:val="Normal"/>
    <w:rsid w:val="00E40ED4"/>
    <w:pPr>
      <w:tabs>
        <w:tab w:val="left" w:pos="851"/>
      </w:tabs>
    </w:pPr>
    <w:rPr>
      <w:sz w:val="18"/>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rsid w:val="00E40ED4"/>
    <w:pPr>
      <w:tabs>
        <w:tab w:val="left" w:pos="851"/>
      </w:tabs>
      <w:jc w:val="center"/>
    </w:pPr>
    <w:rPr>
      <w:b/>
      <w:caps/>
      <w:sz w:val="20"/>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rsid w:val="00E40ED4"/>
    <w:pPr>
      <w:spacing w:after="120"/>
      <w:jc w:val="center"/>
    </w:pPr>
    <w:rPr>
      <w:b/>
      <w:bCs/>
      <w:sz w:val="18"/>
      <w:szCs w:val="20"/>
    </w:rPr>
  </w:style>
  <w:style w:type="paragraph" w:customStyle="1" w:styleId="Table2">
    <w:name w:val="Table 2"/>
    <w:basedOn w:val="Normal"/>
    <w:rsid w:val="00E40ED4"/>
    <w:pPr>
      <w:ind w:left="142" w:hanging="142"/>
    </w:pPr>
    <w:rPr>
      <w:bCs/>
      <w:sz w:val="18"/>
      <w:szCs w:val="20"/>
    </w:rPr>
  </w:style>
  <w:style w:type="paragraph" w:customStyle="1" w:styleId="TableHeading">
    <w:name w:val="Table Heading"/>
    <w:basedOn w:val="Normal"/>
    <w:next w:val="Normal"/>
    <w:rsid w:val="00E40ED4"/>
    <w:pPr>
      <w:tabs>
        <w:tab w:val="left" w:pos="851"/>
      </w:tabs>
      <w:jc w:val="center"/>
    </w:pPr>
    <w:rPr>
      <w:b/>
      <w:sz w:val="20"/>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basedOn w:val="Normal"/>
    <w:link w:val="FootnoteTextChar"/>
    <w:rPr>
      <w:sz w:val="20"/>
      <w:szCs w:val="20"/>
    </w:rPr>
  </w:style>
  <w:style w:type="character" w:styleId="FootnoteReference">
    <w:name w:val="footnote reference"/>
    <w:basedOn w:val="DefaultParagraphFont"/>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customStyle="1" w:styleId="FSBullet1">
    <w:name w:val="FSBullet 1"/>
    <w:basedOn w:val="Normal"/>
    <w:next w:val="Normal"/>
    <w:link w:val="FSBullet1Char"/>
    <w:qFormat/>
    <w:rsid w:val="00944BA4"/>
    <w:pPr>
      <w:widowControl/>
      <w:numPr>
        <w:numId w:val="2"/>
      </w:numPr>
      <w:ind w:left="567" w:hanging="567"/>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rsid w:val="00944BA4"/>
    <w:pPr>
      <w:widowControl/>
      <w:numPr>
        <w:numId w:val="3"/>
      </w:numPr>
      <w:ind w:left="1134" w:hanging="567"/>
    </w:pPr>
    <w:rPr>
      <w:rFonts w:eastAsia="Calibri"/>
      <w:szCs w:val="22"/>
      <w:lang w:bidi="ar-SA"/>
    </w:rPr>
  </w:style>
  <w:style w:type="paragraph" w:customStyle="1" w:styleId="FSBullet3">
    <w:name w:val="FSBullet 3"/>
    <w:basedOn w:val="Normal"/>
    <w:qFormat/>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character" w:customStyle="1" w:styleId="FootnoteTextChar">
    <w:name w:val="Footnote Text Char"/>
    <w:basedOn w:val="DefaultParagraphFont"/>
    <w:link w:val="FootnoteText"/>
    <w:rsid w:val="00F42937"/>
    <w:rPr>
      <w:rFonts w:ascii="Arial" w:hAnsi="Arial"/>
      <w:lang w:eastAsia="en-US" w:bidi="en-US"/>
    </w:rPr>
  </w:style>
  <w:style w:type="paragraph" w:customStyle="1" w:styleId="Default">
    <w:name w:val="Default"/>
    <w:rsid w:val="00B0376A"/>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rsid w:val="00892069"/>
    <w:pPr>
      <w:ind w:left="720"/>
      <w:contextualSpacing/>
    </w:pPr>
  </w:style>
  <w:style w:type="paragraph" w:customStyle="1" w:styleId="FSSubheading">
    <w:name w:val="FS Subheading"/>
    <w:basedOn w:val="Normal"/>
    <w:qFormat/>
    <w:rsid w:val="00964914"/>
    <w:pPr>
      <w:ind w:left="851" w:hanging="851"/>
    </w:pPr>
    <w:rPr>
      <w:b/>
      <w:i/>
      <w:szCs w:val="20"/>
      <w:lang w:bidi="ar-SA"/>
    </w:rPr>
  </w:style>
  <w:style w:type="character" w:customStyle="1" w:styleId="142tabletext1Char">
    <w:name w:val="1.4.2 table text1 Char"/>
    <w:basedOn w:val="DefaultParagraphFont"/>
    <w:link w:val="142tabletext1"/>
    <w:locked/>
    <w:rsid w:val="00680EE6"/>
    <w:rPr>
      <w:rFonts w:ascii="Arial" w:hAnsi="Arial"/>
      <w:lang w:eastAsia="en-US" w:bidi="en-US"/>
    </w:rPr>
  </w:style>
  <w:style w:type="paragraph" w:customStyle="1" w:styleId="ttCrest">
    <w:name w:val="tt_Crest"/>
    <w:basedOn w:val="Normal"/>
    <w:rsid w:val="00020520"/>
    <w:pPr>
      <w:widowControl/>
      <w:spacing w:before="60" w:after="80"/>
    </w:pPr>
    <w:rPr>
      <w:sz w:val="24"/>
      <w:lang w:val="en-AU" w:eastAsia="en-AU" w:bidi="ar-SA"/>
    </w:rPr>
  </w:style>
  <w:style w:type="paragraph" w:customStyle="1" w:styleId="ttAuthorisingAct">
    <w:name w:val="tt_Authorising_Act"/>
    <w:basedOn w:val="Normal"/>
    <w:rsid w:val="00020520"/>
    <w:pPr>
      <w:widowControl/>
      <w:pBdr>
        <w:bottom w:val="single" w:sz="4" w:space="3" w:color="auto"/>
      </w:pBdr>
      <w:spacing w:before="480" w:after="80"/>
    </w:pPr>
    <w:rPr>
      <w:rFonts w:cs="Arial"/>
      <w:i/>
      <w:sz w:val="28"/>
      <w:szCs w:val="28"/>
      <w:lang w:val="en-US" w:eastAsia="en-AU" w:bidi="ar-SA"/>
    </w:rPr>
  </w:style>
  <w:style w:type="paragraph" w:customStyle="1" w:styleId="ttTitleofInstrument">
    <w:name w:val="tt_Title_of_Instrument"/>
    <w:basedOn w:val="Normal"/>
    <w:rsid w:val="00020520"/>
    <w:pPr>
      <w:widowControl/>
      <w:spacing w:before="200" w:after="80"/>
    </w:pPr>
    <w:rPr>
      <w:b/>
      <w:sz w:val="32"/>
      <w:lang w:val="en-AU" w:eastAsia="en-AU" w:bidi="ar-SA"/>
    </w:rPr>
  </w:style>
  <w:style w:type="paragraph" w:customStyle="1" w:styleId="HR">
    <w:name w:val="HR"/>
    <w:aliases w:val="Regulation Heading"/>
    <w:basedOn w:val="Normal"/>
    <w:next w:val="R1"/>
    <w:rsid w:val="00020520"/>
    <w:pPr>
      <w:keepNext/>
      <w:keepLines/>
      <w:widowControl/>
      <w:spacing w:before="360"/>
      <w:ind w:left="964" w:hanging="964"/>
    </w:pPr>
    <w:rPr>
      <w:b/>
      <w:sz w:val="24"/>
      <w:lang w:val="en-AU" w:eastAsia="en-AU" w:bidi="ar-SA"/>
    </w:rPr>
  </w:style>
  <w:style w:type="paragraph" w:customStyle="1" w:styleId="R1">
    <w:name w:val="R1"/>
    <w:aliases w:val="1. or 1.(1)"/>
    <w:basedOn w:val="Normal"/>
    <w:next w:val="Normal"/>
    <w:rsid w:val="00020520"/>
    <w:pPr>
      <w:keepLines/>
      <w:widowControl/>
      <w:tabs>
        <w:tab w:val="right" w:pos="794"/>
      </w:tabs>
      <w:spacing w:before="120" w:line="260" w:lineRule="exact"/>
      <w:ind w:left="964" w:hanging="964"/>
      <w:jc w:val="both"/>
    </w:pPr>
    <w:rPr>
      <w:rFonts w:ascii="Times New Roman" w:hAnsi="Times New Roman"/>
      <w:sz w:val="24"/>
      <w:lang w:val="en-AU" w:eastAsia="en-AU" w:bidi="ar-SA"/>
    </w:rPr>
  </w:style>
  <w:style w:type="paragraph" w:customStyle="1" w:styleId="Schedulereference">
    <w:name w:val="Schedule reference"/>
    <w:basedOn w:val="Normal"/>
    <w:next w:val="Normal"/>
    <w:rsid w:val="00020520"/>
    <w:pPr>
      <w:keepNext/>
      <w:keepLines/>
      <w:widowControl/>
      <w:spacing w:before="60" w:line="200" w:lineRule="exact"/>
      <w:ind w:left="2410"/>
    </w:pPr>
    <w:rPr>
      <w:sz w:val="18"/>
      <w:lang w:val="en-AU" w:eastAsia="en-AU" w:bidi="ar-SA"/>
    </w:rPr>
  </w:style>
  <w:style w:type="paragraph" w:customStyle="1" w:styleId="Scheduletitle">
    <w:name w:val="Schedule title"/>
    <w:basedOn w:val="Normal"/>
    <w:next w:val="Schedulereference"/>
    <w:rsid w:val="00020520"/>
    <w:pPr>
      <w:keepNext/>
      <w:keepLines/>
      <w:widowControl/>
      <w:spacing w:before="480"/>
      <w:ind w:left="2410" w:hanging="2410"/>
    </w:pPr>
    <w:rPr>
      <w:b/>
      <w:sz w:val="32"/>
      <w:lang w:val="en-AU" w:eastAsia="en-AU" w:bidi="ar-SA"/>
    </w:rPr>
  </w:style>
  <w:style w:type="character" w:customStyle="1" w:styleId="ClauseChar">
    <w:name w:val="Clause Char"/>
    <w:basedOn w:val="DefaultParagraphFont"/>
    <w:link w:val="Clause"/>
    <w:rsid w:val="00020520"/>
    <w:rPr>
      <w:rFonts w:ascii="Arial" w:hAnsi="Arial"/>
      <w:lang w:eastAsia="en-US" w:bidi="en-US"/>
    </w:rPr>
  </w:style>
  <w:style w:type="paragraph" w:customStyle="1" w:styleId="tbMRLh3">
    <w:name w:val="tb_MRL_h3"/>
    <w:basedOn w:val="Normal"/>
    <w:rsid w:val="00020520"/>
    <w:pPr>
      <w:keepNext/>
      <w:keepLines/>
      <w:widowControl/>
      <w:pBdr>
        <w:top w:val="single" w:sz="4" w:space="1" w:color="auto"/>
      </w:pBdr>
      <w:tabs>
        <w:tab w:val="left" w:pos="1701"/>
      </w:tabs>
      <w:spacing w:before="300"/>
    </w:pPr>
    <w:rPr>
      <w:rFonts w:cs="Arial"/>
      <w:b/>
      <w:bCs/>
      <w:sz w:val="20"/>
      <w:szCs w:val="22"/>
      <w:lang w:val="en-AU" w:eastAsia="en-AU" w:bidi="ar-SA"/>
    </w:rPr>
  </w:style>
  <w:style w:type="paragraph" w:customStyle="1" w:styleId="tbMRLh4">
    <w:name w:val="tb_MRL_h4"/>
    <w:basedOn w:val="Normal"/>
    <w:rsid w:val="00020520"/>
    <w:pPr>
      <w:keepNext/>
      <w:keepLines/>
      <w:pBdr>
        <w:bottom w:val="single" w:sz="4" w:space="1" w:color="auto"/>
      </w:pBdr>
      <w:tabs>
        <w:tab w:val="left" w:pos="1701"/>
      </w:tabs>
      <w:spacing w:before="60"/>
      <w:jc w:val="center"/>
    </w:pPr>
    <w:rPr>
      <w:rFonts w:cs="Arial"/>
      <w:i/>
      <w:iCs/>
      <w:sz w:val="18"/>
      <w:szCs w:val="22"/>
      <w:lang w:val="en-AU" w:eastAsia="en-AU" w:bidi="ar-SA"/>
    </w:rPr>
  </w:style>
  <w:style w:type="paragraph" w:customStyle="1" w:styleId="tbMRLt1item">
    <w:name w:val="tb_MRL_t1_item"/>
    <w:basedOn w:val="Normal"/>
    <w:rsid w:val="00020520"/>
    <w:pPr>
      <w:keepLines/>
      <w:widowControl/>
      <w:tabs>
        <w:tab w:val="right" w:pos="3969"/>
      </w:tabs>
    </w:pPr>
    <w:rPr>
      <w:rFonts w:ascii="Times New Roman" w:hAnsi="Times New Roman" w:cs="Arial"/>
      <w:iCs/>
      <w:sz w:val="20"/>
      <w:szCs w:val="20"/>
      <w:lang w:val="en-AU" w:eastAsia="en-AU" w:bidi="ar-SA"/>
    </w:rPr>
  </w:style>
  <w:style w:type="paragraph" w:customStyle="1" w:styleId="FSCtblAh3">
    <w:name w:val="FSC_tbl_A_h3"/>
    <w:aliases w:val="tbA_h3"/>
    <w:basedOn w:val="Normal"/>
    <w:next w:val="Normal"/>
    <w:rsid w:val="00BB3F2E"/>
    <w:pPr>
      <w:keepNext/>
      <w:keepLines/>
      <w:widowControl/>
      <w:spacing w:before="60" w:after="60"/>
    </w:pPr>
    <w:rPr>
      <w:rFonts w:cs="Arial"/>
      <w:b/>
      <w:i/>
      <w:sz w:val="18"/>
      <w:szCs w:val="22"/>
      <w:lang w:eastAsia="en-AU" w:bidi="ar-SA"/>
    </w:rPr>
  </w:style>
  <w:style w:type="table" w:customStyle="1" w:styleId="TableGrid1">
    <w:name w:val="Table Grid1"/>
    <w:basedOn w:val="TableNormal"/>
    <w:next w:val="TableGrid"/>
    <w:rsid w:val="00BB3F2E"/>
    <w:rPr>
      <w:rFonts w:ascii="Arial" w:eastAsia="Calibr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229113">
      <w:bodyDiv w:val="1"/>
      <w:marLeft w:val="0"/>
      <w:marRight w:val="0"/>
      <w:marTop w:val="0"/>
      <w:marBottom w:val="0"/>
      <w:divBdr>
        <w:top w:val="none" w:sz="0" w:space="0" w:color="auto"/>
        <w:left w:val="none" w:sz="0" w:space="0" w:color="auto"/>
        <w:bottom w:val="none" w:sz="0" w:space="0" w:color="auto"/>
        <w:right w:val="none" w:sz="0" w:space="0" w:color="auto"/>
      </w:divBdr>
    </w:div>
    <w:div w:id="676078497">
      <w:bodyDiv w:val="1"/>
      <w:marLeft w:val="0"/>
      <w:marRight w:val="0"/>
      <w:marTop w:val="0"/>
      <w:marBottom w:val="0"/>
      <w:divBdr>
        <w:top w:val="none" w:sz="0" w:space="0" w:color="auto"/>
        <w:left w:val="none" w:sz="0" w:space="0" w:color="auto"/>
        <w:bottom w:val="none" w:sz="0" w:space="0" w:color="auto"/>
        <w:right w:val="none" w:sz="0" w:space="0" w:color="auto"/>
      </w:divBdr>
    </w:div>
    <w:div w:id="1353340290">
      <w:bodyDiv w:val="1"/>
      <w:marLeft w:val="0"/>
      <w:marRight w:val="0"/>
      <w:marTop w:val="0"/>
      <w:marBottom w:val="0"/>
      <w:divBdr>
        <w:top w:val="none" w:sz="0" w:space="0" w:color="auto"/>
        <w:left w:val="none" w:sz="0" w:space="0" w:color="auto"/>
        <w:bottom w:val="none" w:sz="0" w:space="0" w:color="auto"/>
        <w:right w:val="none" w:sz="0" w:space="0" w:color="auto"/>
      </w:divBdr>
    </w:div>
    <w:div w:id="1378748260">
      <w:bodyDiv w:val="1"/>
      <w:marLeft w:val="0"/>
      <w:marRight w:val="0"/>
      <w:marTop w:val="0"/>
      <w:marBottom w:val="0"/>
      <w:divBdr>
        <w:top w:val="none" w:sz="0" w:space="0" w:color="auto"/>
        <w:left w:val="none" w:sz="0" w:space="0" w:color="auto"/>
        <w:bottom w:val="none" w:sz="0" w:space="0" w:color="auto"/>
        <w:right w:val="none" w:sz="0" w:space="0" w:color="auto"/>
      </w:divBdr>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783068867">
      <w:bodyDiv w:val="1"/>
      <w:marLeft w:val="0"/>
      <w:marRight w:val="0"/>
      <w:marTop w:val="0"/>
      <w:marBottom w:val="0"/>
      <w:divBdr>
        <w:top w:val="none" w:sz="0" w:space="0" w:color="auto"/>
        <w:left w:val="none" w:sz="0" w:space="0" w:color="auto"/>
        <w:bottom w:val="none" w:sz="0" w:space="0" w:color="auto"/>
        <w:right w:val="none" w:sz="0" w:space="0" w:color="auto"/>
      </w:divBdr>
    </w:div>
    <w:div w:id="1885212688">
      <w:bodyDiv w:val="1"/>
      <w:marLeft w:val="0"/>
      <w:marRight w:val="0"/>
      <w:marTop w:val="0"/>
      <w:marBottom w:val="0"/>
      <w:divBdr>
        <w:top w:val="none" w:sz="0" w:space="0" w:color="auto"/>
        <w:left w:val="none" w:sz="0" w:space="0" w:color="auto"/>
        <w:bottom w:val="none" w:sz="0" w:space="0" w:color="auto"/>
        <w:right w:val="none" w:sz="0" w:space="0" w:color="auto"/>
      </w:divBdr>
    </w:div>
    <w:div w:id="1970939263">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 w:id="204887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ubmissions@foodstandards.gov.au" TargetMode="External"/><Relationship Id="rId18" Type="http://schemas.openxmlformats.org/officeDocument/2006/relationships/footer" Target="footer2.xm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yperlink" Target="http://www.foodstandards.gov.au/code/proposals/Pages/M1012-MRLs.aspx" TargetMode="External"/><Relationship Id="rId7" Type="http://schemas.openxmlformats.org/officeDocument/2006/relationships/footnotes" Target="footnotes.xml"/><Relationship Id="rId12" Type="http://schemas.openxmlformats.org/officeDocument/2006/relationships/hyperlink" Target="http://www.foodstandards.gov.au/code/changes/Pages/Documents-for-public-comment.aspx"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oodstandards.gov.au/code/changes/submission/Pages/default.aspx"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image" Target="media/image2.png"/><Relationship Id="rId28" Type="http://schemas.openxmlformats.org/officeDocument/2006/relationships/customXml" Target="../customXml/item4.xml"/><Relationship Id="rId10" Type="http://schemas.openxmlformats.org/officeDocument/2006/relationships/hyperlink" Target="http://www.foodstandards.gov.au/code/changes/submission/Pages/default.aspx"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standards.management@foodstandards.gov.au" TargetMode="External"/><Relationship Id="rId22" Type="http://schemas.openxmlformats.org/officeDocument/2006/relationships/hyperlink" Target="http://www.foodsafety.govt.nz/industry/sectors/plant-products/pesticide-mrl/" TargetMode="External"/><Relationship Id="rId27"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www.foodstandards.gov.au/code/proposals/Pages/proposalp1025coderev5755.aspx" TargetMode="External"/><Relationship Id="rId1" Type="http://schemas.openxmlformats.org/officeDocument/2006/relationships/hyperlink" Target="http://apvma.gov.au/node/108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FECE88-6B1F-4D7F-A2B7-F1B821340176}"/>
</file>

<file path=customXml/itemProps2.xml><?xml version="1.0" encoding="utf-8"?>
<ds:datastoreItem xmlns:ds="http://schemas.openxmlformats.org/officeDocument/2006/customXml" ds:itemID="{94ABD8D9-B2B3-45C7-AB5E-3556741ED0E7}"/>
</file>

<file path=customXml/itemProps3.xml><?xml version="1.0" encoding="utf-8"?>
<ds:datastoreItem xmlns:ds="http://schemas.openxmlformats.org/officeDocument/2006/customXml" ds:itemID="{8D994FEF-3FC9-49A9-8528-35046ACE1C16}"/>
</file>

<file path=customXml/itemProps4.xml><?xml version="1.0" encoding="utf-8"?>
<ds:datastoreItem xmlns:ds="http://schemas.openxmlformats.org/officeDocument/2006/customXml" ds:itemID="{AC0FB101-DDA6-4BCF-A5E5-2368DC54FD34}"/>
</file>

<file path=docProps/app.xml><?xml version="1.0" encoding="utf-8"?>
<Properties xmlns="http://schemas.openxmlformats.org/officeDocument/2006/extended-properties" xmlns:vt="http://schemas.openxmlformats.org/officeDocument/2006/docPropsVTypes">
  <Template>Normal</Template>
  <TotalTime>0</TotalTime>
  <Pages>1</Pages>
  <Words>4387</Words>
  <Characters>25007</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29336</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M1012-CFS</dc:title>
  <dc:creator/>
  <cp:lastModifiedBy/>
  <cp:revision>1</cp:revision>
  <dcterms:created xsi:type="dcterms:W3CDTF">2015-05-21T04:25:00Z</dcterms:created>
  <dcterms:modified xsi:type="dcterms:W3CDTF">2015-05-21T04:26:00Z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0x010100FB86A4CA77FAD24FB4C8632D8CBF0C4A</vt:lpwstr>
  </property>
</Properties>
</file>