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88D" w:rsidRDefault="00772BDC" w:rsidP="00CA5734">
      <w:pPr>
        <w:rPr>
          <w:rFonts w:cs="Arial"/>
        </w:rPr>
      </w:pPr>
      <w:r>
        <w:rPr>
          <w:rFonts w:cs="Arial"/>
          <w:noProof/>
          <w:lang w:eastAsia="en-GB" w:bidi="ar-SA"/>
        </w:rPr>
        <w:drawing>
          <wp:inline distT="0" distB="0" distL="0" distR="0" wp14:anchorId="142AE882" wp14:editId="4D268384">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9"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bookmarkStart w:id="0" w:name="_GoBack"/>
      <w:bookmarkEnd w:id="0"/>
    </w:p>
    <w:p w:rsidR="00F979CE" w:rsidRPr="00A671E6" w:rsidRDefault="00F979CE" w:rsidP="00F979CE">
      <w:pPr>
        <w:rPr>
          <w:color w:val="FF0000"/>
        </w:rPr>
      </w:pPr>
    </w:p>
    <w:p w:rsidR="00A87FBE" w:rsidRPr="00A87FBE" w:rsidRDefault="00A87FBE" w:rsidP="00A87FBE">
      <w:pPr>
        <w:widowControl/>
        <w:rPr>
          <w:b/>
          <w:sz w:val="28"/>
          <w:szCs w:val="28"/>
          <w:lang w:bidi="ar-SA"/>
        </w:rPr>
      </w:pPr>
      <w:r w:rsidRPr="00A87FBE">
        <w:rPr>
          <w:b/>
          <w:sz w:val="28"/>
          <w:szCs w:val="28"/>
          <w:lang w:bidi="ar-SA"/>
        </w:rPr>
        <w:t>8 October 2013</w:t>
      </w:r>
    </w:p>
    <w:p w:rsidR="00A87FBE" w:rsidRPr="00A87FBE" w:rsidRDefault="00A87FBE" w:rsidP="00A87FBE">
      <w:pPr>
        <w:widowControl/>
        <w:rPr>
          <w:b/>
          <w:sz w:val="28"/>
          <w:szCs w:val="28"/>
          <w:lang w:bidi="ar-SA"/>
        </w:rPr>
      </w:pPr>
      <w:r w:rsidRPr="00A87FBE">
        <w:rPr>
          <w:b/>
          <w:sz w:val="28"/>
          <w:szCs w:val="28"/>
          <w:lang w:bidi="ar-SA"/>
        </w:rPr>
        <w:t>[19-13]</w:t>
      </w:r>
    </w:p>
    <w:p w:rsidR="00F979CE" w:rsidRPr="00A671E6" w:rsidRDefault="00F979CE" w:rsidP="00F979CE"/>
    <w:p w:rsidR="0012388D" w:rsidRPr="005C3518" w:rsidRDefault="00101907" w:rsidP="00967125">
      <w:pPr>
        <w:pStyle w:val="FSTitle"/>
        <w:rPr>
          <w:b/>
        </w:rPr>
      </w:pPr>
      <w:bookmarkStart w:id="1" w:name="_Toc301535565"/>
      <w:r>
        <w:rPr>
          <w:b/>
        </w:rPr>
        <w:t>Abandonment Report</w:t>
      </w:r>
      <w:r w:rsidR="008844E4" w:rsidRPr="005C3518">
        <w:rPr>
          <w:b/>
        </w:rPr>
        <w:t xml:space="preserve"> –</w:t>
      </w:r>
      <w:r w:rsidR="00291D12">
        <w:rPr>
          <w:b/>
        </w:rPr>
        <w:t xml:space="preserve"> </w:t>
      </w:r>
      <w:r w:rsidR="00CA5734" w:rsidRPr="005C3518">
        <w:rPr>
          <w:b/>
        </w:rPr>
        <w:t>P</w:t>
      </w:r>
      <w:r w:rsidR="008844E4" w:rsidRPr="005C3518">
        <w:rPr>
          <w:b/>
        </w:rPr>
        <w:t>r</w:t>
      </w:r>
      <w:r w:rsidR="00967125" w:rsidRPr="005C3518">
        <w:rPr>
          <w:b/>
        </w:rPr>
        <w:t>o</w:t>
      </w:r>
      <w:r w:rsidR="008844E4" w:rsidRPr="005C3518">
        <w:rPr>
          <w:b/>
        </w:rPr>
        <w:t>posal</w:t>
      </w:r>
      <w:r w:rsidR="00CA5734" w:rsidRPr="005C3518">
        <w:rPr>
          <w:b/>
        </w:rPr>
        <w:t xml:space="preserve"> P</w:t>
      </w:r>
      <w:r w:rsidR="00FA4983" w:rsidRPr="005C3518">
        <w:rPr>
          <w:b/>
        </w:rPr>
        <w:t>1005</w:t>
      </w:r>
      <w:bookmarkEnd w:id="1"/>
    </w:p>
    <w:p w:rsidR="003A7B84" w:rsidRPr="005C3518" w:rsidRDefault="003A7B84" w:rsidP="00C61AF0"/>
    <w:p w:rsidR="0012388D" w:rsidRPr="005C3518" w:rsidRDefault="00FA4983" w:rsidP="00967125">
      <w:pPr>
        <w:pStyle w:val="FSTitle"/>
      </w:pPr>
      <w:bookmarkStart w:id="2" w:name="_Toc301535566"/>
      <w:r w:rsidRPr="005C3518">
        <w:t>Primary Production &amp; Processing Standard for Meat &amp; Meat Products</w:t>
      </w:r>
      <w:bookmarkEnd w:id="2"/>
    </w:p>
    <w:p w:rsidR="003A7B84" w:rsidRPr="00DB74E5" w:rsidRDefault="003A7B84" w:rsidP="003A7B84">
      <w:pPr>
        <w:pBdr>
          <w:bottom w:val="single" w:sz="12" w:space="1" w:color="auto"/>
        </w:pBdr>
        <w:spacing w:line="280" w:lineRule="exact"/>
        <w:rPr>
          <w:rFonts w:cs="Arial"/>
          <w:bCs/>
        </w:rPr>
      </w:pPr>
    </w:p>
    <w:p w:rsidR="00F979CE" w:rsidRPr="00DB74E5" w:rsidRDefault="00F979CE" w:rsidP="00D33B41"/>
    <w:p w:rsidR="00EB6590" w:rsidRPr="00FA4983" w:rsidRDefault="000F3CFE" w:rsidP="00CA5734">
      <w:r w:rsidRPr="00FA4983">
        <w:rPr>
          <w:szCs w:val="22"/>
        </w:rPr>
        <w:t xml:space="preserve">Food Standards Australia New Zealand (FSANZ) </w:t>
      </w:r>
      <w:r w:rsidR="00DC546A">
        <w:rPr>
          <w:szCs w:val="22"/>
        </w:rPr>
        <w:t xml:space="preserve">prepared </w:t>
      </w:r>
      <w:r w:rsidR="00CA5734" w:rsidRPr="00FA4983">
        <w:rPr>
          <w:szCs w:val="22"/>
        </w:rPr>
        <w:t>a proposal</w:t>
      </w:r>
      <w:r w:rsidR="00081B0A" w:rsidRPr="00FA4983">
        <w:rPr>
          <w:szCs w:val="22"/>
        </w:rPr>
        <w:t xml:space="preserve"> </w:t>
      </w:r>
      <w:r w:rsidR="00CA5734" w:rsidRPr="00FA4983">
        <w:rPr>
          <w:szCs w:val="22"/>
        </w:rPr>
        <w:t>to</w:t>
      </w:r>
      <w:r w:rsidR="00081B0A" w:rsidRPr="00FA4983">
        <w:rPr>
          <w:szCs w:val="22"/>
        </w:rPr>
        <w:t xml:space="preserve"> </w:t>
      </w:r>
      <w:r w:rsidR="00FA4983" w:rsidRPr="00FA4983">
        <w:rPr>
          <w:rFonts w:cs="Arial"/>
          <w:szCs w:val="22"/>
        </w:rPr>
        <w:t>develop a national food safety standard covering meat and meat products from farmed cattle, pigs, sheep and goats, harvested goats and rendered products</w:t>
      </w:r>
      <w:r w:rsidR="00081B0A" w:rsidRPr="00FA4983">
        <w:t>.</w:t>
      </w:r>
    </w:p>
    <w:p w:rsidR="006200D9" w:rsidRPr="00FA4983" w:rsidRDefault="006200D9" w:rsidP="006200D9"/>
    <w:p w:rsidR="006200D9" w:rsidRPr="00FA4983" w:rsidRDefault="006200D9" w:rsidP="006200D9">
      <w:pPr>
        <w:rPr>
          <w:i/>
        </w:rPr>
      </w:pPr>
      <w:r w:rsidRPr="00FA4983">
        <w:t xml:space="preserve">Pursuant to </w:t>
      </w:r>
      <w:r w:rsidR="00101907">
        <w:t>subsection 56(1)</w:t>
      </w:r>
      <w:r w:rsidRPr="00FA4983">
        <w:t xml:space="preserve"> of the </w:t>
      </w:r>
      <w:r w:rsidRPr="00FA4983">
        <w:rPr>
          <w:i/>
        </w:rPr>
        <w:t>Food Standards Australia New Zealand Act 1991</w:t>
      </w:r>
      <w:r w:rsidRPr="00FA4983">
        <w:t xml:space="preserve"> (the FSANZ Act), FSANZ has abandoned the Proposal.</w:t>
      </w:r>
      <w:r w:rsidRPr="00FA4983">
        <w:rPr>
          <w:i/>
        </w:rPr>
        <w:t xml:space="preserve"> </w:t>
      </w:r>
      <w:r w:rsidR="00B4291C" w:rsidRPr="00FA4983">
        <w:t>Information on the reasons for FSANZ’s decision is contained in this Report.</w:t>
      </w:r>
    </w:p>
    <w:p w:rsidR="00D33B41" w:rsidRDefault="00D33B41" w:rsidP="006200D9"/>
    <w:p w:rsidR="008F52E5" w:rsidRPr="008F52E5" w:rsidRDefault="008F52E5" w:rsidP="008F52E5">
      <w:r w:rsidRPr="008F52E5">
        <w:t>Information about rights for a review of this decision is provided in this report and in Part 6 of the FSANZ Act.</w:t>
      </w:r>
    </w:p>
    <w:p w:rsidR="008F52E5" w:rsidRPr="008F52E5" w:rsidRDefault="008F52E5" w:rsidP="006200D9"/>
    <w:p w:rsidR="008844E4" w:rsidRDefault="008844E4" w:rsidP="00F4235C">
      <w:pPr>
        <w:sectPr w:rsidR="008844E4" w:rsidSect="00A87FBE">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134" w:left="1418" w:header="709" w:footer="709" w:gutter="0"/>
          <w:pgNumType w:fmt="lowerRoman" w:start="1"/>
          <w:cols w:space="708"/>
          <w:docGrid w:linePitch="360"/>
        </w:sectPr>
      </w:pPr>
      <w:bookmarkStart w:id="3" w:name="_Toc301535568"/>
    </w:p>
    <w:bookmarkEnd w:id="3"/>
    <w:p w:rsidR="006837FE" w:rsidRPr="00B96C59" w:rsidRDefault="006837FE" w:rsidP="00B96C59">
      <w:pPr>
        <w:jc w:val="center"/>
        <w:rPr>
          <w:sz w:val="28"/>
          <w:szCs w:val="28"/>
        </w:rPr>
      </w:pPr>
      <w:r w:rsidRPr="00B96C59">
        <w:rPr>
          <w:sz w:val="28"/>
          <w:szCs w:val="28"/>
        </w:rPr>
        <w:lastRenderedPageBreak/>
        <w:t>Table of Contents</w:t>
      </w:r>
    </w:p>
    <w:p w:rsidR="0012388D" w:rsidRPr="00A87FBE" w:rsidRDefault="0012388D" w:rsidP="00CA5734">
      <w:pPr>
        <w:rPr>
          <w:rFonts w:cs="Arial"/>
        </w:rPr>
      </w:pPr>
    </w:p>
    <w:p w:rsidR="007E71C7" w:rsidRPr="00A87FBE" w:rsidRDefault="00284453">
      <w:pPr>
        <w:pStyle w:val="TOC1"/>
        <w:tabs>
          <w:tab w:val="left" w:pos="440"/>
          <w:tab w:val="right" w:leader="dot" w:pos="9016"/>
        </w:tabs>
        <w:rPr>
          <w:rFonts w:ascii="Arial" w:eastAsiaTheme="minorEastAsia" w:hAnsi="Arial" w:cs="Arial"/>
          <w:b w:val="0"/>
          <w:bCs w:val="0"/>
          <w:caps w:val="0"/>
          <w:noProof/>
          <w:sz w:val="22"/>
          <w:szCs w:val="22"/>
          <w:lang w:eastAsia="en-GB" w:bidi="ar-SA"/>
        </w:rPr>
      </w:pPr>
      <w:r w:rsidRPr="00A87FBE">
        <w:rPr>
          <w:rFonts w:ascii="Arial" w:hAnsi="Arial" w:cs="Arial"/>
          <w:b w:val="0"/>
          <w:bCs w:val="0"/>
          <w:caps w:val="0"/>
          <w:smallCaps/>
        </w:rPr>
        <w:fldChar w:fldCharType="begin"/>
      </w:r>
      <w:r w:rsidRPr="00A87FBE">
        <w:rPr>
          <w:rFonts w:ascii="Arial" w:hAnsi="Arial" w:cs="Arial"/>
          <w:b w:val="0"/>
          <w:bCs w:val="0"/>
          <w:caps w:val="0"/>
          <w:smallCaps/>
        </w:rPr>
        <w:instrText xml:space="preserve"> TOC \o "1-3" \h \z \u </w:instrText>
      </w:r>
      <w:r w:rsidRPr="00A87FBE">
        <w:rPr>
          <w:rFonts w:ascii="Arial" w:hAnsi="Arial" w:cs="Arial"/>
          <w:b w:val="0"/>
          <w:bCs w:val="0"/>
          <w:caps w:val="0"/>
          <w:smallCaps/>
        </w:rPr>
        <w:fldChar w:fldCharType="separate"/>
      </w:r>
      <w:hyperlink w:anchor="_Toc366587849" w:history="1">
        <w:r w:rsidR="007E71C7" w:rsidRPr="00A87FBE">
          <w:rPr>
            <w:rStyle w:val="Hyperlink"/>
            <w:rFonts w:cs="Arial"/>
            <w:noProof/>
          </w:rPr>
          <w:t>1.</w:t>
        </w:r>
        <w:r w:rsidR="007E71C7" w:rsidRPr="00A87FBE">
          <w:rPr>
            <w:rFonts w:ascii="Arial" w:eastAsiaTheme="minorEastAsia" w:hAnsi="Arial" w:cs="Arial"/>
            <w:b w:val="0"/>
            <w:bCs w:val="0"/>
            <w:caps w:val="0"/>
            <w:noProof/>
            <w:sz w:val="22"/>
            <w:szCs w:val="22"/>
            <w:lang w:eastAsia="en-GB" w:bidi="ar-SA"/>
          </w:rPr>
          <w:tab/>
        </w:r>
        <w:r w:rsidR="007E71C7" w:rsidRPr="00A87FBE">
          <w:rPr>
            <w:rStyle w:val="Hyperlink"/>
            <w:rFonts w:cs="Arial"/>
            <w:noProof/>
          </w:rPr>
          <w:t>Executive summary</w:t>
        </w:r>
        <w:r w:rsidR="007E71C7" w:rsidRPr="00A87FBE">
          <w:rPr>
            <w:rFonts w:ascii="Arial" w:hAnsi="Arial" w:cs="Arial"/>
            <w:noProof/>
            <w:webHidden/>
          </w:rPr>
          <w:tab/>
        </w:r>
        <w:r w:rsidR="007E71C7" w:rsidRPr="00A87FBE">
          <w:rPr>
            <w:rFonts w:ascii="Arial" w:hAnsi="Arial" w:cs="Arial"/>
            <w:noProof/>
            <w:webHidden/>
          </w:rPr>
          <w:fldChar w:fldCharType="begin"/>
        </w:r>
        <w:r w:rsidR="007E71C7" w:rsidRPr="00A87FBE">
          <w:rPr>
            <w:rFonts w:ascii="Arial" w:hAnsi="Arial" w:cs="Arial"/>
            <w:noProof/>
            <w:webHidden/>
          </w:rPr>
          <w:instrText xml:space="preserve"> PAGEREF _Toc366587849 \h </w:instrText>
        </w:r>
        <w:r w:rsidR="007E71C7" w:rsidRPr="00A87FBE">
          <w:rPr>
            <w:rFonts w:ascii="Arial" w:hAnsi="Arial" w:cs="Arial"/>
            <w:noProof/>
            <w:webHidden/>
          </w:rPr>
        </w:r>
        <w:r w:rsidR="007E71C7" w:rsidRPr="00A87FBE">
          <w:rPr>
            <w:rFonts w:ascii="Arial" w:hAnsi="Arial" w:cs="Arial"/>
            <w:noProof/>
            <w:webHidden/>
          </w:rPr>
          <w:fldChar w:fldCharType="separate"/>
        </w:r>
        <w:r w:rsidR="00720AC3">
          <w:rPr>
            <w:rFonts w:ascii="Arial" w:hAnsi="Arial" w:cs="Arial"/>
            <w:noProof/>
            <w:webHidden/>
          </w:rPr>
          <w:t>2</w:t>
        </w:r>
        <w:r w:rsidR="007E71C7" w:rsidRPr="00A87FBE">
          <w:rPr>
            <w:rFonts w:ascii="Arial" w:hAnsi="Arial" w:cs="Arial"/>
            <w:noProof/>
            <w:webHidden/>
          </w:rPr>
          <w:fldChar w:fldCharType="end"/>
        </w:r>
      </w:hyperlink>
    </w:p>
    <w:p w:rsidR="007E71C7" w:rsidRPr="00A87FBE" w:rsidRDefault="00720AC3">
      <w:pPr>
        <w:pStyle w:val="TOC1"/>
        <w:tabs>
          <w:tab w:val="left" w:pos="440"/>
          <w:tab w:val="right" w:leader="dot" w:pos="9016"/>
        </w:tabs>
        <w:rPr>
          <w:rFonts w:ascii="Arial" w:eastAsiaTheme="minorEastAsia" w:hAnsi="Arial" w:cs="Arial"/>
          <w:b w:val="0"/>
          <w:bCs w:val="0"/>
          <w:caps w:val="0"/>
          <w:noProof/>
          <w:sz w:val="22"/>
          <w:szCs w:val="22"/>
          <w:lang w:eastAsia="en-GB" w:bidi="ar-SA"/>
        </w:rPr>
      </w:pPr>
      <w:hyperlink w:anchor="_Toc366587850" w:history="1">
        <w:r w:rsidR="007E71C7" w:rsidRPr="00A87FBE">
          <w:rPr>
            <w:rStyle w:val="Hyperlink"/>
            <w:rFonts w:cs="Arial"/>
            <w:noProof/>
          </w:rPr>
          <w:t>2.</w:t>
        </w:r>
        <w:r w:rsidR="007E71C7" w:rsidRPr="00A87FBE">
          <w:rPr>
            <w:rFonts w:ascii="Arial" w:eastAsiaTheme="minorEastAsia" w:hAnsi="Arial" w:cs="Arial"/>
            <w:b w:val="0"/>
            <w:bCs w:val="0"/>
            <w:caps w:val="0"/>
            <w:noProof/>
            <w:sz w:val="22"/>
            <w:szCs w:val="22"/>
            <w:lang w:eastAsia="en-GB" w:bidi="ar-SA"/>
          </w:rPr>
          <w:tab/>
        </w:r>
        <w:r w:rsidR="007E71C7" w:rsidRPr="00A87FBE">
          <w:rPr>
            <w:rStyle w:val="Hyperlink"/>
            <w:rFonts w:cs="Arial"/>
            <w:noProof/>
          </w:rPr>
          <w:t>Introduction</w:t>
        </w:r>
        <w:r w:rsidR="007E71C7" w:rsidRPr="00A87FBE">
          <w:rPr>
            <w:rFonts w:ascii="Arial" w:hAnsi="Arial" w:cs="Arial"/>
            <w:noProof/>
            <w:webHidden/>
          </w:rPr>
          <w:tab/>
        </w:r>
        <w:r w:rsidR="007E71C7" w:rsidRPr="00A87FBE">
          <w:rPr>
            <w:rFonts w:ascii="Arial" w:hAnsi="Arial" w:cs="Arial"/>
            <w:noProof/>
            <w:webHidden/>
          </w:rPr>
          <w:fldChar w:fldCharType="begin"/>
        </w:r>
        <w:r w:rsidR="007E71C7" w:rsidRPr="00A87FBE">
          <w:rPr>
            <w:rFonts w:ascii="Arial" w:hAnsi="Arial" w:cs="Arial"/>
            <w:noProof/>
            <w:webHidden/>
          </w:rPr>
          <w:instrText xml:space="preserve"> PAGEREF _Toc366587850 \h </w:instrText>
        </w:r>
        <w:r w:rsidR="007E71C7" w:rsidRPr="00A87FBE">
          <w:rPr>
            <w:rFonts w:ascii="Arial" w:hAnsi="Arial" w:cs="Arial"/>
            <w:noProof/>
            <w:webHidden/>
          </w:rPr>
        </w:r>
        <w:r w:rsidR="007E71C7" w:rsidRPr="00A87FBE">
          <w:rPr>
            <w:rFonts w:ascii="Arial" w:hAnsi="Arial" w:cs="Arial"/>
            <w:noProof/>
            <w:webHidden/>
          </w:rPr>
          <w:fldChar w:fldCharType="separate"/>
        </w:r>
        <w:r>
          <w:rPr>
            <w:rFonts w:ascii="Arial" w:hAnsi="Arial" w:cs="Arial"/>
            <w:noProof/>
            <w:webHidden/>
          </w:rPr>
          <w:t>3</w:t>
        </w:r>
        <w:r w:rsidR="007E71C7" w:rsidRPr="00A87FBE">
          <w:rPr>
            <w:rFonts w:ascii="Arial" w:hAnsi="Arial" w:cs="Arial"/>
            <w:noProof/>
            <w:webHidden/>
          </w:rPr>
          <w:fldChar w:fldCharType="end"/>
        </w:r>
      </w:hyperlink>
    </w:p>
    <w:p w:rsidR="007E71C7" w:rsidRPr="00A87FBE" w:rsidRDefault="00720AC3">
      <w:pPr>
        <w:pStyle w:val="TOC2"/>
        <w:tabs>
          <w:tab w:val="left" w:pos="880"/>
          <w:tab w:val="right" w:leader="dot" w:pos="9016"/>
        </w:tabs>
        <w:rPr>
          <w:rFonts w:ascii="Arial" w:eastAsiaTheme="minorEastAsia" w:hAnsi="Arial" w:cs="Arial"/>
          <w:smallCaps w:val="0"/>
          <w:noProof/>
          <w:sz w:val="22"/>
          <w:szCs w:val="22"/>
          <w:lang w:eastAsia="en-GB" w:bidi="ar-SA"/>
        </w:rPr>
      </w:pPr>
      <w:hyperlink w:anchor="_Toc366587851" w:history="1">
        <w:r w:rsidR="007E71C7" w:rsidRPr="00A87FBE">
          <w:rPr>
            <w:rStyle w:val="Hyperlink"/>
            <w:rFonts w:cs="Arial"/>
            <w:noProof/>
          </w:rPr>
          <w:t>2.1</w:t>
        </w:r>
        <w:r w:rsidR="007E71C7" w:rsidRPr="00A87FBE">
          <w:rPr>
            <w:rFonts w:ascii="Arial" w:eastAsiaTheme="minorEastAsia" w:hAnsi="Arial" w:cs="Arial"/>
            <w:smallCaps w:val="0"/>
            <w:noProof/>
            <w:sz w:val="22"/>
            <w:szCs w:val="22"/>
            <w:lang w:eastAsia="en-GB" w:bidi="ar-SA"/>
          </w:rPr>
          <w:tab/>
        </w:r>
        <w:r w:rsidR="007E71C7" w:rsidRPr="00A87FBE">
          <w:rPr>
            <w:rStyle w:val="Hyperlink"/>
            <w:rFonts w:cs="Arial"/>
            <w:noProof/>
          </w:rPr>
          <w:t>The Proposal</w:t>
        </w:r>
        <w:r w:rsidR="007E71C7" w:rsidRPr="00A87FBE">
          <w:rPr>
            <w:rFonts w:ascii="Arial" w:hAnsi="Arial" w:cs="Arial"/>
            <w:noProof/>
            <w:webHidden/>
          </w:rPr>
          <w:tab/>
        </w:r>
        <w:r w:rsidR="007E71C7" w:rsidRPr="00A87FBE">
          <w:rPr>
            <w:rFonts w:ascii="Arial" w:hAnsi="Arial" w:cs="Arial"/>
            <w:noProof/>
            <w:webHidden/>
          </w:rPr>
          <w:fldChar w:fldCharType="begin"/>
        </w:r>
        <w:r w:rsidR="007E71C7" w:rsidRPr="00A87FBE">
          <w:rPr>
            <w:rFonts w:ascii="Arial" w:hAnsi="Arial" w:cs="Arial"/>
            <w:noProof/>
            <w:webHidden/>
          </w:rPr>
          <w:instrText xml:space="preserve"> PAGEREF _Toc366587851 \h </w:instrText>
        </w:r>
        <w:r w:rsidR="007E71C7" w:rsidRPr="00A87FBE">
          <w:rPr>
            <w:rFonts w:ascii="Arial" w:hAnsi="Arial" w:cs="Arial"/>
            <w:noProof/>
            <w:webHidden/>
          </w:rPr>
        </w:r>
        <w:r w:rsidR="007E71C7" w:rsidRPr="00A87FBE">
          <w:rPr>
            <w:rFonts w:ascii="Arial" w:hAnsi="Arial" w:cs="Arial"/>
            <w:noProof/>
            <w:webHidden/>
          </w:rPr>
          <w:fldChar w:fldCharType="separate"/>
        </w:r>
        <w:r>
          <w:rPr>
            <w:rFonts w:ascii="Arial" w:hAnsi="Arial" w:cs="Arial"/>
            <w:noProof/>
            <w:webHidden/>
          </w:rPr>
          <w:t>3</w:t>
        </w:r>
        <w:r w:rsidR="007E71C7" w:rsidRPr="00A87FBE">
          <w:rPr>
            <w:rFonts w:ascii="Arial" w:hAnsi="Arial" w:cs="Arial"/>
            <w:noProof/>
            <w:webHidden/>
          </w:rPr>
          <w:fldChar w:fldCharType="end"/>
        </w:r>
      </w:hyperlink>
    </w:p>
    <w:p w:rsidR="007E71C7" w:rsidRPr="00A87FBE" w:rsidRDefault="00720AC3">
      <w:pPr>
        <w:pStyle w:val="TOC2"/>
        <w:tabs>
          <w:tab w:val="left" w:pos="880"/>
          <w:tab w:val="right" w:leader="dot" w:pos="9016"/>
        </w:tabs>
        <w:rPr>
          <w:rFonts w:ascii="Arial" w:eastAsiaTheme="minorEastAsia" w:hAnsi="Arial" w:cs="Arial"/>
          <w:smallCaps w:val="0"/>
          <w:noProof/>
          <w:sz w:val="22"/>
          <w:szCs w:val="22"/>
          <w:lang w:eastAsia="en-GB" w:bidi="ar-SA"/>
        </w:rPr>
      </w:pPr>
      <w:hyperlink w:anchor="_Toc366587852" w:history="1">
        <w:r w:rsidR="007E71C7" w:rsidRPr="00A87FBE">
          <w:rPr>
            <w:rStyle w:val="Hyperlink"/>
            <w:rFonts w:cs="Arial"/>
            <w:noProof/>
          </w:rPr>
          <w:t>2.2</w:t>
        </w:r>
        <w:r w:rsidR="007E71C7" w:rsidRPr="00A87FBE">
          <w:rPr>
            <w:rFonts w:ascii="Arial" w:eastAsiaTheme="minorEastAsia" w:hAnsi="Arial" w:cs="Arial"/>
            <w:smallCaps w:val="0"/>
            <w:noProof/>
            <w:sz w:val="22"/>
            <w:szCs w:val="22"/>
            <w:lang w:eastAsia="en-GB" w:bidi="ar-SA"/>
          </w:rPr>
          <w:tab/>
        </w:r>
        <w:r w:rsidR="007E71C7" w:rsidRPr="00A87FBE">
          <w:rPr>
            <w:rStyle w:val="Hyperlink"/>
            <w:rFonts w:cs="Arial"/>
            <w:noProof/>
          </w:rPr>
          <w:t>The current Standard</w:t>
        </w:r>
        <w:r w:rsidR="007E71C7" w:rsidRPr="00A87FBE">
          <w:rPr>
            <w:rFonts w:ascii="Arial" w:hAnsi="Arial" w:cs="Arial"/>
            <w:noProof/>
            <w:webHidden/>
          </w:rPr>
          <w:tab/>
        </w:r>
        <w:r w:rsidR="007E71C7" w:rsidRPr="00A87FBE">
          <w:rPr>
            <w:rFonts w:ascii="Arial" w:hAnsi="Arial" w:cs="Arial"/>
            <w:noProof/>
            <w:webHidden/>
          </w:rPr>
          <w:fldChar w:fldCharType="begin"/>
        </w:r>
        <w:r w:rsidR="007E71C7" w:rsidRPr="00A87FBE">
          <w:rPr>
            <w:rFonts w:ascii="Arial" w:hAnsi="Arial" w:cs="Arial"/>
            <w:noProof/>
            <w:webHidden/>
          </w:rPr>
          <w:instrText xml:space="preserve"> PAGEREF _Toc366587852 \h </w:instrText>
        </w:r>
        <w:r w:rsidR="007E71C7" w:rsidRPr="00A87FBE">
          <w:rPr>
            <w:rFonts w:ascii="Arial" w:hAnsi="Arial" w:cs="Arial"/>
            <w:noProof/>
            <w:webHidden/>
          </w:rPr>
        </w:r>
        <w:r w:rsidR="007E71C7" w:rsidRPr="00A87FBE">
          <w:rPr>
            <w:rFonts w:ascii="Arial" w:hAnsi="Arial" w:cs="Arial"/>
            <w:noProof/>
            <w:webHidden/>
          </w:rPr>
          <w:fldChar w:fldCharType="separate"/>
        </w:r>
        <w:r>
          <w:rPr>
            <w:rFonts w:ascii="Arial" w:hAnsi="Arial" w:cs="Arial"/>
            <w:noProof/>
            <w:webHidden/>
          </w:rPr>
          <w:t>3</w:t>
        </w:r>
        <w:r w:rsidR="007E71C7" w:rsidRPr="00A87FBE">
          <w:rPr>
            <w:rFonts w:ascii="Arial" w:hAnsi="Arial" w:cs="Arial"/>
            <w:noProof/>
            <w:webHidden/>
          </w:rPr>
          <w:fldChar w:fldCharType="end"/>
        </w:r>
      </w:hyperlink>
    </w:p>
    <w:p w:rsidR="007E71C7" w:rsidRPr="00A87FBE" w:rsidRDefault="00720AC3">
      <w:pPr>
        <w:pStyle w:val="TOC2"/>
        <w:tabs>
          <w:tab w:val="left" w:pos="880"/>
          <w:tab w:val="right" w:leader="dot" w:pos="9016"/>
        </w:tabs>
        <w:rPr>
          <w:rFonts w:ascii="Arial" w:eastAsiaTheme="minorEastAsia" w:hAnsi="Arial" w:cs="Arial"/>
          <w:smallCaps w:val="0"/>
          <w:noProof/>
          <w:sz w:val="22"/>
          <w:szCs w:val="22"/>
          <w:lang w:eastAsia="en-GB" w:bidi="ar-SA"/>
        </w:rPr>
      </w:pPr>
      <w:hyperlink w:anchor="_Toc366587853" w:history="1">
        <w:r w:rsidR="007E71C7" w:rsidRPr="00A87FBE">
          <w:rPr>
            <w:rStyle w:val="Hyperlink"/>
            <w:rFonts w:cs="Arial"/>
            <w:noProof/>
            <w:u w:color="FFFF00"/>
          </w:rPr>
          <w:t>2.3</w:t>
        </w:r>
        <w:r w:rsidR="007E71C7" w:rsidRPr="00A87FBE">
          <w:rPr>
            <w:rFonts w:ascii="Arial" w:eastAsiaTheme="minorEastAsia" w:hAnsi="Arial" w:cs="Arial"/>
            <w:smallCaps w:val="0"/>
            <w:noProof/>
            <w:sz w:val="22"/>
            <w:szCs w:val="22"/>
            <w:lang w:eastAsia="en-GB" w:bidi="ar-SA"/>
          </w:rPr>
          <w:tab/>
        </w:r>
        <w:r w:rsidR="007E71C7" w:rsidRPr="00A87FBE">
          <w:rPr>
            <w:rStyle w:val="Hyperlink"/>
            <w:rFonts w:cs="Arial"/>
            <w:noProof/>
            <w:u w:color="FFFF00"/>
          </w:rPr>
          <w:t xml:space="preserve">Reasons for </w:t>
        </w:r>
        <w:r w:rsidR="007E71C7" w:rsidRPr="00A87FBE">
          <w:rPr>
            <w:rStyle w:val="Hyperlink"/>
            <w:rFonts w:cs="Arial"/>
            <w:noProof/>
          </w:rPr>
          <w:t>preparing the Proposal</w:t>
        </w:r>
        <w:r w:rsidR="007E71C7" w:rsidRPr="00A87FBE">
          <w:rPr>
            <w:rFonts w:ascii="Arial" w:hAnsi="Arial" w:cs="Arial"/>
            <w:noProof/>
            <w:webHidden/>
          </w:rPr>
          <w:tab/>
        </w:r>
        <w:r w:rsidR="007E71C7" w:rsidRPr="00A87FBE">
          <w:rPr>
            <w:rFonts w:ascii="Arial" w:hAnsi="Arial" w:cs="Arial"/>
            <w:noProof/>
            <w:webHidden/>
          </w:rPr>
          <w:fldChar w:fldCharType="begin"/>
        </w:r>
        <w:r w:rsidR="007E71C7" w:rsidRPr="00A87FBE">
          <w:rPr>
            <w:rFonts w:ascii="Arial" w:hAnsi="Arial" w:cs="Arial"/>
            <w:noProof/>
            <w:webHidden/>
          </w:rPr>
          <w:instrText xml:space="preserve"> PAGEREF _Toc366587853 \h </w:instrText>
        </w:r>
        <w:r w:rsidR="007E71C7" w:rsidRPr="00A87FBE">
          <w:rPr>
            <w:rFonts w:ascii="Arial" w:hAnsi="Arial" w:cs="Arial"/>
            <w:noProof/>
            <w:webHidden/>
          </w:rPr>
        </w:r>
        <w:r w:rsidR="007E71C7" w:rsidRPr="00A87FBE">
          <w:rPr>
            <w:rFonts w:ascii="Arial" w:hAnsi="Arial" w:cs="Arial"/>
            <w:noProof/>
            <w:webHidden/>
          </w:rPr>
          <w:fldChar w:fldCharType="separate"/>
        </w:r>
        <w:r>
          <w:rPr>
            <w:rFonts w:ascii="Arial" w:hAnsi="Arial" w:cs="Arial"/>
            <w:noProof/>
            <w:webHidden/>
          </w:rPr>
          <w:t>3</w:t>
        </w:r>
        <w:r w:rsidR="007E71C7" w:rsidRPr="00A87FBE">
          <w:rPr>
            <w:rFonts w:ascii="Arial" w:hAnsi="Arial" w:cs="Arial"/>
            <w:noProof/>
            <w:webHidden/>
          </w:rPr>
          <w:fldChar w:fldCharType="end"/>
        </w:r>
      </w:hyperlink>
    </w:p>
    <w:p w:rsidR="007E71C7" w:rsidRPr="00A87FBE" w:rsidRDefault="00720AC3">
      <w:pPr>
        <w:pStyle w:val="TOC2"/>
        <w:tabs>
          <w:tab w:val="left" w:pos="880"/>
          <w:tab w:val="right" w:leader="dot" w:pos="9016"/>
        </w:tabs>
        <w:rPr>
          <w:rFonts w:ascii="Arial" w:eastAsiaTheme="minorEastAsia" w:hAnsi="Arial" w:cs="Arial"/>
          <w:smallCaps w:val="0"/>
          <w:noProof/>
          <w:sz w:val="22"/>
          <w:szCs w:val="22"/>
          <w:lang w:eastAsia="en-GB" w:bidi="ar-SA"/>
        </w:rPr>
      </w:pPr>
      <w:hyperlink w:anchor="_Toc366587854" w:history="1">
        <w:r w:rsidR="007E71C7" w:rsidRPr="00A87FBE">
          <w:rPr>
            <w:rStyle w:val="Hyperlink"/>
            <w:rFonts w:cs="Arial"/>
            <w:noProof/>
          </w:rPr>
          <w:t>2.5</w:t>
        </w:r>
        <w:r w:rsidR="007E71C7" w:rsidRPr="00A87FBE">
          <w:rPr>
            <w:rFonts w:ascii="Arial" w:eastAsiaTheme="minorEastAsia" w:hAnsi="Arial" w:cs="Arial"/>
            <w:smallCaps w:val="0"/>
            <w:noProof/>
            <w:sz w:val="22"/>
            <w:szCs w:val="22"/>
            <w:lang w:eastAsia="en-GB" w:bidi="ar-SA"/>
          </w:rPr>
          <w:tab/>
        </w:r>
        <w:r w:rsidR="007E71C7" w:rsidRPr="00A87FBE">
          <w:rPr>
            <w:rStyle w:val="Hyperlink"/>
            <w:rFonts w:cs="Arial"/>
            <w:noProof/>
          </w:rPr>
          <w:t>Procedure for assessment</w:t>
        </w:r>
        <w:r w:rsidR="007E71C7" w:rsidRPr="00A87FBE">
          <w:rPr>
            <w:rFonts w:ascii="Arial" w:hAnsi="Arial" w:cs="Arial"/>
            <w:noProof/>
            <w:webHidden/>
          </w:rPr>
          <w:tab/>
        </w:r>
        <w:r w:rsidR="007E71C7" w:rsidRPr="00A87FBE">
          <w:rPr>
            <w:rFonts w:ascii="Arial" w:hAnsi="Arial" w:cs="Arial"/>
            <w:noProof/>
            <w:webHidden/>
          </w:rPr>
          <w:fldChar w:fldCharType="begin"/>
        </w:r>
        <w:r w:rsidR="007E71C7" w:rsidRPr="00A87FBE">
          <w:rPr>
            <w:rFonts w:ascii="Arial" w:hAnsi="Arial" w:cs="Arial"/>
            <w:noProof/>
            <w:webHidden/>
          </w:rPr>
          <w:instrText xml:space="preserve"> PAGEREF _Toc366587854 \h </w:instrText>
        </w:r>
        <w:r w:rsidR="007E71C7" w:rsidRPr="00A87FBE">
          <w:rPr>
            <w:rFonts w:ascii="Arial" w:hAnsi="Arial" w:cs="Arial"/>
            <w:noProof/>
            <w:webHidden/>
          </w:rPr>
        </w:r>
        <w:r w:rsidR="007E71C7" w:rsidRPr="00A87FBE">
          <w:rPr>
            <w:rFonts w:ascii="Arial" w:hAnsi="Arial" w:cs="Arial"/>
            <w:noProof/>
            <w:webHidden/>
          </w:rPr>
          <w:fldChar w:fldCharType="separate"/>
        </w:r>
        <w:r>
          <w:rPr>
            <w:rFonts w:ascii="Arial" w:hAnsi="Arial" w:cs="Arial"/>
            <w:noProof/>
            <w:webHidden/>
          </w:rPr>
          <w:t>3</w:t>
        </w:r>
        <w:r w:rsidR="007E71C7" w:rsidRPr="00A87FBE">
          <w:rPr>
            <w:rFonts w:ascii="Arial" w:hAnsi="Arial" w:cs="Arial"/>
            <w:noProof/>
            <w:webHidden/>
          </w:rPr>
          <w:fldChar w:fldCharType="end"/>
        </w:r>
      </w:hyperlink>
    </w:p>
    <w:p w:rsidR="007E71C7" w:rsidRPr="00A87FBE" w:rsidRDefault="00720AC3">
      <w:pPr>
        <w:pStyle w:val="TOC2"/>
        <w:tabs>
          <w:tab w:val="left" w:pos="880"/>
          <w:tab w:val="right" w:leader="dot" w:pos="9016"/>
        </w:tabs>
        <w:rPr>
          <w:rFonts w:ascii="Arial" w:eastAsiaTheme="minorEastAsia" w:hAnsi="Arial" w:cs="Arial"/>
          <w:smallCaps w:val="0"/>
          <w:noProof/>
          <w:sz w:val="22"/>
          <w:szCs w:val="22"/>
          <w:lang w:eastAsia="en-GB" w:bidi="ar-SA"/>
        </w:rPr>
      </w:pPr>
      <w:hyperlink w:anchor="_Toc366587855" w:history="1">
        <w:r w:rsidR="007E71C7" w:rsidRPr="00A87FBE">
          <w:rPr>
            <w:rStyle w:val="Hyperlink"/>
            <w:rFonts w:cs="Arial"/>
            <w:noProof/>
          </w:rPr>
          <w:t>2.6</w:t>
        </w:r>
        <w:r w:rsidR="007E71C7" w:rsidRPr="00A87FBE">
          <w:rPr>
            <w:rFonts w:ascii="Arial" w:eastAsiaTheme="minorEastAsia" w:hAnsi="Arial" w:cs="Arial"/>
            <w:smallCaps w:val="0"/>
            <w:noProof/>
            <w:sz w:val="22"/>
            <w:szCs w:val="22"/>
            <w:lang w:eastAsia="en-GB" w:bidi="ar-SA"/>
          </w:rPr>
          <w:tab/>
        </w:r>
        <w:r w:rsidR="007E71C7" w:rsidRPr="00A87FBE">
          <w:rPr>
            <w:rStyle w:val="Hyperlink"/>
            <w:rFonts w:cs="Arial"/>
            <w:noProof/>
          </w:rPr>
          <w:t>Decision</w:t>
        </w:r>
        <w:r w:rsidR="007E71C7" w:rsidRPr="00A87FBE">
          <w:rPr>
            <w:rFonts w:ascii="Arial" w:hAnsi="Arial" w:cs="Arial"/>
            <w:noProof/>
            <w:webHidden/>
          </w:rPr>
          <w:tab/>
        </w:r>
        <w:r w:rsidR="007E71C7" w:rsidRPr="00A87FBE">
          <w:rPr>
            <w:rFonts w:ascii="Arial" w:hAnsi="Arial" w:cs="Arial"/>
            <w:noProof/>
            <w:webHidden/>
          </w:rPr>
          <w:fldChar w:fldCharType="begin"/>
        </w:r>
        <w:r w:rsidR="007E71C7" w:rsidRPr="00A87FBE">
          <w:rPr>
            <w:rFonts w:ascii="Arial" w:hAnsi="Arial" w:cs="Arial"/>
            <w:noProof/>
            <w:webHidden/>
          </w:rPr>
          <w:instrText xml:space="preserve"> PAGEREF _Toc366587855 \h </w:instrText>
        </w:r>
        <w:r w:rsidR="007E71C7" w:rsidRPr="00A87FBE">
          <w:rPr>
            <w:rFonts w:ascii="Arial" w:hAnsi="Arial" w:cs="Arial"/>
            <w:noProof/>
            <w:webHidden/>
          </w:rPr>
        </w:r>
        <w:r w:rsidR="007E71C7" w:rsidRPr="00A87FBE">
          <w:rPr>
            <w:rFonts w:ascii="Arial" w:hAnsi="Arial" w:cs="Arial"/>
            <w:noProof/>
            <w:webHidden/>
          </w:rPr>
          <w:fldChar w:fldCharType="separate"/>
        </w:r>
        <w:r>
          <w:rPr>
            <w:rFonts w:ascii="Arial" w:hAnsi="Arial" w:cs="Arial"/>
            <w:noProof/>
            <w:webHidden/>
          </w:rPr>
          <w:t>3</w:t>
        </w:r>
        <w:r w:rsidR="007E71C7" w:rsidRPr="00A87FBE">
          <w:rPr>
            <w:rFonts w:ascii="Arial" w:hAnsi="Arial" w:cs="Arial"/>
            <w:noProof/>
            <w:webHidden/>
          </w:rPr>
          <w:fldChar w:fldCharType="end"/>
        </w:r>
      </w:hyperlink>
    </w:p>
    <w:p w:rsidR="007E71C7" w:rsidRPr="00A87FBE" w:rsidRDefault="00720AC3">
      <w:pPr>
        <w:pStyle w:val="TOC1"/>
        <w:tabs>
          <w:tab w:val="left" w:pos="440"/>
          <w:tab w:val="right" w:leader="dot" w:pos="9016"/>
        </w:tabs>
        <w:rPr>
          <w:rFonts w:ascii="Arial" w:eastAsiaTheme="minorEastAsia" w:hAnsi="Arial" w:cs="Arial"/>
          <w:b w:val="0"/>
          <w:bCs w:val="0"/>
          <w:caps w:val="0"/>
          <w:noProof/>
          <w:sz w:val="22"/>
          <w:szCs w:val="22"/>
          <w:lang w:eastAsia="en-GB" w:bidi="ar-SA"/>
        </w:rPr>
      </w:pPr>
      <w:hyperlink w:anchor="_Toc366587856" w:history="1">
        <w:r w:rsidR="007E71C7" w:rsidRPr="00A87FBE">
          <w:rPr>
            <w:rStyle w:val="Hyperlink"/>
            <w:rFonts w:cs="Arial"/>
            <w:noProof/>
          </w:rPr>
          <w:t>3.</w:t>
        </w:r>
        <w:r w:rsidR="007E71C7" w:rsidRPr="00A87FBE">
          <w:rPr>
            <w:rFonts w:ascii="Arial" w:eastAsiaTheme="minorEastAsia" w:hAnsi="Arial" w:cs="Arial"/>
            <w:b w:val="0"/>
            <w:bCs w:val="0"/>
            <w:caps w:val="0"/>
            <w:noProof/>
            <w:sz w:val="22"/>
            <w:szCs w:val="22"/>
            <w:lang w:eastAsia="en-GB" w:bidi="ar-SA"/>
          </w:rPr>
          <w:tab/>
        </w:r>
        <w:r w:rsidR="007E71C7" w:rsidRPr="00A87FBE">
          <w:rPr>
            <w:rStyle w:val="Hyperlink"/>
            <w:rFonts w:cs="Arial"/>
            <w:noProof/>
          </w:rPr>
          <w:t>Summary of the findings</w:t>
        </w:r>
        <w:r w:rsidR="007E71C7" w:rsidRPr="00A87FBE">
          <w:rPr>
            <w:rFonts w:ascii="Arial" w:hAnsi="Arial" w:cs="Arial"/>
            <w:noProof/>
            <w:webHidden/>
          </w:rPr>
          <w:tab/>
        </w:r>
        <w:r w:rsidR="007E71C7" w:rsidRPr="00A87FBE">
          <w:rPr>
            <w:rFonts w:ascii="Arial" w:hAnsi="Arial" w:cs="Arial"/>
            <w:noProof/>
            <w:webHidden/>
          </w:rPr>
          <w:fldChar w:fldCharType="begin"/>
        </w:r>
        <w:r w:rsidR="007E71C7" w:rsidRPr="00A87FBE">
          <w:rPr>
            <w:rFonts w:ascii="Arial" w:hAnsi="Arial" w:cs="Arial"/>
            <w:noProof/>
            <w:webHidden/>
          </w:rPr>
          <w:instrText xml:space="preserve"> PAGEREF _Toc366587856 \h </w:instrText>
        </w:r>
        <w:r w:rsidR="007E71C7" w:rsidRPr="00A87FBE">
          <w:rPr>
            <w:rFonts w:ascii="Arial" w:hAnsi="Arial" w:cs="Arial"/>
            <w:noProof/>
            <w:webHidden/>
          </w:rPr>
        </w:r>
        <w:r w:rsidR="007E71C7" w:rsidRPr="00A87FBE">
          <w:rPr>
            <w:rFonts w:ascii="Arial" w:hAnsi="Arial" w:cs="Arial"/>
            <w:noProof/>
            <w:webHidden/>
          </w:rPr>
          <w:fldChar w:fldCharType="separate"/>
        </w:r>
        <w:r>
          <w:rPr>
            <w:rFonts w:ascii="Arial" w:hAnsi="Arial" w:cs="Arial"/>
            <w:noProof/>
            <w:webHidden/>
          </w:rPr>
          <w:t>4</w:t>
        </w:r>
        <w:r w:rsidR="007E71C7" w:rsidRPr="00A87FBE">
          <w:rPr>
            <w:rFonts w:ascii="Arial" w:hAnsi="Arial" w:cs="Arial"/>
            <w:noProof/>
            <w:webHidden/>
          </w:rPr>
          <w:fldChar w:fldCharType="end"/>
        </w:r>
      </w:hyperlink>
    </w:p>
    <w:p w:rsidR="007E71C7" w:rsidRPr="00A87FBE" w:rsidRDefault="00720AC3">
      <w:pPr>
        <w:pStyle w:val="TOC2"/>
        <w:tabs>
          <w:tab w:val="left" w:pos="880"/>
          <w:tab w:val="right" w:leader="dot" w:pos="9016"/>
        </w:tabs>
        <w:rPr>
          <w:rFonts w:ascii="Arial" w:eastAsiaTheme="minorEastAsia" w:hAnsi="Arial" w:cs="Arial"/>
          <w:smallCaps w:val="0"/>
          <w:noProof/>
          <w:sz w:val="22"/>
          <w:szCs w:val="22"/>
          <w:lang w:eastAsia="en-GB" w:bidi="ar-SA"/>
        </w:rPr>
      </w:pPr>
      <w:hyperlink w:anchor="_Toc366587857" w:history="1">
        <w:r w:rsidR="007E71C7" w:rsidRPr="00A87FBE">
          <w:rPr>
            <w:rStyle w:val="Hyperlink"/>
            <w:rFonts w:cs="Arial"/>
            <w:noProof/>
          </w:rPr>
          <w:t>3.1</w:t>
        </w:r>
        <w:r w:rsidR="007E71C7" w:rsidRPr="00A87FBE">
          <w:rPr>
            <w:rFonts w:ascii="Arial" w:eastAsiaTheme="minorEastAsia" w:hAnsi="Arial" w:cs="Arial"/>
            <w:smallCaps w:val="0"/>
            <w:noProof/>
            <w:sz w:val="22"/>
            <w:szCs w:val="22"/>
            <w:lang w:eastAsia="en-GB" w:bidi="ar-SA"/>
          </w:rPr>
          <w:tab/>
        </w:r>
        <w:r w:rsidR="007E71C7" w:rsidRPr="00A87FBE">
          <w:rPr>
            <w:rStyle w:val="Hyperlink"/>
            <w:rFonts w:cs="Arial"/>
            <w:noProof/>
          </w:rPr>
          <w:t>Risk assessment</w:t>
        </w:r>
        <w:r w:rsidR="007E71C7" w:rsidRPr="00A87FBE">
          <w:rPr>
            <w:rFonts w:ascii="Arial" w:hAnsi="Arial" w:cs="Arial"/>
            <w:noProof/>
            <w:webHidden/>
          </w:rPr>
          <w:tab/>
        </w:r>
        <w:r w:rsidR="007E71C7" w:rsidRPr="00A87FBE">
          <w:rPr>
            <w:rFonts w:ascii="Arial" w:hAnsi="Arial" w:cs="Arial"/>
            <w:noProof/>
            <w:webHidden/>
          </w:rPr>
          <w:fldChar w:fldCharType="begin"/>
        </w:r>
        <w:r w:rsidR="007E71C7" w:rsidRPr="00A87FBE">
          <w:rPr>
            <w:rFonts w:ascii="Arial" w:hAnsi="Arial" w:cs="Arial"/>
            <w:noProof/>
            <w:webHidden/>
          </w:rPr>
          <w:instrText xml:space="preserve"> PAGEREF _Toc366587857 \h </w:instrText>
        </w:r>
        <w:r w:rsidR="007E71C7" w:rsidRPr="00A87FBE">
          <w:rPr>
            <w:rFonts w:ascii="Arial" w:hAnsi="Arial" w:cs="Arial"/>
            <w:noProof/>
            <w:webHidden/>
          </w:rPr>
        </w:r>
        <w:r w:rsidR="007E71C7" w:rsidRPr="00A87FBE">
          <w:rPr>
            <w:rFonts w:ascii="Arial" w:hAnsi="Arial" w:cs="Arial"/>
            <w:noProof/>
            <w:webHidden/>
          </w:rPr>
          <w:fldChar w:fldCharType="separate"/>
        </w:r>
        <w:r>
          <w:rPr>
            <w:rFonts w:ascii="Arial" w:hAnsi="Arial" w:cs="Arial"/>
            <w:noProof/>
            <w:webHidden/>
          </w:rPr>
          <w:t>4</w:t>
        </w:r>
        <w:r w:rsidR="007E71C7" w:rsidRPr="00A87FBE">
          <w:rPr>
            <w:rFonts w:ascii="Arial" w:hAnsi="Arial" w:cs="Arial"/>
            <w:noProof/>
            <w:webHidden/>
          </w:rPr>
          <w:fldChar w:fldCharType="end"/>
        </w:r>
      </w:hyperlink>
    </w:p>
    <w:p w:rsidR="007E71C7" w:rsidRPr="00A87FBE" w:rsidRDefault="00720AC3">
      <w:pPr>
        <w:pStyle w:val="TOC2"/>
        <w:tabs>
          <w:tab w:val="left" w:pos="880"/>
          <w:tab w:val="right" w:leader="dot" w:pos="9016"/>
        </w:tabs>
        <w:rPr>
          <w:rFonts w:ascii="Arial" w:eastAsiaTheme="minorEastAsia" w:hAnsi="Arial" w:cs="Arial"/>
          <w:smallCaps w:val="0"/>
          <w:noProof/>
          <w:sz w:val="22"/>
          <w:szCs w:val="22"/>
          <w:lang w:eastAsia="en-GB" w:bidi="ar-SA"/>
        </w:rPr>
      </w:pPr>
      <w:hyperlink w:anchor="_Toc366587858" w:history="1">
        <w:r w:rsidR="007E71C7" w:rsidRPr="00A87FBE">
          <w:rPr>
            <w:rStyle w:val="Hyperlink"/>
            <w:rFonts w:cs="Arial"/>
            <w:noProof/>
          </w:rPr>
          <w:t>3.2</w:t>
        </w:r>
        <w:r w:rsidR="007E71C7" w:rsidRPr="00A87FBE">
          <w:rPr>
            <w:rFonts w:ascii="Arial" w:eastAsiaTheme="minorEastAsia" w:hAnsi="Arial" w:cs="Arial"/>
            <w:smallCaps w:val="0"/>
            <w:noProof/>
            <w:sz w:val="22"/>
            <w:szCs w:val="22"/>
            <w:lang w:eastAsia="en-GB" w:bidi="ar-SA"/>
          </w:rPr>
          <w:tab/>
        </w:r>
        <w:r w:rsidR="007E71C7" w:rsidRPr="00A87FBE">
          <w:rPr>
            <w:rStyle w:val="Hyperlink"/>
            <w:rFonts w:cs="Arial"/>
            <w:noProof/>
          </w:rPr>
          <w:t>Risk management</w:t>
        </w:r>
        <w:r w:rsidR="007E71C7" w:rsidRPr="00A87FBE">
          <w:rPr>
            <w:rFonts w:ascii="Arial" w:hAnsi="Arial" w:cs="Arial"/>
            <w:noProof/>
            <w:webHidden/>
          </w:rPr>
          <w:tab/>
        </w:r>
        <w:r w:rsidR="007E71C7" w:rsidRPr="00A87FBE">
          <w:rPr>
            <w:rFonts w:ascii="Arial" w:hAnsi="Arial" w:cs="Arial"/>
            <w:noProof/>
            <w:webHidden/>
          </w:rPr>
          <w:fldChar w:fldCharType="begin"/>
        </w:r>
        <w:r w:rsidR="007E71C7" w:rsidRPr="00A87FBE">
          <w:rPr>
            <w:rFonts w:ascii="Arial" w:hAnsi="Arial" w:cs="Arial"/>
            <w:noProof/>
            <w:webHidden/>
          </w:rPr>
          <w:instrText xml:space="preserve"> PAGEREF _Toc366587858 \h </w:instrText>
        </w:r>
        <w:r w:rsidR="007E71C7" w:rsidRPr="00A87FBE">
          <w:rPr>
            <w:rFonts w:ascii="Arial" w:hAnsi="Arial" w:cs="Arial"/>
            <w:noProof/>
            <w:webHidden/>
          </w:rPr>
        </w:r>
        <w:r w:rsidR="007E71C7" w:rsidRPr="00A87FBE">
          <w:rPr>
            <w:rFonts w:ascii="Arial" w:hAnsi="Arial" w:cs="Arial"/>
            <w:noProof/>
            <w:webHidden/>
          </w:rPr>
          <w:fldChar w:fldCharType="separate"/>
        </w:r>
        <w:r>
          <w:rPr>
            <w:rFonts w:ascii="Arial" w:hAnsi="Arial" w:cs="Arial"/>
            <w:noProof/>
            <w:webHidden/>
          </w:rPr>
          <w:t>4</w:t>
        </w:r>
        <w:r w:rsidR="007E71C7" w:rsidRPr="00A87FBE">
          <w:rPr>
            <w:rFonts w:ascii="Arial" w:hAnsi="Arial" w:cs="Arial"/>
            <w:noProof/>
            <w:webHidden/>
          </w:rPr>
          <w:fldChar w:fldCharType="end"/>
        </w:r>
      </w:hyperlink>
    </w:p>
    <w:p w:rsidR="007E71C7" w:rsidRPr="00A87FBE" w:rsidRDefault="00720AC3">
      <w:pPr>
        <w:pStyle w:val="TOC3"/>
        <w:tabs>
          <w:tab w:val="left" w:pos="1100"/>
          <w:tab w:val="right" w:leader="dot" w:pos="9016"/>
        </w:tabs>
        <w:rPr>
          <w:rFonts w:ascii="Arial" w:eastAsiaTheme="minorEastAsia" w:hAnsi="Arial" w:cs="Arial"/>
          <w:i w:val="0"/>
          <w:iCs w:val="0"/>
          <w:noProof/>
          <w:sz w:val="22"/>
          <w:szCs w:val="22"/>
          <w:lang w:eastAsia="en-GB" w:bidi="ar-SA"/>
        </w:rPr>
      </w:pPr>
      <w:hyperlink w:anchor="_Toc366587859" w:history="1">
        <w:r w:rsidR="007E71C7" w:rsidRPr="00A87FBE">
          <w:rPr>
            <w:rStyle w:val="Hyperlink"/>
            <w:rFonts w:cs="Arial"/>
            <w:noProof/>
          </w:rPr>
          <w:t>3.2.1</w:t>
        </w:r>
        <w:r w:rsidR="007E71C7" w:rsidRPr="00A87FBE">
          <w:rPr>
            <w:rFonts w:ascii="Arial" w:eastAsiaTheme="minorEastAsia" w:hAnsi="Arial" w:cs="Arial"/>
            <w:i w:val="0"/>
            <w:iCs w:val="0"/>
            <w:noProof/>
            <w:sz w:val="22"/>
            <w:szCs w:val="22"/>
            <w:lang w:eastAsia="en-GB" w:bidi="ar-SA"/>
          </w:rPr>
          <w:tab/>
        </w:r>
        <w:r w:rsidR="007E71C7" w:rsidRPr="00A87FBE">
          <w:rPr>
            <w:rStyle w:val="Hyperlink"/>
            <w:rFonts w:cs="Arial"/>
            <w:noProof/>
          </w:rPr>
          <w:t>Summary of submissions</w:t>
        </w:r>
        <w:r w:rsidR="007E71C7" w:rsidRPr="00A87FBE">
          <w:rPr>
            <w:rFonts w:ascii="Arial" w:hAnsi="Arial" w:cs="Arial"/>
            <w:noProof/>
            <w:webHidden/>
          </w:rPr>
          <w:tab/>
        </w:r>
        <w:r w:rsidR="007E71C7" w:rsidRPr="00A87FBE">
          <w:rPr>
            <w:rFonts w:ascii="Arial" w:hAnsi="Arial" w:cs="Arial"/>
            <w:noProof/>
            <w:webHidden/>
          </w:rPr>
          <w:fldChar w:fldCharType="begin"/>
        </w:r>
        <w:r w:rsidR="007E71C7" w:rsidRPr="00A87FBE">
          <w:rPr>
            <w:rFonts w:ascii="Arial" w:hAnsi="Arial" w:cs="Arial"/>
            <w:noProof/>
            <w:webHidden/>
          </w:rPr>
          <w:instrText xml:space="preserve"> PAGEREF _Toc366587859 \h </w:instrText>
        </w:r>
        <w:r w:rsidR="007E71C7" w:rsidRPr="00A87FBE">
          <w:rPr>
            <w:rFonts w:ascii="Arial" w:hAnsi="Arial" w:cs="Arial"/>
            <w:noProof/>
            <w:webHidden/>
          </w:rPr>
        </w:r>
        <w:r w:rsidR="007E71C7" w:rsidRPr="00A87FBE">
          <w:rPr>
            <w:rFonts w:ascii="Arial" w:hAnsi="Arial" w:cs="Arial"/>
            <w:noProof/>
            <w:webHidden/>
          </w:rPr>
          <w:fldChar w:fldCharType="separate"/>
        </w:r>
        <w:r>
          <w:rPr>
            <w:rFonts w:ascii="Arial" w:hAnsi="Arial" w:cs="Arial"/>
            <w:noProof/>
            <w:webHidden/>
          </w:rPr>
          <w:t>4</w:t>
        </w:r>
        <w:r w:rsidR="007E71C7" w:rsidRPr="00A87FBE">
          <w:rPr>
            <w:rFonts w:ascii="Arial" w:hAnsi="Arial" w:cs="Arial"/>
            <w:noProof/>
            <w:webHidden/>
          </w:rPr>
          <w:fldChar w:fldCharType="end"/>
        </w:r>
      </w:hyperlink>
    </w:p>
    <w:p w:rsidR="007E71C7" w:rsidRPr="00A87FBE" w:rsidRDefault="00720AC3">
      <w:pPr>
        <w:pStyle w:val="TOC2"/>
        <w:tabs>
          <w:tab w:val="left" w:pos="880"/>
          <w:tab w:val="right" w:leader="dot" w:pos="9016"/>
        </w:tabs>
        <w:rPr>
          <w:rFonts w:ascii="Arial" w:eastAsiaTheme="minorEastAsia" w:hAnsi="Arial" w:cs="Arial"/>
          <w:smallCaps w:val="0"/>
          <w:noProof/>
          <w:sz w:val="22"/>
          <w:szCs w:val="22"/>
          <w:lang w:eastAsia="en-GB" w:bidi="ar-SA"/>
        </w:rPr>
      </w:pPr>
      <w:hyperlink w:anchor="_Toc366587860" w:history="1">
        <w:r w:rsidR="007E71C7" w:rsidRPr="00A87FBE">
          <w:rPr>
            <w:rStyle w:val="Hyperlink"/>
            <w:rFonts w:cs="Arial"/>
            <w:noProof/>
          </w:rPr>
          <w:t>3.3</w:t>
        </w:r>
        <w:r w:rsidR="007E71C7" w:rsidRPr="00A87FBE">
          <w:rPr>
            <w:rFonts w:ascii="Arial" w:eastAsiaTheme="minorEastAsia" w:hAnsi="Arial" w:cs="Arial"/>
            <w:smallCaps w:val="0"/>
            <w:noProof/>
            <w:sz w:val="22"/>
            <w:szCs w:val="22"/>
            <w:lang w:eastAsia="en-GB" w:bidi="ar-SA"/>
          </w:rPr>
          <w:tab/>
        </w:r>
        <w:r w:rsidR="007E71C7" w:rsidRPr="00A87FBE">
          <w:rPr>
            <w:rStyle w:val="Hyperlink"/>
            <w:rFonts w:cs="Arial"/>
            <w:noProof/>
          </w:rPr>
          <w:t>Risk communication</w:t>
        </w:r>
        <w:r w:rsidR="007E71C7" w:rsidRPr="00A87FBE">
          <w:rPr>
            <w:rFonts w:ascii="Arial" w:hAnsi="Arial" w:cs="Arial"/>
            <w:noProof/>
            <w:webHidden/>
          </w:rPr>
          <w:tab/>
        </w:r>
        <w:r w:rsidR="007E71C7" w:rsidRPr="00A87FBE">
          <w:rPr>
            <w:rFonts w:ascii="Arial" w:hAnsi="Arial" w:cs="Arial"/>
            <w:noProof/>
            <w:webHidden/>
          </w:rPr>
          <w:fldChar w:fldCharType="begin"/>
        </w:r>
        <w:r w:rsidR="007E71C7" w:rsidRPr="00A87FBE">
          <w:rPr>
            <w:rFonts w:ascii="Arial" w:hAnsi="Arial" w:cs="Arial"/>
            <w:noProof/>
            <w:webHidden/>
          </w:rPr>
          <w:instrText xml:space="preserve"> PAGEREF _Toc366587860 \h </w:instrText>
        </w:r>
        <w:r w:rsidR="007E71C7" w:rsidRPr="00A87FBE">
          <w:rPr>
            <w:rFonts w:ascii="Arial" w:hAnsi="Arial" w:cs="Arial"/>
            <w:noProof/>
            <w:webHidden/>
          </w:rPr>
        </w:r>
        <w:r w:rsidR="007E71C7" w:rsidRPr="00A87FBE">
          <w:rPr>
            <w:rFonts w:ascii="Arial" w:hAnsi="Arial" w:cs="Arial"/>
            <w:noProof/>
            <w:webHidden/>
          </w:rPr>
          <w:fldChar w:fldCharType="separate"/>
        </w:r>
        <w:r>
          <w:rPr>
            <w:rFonts w:ascii="Arial" w:hAnsi="Arial" w:cs="Arial"/>
            <w:noProof/>
            <w:webHidden/>
          </w:rPr>
          <w:t>5</w:t>
        </w:r>
        <w:r w:rsidR="007E71C7" w:rsidRPr="00A87FBE">
          <w:rPr>
            <w:rFonts w:ascii="Arial" w:hAnsi="Arial" w:cs="Arial"/>
            <w:noProof/>
            <w:webHidden/>
          </w:rPr>
          <w:fldChar w:fldCharType="end"/>
        </w:r>
      </w:hyperlink>
    </w:p>
    <w:p w:rsidR="007E71C7" w:rsidRPr="00A87FBE" w:rsidRDefault="00720AC3">
      <w:pPr>
        <w:pStyle w:val="TOC1"/>
        <w:tabs>
          <w:tab w:val="left" w:pos="440"/>
          <w:tab w:val="right" w:leader="dot" w:pos="9016"/>
        </w:tabs>
        <w:rPr>
          <w:rFonts w:ascii="Arial" w:eastAsiaTheme="minorEastAsia" w:hAnsi="Arial" w:cs="Arial"/>
          <w:b w:val="0"/>
          <w:bCs w:val="0"/>
          <w:caps w:val="0"/>
          <w:noProof/>
          <w:sz w:val="22"/>
          <w:szCs w:val="22"/>
          <w:lang w:eastAsia="en-GB" w:bidi="ar-SA"/>
        </w:rPr>
      </w:pPr>
      <w:hyperlink w:anchor="_Toc366587861" w:history="1">
        <w:r w:rsidR="007E71C7" w:rsidRPr="00A87FBE">
          <w:rPr>
            <w:rStyle w:val="Hyperlink"/>
            <w:rFonts w:cs="Arial"/>
            <w:noProof/>
          </w:rPr>
          <w:t>4.</w:t>
        </w:r>
        <w:r w:rsidR="007E71C7" w:rsidRPr="00A87FBE">
          <w:rPr>
            <w:rFonts w:ascii="Arial" w:eastAsiaTheme="minorEastAsia" w:hAnsi="Arial" w:cs="Arial"/>
            <w:b w:val="0"/>
            <w:bCs w:val="0"/>
            <w:caps w:val="0"/>
            <w:noProof/>
            <w:sz w:val="22"/>
            <w:szCs w:val="22"/>
            <w:lang w:eastAsia="en-GB" w:bidi="ar-SA"/>
          </w:rPr>
          <w:tab/>
        </w:r>
        <w:r w:rsidR="007E71C7" w:rsidRPr="00A87FBE">
          <w:rPr>
            <w:rStyle w:val="Hyperlink"/>
            <w:rFonts w:cs="Arial"/>
            <w:noProof/>
          </w:rPr>
          <w:t>Reasons for decision</w:t>
        </w:r>
        <w:r w:rsidR="007E71C7" w:rsidRPr="00A87FBE">
          <w:rPr>
            <w:rFonts w:ascii="Arial" w:hAnsi="Arial" w:cs="Arial"/>
            <w:noProof/>
            <w:webHidden/>
          </w:rPr>
          <w:tab/>
        </w:r>
        <w:r w:rsidR="007E71C7" w:rsidRPr="00A87FBE">
          <w:rPr>
            <w:rFonts w:ascii="Arial" w:hAnsi="Arial" w:cs="Arial"/>
            <w:noProof/>
            <w:webHidden/>
          </w:rPr>
          <w:fldChar w:fldCharType="begin"/>
        </w:r>
        <w:r w:rsidR="007E71C7" w:rsidRPr="00A87FBE">
          <w:rPr>
            <w:rFonts w:ascii="Arial" w:hAnsi="Arial" w:cs="Arial"/>
            <w:noProof/>
            <w:webHidden/>
          </w:rPr>
          <w:instrText xml:space="preserve"> PAGEREF _Toc366587861 \h </w:instrText>
        </w:r>
        <w:r w:rsidR="007E71C7" w:rsidRPr="00A87FBE">
          <w:rPr>
            <w:rFonts w:ascii="Arial" w:hAnsi="Arial" w:cs="Arial"/>
            <w:noProof/>
            <w:webHidden/>
          </w:rPr>
        </w:r>
        <w:r w:rsidR="007E71C7" w:rsidRPr="00A87FBE">
          <w:rPr>
            <w:rFonts w:ascii="Arial" w:hAnsi="Arial" w:cs="Arial"/>
            <w:noProof/>
            <w:webHidden/>
          </w:rPr>
          <w:fldChar w:fldCharType="separate"/>
        </w:r>
        <w:r>
          <w:rPr>
            <w:rFonts w:ascii="Arial" w:hAnsi="Arial" w:cs="Arial"/>
            <w:noProof/>
            <w:webHidden/>
          </w:rPr>
          <w:t>5</w:t>
        </w:r>
        <w:r w:rsidR="007E71C7" w:rsidRPr="00A87FBE">
          <w:rPr>
            <w:rFonts w:ascii="Arial" w:hAnsi="Arial" w:cs="Arial"/>
            <w:noProof/>
            <w:webHidden/>
          </w:rPr>
          <w:fldChar w:fldCharType="end"/>
        </w:r>
      </w:hyperlink>
    </w:p>
    <w:p w:rsidR="007E71C7" w:rsidRPr="00A87FBE" w:rsidRDefault="00720AC3">
      <w:pPr>
        <w:pStyle w:val="TOC2"/>
        <w:tabs>
          <w:tab w:val="left" w:pos="880"/>
          <w:tab w:val="right" w:leader="dot" w:pos="9016"/>
        </w:tabs>
        <w:rPr>
          <w:rFonts w:ascii="Arial" w:eastAsiaTheme="minorEastAsia" w:hAnsi="Arial" w:cs="Arial"/>
          <w:smallCaps w:val="0"/>
          <w:noProof/>
          <w:sz w:val="22"/>
          <w:szCs w:val="22"/>
          <w:lang w:eastAsia="en-GB" w:bidi="ar-SA"/>
        </w:rPr>
      </w:pPr>
      <w:hyperlink w:anchor="_Toc366587862" w:history="1">
        <w:r w:rsidR="007E71C7" w:rsidRPr="00A87FBE">
          <w:rPr>
            <w:rStyle w:val="Hyperlink"/>
            <w:rFonts w:cs="Arial"/>
            <w:noProof/>
          </w:rPr>
          <w:t>4.1</w:t>
        </w:r>
        <w:r w:rsidR="007E71C7" w:rsidRPr="00A87FBE">
          <w:rPr>
            <w:rFonts w:ascii="Arial" w:eastAsiaTheme="minorEastAsia" w:hAnsi="Arial" w:cs="Arial"/>
            <w:smallCaps w:val="0"/>
            <w:noProof/>
            <w:sz w:val="22"/>
            <w:szCs w:val="22"/>
            <w:lang w:eastAsia="en-GB" w:bidi="ar-SA"/>
          </w:rPr>
          <w:tab/>
        </w:r>
        <w:r w:rsidR="007E71C7" w:rsidRPr="00A87FBE">
          <w:rPr>
            <w:rStyle w:val="Hyperlink"/>
            <w:rFonts w:cs="Arial"/>
            <w:noProof/>
          </w:rPr>
          <w:t>Addressing FSANZ’s objectives for standards setting</w:t>
        </w:r>
        <w:r w:rsidR="007E71C7" w:rsidRPr="00A87FBE">
          <w:rPr>
            <w:rFonts w:ascii="Arial" w:hAnsi="Arial" w:cs="Arial"/>
            <w:noProof/>
            <w:webHidden/>
          </w:rPr>
          <w:tab/>
        </w:r>
        <w:r w:rsidR="007E71C7" w:rsidRPr="00A87FBE">
          <w:rPr>
            <w:rFonts w:ascii="Arial" w:hAnsi="Arial" w:cs="Arial"/>
            <w:noProof/>
            <w:webHidden/>
          </w:rPr>
          <w:fldChar w:fldCharType="begin"/>
        </w:r>
        <w:r w:rsidR="007E71C7" w:rsidRPr="00A87FBE">
          <w:rPr>
            <w:rFonts w:ascii="Arial" w:hAnsi="Arial" w:cs="Arial"/>
            <w:noProof/>
            <w:webHidden/>
          </w:rPr>
          <w:instrText xml:space="preserve"> PAGEREF _Toc366587862 \h </w:instrText>
        </w:r>
        <w:r w:rsidR="007E71C7" w:rsidRPr="00A87FBE">
          <w:rPr>
            <w:rFonts w:ascii="Arial" w:hAnsi="Arial" w:cs="Arial"/>
            <w:noProof/>
            <w:webHidden/>
          </w:rPr>
        </w:r>
        <w:r w:rsidR="007E71C7" w:rsidRPr="00A87FBE">
          <w:rPr>
            <w:rFonts w:ascii="Arial" w:hAnsi="Arial" w:cs="Arial"/>
            <w:noProof/>
            <w:webHidden/>
          </w:rPr>
          <w:fldChar w:fldCharType="separate"/>
        </w:r>
        <w:r>
          <w:rPr>
            <w:rFonts w:ascii="Arial" w:hAnsi="Arial" w:cs="Arial"/>
            <w:noProof/>
            <w:webHidden/>
          </w:rPr>
          <w:t>6</w:t>
        </w:r>
        <w:r w:rsidR="007E71C7" w:rsidRPr="00A87FBE">
          <w:rPr>
            <w:rFonts w:ascii="Arial" w:hAnsi="Arial" w:cs="Arial"/>
            <w:noProof/>
            <w:webHidden/>
          </w:rPr>
          <w:fldChar w:fldCharType="end"/>
        </w:r>
      </w:hyperlink>
    </w:p>
    <w:p w:rsidR="007E71C7" w:rsidRPr="00A87FBE" w:rsidRDefault="00720AC3">
      <w:pPr>
        <w:pStyle w:val="TOC3"/>
        <w:tabs>
          <w:tab w:val="left" w:pos="1100"/>
          <w:tab w:val="right" w:leader="dot" w:pos="9016"/>
        </w:tabs>
        <w:rPr>
          <w:rFonts w:ascii="Arial" w:eastAsiaTheme="minorEastAsia" w:hAnsi="Arial" w:cs="Arial"/>
          <w:i w:val="0"/>
          <w:iCs w:val="0"/>
          <w:noProof/>
          <w:sz w:val="22"/>
          <w:szCs w:val="22"/>
          <w:lang w:eastAsia="en-GB" w:bidi="ar-SA"/>
        </w:rPr>
      </w:pPr>
      <w:hyperlink w:anchor="_Toc366587863" w:history="1">
        <w:r w:rsidR="007E71C7" w:rsidRPr="00A87FBE">
          <w:rPr>
            <w:rStyle w:val="Hyperlink"/>
            <w:rFonts w:cs="Arial"/>
            <w:noProof/>
          </w:rPr>
          <w:t>4.1.1</w:t>
        </w:r>
        <w:r w:rsidR="007E71C7" w:rsidRPr="00A87FBE">
          <w:rPr>
            <w:rFonts w:ascii="Arial" w:eastAsiaTheme="minorEastAsia" w:hAnsi="Arial" w:cs="Arial"/>
            <w:i w:val="0"/>
            <w:iCs w:val="0"/>
            <w:noProof/>
            <w:sz w:val="22"/>
            <w:szCs w:val="22"/>
            <w:lang w:eastAsia="en-GB" w:bidi="ar-SA"/>
          </w:rPr>
          <w:tab/>
        </w:r>
        <w:r w:rsidR="007E71C7" w:rsidRPr="00A87FBE">
          <w:rPr>
            <w:rStyle w:val="Hyperlink"/>
            <w:rFonts w:cs="Arial"/>
            <w:noProof/>
          </w:rPr>
          <w:t xml:space="preserve"> Protection of public health and safety</w:t>
        </w:r>
        <w:r w:rsidR="007E71C7" w:rsidRPr="00A87FBE">
          <w:rPr>
            <w:rFonts w:ascii="Arial" w:hAnsi="Arial" w:cs="Arial"/>
            <w:noProof/>
            <w:webHidden/>
          </w:rPr>
          <w:tab/>
        </w:r>
        <w:r w:rsidR="007E71C7" w:rsidRPr="00A87FBE">
          <w:rPr>
            <w:rFonts w:ascii="Arial" w:hAnsi="Arial" w:cs="Arial"/>
            <w:noProof/>
            <w:webHidden/>
          </w:rPr>
          <w:fldChar w:fldCharType="begin"/>
        </w:r>
        <w:r w:rsidR="007E71C7" w:rsidRPr="00A87FBE">
          <w:rPr>
            <w:rFonts w:ascii="Arial" w:hAnsi="Arial" w:cs="Arial"/>
            <w:noProof/>
            <w:webHidden/>
          </w:rPr>
          <w:instrText xml:space="preserve"> PAGEREF _Toc366587863 \h </w:instrText>
        </w:r>
        <w:r w:rsidR="007E71C7" w:rsidRPr="00A87FBE">
          <w:rPr>
            <w:rFonts w:ascii="Arial" w:hAnsi="Arial" w:cs="Arial"/>
            <w:noProof/>
            <w:webHidden/>
          </w:rPr>
        </w:r>
        <w:r w:rsidR="007E71C7" w:rsidRPr="00A87FBE">
          <w:rPr>
            <w:rFonts w:ascii="Arial" w:hAnsi="Arial" w:cs="Arial"/>
            <w:noProof/>
            <w:webHidden/>
          </w:rPr>
          <w:fldChar w:fldCharType="separate"/>
        </w:r>
        <w:r>
          <w:rPr>
            <w:rFonts w:ascii="Arial" w:hAnsi="Arial" w:cs="Arial"/>
            <w:noProof/>
            <w:webHidden/>
          </w:rPr>
          <w:t>6</w:t>
        </w:r>
        <w:r w:rsidR="007E71C7" w:rsidRPr="00A87FBE">
          <w:rPr>
            <w:rFonts w:ascii="Arial" w:hAnsi="Arial" w:cs="Arial"/>
            <w:noProof/>
            <w:webHidden/>
          </w:rPr>
          <w:fldChar w:fldCharType="end"/>
        </w:r>
      </w:hyperlink>
    </w:p>
    <w:p w:rsidR="007E71C7" w:rsidRPr="00A87FBE" w:rsidRDefault="00720AC3">
      <w:pPr>
        <w:pStyle w:val="TOC3"/>
        <w:tabs>
          <w:tab w:val="left" w:pos="1100"/>
          <w:tab w:val="right" w:leader="dot" w:pos="9016"/>
        </w:tabs>
        <w:rPr>
          <w:rFonts w:ascii="Arial" w:eastAsiaTheme="minorEastAsia" w:hAnsi="Arial" w:cs="Arial"/>
          <w:i w:val="0"/>
          <w:iCs w:val="0"/>
          <w:noProof/>
          <w:sz w:val="22"/>
          <w:szCs w:val="22"/>
          <w:lang w:eastAsia="en-GB" w:bidi="ar-SA"/>
        </w:rPr>
      </w:pPr>
      <w:hyperlink w:anchor="_Toc366587864" w:history="1">
        <w:r w:rsidR="007E71C7" w:rsidRPr="00A87FBE">
          <w:rPr>
            <w:rStyle w:val="Hyperlink"/>
            <w:rFonts w:cs="Arial"/>
            <w:noProof/>
          </w:rPr>
          <w:t>4.1.2</w:t>
        </w:r>
        <w:r w:rsidR="007E71C7" w:rsidRPr="00A87FBE">
          <w:rPr>
            <w:rFonts w:ascii="Arial" w:eastAsiaTheme="minorEastAsia" w:hAnsi="Arial" w:cs="Arial"/>
            <w:i w:val="0"/>
            <w:iCs w:val="0"/>
            <w:noProof/>
            <w:sz w:val="22"/>
            <w:szCs w:val="22"/>
            <w:lang w:eastAsia="en-GB" w:bidi="ar-SA"/>
          </w:rPr>
          <w:tab/>
        </w:r>
        <w:r w:rsidR="007E71C7" w:rsidRPr="00A87FBE">
          <w:rPr>
            <w:rStyle w:val="Hyperlink"/>
            <w:rFonts w:cs="Arial"/>
            <w:noProof/>
          </w:rPr>
          <w:t>The provision of adequate information relating to food to enable consumers to make informed choices</w:t>
        </w:r>
        <w:r w:rsidR="007E71C7" w:rsidRPr="00A87FBE">
          <w:rPr>
            <w:rFonts w:ascii="Arial" w:hAnsi="Arial" w:cs="Arial"/>
            <w:noProof/>
            <w:webHidden/>
          </w:rPr>
          <w:tab/>
        </w:r>
        <w:r w:rsidR="007E71C7" w:rsidRPr="00A87FBE">
          <w:rPr>
            <w:rFonts w:ascii="Arial" w:hAnsi="Arial" w:cs="Arial"/>
            <w:noProof/>
            <w:webHidden/>
          </w:rPr>
          <w:fldChar w:fldCharType="begin"/>
        </w:r>
        <w:r w:rsidR="007E71C7" w:rsidRPr="00A87FBE">
          <w:rPr>
            <w:rFonts w:ascii="Arial" w:hAnsi="Arial" w:cs="Arial"/>
            <w:noProof/>
            <w:webHidden/>
          </w:rPr>
          <w:instrText xml:space="preserve"> PAGEREF _Toc366587864 \h </w:instrText>
        </w:r>
        <w:r w:rsidR="007E71C7" w:rsidRPr="00A87FBE">
          <w:rPr>
            <w:rFonts w:ascii="Arial" w:hAnsi="Arial" w:cs="Arial"/>
            <w:noProof/>
            <w:webHidden/>
          </w:rPr>
        </w:r>
        <w:r w:rsidR="007E71C7" w:rsidRPr="00A87FBE">
          <w:rPr>
            <w:rFonts w:ascii="Arial" w:hAnsi="Arial" w:cs="Arial"/>
            <w:noProof/>
            <w:webHidden/>
          </w:rPr>
          <w:fldChar w:fldCharType="separate"/>
        </w:r>
        <w:r>
          <w:rPr>
            <w:rFonts w:ascii="Arial" w:hAnsi="Arial" w:cs="Arial"/>
            <w:noProof/>
            <w:webHidden/>
          </w:rPr>
          <w:t>6</w:t>
        </w:r>
        <w:r w:rsidR="007E71C7" w:rsidRPr="00A87FBE">
          <w:rPr>
            <w:rFonts w:ascii="Arial" w:hAnsi="Arial" w:cs="Arial"/>
            <w:noProof/>
            <w:webHidden/>
          </w:rPr>
          <w:fldChar w:fldCharType="end"/>
        </w:r>
      </w:hyperlink>
    </w:p>
    <w:p w:rsidR="007E71C7" w:rsidRPr="00A87FBE" w:rsidRDefault="00720AC3">
      <w:pPr>
        <w:pStyle w:val="TOC3"/>
        <w:tabs>
          <w:tab w:val="left" w:pos="1100"/>
          <w:tab w:val="right" w:leader="dot" w:pos="9016"/>
        </w:tabs>
        <w:rPr>
          <w:rFonts w:ascii="Arial" w:eastAsiaTheme="minorEastAsia" w:hAnsi="Arial" w:cs="Arial"/>
          <w:i w:val="0"/>
          <w:iCs w:val="0"/>
          <w:noProof/>
          <w:sz w:val="22"/>
          <w:szCs w:val="22"/>
          <w:lang w:eastAsia="en-GB" w:bidi="ar-SA"/>
        </w:rPr>
      </w:pPr>
      <w:hyperlink w:anchor="_Toc366587865" w:history="1">
        <w:r w:rsidR="007E71C7" w:rsidRPr="00A87FBE">
          <w:rPr>
            <w:rStyle w:val="Hyperlink"/>
            <w:rFonts w:cs="Arial"/>
            <w:noProof/>
          </w:rPr>
          <w:t>4.1.3</w:t>
        </w:r>
        <w:r w:rsidR="007E71C7" w:rsidRPr="00A87FBE">
          <w:rPr>
            <w:rFonts w:ascii="Arial" w:eastAsiaTheme="minorEastAsia" w:hAnsi="Arial" w:cs="Arial"/>
            <w:i w:val="0"/>
            <w:iCs w:val="0"/>
            <w:noProof/>
            <w:sz w:val="22"/>
            <w:szCs w:val="22"/>
            <w:lang w:eastAsia="en-GB" w:bidi="ar-SA"/>
          </w:rPr>
          <w:tab/>
        </w:r>
        <w:r w:rsidR="007E71C7" w:rsidRPr="00A87FBE">
          <w:rPr>
            <w:rStyle w:val="Hyperlink"/>
            <w:rFonts w:cs="Arial"/>
            <w:noProof/>
          </w:rPr>
          <w:t>The prevention of misleading or deceptive conduct</w:t>
        </w:r>
        <w:r w:rsidR="007E71C7" w:rsidRPr="00A87FBE">
          <w:rPr>
            <w:rFonts w:ascii="Arial" w:hAnsi="Arial" w:cs="Arial"/>
            <w:noProof/>
            <w:webHidden/>
          </w:rPr>
          <w:tab/>
        </w:r>
        <w:r w:rsidR="007E71C7" w:rsidRPr="00A87FBE">
          <w:rPr>
            <w:rFonts w:ascii="Arial" w:hAnsi="Arial" w:cs="Arial"/>
            <w:noProof/>
            <w:webHidden/>
          </w:rPr>
          <w:fldChar w:fldCharType="begin"/>
        </w:r>
        <w:r w:rsidR="007E71C7" w:rsidRPr="00A87FBE">
          <w:rPr>
            <w:rFonts w:ascii="Arial" w:hAnsi="Arial" w:cs="Arial"/>
            <w:noProof/>
            <w:webHidden/>
          </w:rPr>
          <w:instrText xml:space="preserve"> PAGEREF _Toc366587865 \h </w:instrText>
        </w:r>
        <w:r w:rsidR="007E71C7" w:rsidRPr="00A87FBE">
          <w:rPr>
            <w:rFonts w:ascii="Arial" w:hAnsi="Arial" w:cs="Arial"/>
            <w:noProof/>
            <w:webHidden/>
          </w:rPr>
        </w:r>
        <w:r w:rsidR="007E71C7" w:rsidRPr="00A87FBE">
          <w:rPr>
            <w:rFonts w:ascii="Arial" w:hAnsi="Arial" w:cs="Arial"/>
            <w:noProof/>
            <w:webHidden/>
          </w:rPr>
          <w:fldChar w:fldCharType="separate"/>
        </w:r>
        <w:r>
          <w:rPr>
            <w:rFonts w:ascii="Arial" w:hAnsi="Arial" w:cs="Arial"/>
            <w:noProof/>
            <w:webHidden/>
          </w:rPr>
          <w:t>6</w:t>
        </w:r>
        <w:r w:rsidR="007E71C7" w:rsidRPr="00A87FBE">
          <w:rPr>
            <w:rFonts w:ascii="Arial" w:hAnsi="Arial" w:cs="Arial"/>
            <w:noProof/>
            <w:webHidden/>
          </w:rPr>
          <w:fldChar w:fldCharType="end"/>
        </w:r>
      </w:hyperlink>
    </w:p>
    <w:p w:rsidR="007E71C7" w:rsidRPr="00A87FBE" w:rsidRDefault="00720AC3">
      <w:pPr>
        <w:pStyle w:val="TOC3"/>
        <w:tabs>
          <w:tab w:val="left" w:pos="1100"/>
          <w:tab w:val="right" w:leader="dot" w:pos="9016"/>
        </w:tabs>
        <w:rPr>
          <w:rFonts w:ascii="Arial" w:eastAsiaTheme="minorEastAsia" w:hAnsi="Arial" w:cs="Arial"/>
          <w:i w:val="0"/>
          <w:iCs w:val="0"/>
          <w:noProof/>
          <w:sz w:val="22"/>
          <w:szCs w:val="22"/>
          <w:lang w:eastAsia="en-GB" w:bidi="ar-SA"/>
        </w:rPr>
      </w:pPr>
      <w:hyperlink w:anchor="_Toc366587866" w:history="1">
        <w:r w:rsidR="007E71C7" w:rsidRPr="00A87FBE">
          <w:rPr>
            <w:rStyle w:val="Hyperlink"/>
            <w:rFonts w:cs="Arial"/>
            <w:noProof/>
          </w:rPr>
          <w:t>4.1.4</w:t>
        </w:r>
        <w:r w:rsidR="007E71C7" w:rsidRPr="00A87FBE">
          <w:rPr>
            <w:rFonts w:ascii="Arial" w:eastAsiaTheme="minorEastAsia" w:hAnsi="Arial" w:cs="Arial"/>
            <w:i w:val="0"/>
            <w:iCs w:val="0"/>
            <w:noProof/>
            <w:sz w:val="22"/>
            <w:szCs w:val="22"/>
            <w:lang w:eastAsia="en-GB" w:bidi="ar-SA"/>
          </w:rPr>
          <w:tab/>
        </w:r>
        <w:r w:rsidR="007E71C7" w:rsidRPr="00A87FBE">
          <w:rPr>
            <w:rStyle w:val="Hyperlink"/>
            <w:rFonts w:cs="Arial"/>
            <w:noProof/>
          </w:rPr>
          <w:t>Subsection 18(2) considerations</w:t>
        </w:r>
        <w:r w:rsidR="007E71C7" w:rsidRPr="00A87FBE">
          <w:rPr>
            <w:rFonts w:ascii="Arial" w:hAnsi="Arial" w:cs="Arial"/>
            <w:noProof/>
            <w:webHidden/>
          </w:rPr>
          <w:tab/>
        </w:r>
        <w:r w:rsidR="007E71C7" w:rsidRPr="00A87FBE">
          <w:rPr>
            <w:rFonts w:ascii="Arial" w:hAnsi="Arial" w:cs="Arial"/>
            <w:noProof/>
            <w:webHidden/>
          </w:rPr>
          <w:fldChar w:fldCharType="begin"/>
        </w:r>
        <w:r w:rsidR="007E71C7" w:rsidRPr="00A87FBE">
          <w:rPr>
            <w:rFonts w:ascii="Arial" w:hAnsi="Arial" w:cs="Arial"/>
            <w:noProof/>
            <w:webHidden/>
          </w:rPr>
          <w:instrText xml:space="preserve"> PAGEREF _Toc366587866 \h </w:instrText>
        </w:r>
        <w:r w:rsidR="007E71C7" w:rsidRPr="00A87FBE">
          <w:rPr>
            <w:rFonts w:ascii="Arial" w:hAnsi="Arial" w:cs="Arial"/>
            <w:noProof/>
            <w:webHidden/>
          </w:rPr>
        </w:r>
        <w:r w:rsidR="007E71C7" w:rsidRPr="00A87FBE">
          <w:rPr>
            <w:rFonts w:ascii="Arial" w:hAnsi="Arial" w:cs="Arial"/>
            <w:noProof/>
            <w:webHidden/>
          </w:rPr>
          <w:fldChar w:fldCharType="separate"/>
        </w:r>
        <w:r>
          <w:rPr>
            <w:rFonts w:ascii="Arial" w:hAnsi="Arial" w:cs="Arial"/>
            <w:noProof/>
            <w:webHidden/>
          </w:rPr>
          <w:t>6</w:t>
        </w:r>
        <w:r w:rsidR="007E71C7" w:rsidRPr="00A87FBE">
          <w:rPr>
            <w:rFonts w:ascii="Arial" w:hAnsi="Arial" w:cs="Arial"/>
            <w:noProof/>
            <w:webHidden/>
          </w:rPr>
          <w:fldChar w:fldCharType="end"/>
        </w:r>
      </w:hyperlink>
    </w:p>
    <w:p w:rsidR="00CF1AFF" w:rsidRDefault="00284453" w:rsidP="00284453">
      <w:r w:rsidRPr="00A87FBE">
        <w:rPr>
          <w:rFonts w:cs="Arial"/>
        </w:rPr>
        <w:fldChar w:fldCharType="end"/>
      </w:r>
    </w:p>
    <w:p w:rsidR="00291D12" w:rsidRDefault="00291D12">
      <w:pPr>
        <w:widowControl/>
        <w:rPr>
          <w:b/>
          <w:bCs/>
          <w:sz w:val="36"/>
          <w:szCs w:val="28"/>
          <w:lang w:bidi="ar-SA"/>
        </w:rPr>
      </w:pPr>
      <w:bookmarkStart w:id="4" w:name="_Toc286391001"/>
      <w:bookmarkStart w:id="5" w:name="_Toc300933414"/>
      <w:bookmarkStart w:id="6" w:name="_Toc314493400"/>
      <w:bookmarkStart w:id="7" w:name="_Toc11735627"/>
      <w:bookmarkStart w:id="8" w:name="_Toc29883110"/>
      <w:bookmarkStart w:id="9" w:name="_Toc41906797"/>
      <w:bookmarkStart w:id="10" w:name="_Toc41907544"/>
      <w:bookmarkStart w:id="11" w:name="_Toc120358575"/>
      <w:r>
        <w:rPr>
          <w:b/>
          <w:bCs/>
          <w:sz w:val="36"/>
          <w:szCs w:val="28"/>
          <w:lang w:bidi="ar-SA"/>
        </w:rPr>
        <w:br w:type="page"/>
      </w:r>
    </w:p>
    <w:p w:rsidR="005E1714" w:rsidRPr="005E1714" w:rsidRDefault="005E1714" w:rsidP="005E1714">
      <w:pPr>
        <w:keepNext/>
        <w:spacing w:after="240"/>
        <w:ind w:left="851" w:hanging="851"/>
        <w:outlineLvl w:val="0"/>
        <w:rPr>
          <w:b/>
          <w:bCs/>
          <w:sz w:val="36"/>
          <w:szCs w:val="28"/>
          <w:lang w:bidi="ar-SA"/>
        </w:rPr>
      </w:pPr>
      <w:bookmarkStart w:id="12" w:name="_Toc366587849"/>
      <w:r w:rsidRPr="005E1714">
        <w:rPr>
          <w:b/>
          <w:bCs/>
          <w:sz w:val="36"/>
          <w:szCs w:val="28"/>
          <w:lang w:bidi="ar-SA"/>
        </w:rPr>
        <w:lastRenderedPageBreak/>
        <w:t>1.</w:t>
      </w:r>
      <w:r w:rsidRPr="005E1714">
        <w:rPr>
          <w:b/>
          <w:bCs/>
          <w:sz w:val="36"/>
          <w:szCs w:val="28"/>
          <w:lang w:bidi="ar-SA"/>
        </w:rPr>
        <w:tab/>
        <w:t>Executive summary</w:t>
      </w:r>
      <w:bookmarkEnd w:id="4"/>
      <w:bookmarkEnd w:id="5"/>
      <w:bookmarkEnd w:id="6"/>
      <w:bookmarkEnd w:id="12"/>
    </w:p>
    <w:p w:rsidR="00291D12" w:rsidRDefault="00871659" w:rsidP="00871659">
      <w:pPr>
        <w:autoSpaceDE w:val="0"/>
        <w:autoSpaceDN w:val="0"/>
        <w:adjustRightInd w:val="0"/>
      </w:pPr>
      <w:r>
        <w:rPr>
          <w:rFonts w:cs="Arial"/>
          <w:szCs w:val="22"/>
        </w:rPr>
        <w:t xml:space="preserve">FSANZ </w:t>
      </w:r>
      <w:r w:rsidR="00DC546A">
        <w:rPr>
          <w:rFonts w:cs="Arial"/>
          <w:szCs w:val="22"/>
        </w:rPr>
        <w:t>began evaluating</w:t>
      </w:r>
      <w:r>
        <w:rPr>
          <w:rFonts w:cs="Arial"/>
          <w:szCs w:val="22"/>
        </w:rPr>
        <w:t xml:space="preserve"> food safety management in the meat supply chain in 2009, with the </w:t>
      </w:r>
      <w:r>
        <w:t>first stage of work undertaken through Proposal P1005, considering</w:t>
      </w:r>
      <w:r w:rsidRPr="008B076B">
        <w:t xml:space="preserve"> me</w:t>
      </w:r>
      <w:r>
        <w:t xml:space="preserve">at and meat products from </w:t>
      </w:r>
      <w:r w:rsidRPr="008B076B">
        <w:t xml:space="preserve">farmed cattle, pigs, sheep and goats using extensive and intensive </w:t>
      </w:r>
      <w:r>
        <w:t>f</w:t>
      </w:r>
      <w:r w:rsidRPr="008B076B">
        <w:t xml:space="preserve">arming, and harvested goats </w:t>
      </w:r>
      <w:r>
        <w:t xml:space="preserve">and rendered products for human </w:t>
      </w:r>
      <w:r w:rsidRPr="008B076B">
        <w:t>consumption</w:t>
      </w:r>
      <w:r>
        <w:t>. The 1</w:t>
      </w:r>
      <w:r w:rsidRPr="00F551A8">
        <w:rPr>
          <w:vertAlign w:val="superscript"/>
        </w:rPr>
        <w:t>st</w:t>
      </w:r>
      <w:r>
        <w:t xml:space="preserve"> Assessment Report</w:t>
      </w:r>
      <w:r w:rsidR="00291D12">
        <w:t xml:space="preserve"> was </w:t>
      </w:r>
      <w:r>
        <w:t>released in September 2009 for public consultation</w:t>
      </w:r>
      <w:r w:rsidR="00291D12">
        <w:t>.</w:t>
      </w:r>
    </w:p>
    <w:p w:rsidR="00291D12" w:rsidRPr="00A87FBE" w:rsidRDefault="00291D12" w:rsidP="005E1714">
      <w:pPr>
        <w:rPr>
          <w:lang w:bidi="ar-SA"/>
        </w:rPr>
      </w:pPr>
    </w:p>
    <w:p w:rsidR="00291D12" w:rsidRDefault="00291D12" w:rsidP="005E1714">
      <w:pPr>
        <w:rPr>
          <w:szCs w:val="22"/>
        </w:rPr>
      </w:pPr>
      <w:r w:rsidRPr="005F40E4">
        <w:rPr>
          <w:szCs w:val="22"/>
        </w:rPr>
        <w:t xml:space="preserve">Following discussion with the </w:t>
      </w:r>
      <w:r>
        <w:rPr>
          <w:szCs w:val="22"/>
        </w:rPr>
        <w:t xml:space="preserve">Meat Standard Development Committee (SDC), FSANZ prepared Proposal </w:t>
      </w:r>
      <w:r w:rsidR="008446CC">
        <w:rPr>
          <w:szCs w:val="22"/>
        </w:rPr>
        <w:t>P</w:t>
      </w:r>
      <w:r>
        <w:rPr>
          <w:szCs w:val="22"/>
        </w:rPr>
        <w:t xml:space="preserve">1014 in 2011 to consider risk management measures for those animals not covered under Proposal </w:t>
      </w:r>
      <w:r w:rsidR="008446CC">
        <w:rPr>
          <w:szCs w:val="22"/>
        </w:rPr>
        <w:t>P</w:t>
      </w:r>
      <w:r>
        <w:rPr>
          <w:szCs w:val="22"/>
        </w:rPr>
        <w:t xml:space="preserve">1005, including wild game.  </w:t>
      </w:r>
    </w:p>
    <w:p w:rsidR="00291D12" w:rsidRDefault="00291D12" w:rsidP="005E1714">
      <w:pPr>
        <w:rPr>
          <w:szCs w:val="22"/>
        </w:rPr>
      </w:pPr>
    </w:p>
    <w:p w:rsidR="00291D12" w:rsidRDefault="00291D12" w:rsidP="00291D12">
      <w:pPr>
        <w:rPr>
          <w:rFonts w:cs="Arial"/>
          <w:szCs w:val="22"/>
        </w:rPr>
      </w:pPr>
      <w:r>
        <w:rPr>
          <w:rFonts w:cs="Arial"/>
          <w:szCs w:val="22"/>
        </w:rPr>
        <w:t>In consultation with the SDC, it was agreed to align the two proposals following the first round of consultation on P1014 so that the final round of consultation would occur at the same time. Consequently</w:t>
      </w:r>
      <w:r w:rsidR="008446CC">
        <w:rPr>
          <w:rFonts w:cs="Arial"/>
          <w:szCs w:val="22"/>
        </w:rPr>
        <w:t>,</w:t>
      </w:r>
      <w:r>
        <w:rPr>
          <w:rFonts w:cs="Arial"/>
          <w:szCs w:val="22"/>
        </w:rPr>
        <w:t xml:space="preserve"> FSANZ has abandoned P1005 as the subject matter was incorporated into the remaining Proposal, P1014. This avoid</w:t>
      </w:r>
      <w:r w:rsidR="002F0BB7">
        <w:rPr>
          <w:rFonts w:cs="Arial"/>
          <w:szCs w:val="22"/>
        </w:rPr>
        <w:t>s</w:t>
      </w:r>
      <w:r>
        <w:rPr>
          <w:rFonts w:cs="Arial"/>
          <w:szCs w:val="22"/>
        </w:rPr>
        <w:t xml:space="preserve"> confusion with public consultation on two separate reports and one draft standard.</w:t>
      </w:r>
    </w:p>
    <w:p w:rsidR="00291D12" w:rsidRDefault="00291D12" w:rsidP="00291D12">
      <w:pPr>
        <w:rPr>
          <w:rFonts w:cs="Arial"/>
          <w:szCs w:val="22"/>
        </w:rPr>
      </w:pPr>
    </w:p>
    <w:p w:rsidR="00291D12" w:rsidRPr="006432E4" w:rsidRDefault="00291D12" w:rsidP="00291D12">
      <w:pPr>
        <w:pStyle w:val="FootnoteText"/>
        <w:rPr>
          <w:b/>
          <w:sz w:val="22"/>
          <w:szCs w:val="22"/>
        </w:rPr>
      </w:pPr>
      <w:r>
        <w:rPr>
          <w:rFonts w:cs="Arial"/>
          <w:sz w:val="22"/>
          <w:szCs w:val="22"/>
        </w:rPr>
        <w:t xml:space="preserve">FSANZ progressed Proposal </w:t>
      </w:r>
      <w:r w:rsidRPr="006432E4">
        <w:rPr>
          <w:rFonts w:cs="Arial"/>
          <w:sz w:val="22"/>
          <w:szCs w:val="22"/>
        </w:rPr>
        <w:t xml:space="preserve">P1005 (covering </w:t>
      </w:r>
      <w:r>
        <w:rPr>
          <w:rFonts w:cs="Arial"/>
          <w:sz w:val="22"/>
          <w:szCs w:val="22"/>
        </w:rPr>
        <w:t>major meat species</w:t>
      </w:r>
      <w:r w:rsidRPr="006432E4">
        <w:rPr>
          <w:rFonts w:cs="Arial"/>
          <w:sz w:val="22"/>
          <w:szCs w:val="22"/>
        </w:rPr>
        <w:t xml:space="preserve">) and </w:t>
      </w:r>
      <w:r w:rsidR="008446CC">
        <w:rPr>
          <w:rFonts w:cs="Arial"/>
          <w:sz w:val="22"/>
          <w:szCs w:val="22"/>
        </w:rPr>
        <w:t>P</w:t>
      </w:r>
      <w:r>
        <w:rPr>
          <w:rFonts w:cs="Arial"/>
          <w:sz w:val="22"/>
          <w:szCs w:val="22"/>
        </w:rPr>
        <w:t xml:space="preserve">roposal </w:t>
      </w:r>
      <w:r w:rsidRPr="006432E4">
        <w:rPr>
          <w:rFonts w:cs="Arial"/>
          <w:sz w:val="22"/>
          <w:szCs w:val="22"/>
        </w:rPr>
        <w:t>P1014 (coveri</w:t>
      </w:r>
      <w:r>
        <w:rPr>
          <w:rFonts w:cs="Arial"/>
          <w:sz w:val="22"/>
          <w:szCs w:val="22"/>
        </w:rPr>
        <w:t>ng other animals and wild game) as one proposal—</w:t>
      </w:r>
      <w:r w:rsidR="008446CC">
        <w:rPr>
          <w:rFonts w:cs="Arial"/>
          <w:sz w:val="22"/>
          <w:szCs w:val="22"/>
        </w:rPr>
        <w:t xml:space="preserve"> Proposal </w:t>
      </w:r>
      <w:r w:rsidRPr="006432E4">
        <w:rPr>
          <w:rFonts w:cs="Arial"/>
          <w:sz w:val="22"/>
          <w:szCs w:val="22"/>
        </w:rPr>
        <w:t>P1014.</w:t>
      </w:r>
    </w:p>
    <w:p w:rsidR="00474A5F" w:rsidRPr="00DC0FBA" w:rsidRDefault="00E063C6" w:rsidP="00284453">
      <w:r w:rsidRPr="00932F14">
        <w:br w:type="page"/>
      </w:r>
    </w:p>
    <w:p w:rsidR="005C0BD0" w:rsidRPr="005C0BD0" w:rsidRDefault="005C0BD0" w:rsidP="00284453">
      <w:pPr>
        <w:pStyle w:val="Heading1"/>
      </w:pPr>
      <w:bookmarkStart w:id="13" w:name="_Toc300933417"/>
      <w:bookmarkStart w:id="14" w:name="_Toc309291831"/>
      <w:bookmarkStart w:id="15" w:name="_Toc309385448"/>
      <w:bookmarkStart w:id="16" w:name="_Toc366587850"/>
      <w:bookmarkStart w:id="17" w:name="_Toc300933378"/>
      <w:bookmarkStart w:id="18" w:name="_Toc301535581"/>
      <w:r w:rsidRPr="005C0BD0">
        <w:lastRenderedPageBreak/>
        <w:t>2.</w:t>
      </w:r>
      <w:r w:rsidRPr="005C0BD0">
        <w:tab/>
        <w:t>Introduction</w:t>
      </w:r>
      <w:bookmarkEnd w:id="13"/>
      <w:bookmarkEnd w:id="14"/>
      <w:bookmarkEnd w:id="15"/>
      <w:bookmarkEnd w:id="16"/>
    </w:p>
    <w:p w:rsidR="005C0BD0" w:rsidRPr="005C0BD0" w:rsidRDefault="005C0BD0" w:rsidP="00CB5D88">
      <w:pPr>
        <w:pStyle w:val="Heading2"/>
      </w:pPr>
      <w:bookmarkStart w:id="19" w:name="_Toc300761891"/>
      <w:bookmarkStart w:id="20" w:name="_Toc300933420"/>
      <w:bookmarkStart w:id="21" w:name="_Toc309291833"/>
      <w:bookmarkStart w:id="22" w:name="_Toc309385450"/>
      <w:bookmarkStart w:id="23" w:name="_Toc366587851"/>
      <w:r w:rsidRPr="005C0BD0">
        <w:t>2.</w:t>
      </w:r>
      <w:r w:rsidR="00902E0C">
        <w:t>1</w:t>
      </w:r>
      <w:r w:rsidRPr="005C0BD0">
        <w:tab/>
        <w:t xml:space="preserve">The </w:t>
      </w:r>
      <w:bookmarkEnd w:id="19"/>
      <w:r w:rsidRPr="00284453">
        <w:t>Proposal</w:t>
      </w:r>
      <w:bookmarkEnd w:id="20"/>
      <w:bookmarkEnd w:id="21"/>
      <w:bookmarkEnd w:id="22"/>
      <w:bookmarkEnd w:id="23"/>
    </w:p>
    <w:p w:rsidR="00FA4983" w:rsidRDefault="00FA4983" w:rsidP="005C0BD0">
      <w:pPr>
        <w:rPr>
          <w:rFonts w:cs="Arial"/>
        </w:rPr>
      </w:pPr>
      <w:r>
        <w:rPr>
          <w:rFonts w:cs="Arial"/>
        </w:rPr>
        <w:t xml:space="preserve">In accordance with the </w:t>
      </w:r>
      <w:hyperlink r:id="rId16" w:history="1">
        <w:r w:rsidRPr="00313FAC">
          <w:rPr>
            <w:rStyle w:val="Hyperlink"/>
            <w:rFonts w:cs="Arial"/>
            <w:i/>
            <w:szCs w:val="22"/>
            <w:u w:val="none"/>
          </w:rPr>
          <w:t>Overarching Policy Guideline on Primary Production and Processing Standards</w:t>
        </w:r>
      </w:hyperlink>
      <w:r w:rsidRPr="00313FAC">
        <w:rPr>
          <w:rFonts w:cs="Arial"/>
          <w:szCs w:val="22"/>
        </w:rPr>
        <w:t xml:space="preserve"> </w:t>
      </w:r>
      <w:r w:rsidRPr="00D63953">
        <w:rPr>
          <w:rFonts w:cs="Arial"/>
          <w:szCs w:val="22"/>
        </w:rPr>
        <w:t>(Ministerial G</w:t>
      </w:r>
      <w:r w:rsidRPr="00FD69B6">
        <w:rPr>
          <w:rFonts w:cs="Arial"/>
          <w:szCs w:val="22"/>
        </w:rPr>
        <w:t>uidelines)</w:t>
      </w:r>
      <w:r>
        <w:rPr>
          <w:rStyle w:val="FootnoteReference"/>
          <w:rFonts w:cs="Arial"/>
          <w:szCs w:val="22"/>
        </w:rPr>
        <w:footnoteReference w:id="1"/>
      </w:r>
      <w:r>
        <w:rPr>
          <w:rFonts w:cs="Arial"/>
        </w:rPr>
        <w:t>,</w:t>
      </w:r>
      <w:r w:rsidR="00F360D2">
        <w:rPr>
          <w:rFonts w:cs="Arial"/>
        </w:rPr>
        <w:t xml:space="preserve"> Food Standards Australia </w:t>
      </w:r>
      <w:r w:rsidR="005C3518">
        <w:rPr>
          <w:rFonts w:cs="Arial"/>
        </w:rPr>
        <w:t>New</w:t>
      </w:r>
      <w:r w:rsidR="00F360D2">
        <w:rPr>
          <w:rFonts w:cs="Arial"/>
        </w:rPr>
        <w:t xml:space="preserve"> Zealand (</w:t>
      </w:r>
      <w:r>
        <w:rPr>
          <w:rFonts w:cs="Arial"/>
        </w:rPr>
        <w:t>FSANZ</w:t>
      </w:r>
      <w:r w:rsidR="00F360D2">
        <w:rPr>
          <w:rFonts w:cs="Arial"/>
        </w:rPr>
        <w:t>)</w:t>
      </w:r>
      <w:r>
        <w:rPr>
          <w:rFonts w:cs="Arial"/>
        </w:rPr>
        <w:t xml:space="preserve"> </w:t>
      </w:r>
      <w:r w:rsidR="005C3518">
        <w:rPr>
          <w:rFonts w:cs="Arial"/>
        </w:rPr>
        <w:t xml:space="preserve">has </w:t>
      </w:r>
      <w:r w:rsidR="00871659">
        <w:rPr>
          <w:rFonts w:cs="Arial"/>
        </w:rPr>
        <w:t>considered</w:t>
      </w:r>
      <w:r>
        <w:rPr>
          <w:rFonts w:cs="Arial"/>
        </w:rPr>
        <w:t xml:space="preserve"> risk management measures for the meat industry for all animal species. </w:t>
      </w:r>
    </w:p>
    <w:p w:rsidR="00FA4983" w:rsidRDefault="00FA4983" w:rsidP="005C0BD0">
      <w:pPr>
        <w:rPr>
          <w:rFonts w:cs="Arial"/>
        </w:rPr>
      </w:pPr>
    </w:p>
    <w:p w:rsidR="005C0BD0" w:rsidRDefault="00FA4983" w:rsidP="005C0BD0">
      <w:r>
        <w:rPr>
          <w:rFonts w:cs="Arial"/>
          <w:szCs w:val="22"/>
        </w:rPr>
        <w:t xml:space="preserve">FSANZ </w:t>
      </w:r>
      <w:r w:rsidR="00FD6665">
        <w:rPr>
          <w:rFonts w:cs="Arial"/>
          <w:szCs w:val="22"/>
        </w:rPr>
        <w:t>began evaluating</w:t>
      </w:r>
      <w:r>
        <w:rPr>
          <w:rFonts w:cs="Arial"/>
          <w:szCs w:val="22"/>
        </w:rPr>
        <w:t xml:space="preserve"> food safety management in the meat supply chain in 2009, with the </w:t>
      </w:r>
      <w:r>
        <w:t>first stage of work undertaken through Proposal P1005, considering</w:t>
      </w:r>
      <w:r w:rsidRPr="008B076B">
        <w:t xml:space="preserve"> me</w:t>
      </w:r>
      <w:r>
        <w:t xml:space="preserve">at and meat products from </w:t>
      </w:r>
      <w:r w:rsidRPr="008B076B">
        <w:t xml:space="preserve">farmed cattle, pigs, sheep and goats using extensive and intensive </w:t>
      </w:r>
      <w:r>
        <w:t>f</w:t>
      </w:r>
      <w:r w:rsidRPr="008B076B">
        <w:t xml:space="preserve">arming, and harvested goats </w:t>
      </w:r>
      <w:r>
        <w:t xml:space="preserve">and rendered products for human </w:t>
      </w:r>
      <w:r w:rsidRPr="008B076B">
        <w:t>consumption</w:t>
      </w:r>
      <w:r>
        <w:t xml:space="preserve">. </w:t>
      </w:r>
    </w:p>
    <w:p w:rsidR="005C3518" w:rsidRDefault="005C3518" w:rsidP="005C0BD0"/>
    <w:p w:rsidR="005C3518" w:rsidRPr="005C0BD0" w:rsidRDefault="005C3518" w:rsidP="005C0BD0">
      <w:pPr>
        <w:rPr>
          <w:color w:val="FF0000"/>
        </w:rPr>
      </w:pPr>
      <w:r w:rsidRPr="005F40E4">
        <w:rPr>
          <w:szCs w:val="22"/>
        </w:rPr>
        <w:t xml:space="preserve">Following discussion with the </w:t>
      </w:r>
      <w:r>
        <w:rPr>
          <w:szCs w:val="22"/>
        </w:rPr>
        <w:t xml:space="preserve">Meat Standard Development Committee (SDC), FSANZ prepared Proposal 1014 in 2011 to consider risk management measures for those animals not covered under Proposal 1005, including wild game.  </w:t>
      </w:r>
    </w:p>
    <w:p w:rsidR="00F360D2" w:rsidRDefault="005C0BD0" w:rsidP="005C3518">
      <w:pPr>
        <w:pStyle w:val="Heading2"/>
      </w:pPr>
      <w:bookmarkStart w:id="24" w:name="_Toc300761892"/>
      <w:bookmarkStart w:id="25" w:name="_Toc300933421"/>
      <w:bookmarkStart w:id="26" w:name="_Toc309291834"/>
      <w:bookmarkStart w:id="27" w:name="_Toc309385451"/>
      <w:bookmarkStart w:id="28" w:name="_Toc366587852"/>
      <w:r w:rsidRPr="005C0BD0">
        <w:t>2.</w:t>
      </w:r>
      <w:r w:rsidR="00902E0C">
        <w:t>2</w:t>
      </w:r>
      <w:r w:rsidRPr="005C0BD0">
        <w:tab/>
        <w:t>The current Standard</w:t>
      </w:r>
      <w:bookmarkEnd w:id="24"/>
      <w:bookmarkEnd w:id="25"/>
      <w:bookmarkEnd w:id="26"/>
      <w:bookmarkEnd w:id="27"/>
      <w:bookmarkEnd w:id="28"/>
    </w:p>
    <w:p w:rsidR="00102800" w:rsidRDefault="00102800" w:rsidP="00102800">
      <w:r>
        <w:t xml:space="preserve">The current Production and Processing Standard for Meat in Chapter 4 </w:t>
      </w:r>
      <w:r w:rsidR="00871659">
        <w:t xml:space="preserve">of the </w:t>
      </w:r>
      <w:r w:rsidR="00871659" w:rsidRPr="00871659">
        <w:rPr>
          <w:i/>
        </w:rPr>
        <w:t>Australia New Zealand Food Standards Code</w:t>
      </w:r>
      <w:r w:rsidR="00871659">
        <w:t xml:space="preserve"> </w:t>
      </w:r>
      <w:r>
        <w:t xml:space="preserve">(Standard 4.2.3) includes requirements for producing ready-to-eat meat only and does not include primary production requirements. </w:t>
      </w:r>
    </w:p>
    <w:p w:rsidR="00F360D2" w:rsidRDefault="00F360D2" w:rsidP="00102800"/>
    <w:p w:rsidR="00102800" w:rsidRDefault="00102800" w:rsidP="00102800">
      <w:r>
        <w:t>All states and territories have separate legislation requiring businesses operating abattoirs/meat slaughtering facilities to be licensed or accredited and to operate in accordance with approved systems to manage meat safety and suitability. The legislation requires the businesses to comply with specific Australian Standards.</w:t>
      </w:r>
    </w:p>
    <w:p w:rsidR="005C0BD0" w:rsidRPr="005C0BD0" w:rsidRDefault="005C0BD0" w:rsidP="00CB5D88">
      <w:pPr>
        <w:pStyle w:val="Heading2"/>
        <w:rPr>
          <w:u w:color="FFFF00"/>
        </w:rPr>
      </w:pPr>
      <w:bookmarkStart w:id="29" w:name="_Toc286391007"/>
      <w:bookmarkStart w:id="30" w:name="_Toc300933423"/>
      <w:bookmarkStart w:id="31" w:name="_Toc309291835"/>
      <w:bookmarkStart w:id="32" w:name="_Toc309385452"/>
      <w:bookmarkStart w:id="33" w:name="_Toc366587853"/>
      <w:bookmarkStart w:id="34" w:name="_Toc175381432"/>
      <w:r w:rsidRPr="005C0BD0">
        <w:rPr>
          <w:u w:color="FFFF00"/>
        </w:rPr>
        <w:t>2.</w:t>
      </w:r>
      <w:r w:rsidR="00902E0C">
        <w:rPr>
          <w:u w:color="FFFF00"/>
        </w:rPr>
        <w:t>3</w:t>
      </w:r>
      <w:r w:rsidRPr="005C0BD0">
        <w:rPr>
          <w:u w:color="FFFF00"/>
        </w:rPr>
        <w:tab/>
        <w:t xml:space="preserve">Reasons for </w:t>
      </w:r>
      <w:bookmarkEnd w:id="29"/>
      <w:bookmarkEnd w:id="30"/>
      <w:r w:rsidRPr="00284453">
        <w:t>preparing the Proposal</w:t>
      </w:r>
      <w:bookmarkEnd w:id="31"/>
      <w:bookmarkEnd w:id="32"/>
      <w:bookmarkEnd w:id="33"/>
    </w:p>
    <w:bookmarkEnd w:id="34"/>
    <w:p w:rsidR="005C3518" w:rsidRPr="001D29BB" w:rsidRDefault="005C3518" w:rsidP="005C3518">
      <w:pPr>
        <w:rPr>
          <w:rFonts w:eastAsia="Calibri"/>
        </w:rPr>
      </w:pPr>
      <w:r>
        <w:rPr>
          <w:lang w:val="en"/>
        </w:rPr>
        <w:t>The safety of meat and meat products in Australia is currently implemented largely through reference to Australian Standards</w:t>
      </w:r>
      <w:r>
        <w:rPr>
          <w:rFonts w:eastAsia="Calibri"/>
          <w:i/>
        </w:rPr>
        <w:t>.</w:t>
      </w:r>
      <w:r>
        <w:rPr>
          <w:rStyle w:val="FootnoteReference"/>
          <w:rFonts w:eastAsia="Calibri"/>
          <w:i/>
        </w:rPr>
        <w:footnoteReference w:id="2"/>
      </w:r>
      <w:r>
        <w:rPr>
          <w:rFonts w:eastAsia="Calibri"/>
          <w:i/>
        </w:rPr>
        <w:t xml:space="preserve"> </w:t>
      </w:r>
    </w:p>
    <w:p w:rsidR="005C3518" w:rsidRPr="001D29BB" w:rsidRDefault="005C3518" w:rsidP="005C3518">
      <w:pPr>
        <w:rPr>
          <w:lang w:val="en"/>
        </w:rPr>
      </w:pPr>
    </w:p>
    <w:p w:rsidR="005C3518" w:rsidRDefault="005C3518" w:rsidP="005C3518">
      <w:r>
        <w:rPr>
          <w:lang w:val="en"/>
        </w:rPr>
        <w:t xml:space="preserve">In the Australian Standards, there are obligations relating to on-farm activities imposed on processors but there are no corresponding obligations on producers. </w:t>
      </w:r>
      <w:r>
        <w:rPr>
          <w:rFonts w:cs="Arial"/>
          <w:szCs w:val="22"/>
        </w:rPr>
        <w:t>The Australian Standards were</w:t>
      </w:r>
      <w:r w:rsidRPr="00842C63">
        <w:rPr>
          <w:rFonts w:cs="Arial"/>
          <w:szCs w:val="22"/>
        </w:rPr>
        <w:t xml:space="preserve"> prepared </w:t>
      </w:r>
      <w:r>
        <w:rPr>
          <w:rFonts w:cs="Arial"/>
          <w:szCs w:val="22"/>
        </w:rPr>
        <w:t xml:space="preserve">and maintained </w:t>
      </w:r>
      <w:r w:rsidRPr="00842C63">
        <w:rPr>
          <w:rFonts w:cs="Arial"/>
          <w:szCs w:val="22"/>
        </w:rPr>
        <w:t xml:space="preserve">by the Meat Standards Committee until it was disbanded in 2007. </w:t>
      </w:r>
      <w:r>
        <w:t xml:space="preserve">The on-going maintenance of these Australian Standards was highlighted as an issue during the early stages of this work. </w:t>
      </w:r>
    </w:p>
    <w:p w:rsidR="005C0BD0" w:rsidRPr="006D4EE6" w:rsidRDefault="005C0BD0" w:rsidP="00CB5D88">
      <w:pPr>
        <w:pStyle w:val="Heading2"/>
      </w:pPr>
      <w:bookmarkStart w:id="35" w:name="_Toc309291836"/>
      <w:bookmarkStart w:id="36" w:name="_Toc309385453"/>
      <w:bookmarkStart w:id="37" w:name="_Toc366587854"/>
      <w:r w:rsidRPr="006D4EE6">
        <w:t>2.5</w:t>
      </w:r>
      <w:r w:rsidRPr="006D4EE6">
        <w:tab/>
        <w:t>Procedure for assessment</w:t>
      </w:r>
      <w:bookmarkEnd w:id="35"/>
      <w:bookmarkEnd w:id="36"/>
      <w:bookmarkEnd w:id="37"/>
    </w:p>
    <w:p w:rsidR="005C0BD0" w:rsidRPr="00102800" w:rsidRDefault="005C0BD0" w:rsidP="005C0BD0">
      <w:r w:rsidRPr="00102800">
        <w:t xml:space="preserve">The </w:t>
      </w:r>
      <w:r w:rsidR="00101907">
        <w:t xml:space="preserve">Major Procedure applied to the </w:t>
      </w:r>
      <w:r w:rsidRPr="00102800">
        <w:t>Proposal.</w:t>
      </w:r>
    </w:p>
    <w:p w:rsidR="006D4EE6" w:rsidRDefault="006D4EE6" w:rsidP="006D4EE6">
      <w:pPr>
        <w:pStyle w:val="Heading2"/>
      </w:pPr>
      <w:bookmarkStart w:id="38" w:name="_Toc366587855"/>
      <w:r>
        <w:t>2.6</w:t>
      </w:r>
      <w:r>
        <w:tab/>
        <w:t>Decision</w:t>
      </w:r>
      <w:bookmarkEnd w:id="38"/>
    </w:p>
    <w:p w:rsidR="00A87FBE" w:rsidRDefault="006D4EE6" w:rsidP="005C3518">
      <w:r w:rsidRPr="00102800">
        <w:t xml:space="preserve">The Proposal </w:t>
      </w:r>
      <w:r w:rsidR="00A87FBE">
        <w:t>has been</w:t>
      </w:r>
      <w:r w:rsidRPr="00102800">
        <w:t xml:space="preserve"> abandoned.</w:t>
      </w:r>
      <w:r w:rsidR="00102800">
        <w:t xml:space="preserve"> </w:t>
      </w:r>
    </w:p>
    <w:p w:rsidR="00A87FBE" w:rsidRDefault="00A87FBE" w:rsidP="005C3518"/>
    <w:p w:rsidR="00A87FBE" w:rsidRDefault="00A87FBE" w:rsidP="005C3518">
      <w:pPr>
        <w:rPr>
          <w:rFonts w:cs="Arial"/>
          <w:szCs w:val="22"/>
        </w:rPr>
      </w:pPr>
      <w:r>
        <w:rPr>
          <w:rFonts w:cs="Arial"/>
          <w:szCs w:val="22"/>
        </w:rPr>
        <w:br w:type="page"/>
      </w:r>
    </w:p>
    <w:p w:rsidR="005C3518" w:rsidRPr="00102800" w:rsidRDefault="005C3518" w:rsidP="005C3518">
      <w:r>
        <w:rPr>
          <w:rFonts w:cs="Arial"/>
          <w:szCs w:val="22"/>
        </w:rPr>
        <w:lastRenderedPageBreak/>
        <w:t>The 2</w:t>
      </w:r>
      <w:r w:rsidRPr="002C3C02">
        <w:rPr>
          <w:rFonts w:cs="Arial"/>
          <w:szCs w:val="22"/>
          <w:vertAlign w:val="superscript"/>
        </w:rPr>
        <w:t>nd</w:t>
      </w:r>
      <w:r>
        <w:rPr>
          <w:rFonts w:cs="Arial"/>
          <w:szCs w:val="22"/>
        </w:rPr>
        <w:t xml:space="preserve"> </w:t>
      </w:r>
      <w:r w:rsidR="00A87FBE">
        <w:rPr>
          <w:rFonts w:cs="Arial"/>
          <w:szCs w:val="22"/>
        </w:rPr>
        <w:t>call for s</w:t>
      </w:r>
      <w:r>
        <w:rPr>
          <w:rFonts w:cs="Arial"/>
          <w:szCs w:val="22"/>
        </w:rPr>
        <w:t>ubmissions for P1014 consider</w:t>
      </w:r>
      <w:r w:rsidR="00871659">
        <w:rPr>
          <w:rFonts w:cs="Arial"/>
          <w:szCs w:val="22"/>
        </w:rPr>
        <w:t>ed</w:t>
      </w:r>
      <w:r>
        <w:rPr>
          <w:rFonts w:cs="Arial"/>
          <w:szCs w:val="22"/>
        </w:rPr>
        <w:t xml:space="preserve"> meat and meat products from all meat species </w:t>
      </w:r>
      <w:r w:rsidR="00871659">
        <w:rPr>
          <w:rFonts w:cs="Arial"/>
          <w:szCs w:val="22"/>
        </w:rPr>
        <w:t xml:space="preserve">(including those species considered under P1005) </w:t>
      </w:r>
      <w:r>
        <w:rPr>
          <w:rFonts w:cs="Arial"/>
          <w:szCs w:val="22"/>
        </w:rPr>
        <w:t>and wild game and consults on a draft national standard for meat and meat products.</w:t>
      </w:r>
    </w:p>
    <w:p w:rsidR="005C3518" w:rsidRDefault="005C3518" w:rsidP="00902E0C">
      <w:pPr>
        <w:rPr>
          <w:rFonts w:cs="Arial"/>
        </w:rPr>
      </w:pPr>
    </w:p>
    <w:p w:rsidR="00902E0C" w:rsidRDefault="00F360D2" w:rsidP="00902E0C">
      <w:pPr>
        <w:rPr>
          <w:rFonts w:cs="Arial"/>
          <w:szCs w:val="22"/>
        </w:rPr>
      </w:pPr>
      <w:r>
        <w:rPr>
          <w:rFonts w:cs="Arial"/>
        </w:rPr>
        <w:t xml:space="preserve">Under P1014, FSANZ </w:t>
      </w:r>
      <w:r w:rsidR="00871659">
        <w:rPr>
          <w:rFonts w:cs="Arial"/>
        </w:rPr>
        <w:t>addressed</w:t>
      </w:r>
      <w:r w:rsidR="008F52E5">
        <w:rPr>
          <w:rFonts w:cs="Arial"/>
        </w:rPr>
        <w:t xml:space="preserve"> </w:t>
      </w:r>
      <w:r>
        <w:rPr>
          <w:rFonts w:cs="Arial"/>
        </w:rPr>
        <w:t xml:space="preserve">meat and meat products from </w:t>
      </w:r>
      <w:r>
        <w:t xml:space="preserve">major and minor meat species (e.g. cattle, sheep, goats, pigs, </w:t>
      </w:r>
      <w:r>
        <w:rPr>
          <w:szCs w:val="22"/>
        </w:rPr>
        <w:t xml:space="preserve">buffalo, camels, alpacas, llamas, deer, horses, donkeys, rabbits, crocodiles, ostrich and emu) and wild game. </w:t>
      </w:r>
      <w:r>
        <w:t xml:space="preserve">P1014 </w:t>
      </w:r>
      <w:r w:rsidR="00871659">
        <w:t xml:space="preserve">also considered </w:t>
      </w:r>
      <w:r>
        <w:t>rendered products for human consumption and natural casings.</w:t>
      </w:r>
      <w:r w:rsidR="00902E0C">
        <w:t xml:space="preserve"> As such, all of the matters examined under P1005</w:t>
      </w:r>
      <w:r w:rsidR="005C3518">
        <w:t xml:space="preserve">, including the issues </w:t>
      </w:r>
      <w:proofErr w:type="gramStart"/>
      <w:r w:rsidR="005C3518">
        <w:t>ra</w:t>
      </w:r>
      <w:r w:rsidR="00172673">
        <w:t>ised</w:t>
      </w:r>
      <w:proofErr w:type="gramEnd"/>
      <w:r w:rsidR="00172673">
        <w:t xml:space="preserve"> d</w:t>
      </w:r>
      <w:r w:rsidR="005C3518">
        <w:t>uring the first round of public consultation,</w:t>
      </w:r>
      <w:r w:rsidR="00172673">
        <w:t xml:space="preserve"> </w:t>
      </w:r>
      <w:r w:rsidR="00871659">
        <w:t xml:space="preserve">were </w:t>
      </w:r>
      <w:r w:rsidR="00902E0C">
        <w:t xml:space="preserve">included under P1014. </w:t>
      </w:r>
      <w:r w:rsidR="00902E0C">
        <w:rPr>
          <w:rFonts w:cs="Arial"/>
          <w:szCs w:val="22"/>
        </w:rPr>
        <w:t xml:space="preserve">This </w:t>
      </w:r>
      <w:r w:rsidR="00871659">
        <w:rPr>
          <w:rFonts w:cs="Arial"/>
          <w:szCs w:val="22"/>
        </w:rPr>
        <w:t xml:space="preserve">avoided </w:t>
      </w:r>
      <w:r w:rsidR="00902E0C">
        <w:rPr>
          <w:rFonts w:cs="Arial"/>
          <w:szCs w:val="22"/>
        </w:rPr>
        <w:t xml:space="preserve">confusion </w:t>
      </w:r>
      <w:r w:rsidR="00172673">
        <w:rPr>
          <w:rFonts w:cs="Arial"/>
          <w:szCs w:val="22"/>
        </w:rPr>
        <w:t xml:space="preserve">during the second round of </w:t>
      </w:r>
      <w:r w:rsidR="00902E0C">
        <w:rPr>
          <w:rFonts w:cs="Arial"/>
          <w:szCs w:val="22"/>
        </w:rPr>
        <w:t xml:space="preserve">public consultation </w:t>
      </w:r>
      <w:r w:rsidR="00172673">
        <w:rPr>
          <w:rFonts w:cs="Arial"/>
          <w:szCs w:val="22"/>
        </w:rPr>
        <w:t>with</w:t>
      </w:r>
      <w:r w:rsidR="00902E0C">
        <w:rPr>
          <w:rFonts w:cs="Arial"/>
          <w:szCs w:val="22"/>
        </w:rPr>
        <w:t xml:space="preserve"> two separate reports </w:t>
      </w:r>
      <w:r w:rsidR="00172673">
        <w:rPr>
          <w:rFonts w:cs="Arial"/>
          <w:szCs w:val="22"/>
        </w:rPr>
        <w:t xml:space="preserve">(P1005 and P1014) </w:t>
      </w:r>
      <w:r w:rsidR="00902E0C">
        <w:rPr>
          <w:rFonts w:cs="Arial"/>
          <w:szCs w:val="22"/>
        </w:rPr>
        <w:t>and one draft standard.</w:t>
      </w:r>
    </w:p>
    <w:p w:rsidR="005C0BD0" w:rsidRPr="005C0BD0" w:rsidRDefault="005C0BD0" w:rsidP="0022793C">
      <w:pPr>
        <w:pStyle w:val="Heading1"/>
      </w:pPr>
      <w:bookmarkStart w:id="39" w:name="_Toc300933424"/>
      <w:bookmarkStart w:id="40" w:name="_Toc309291837"/>
      <w:bookmarkStart w:id="41" w:name="_Toc309385454"/>
      <w:bookmarkStart w:id="42" w:name="_Toc366587856"/>
      <w:bookmarkStart w:id="43" w:name="_Toc300933435"/>
      <w:bookmarkStart w:id="44" w:name="_Toc300933564"/>
      <w:bookmarkStart w:id="45" w:name="_Toc301535595"/>
      <w:bookmarkStart w:id="46" w:name="_Toc11735630"/>
      <w:bookmarkStart w:id="47" w:name="_Toc29883114"/>
      <w:bookmarkStart w:id="48" w:name="_Toc41906801"/>
      <w:bookmarkStart w:id="49" w:name="_Toc41907548"/>
      <w:bookmarkStart w:id="50" w:name="_Toc120358578"/>
      <w:bookmarkStart w:id="51" w:name="_Toc175381435"/>
      <w:bookmarkEnd w:id="7"/>
      <w:bookmarkEnd w:id="8"/>
      <w:bookmarkEnd w:id="9"/>
      <w:bookmarkEnd w:id="10"/>
      <w:bookmarkEnd w:id="11"/>
      <w:bookmarkEnd w:id="17"/>
      <w:bookmarkEnd w:id="18"/>
      <w:r w:rsidRPr="005C0BD0">
        <w:t>3.</w:t>
      </w:r>
      <w:r w:rsidRPr="005C0BD0">
        <w:tab/>
        <w:t xml:space="preserve">Summary of the </w:t>
      </w:r>
      <w:bookmarkEnd w:id="39"/>
      <w:bookmarkEnd w:id="40"/>
      <w:bookmarkEnd w:id="41"/>
      <w:r w:rsidR="0022793C" w:rsidRPr="0022793C">
        <w:rPr>
          <w:lang w:bidi="en-US"/>
        </w:rPr>
        <w:t>findings</w:t>
      </w:r>
      <w:bookmarkEnd w:id="42"/>
    </w:p>
    <w:p w:rsidR="005C0BD0" w:rsidRPr="005C0BD0" w:rsidRDefault="005C0BD0" w:rsidP="00CB5D88">
      <w:pPr>
        <w:pStyle w:val="Heading2"/>
      </w:pPr>
      <w:bookmarkStart w:id="52" w:name="_Toc286391009"/>
      <w:bookmarkStart w:id="53" w:name="_Toc300933425"/>
      <w:bookmarkStart w:id="54" w:name="_Toc309291838"/>
      <w:bookmarkStart w:id="55" w:name="_Toc309385455"/>
      <w:bookmarkStart w:id="56" w:name="_Toc366587857"/>
      <w:bookmarkStart w:id="57" w:name="_Toc120358583"/>
      <w:bookmarkStart w:id="58" w:name="_Toc175381440"/>
      <w:r w:rsidRPr="005C0BD0">
        <w:t>3.1</w:t>
      </w:r>
      <w:r w:rsidRPr="005C0BD0">
        <w:tab/>
        <w:t>Risk assessment</w:t>
      </w:r>
      <w:bookmarkEnd w:id="52"/>
      <w:bookmarkEnd w:id="53"/>
      <w:bookmarkEnd w:id="54"/>
      <w:bookmarkEnd w:id="55"/>
      <w:bookmarkEnd w:id="56"/>
      <w:r w:rsidRPr="005C0BD0">
        <w:t xml:space="preserve"> </w:t>
      </w:r>
      <w:bookmarkEnd w:id="57"/>
      <w:bookmarkEnd w:id="58"/>
    </w:p>
    <w:p w:rsidR="005C0BD0" w:rsidRDefault="00902E0C" w:rsidP="005C0BD0">
      <w:pPr>
        <w:rPr>
          <w:rFonts w:cs="Arial"/>
          <w:szCs w:val="22"/>
        </w:rPr>
      </w:pPr>
      <w:r>
        <w:rPr>
          <w:rFonts w:cs="Arial"/>
          <w:szCs w:val="22"/>
          <w:lang w:val="en-AU"/>
        </w:rPr>
        <w:t>FSANZ identified</w:t>
      </w:r>
      <w:r w:rsidRPr="007649E0">
        <w:rPr>
          <w:rFonts w:cs="Arial"/>
          <w:szCs w:val="22"/>
          <w:lang w:val="en-AU"/>
        </w:rPr>
        <w:t xml:space="preserve"> hazards that may be found in meat, where in the meat supply chain they may be introduced into the animal or the meat and where in the supply chain they may be controlled.</w:t>
      </w:r>
      <w:r w:rsidR="00172673">
        <w:rPr>
          <w:rFonts w:cs="Arial"/>
          <w:szCs w:val="22"/>
          <w:lang w:val="en-AU"/>
        </w:rPr>
        <w:t xml:space="preserve"> </w:t>
      </w:r>
      <w:r w:rsidRPr="00224F17">
        <w:rPr>
          <w:rFonts w:cs="Arial"/>
          <w:szCs w:val="22"/>
        </w:rPr>
        <w:t xml:space="preserve">FSANZ’s </w:t>
      </w:r>
      <w:r>
        <w:rPr>
          <w:rFonts w:cs="Arial"/>
          <w:szCs w:val="22"/>
        </w:rPr>
        <w:t xml:space="preserve">amended </w:t>
      </w:r>
      <w:r w:rsidRPr="00224F17">
        <w:rPr>
          <w:rFonts w:cs="Arial"/>
          <w:i/>
          <w:szCs w:val="22"/>
        </w:rPr>
        <w:t>Assessment of Microbiological Hazards Associated with the Four Main Meat Species</w:t>
      </w:r>
      <w:r w:rsidRPr="00224F17">
        <w:rPr>
          <w:rFonts w:cs="Arial"/>
          <w:szCs w:val="22"/>
        </w:rPr>
        <w:t xml:space="preserve"> is at SD</w:t>
      </w:r>
      <w:r w:rsidR="00172673">
        <w:rPr>
          <w:rFonts w:cs="Arial"/>
          <w:szCs w:val="22"/>
        </w:rPr>
        <w:t>2 of the 2</w:t>
      </w:r>
      <w:r w:rsidR="00172673" w:rsidRPr="00172673">
        <w:rPr>
          <w:rFonts w:cs="Arial"/>
          <w:szCs w:val="22"/>
          <w:vertAlign w:val="superscript"/>
        </w:rPr>
        <w:t>nd</w:t>
      </w:r>
      <w:r w:rsidR="00A87FBE">
        <w:rPr>
          <w:rFonts w:cs="Arial"/>
          <w:szCs w:val="22"/>
        </w:rPr>
        <w:t xml:space="preserve"> c</w:t>
      </w:r>
      <w:r w:rsidR="00172673">
        <w:rPr>
          <w:rFonts w:cs="Arial"/>
          <w:szCs w:val="22"/>
        </w:rPr>
        <w:t xml:space="preserve">all for </w:t>
      </w:r>
      <w:r w:rsidR="00A87FBE">
        <w:rPr>
          <w:rFonts w:cs="Arial"/>
          <w:szCs w:val="22"/>
        </w:rPr>
        <w:t>s</w:t>
      </w:r>
      <w:r w:rsidR="00172673">
        <w:rPr>
          <w:rFonts w:cs="Arial"/>
          <w:szCs w:val="22"/>
        </w:rPr>
        <w:t>ubmission</w:t>
      </w:r>
      <w:r w:rsidR="008446CC">
        <w:rPr>
          <w:rFonts w:cs="Arial"/>
          <w:szCs w:val="22"/>
        </w:rPr>
        <w:t>s</w:t>
      </w:r>
      <w:r w:rsidR="00172673">
        <w:rPr>
          <w:rFonts w:cs="Arial"/>
          <w:szCs w:val="22"/>
        </w:rPr>
        <w:t xml:space="preserve"> for P1014. </w:t>
      </w:r>
      <w:r w:rsidR="00306E45">
        <w:rPr>
          <w:color w:val="000000"/>
        </w:rPr>
        <w:t xml:space="preserve">The chemical risk profile of meat and meat products </w:t>
      </w:r>
      <w:r w:rsidR="00172673">
        <w:rPr>
          <w:color w:val="000000"/>
        </w:rPr>
        <w:t xml:space="preserve">is at </w:t>
      </w:r>
      <w:r w:rsidR="00306E45">
        <w:rPr>
          <w:color w:val="000000"/>
        </w:rPr>
        <w:t>SD4</w:t>
      </w:r>
      <w:r w:rsidR="00172673">
        <w:rPr>
          <w:color w:val="000000"/>
        </w:rPr>
        <w:t xml:space="preserve"> </w:t>
      </w:r>
      <w:r w:rsidR="00172673">
        <w:rPr>
          <w:rFonts w:cs="Arial"/>
          <w:szCs w:val="22"/>
        </w:rPr>
        <w:t>of the 2</w:t>
      </w:r>
      <w:r w:rsidR="00172673" w:rsidRPr="00172673">
        <w:rPr>
          <w:rFonts w:cs="Arial"/>
          <w:szCs w:val="22"/>
          <w:vertAlign w:val="superscript"/>
        </w:rPr>
        <w:t>nd</w:t>
      </w:r>
      <w:r w:rsidR="00A87FBE">
        <w:rPr>
          <w:rFonts w:cs="Arial"/>
          <w:szCs w:val="22"/>
        </w:rPr>
        <w:t xml:space="preserve"> call for s</w:t>
      </w:r>
      <w:r w:rsidR="00172673">
        <w:rPr>
          <w:rFonts w:cs="Arial"/>
          <w:szCs w:val="22"/>
        </w:rPr>
        <w:t>ubmission</w:t>
      </w:r>
      <w:r w:rsidR="00A87FBE">
        <w:rPr>
          <w:rFonts w:cs="Arial"/>
          <w:szCs w:val="22"/>
        </w:rPr>
        <w:t>s</w:t>
      </w:r>
      <w:r w:rsidR="00172673">
        <w:rPr>
          <w:rFonts w:cs="Arial"/>
          <w:szCs w:val="22"/>
        </w:rPr>
        <w:t xml:space="preserve"> for P1014.</w:t>
      </w:r>
    </w:p>
    <w:p w:rsidR="00172673" w:rsidRDefault="00172673" w:rsidP="005C0BD0">
      <w:pPr>
        <w:rPr>
          <w:rFonts w:cs="Arial"/>
          <w:szCs w:val="22"/>
        </w:rPr>
      </w:pPr>
    </w:p>
    <w:p w:rsidR="00306E45" w:rsidRPr="00A87FBE" w:rsidRDefault="00A87FBE" w:rsidP="005C0BD0">
      <w:r>
        <w:rPr>
          <w:rFonts w:cs="Arial"/>
          <w:szCs w:val="22"/>
        </w:rPr>
        <w:t>All d</w:t>
      </w:r>
      <w:r w:rsidR="00172673">
        <w:rPr>
          <w:rFonts w:cs="Arial"/>
          <w:szCs w:val="22"/>
        </w:rPr>
        <w:t xml:space="preserve">ocuments </w:t>
      </w:r>
      <w:r>
        <w:rPr>
          <w:rFonts w:cs="Arial"/>
          <w:szCs w:val="22"/>
        </w:rPr>
        <w:t xml:space="preserve">relating to P1014 </w:t>
      </w:r>
      <w:r w:rsidR="00172673">
        <w:rPr>
          <w:rFonts w:cs="Arial"/>
          <w:szCs w:val="22"/>
        </w:rPr>
        <w:t xml:space="preserve">are available on </w:t>
      </w:r>
      <w:r w:rsidR="00306E45" w:rsidRPr="0089264A">
        <w:rPr>
          <w:szCs w:val="22"/>
        </w:rPr>
        <w:t>the FSANZ website at</w:t>
      </w:r>
      <w:r w:rsidR="00172673">
        <w:rPr>
          <w:szCs w:val="22"/>
        </w:rPr>
        <w:t xml:space="preserve"> </w:t>
      </w:r>
      <w:hyperlink r:id="rId17" w:history="1">
        <w:r w:rsidR="00172673" w:rsidRPr="00610ACF">
          <w:rPr>
            <w:rStyle w:val="Hyperlink"/>
            <w:szCs w:val="22"/>
          </w:rPr>
          <w:t>http://www.foodstandards.gov.au/code/proposals/Pages/proposalp1014primary5331.aspx</w:t>
        </w:r>
      </w:hyperlink>
      <w:r w:rsidRPr="00A87FBE">
        <w:t>.</w:t>
      </w:r>
    </w:p>
    <w:p w:rsidR="0022793C" w:rsidRPr="0022793C" w:rsidRDefault="0022793C" w:rsidP="00CB5D88">
      <w:pPr>
        <w:pStyle w:val="Heading2"/>
      </w:pPr>
      <w:bookmarkStart w:id="59" w:name="_Toc309291812"/>
      <w:bookmarkStart w:id="60" w:name="_Toc366587858"/>
      <w:bookmarkStart w:id="61" w:name="_Toc309291813"/>
      <w:r w:rsidRPr="0022793C">
        <w:t>3.2</w:t>
      </w:r>
      <w:r w:rsidRPr="0022793C">
        <w:tab/>
        <w:t>Risk management</w:t>
      </w:r>
      <w:bookmarkEnd w:id="59"/>
      <w:bookmarkEnd w:id="60"/>
    </w:p>
    <w:p w:rsidR="00172673" w:rsidRPr="00A87FBE" w:rsidRDefault="00601DBD" w:rsidP="00172673">
      <w:r w:rsidRPr="00735C95">
        <w:rPr>
          <w:rFonts w:cs="Arial"/>
          <w:lang w:bidi="ar-SA"/>
        </w:rPr>
        <w:t xml:space="preserve">An analysis of existing regulatory and non-regulatory measures to manage hazards </w:t>
      </w:r>
      <w:r w:rsidR="00172673">
        <w:rPr>
          <w:rFonts w:cs="Arial"/>
          <w:lang w:bidi="ar-SA"/>
        </w:rPr>
        <w:t xml:space="preserve">associated with the major meat species </w:t>
      </w:r>
      <w:r w:rsidRPr="00735C95">
        <w:rPr>
          <w:rFonts w:cs="Arial"/>
          <w:lang w:bidi="ar-SA"/>
        </w:rPr>
        <w:t>is at SD5</w:t>
      </w:r>
      <w:r w:rsidR="00172673">
        <w:rPr>
          <w:rFonts w:cs="Arial"/>
          <w:lang w:bidi="ar-SA"/>
        </w:rPr>
        <w:t xml:space="preserve"> </w:t>
      </w:r>
      <w:r w:rsidR="00172673">
        <w:rPr>
          <w:rFonts w:cs="Arial"/>
          <w:szCs w:val="22"/>
        </w:rPr>
        <w:t>of the 2</w:t>
      </w:r>
      <w:r w:rsidR="00172673" w:rsidRPr="00172673">
        <w:rPr>
          <w:rFonts w:cs="Arial"/>
          <w:szCs w:val="22"/>
          <w:vertAlign w:val="superscript"/>
        </w:rPr>
        <w:t>nd</w:t>
      </w:r>
      <w:r w:rsidR="00A87FBE">
        <w:rPr>
          <w:rFonts w:cs="Arial"/>
          <w:szCs w:val="22"/>
        </w:rPr>
        <w:t xml:space="preserve"> c</w:t>
      </w:r>
      <w:r w:rsidR="00172673">
        <w:rPr>
          <w:rFonts w:cs="Arial"/>
          <w:szCs w:val="22"/>
        </w:rPr>
        <w:t xml:space="preserve">all for </w:t>
      </w:r>
      <w:r w:rsidR="00A87FBE">
        <w:rPr>
          <w:rFonts w:cs="Arial"/>
          <w:szCs w:val="22"/>
        </w:rPr>
        <w:t>s</w:t>
      </w:r>
      <w:r w:rsidR="00172673">
        <w:rPr>
          <w:rFonts w:cs="Arial"/>
          <w:szCs w:val="22"/>
        </w:rPr>
        <w:t>ubmission</w:t>
      </w:r>
      <w:r w:rsidR="008446CC">
        <w:rPr>
          <w:rFonts w:cs="Arial"/>
          <w:szCs w:val="22"/>
        </w:rPr>
        <w:t>s</w:t>
      </w:r>
      <w:r w:rsidR="00172673">
        <w:rPr>
          <w:rFonts w:cs="Arial"/>
          <w:szCs w:val="22"/>
        </w:rPr>
        <w:t xml:space="preserve"> for P1014</w:t>
      </w:r>
      <w:r w:rsidRPr="00735C95">
        <w:rPr>
          <w:rFonts w:cs="Arial"/>
          <w:lang w:bidi="ar-SA"/>
        </w:rPr>
        <w:t xml:space="preserve">. </w:t>
      </w:r>
    </w:p>
    <w:p w:rsidR="0022793C" w:rsidRPr="00A87FBE" w:rsidRDefault="0022793C" w:rsidP="00A87FBE">
      <w:pPr>
        <w:pStyle w:val="Heading3"/>
      </w:pPr>
      <w:bookmarkStart w:id="62" w:name="_Toc366587859"/>
      <w:r w:rsidRPr="0022793C">
        <w:t>3.2.1</w:t>
      </w:r>
      <w:r w:rsidRPr="0022793C">
        <w:tab/>
        <w:t>Summary of submissions</w:t>
      </w:r>
      <w:bookmarkEnd w:id="61"/>
      <w:bookmarkEnd w:id="62"/>
      <w:r w:rsidRPr="0022793C">
        <w:t xml:space="preserve"> </w:t>
      </w:r>
    </w:p>
    <w:p w:rsidR="0022793C" w:rsidRPr="00172673" w:rsidRDefault="0022793C" w:rsidP="0022793C">
      <w:pPr>
        <w:rPr>
          <w:szCs w:val="22"/>
        </w:rPr>
      </w:pPr>
      <w:r w:rsidRPr="0022793C">
        <w:rPr>
          <w:szCs w:val="22"/>
        </w:rPr>
        <w:t xml:space="preserve">Consultation is a key part of FSANZ’s standards development process. FSANZ acknowledges the time taken by individuals and organisations to make submissions on this </w:t>
      </w:r>
      <w:r w:rsidRPr="00172673">
        <w:rPr>
          <w:szCs w:val="22"/>
        </w:rPr>
        <w:t xml:space="preserve">Proposal. </w:t>
      </w:r>
    </w:p>
    <w:p w:rsidR="0022793C" w:rsidRPr="0022793C" w:rsidRDefault="0022793C" w:rsidP="0022793C">
      <w:pPr>
        <w:rPr>
          <w:szCs w:val="22"/>
        </w:rPr>
      </w:pPr>
    </w:p>
    <w:p w:rsidR="0022793C" w:rsidRPr="0022793C" w:rsidRDefault="0022793C" w:rsidP="0022793C">
      <w:pPr>
        <w:rPr>
          <w:szCs w:val="22"/>
        </w:rPr>
      </w:pPr>
      <w:r w:rsidRPr="0022793C">
        <w:rPr>
          <w:szCs w:val="22"/>
        </w:rPr>
        <w:t xml:space="preserve">Every submission on an application or proposal is reviewed by FSANZ staff, </w:t>
      </w:r>
      <w:proofErr w:type="gramStart"/>
      <w:r w:rsidRPr="0022793C">
        <w:rPr>
          <w:szCs w:val="22"/>
        </w:rPr>
        <w:t>who</w:t>
      </w:r>
      <w:proofErr w:type="gramEnd"/>
      <w:r w:rsidRPr="0022793C">
        <w:rPr>
          <w:szCs w:val="22"/>
        </w:rPr>
        <w:t xml:space="preserve"> examine the issues identified and prepare a response to those issues. While not all </w:t>
      </w:r>
      <w:r w:rsidR="005E1714">
        <w:rPr>
          <w:szCs w:val="22"/>
        </w:rPr>
        <w:t>comments</w:t>
      </w:r>
      <w:r w:rsidRPr="0022793C">
        <w:rPr>
          <w:szCs w:val="22"/>
        </w:rPr>
        <w:t xml:space="preserve"> can be taken on board during the process, they are valued and all contribute to the rigour of our assessment. </w:t>
      </w:r>
    </w:p>
    <w:p w:rsidR="0022793C" w:rsidRPr="0022793C" w:rsidRDefault="0022793C" w:rsidP="0022793C">
      <w:pPr>
        <w:rPr>
          <w:szCs w:val="22"/>
        </w:rPr>
      </w:pPr>
    </w:p>
    <w:p w:rsidR="00172673" w:rsidRPr="00172673" w:rsidRDefault="00601DBD" w:rsidP="00172673">
      <w:r w:rsidRPr="00414FC2">
        <w:rPr>
          <w:rFonts w:cs="Arial"/>
          <w:szCs w:val="22"/>
        </w:rPr>
        <w:t>A S</w:t>
      </w:r>
      <w:r w:rsidR="00871659">
        <w:rPr>
          <w:rFonts w:cs="Arial"/>
          <w:szCs w:val="22"/>
        </w:rPr>
        <w:t>DC advised FS</w:t>
      </w:r>
      <w:r w:rsidRPr="00414FC2">
        <w:rPr>
          <w:rFonts w:cs="Arial"/>
          <w:szCs w:val="22"/>
        </w:rPr>
        <w:t>ANZ on this work. Members include</w:t>
      </w:r>
      <w:r w:rsidR="00871659">
        <w:rPr>
          <w:rFonts w:cs="Arial"/>
          <w:szCs w:val="22"/>
        </w:rPr>
        <w:t>d</w:t>
      </w:r>
      <w:r w:rsidRPr="00414FC2">
        <w:rPr>
          <w:rFonts w:cs="Arial"/>
          <w:szCs w:val="22"/>
        </w:rPr>
        <w:t xml:space="preserve"> major industry associations for the cattle, sheep, goat and pig industries, meat processors, the rendering industry, feedlot industry, stock feed manufacturers, </w:t>
      </w:r>
      <w:r w:rsidR="008446CC">
        <w:rPr>
          <w:rFonts w:cs="Arial"/>
          <w:szCs w:val="22"/>
        </w:rPr>
        <w:t xml:space="preserve">the Australian Government </w:t>
      </w:r>
      <w:r w:rsidRPr="00414FC2">
        <w:rPr>
          <w:rFonts w:cs="Arial"/>
          <w:szCs w:val="22"/>
        </w:rPr>
        <w:t xml:space="preserve">Department of Agriculture, Fisheries and Forestry, state and territory meat regulators and the Country Women’s Association of Australia. </w:t>
      </w:r>
      <w:r>
        <w:rPr>
          <w:rFonts w:cs="Arial"/>
          <w:szCs w:val="22"/>
        </w:rPr>
        <w:t>The membership is detailed in SD1</w:t>
      </w:r>
      <w:r w:rsidR="00172673">
        <w:rPr>
          <w:rFonts w:cs="Arial"/>
          <w:szCs w:val="22"/>
        </w:rPr>
        <w:t xml:space="preserve"> of the 2</w:t>
      </w:r>
      <w:r w:rsidR="00172673" w:rsidRPr="00172673">
        <w:rPr>
          <w:rFonts w:cs="Arial"/>
          <w:szCs w:val="22"/>
          <w:vertAlign w:val="superscript"/>
        </w:rPr>
        <w:t>nd</w:t>
      </w:r>
      <w:r w:rsidR="00172673">
        <w:rPr>
          <w:rFonts w:cs="Arial"/>
          <w:szCs w:val="22"/>
        </w:rPr>
        <w:t xml:space="preserve"> </w:t>
      </w:r>
      <w:r w:rsidR="00A87FBE">
        <w:rPr>
          <w:rFonts w:cs="Arial"/>
          <w:szCs w:val="22"/>
        </w:rPr>
        <w:t>call for s</w:t>
      </w:r>
      <w:r w:rsidR="00172673">
        <w:rPr>
          <w:rFonts w:cs="Arial"/>
          <w:szCs w:val="22"/>
        </w:rPr>
        <w:t>ubmission</w:t>
      </w:r>
      <w:r w:rsidR="008446CC">
        <w:rPr>
          <w:rFonts w:cs="Arial"/>
          <w:szCs w:val="22"/>
        </w:rPr>
        <w:t>s</w:t>
      </w:r>
      <w:r w:rsidR="00172673">
        <w:rPr>
          <w:rFonts w:cs="Arial"/>
          <w:szCs w:val="22"/>
        </w:rPr>
        <w:t xml:space="preserve"> report for P1014</w:t>
      </w:r>
      <w:r w:rsidR="00172673" w:rsidRPr="00735C95">
        <w:rPr>
          <w:rFonts w:cs="Arial"/>
          <w:lang w:bidi="ar-SA"/>
        </w:rPr>
        <w:t xml:space="preserve">. </w:t>
      </w:r>
    </w:p>
    <w:p w:rsidR="00172673" w:rsidRDefault="00172673" w:rsidP="0022793C"/>
    <w:p w:rsidR="0007740B" w:rsidRPr="00A87FBE" w:rsidRDefault="00601DBD" w:rsidP="0007740B">
      <w:r>
        <w:t xml:space="preserve">The </w:t>
      </w:r>
      <w:r w:rsidR="00A87FBE">
        <w:t>1</w:t>
      </w:r>
      <w:r w:rsidR="00A87FBE" w:rsidRPr="00A87FBE">
        <w:rPr>
          <w:vertAlign w:val="superscript"/>
        </w:rPr>
        <w:t>st</w:t>
      </w:r>
      <w:r w:rsidR="00A87FBE">
        <w:t xml:space="preserve"> </w:t>
      </w:r>
      <w:r>
        <w:t>Assessment Report for</w:t>
      </w:r>
      <w:r w:rsidR="00172673">
        <w:t xml:space="preserve"> P1005</w:t>
      </w:r>
      <w:r>
        <w:t xml:space="preserve"> was released for public comment from 23 September </w:t>
      </w:r>
      <w:r w:rsidR="00A87FBE">
        <w:t xml:space="preserve">to 11 November 2009. </w:t>
      </w:r>
      <w:r>
        <w:t>Twenty-two submissions were received</w:t>
      </w:r>
      <w:r w:rsidR="0007740B">
        <w:t xml:space="preserve">. </w:t>
      </w:r>
      <w:r w:rsidR="00306E45" w:rsidRPr="00306E45">
        <w:t>Copies of all submissions are available at</w:t>
      </w:r>
      <w:r w:rsidR="00A87FBE">
        <w:t xml:space="preserve"> </w:t>
      </w:r>
      <w:hyperlink r:id="rId18" w:history="1">
        <w:r w:rsidR="00A87FBE" w:rsidRPr="00D85694">
          <w:rPr>
            <w:rStyle w:val="Hyperlink"/>
          </w:rPr>
          <w:t>http://www.foodstandards.gov.au/code/proposals/Pages/proposalp1005primary4220.aspx</w:t>
        </w:r>
      </w:hyperlink>
      <w:r w:rsidR="00A87FBE">
        <w:t xml:space="preserve">. </w:t>
      </w:r>
    </w:p>
    <w:p w:rsidR="0007740B" w:rsidRDefault="0007740B" w:rsidP="0022793C">
      <w:pPr>
        <w:rPr>
          <w:color w:val="FF0000"/>
          <w:szCs w:val="22"/>
          <w:lang w:bidi="ar-SA"/>
        </w:rPr>
      </w:pPr>
    </w:p>
    <w:p w:rsidR="00A87FBE" w:rsidRDefault="00601DBD" w:rsidP="0022793C">
      <w:pPr>
        <w:rPr>
          <w:szCs w:val="22"/>
          <w:lang w:bidi="ar-SA"/>
        </w:rPr>
      </w:pPr>
      <w:r w:rsidRPr="0007740B">
        <w:rPr>
          <w:szCs w:val="22"/>
          <w:lang w:bidi="ar-SA"/>
        </w:rPr>
        <w:t xml:space="preserve">Issues </w:t>
      </w:r>
      <w:r w:rsidR="0007740B" w:rsidRPr="0007740B">
        <w:rPr>
          <w:szCs w:val="22"/>
          <w:lang w:bidi="ar-SA"/>
        </w:rPr>
        <w:t>raised</w:t>
      </w:r>
      <w:r w:rsidRPr="0007740B">
        <w:rPr>
          <w:szCs w:val="22"/>
          <w:lang w:bidi="ar-SA"/>
        </w:rPr>
        <w:t xml:space="preserve"> by </w:t>
      </w:r>
      <w:r w:rsidR="0007740B" w:rsidRPr="0007740B">
        <w:rPr>
          <w:szCs w:val="22"/>
          <w:lang w:bidi="ar-SA"/>
        </w:rPr>
        <w:t>submitters</w:t>
      </w:r>
      <w:r w:rsidRPr="0007740B">
        <w:rPr>
          <w:szCs w:val="22"/>
          <w:lang w:bidi="ar-SA"/>
        </w:rPr>
        <w:t xml:space="preserve"> included:</w:t>
      </w:r>
      <w:r w:rsidR="00A87FBE">
        <w:rPr>
          <w:szCs w:val="22"/>
          <w:lang w:bidi="ar-SA"/>
        </w:rPr>
        <w:br w:type="page"/>
      </w:r>
    </w:p>
    <w:p w:rsidR="0007740B" w:rsidRPr="0007740B" w:rsidRDefault="0007740B" w:rsidP="0007740B">
      <w:pPr>
        <w:pStyle w:val="FSBullet"/>
      </w:pPr>
      <w:r w:rsidRPr="0007740B">
        <w:lastRenderedPageBreak/>
        <w:t>Broadening the scope to cover all meat for human consumption as developing standards over time for major and minor meat species could lead to unintended gaps and overlaps between standards</w:t>
      </w:r>
    </w:p>
    <w:p w:rsidR="0007740B" w:rsidRPr="0007740B" w:rsidRDefault="0007740B" w:rsidP="0007740B">
      <w:pPr>
        <w:pStyle w:val="FSBullet"/>
      </w:pPr>
      <w:r w:rsidRPr="0007740B">
        <w:t>Support for a standard to reflect the obligations that farmers supplying animals for slaughter for human consumption must be able to meet (e.g. managing inputs, traceability)</w:t>
      </w:r>
    </w:p>
    <w:p w:rsidR="00601DBD" w:rsidRPr="0007740B" w:rsidRDefault="0007740B" w:rsidP="0007740B">
      <w:pPr>
        <w:pStyle w:val="FSBullet"/>
      </w:pPr>
      <w:r w:rsidRPr="0007740B">
        <w:t>The need for a m</w:t>
      </w:r>
      <w:r w:rsidR="00601DBD" w:rsidRPr="0007740B">
        <w:t xml:space="preserve">echanism to review </w:t>
      </w:r>
      <w:r w:rsidRPr="0007740B">
        <w:t>e</w:t>
      </w:r>
      <w:r w:rsidR="00601DBD" w:rsidRPr="0007740B">
        <w:t>xisting Australian Standards</w:t>
      </w:r>
    </w:p>
    <w:p w:rsidR="00601DBD" w:rsidRPr="0007740B" w:rsidRDefault="0007740B" w:rsidP="0007740B">
      <w:pPr>
        <w:pStyle w:val="FSBullet"/>
        <w:rPr>
          <w:lang w:bidi="ar-SA"/>
        </w:rPr>
      </w:pPr>
      <w:r w:rsidRPr="0007740B">
        <w:t>The need for traceability requirements</w:t>
      </w:r>
      <w:r w:rsidR="00FD6665">
        <w:t>.</w:t>
      </w:r>
    </w:p>
    <w:p w:rsidR="0007740B" w:rsidRDefault="0007740B" w:rsidP="00601DBD">
      <w:pPr>
        <w:autoSpaceDE w:val="0"/>
        <w:autoSpaceDN w:val="0"/>
        <w:adjustRightInd w:val="0"/>
        <w:rPr>
          <w:rFonts w:cs="Arial"/>
          <w:szCs w:val="22"/>
        </w:rPr>
      </w:pPr>
    </w:p>
    <w:p w:rsidR="00601DBD" w:rsidRDefault="0007740B" w:rsidP="00912014">
      <w:pPr>
        <w:autoSpaceDE w:val="0"/>
        <w:autoSpaceDN w:val="0"/>
        <w:adjustRightInd w:val="0"/>
        <w:rPr>
          <w:lang w:bidi="ar-SA"/>
        </w:rPr>
      </w:pPr>
      <w:r>
        <w:rPr>
          <w:rFonts w:cs="Arial"/>
          <w:szCs w:val="22"/>
        </w:rPr>
        <w:t xml:space="preserve">These issues </w:t>
      </w:r>
      <w:r w:rsidR="00A87FBE">
        <w:rPr>
          <w:rFonts w:cs="Arial"/>
          <w:szCs w:val="22"/>
        </w:rPr>
        <w:t>a</w:t>
      </w:r>
      <w:r w:rsidR="00871659">
        <w:rPr>
          <w:rFonts w:cs="Arial"/>
          <w:szCs w:val="22"/>
        </w:rPr>
        <w:t xml:space="preserve">re </w:t>
      </w:r>
      <w:r>
        <w:rPr>
          <w:rFonts w:cs="Arial"/>
          <w:szCs w:val="22"/>
        </w:rPr>
        <w:t>addressed in the 2</w:t>
      </w:r>
      <w:r w:rsidRPr="0007740B">
        <w:rPr>
          <w:rFonts w:cs="Arial"/>
          <w:szCs w:val="22"/>
          <w:vertAlign w:val="superscript"/>
        </w:rPr>
        <w:t>nd</w:t>
      </w:r>
      <w:r>
        <w:rPr>
          <w:rFonts w:cs="Arial"/>
          <w:szCs w:val="22"/>
        </w:rPr>
        <w:t xml:space="preserve"> </w:t>
      </w:r>
      <w:r w:rsidR="00A87FBE">
        <w:rPr>
          <w:rFonts w:cs="Arial"/>
          <w:szCs w:val="22"/>
        </w:rPr>
        <w:t>c</w:t>
      </w:r>
      <w:r>
        <w:rPr>
          <w:rFonts w:cs="Arial"/>
          <w:szCs w:val="22"/>
        </w:rPr>
        <w:t xml:space="preserve">all for </w:t>
      </w:r>
      <w:r w:rsidR="00A87FBE">
        <w:rPr>
          <w:rFonts w:cs="Arial"/>
          <w:szCs w:val="22"/>
        </w:rPr>
        <w:t>s</w:t>
      </w:r>
      <w:r>
        <w:rPr>
          <w:rFonts w:cs="Arial"/>
          <w:szCs w:val="22"/>
        </w:rPr>
        <w:t xml:space="preserve">ubmissions for P1014. </w:t>
      </w:r>
    </w:p>
    <w:p w:rsidR="008C301D" w:rsidRPr="008C301D" w:rsidRDefault="008C301D" w:rsidP="00CB5D88">
      <w:pPr>
        <w:pStyle w:val="Heading2"/>
      </w:pPr>
      <w:bookmarkStart w:id="63" w:name="_Toc309291814"/>
      <w:bookmarkStart w:id="64" w:name="_Toc366587860"/>
      <w:bookmarkStart w:id="65" w:name="_Toc175381442"/>
      <w:bookmarkStart w:id="66" w:name="_Toc286391010"/>
      <w:bookmarkStart w:id="67" w:name="_Toc300933426"/>
      <w:bookmarkStart w:id="68" w:name="_Toc309291839"/>
      <w:bookmarkStart w:id="69" w:name="_Toc309385456"/>
      <w:r w:rsidRPr="008C301D">
        <w:t>3.3</w:t>
      </w:r>
      <w:r w:rsidRPr="008C301D">
        <w:tab/>
        <w:t>Risk communication</w:t>
      </w:r>
      <w:bookmarkEnd w:id="63"/>
      <w:bookmarkEnd w:id="64"/>
      <w:r w:rsidRPr="008C301D">
        <w:t xml:space="preserve"> </w:t>
      </w:r>
    </w:p>
    <w:p w:rsidR="008C301D" w:rsidRPr="00912014" w:rsidRDefault="00FD6665" w:rsidP="008C301D">
      <w:bookmarkStart w:id="70" w:name="_Toc11735640"/>
      <w:bookmarkStart w:id="71" w:name="_Toc29883125"/>
      <w:bookmarkStart w:id="72" w:name="_Toc41906812"/>
      <w:bookmarkStart w:id="73" w:name="_Toc41907559"/>
      <w:bookmarkStart w:id="74" w:name="_Toc120358593"/>
      <w:bookmarkStart w:id="75" w:name="_Toc175381452"/>
      <w:r w:rsidRPr="00912014">
        <w:t xml:space="preserve">FSANZ developed a communication strategy for P1005 and has prepared material to communicate the decision to </w:t>
      </w:r>
      <w:r w:rsidR="00D77FBA" w:rsidRPr="00912014">
        <w:t>create one proposal for P1005 and P1014</w:t>
      </w:r>
      <w:r w:rsidRPr="00912014">
        <w:t>. Decisions about standards are communicated using social media, publications, the FSANZ website and direct email communication with interested stakeholders.</w:t>
      </w:r>
      <w:r w:rsidR="00937AE3" w:rsidRPr="00912014">
        <w:t xml:space="preserve"> </w:t>
      </w:r>
    </w:p>
    <w:p w:rsidR="00937AE3" w:rsidRDefault="00937AE3" w:rsidP="008C301D">
      <w:pPr>
        <w:rPr>
          <w:color w:val="FF0000"/>
        </w:rPr>
      </w:pPr>
    </w:p>
    <w:p w:rsidR="00937AE3" w:rsidRPr="008C301D" w:rsidRDefault="00937AE3" w:rsidP="008C301D">
      <w:pPr>
        <w:rPr>
          <w:color w:val="FF0000"/>
        </w:rPr>
      </w:pPr>
      <w:r w:rsidRPr="00CC3EBD">
        <w:t xml:space="preserve">The process by which FSANZ considers standard matters is open, accountable, consultative and transparent. </w:t>
      </w:r>
      <w:r>
        <w:t xml:space="preserve">All Proposal documents are placed on the FSANZ website. </w:t>
      </w:r>
      <w:r w:rsidRPr="00CC3EBD">
        <w:t xml:space="preserve">Public submissions </w:t>
      </w:r>
      <w:r>
        <w:t>a</w:t>
      </w:r>
      <w:r w:rsidRPr="00CC3EBD">
        <w:t xml:space="preserve">re called to obtain the views of interested parties </w:t>
      </w:r>
      <w:r>
        <w:t>and a</w:t>
      </w:r>
      <w:r w:rsidRPr="00CC3EBD">
        <w:t xml:space="preserve">ll public comments received </w:t>
      </w:r>
      <w:r>
        <w:t xml:space="preserve">are </w:t>
      </w:r>
      <w:r w:rsidRPr="00CC3EBD">
        <w:t xml:space="preserve">reviewed and considered before approval </w:t>
      </w:r>
      <w:r>
        <w:t xml:space="preserve">of variations to the Code </w:t>
      </w:r>
      <w:r w:rsidRPr="00CC3EBD">
        <w:t xml:space="preserve">by the FSANZ Board. </w:t>
      </w:r>
    </w:p>
    <w:p w:rsidR="008C301D" w:rsidRPr="008C301D" w:rsidRDefault="008C301D" w:rsidP="00CB5D88">
      <w:pPr>
        <w:pStyle w:val="Heading1"/>
      </w:pPr>
      <w:bookmarkStart w:id="76" w:name="_Toc175381455"/>
      <w:bookmarkStart w:id="77" w:name="_Toc309291816"/>
      <w:bookmarkStart w:id="78" w:name="_Toc366587861"/>
      <w:bookmarkStart w:id="79" w:name="_Toc300933448"/>
      <w:bookmarkStart w:id="80" w:name="_Toc300933577"/>
      <w:bookmarkStart w:id="81" w:name="_Toc301535601"/>
      <w:bookmarkStart w:id="82" w:name="_Toc309385464"/>
      <w:bookmarkEnd w:id="70"/>
      <w:bookmarkEnd w:id="71"/>
      <w:bookmarkEnd w:id="72"/>
      <w:bookmarkEnd w:id="73"/>
      <w:bookmarkEnd w:id="74"/>
      <w:bookmarkEnd w:id="75"/>
      <w:bookmarkEnd w:id="43"/>
      <w:bookmarkEnd w:id="44"/>
      <w:bookmarkEnd w:id="45"/>
      <w:bookmarkEnd w:id="46"/>
      <w:bookmarkEnd w:id="47"/>
      <w:bookmarkEnd w:id="48"/>
      <w:bookmarkEnd w:id="49"/>
      <w:bookmarkEnd w:id="50"/>
      <w:bookmarkEnd w:id="51"/>
      <w:bookmarkEnd w:id="65"/>
      <w:bookmarkEnd w:id="66"/>
      <w:bookmarkEnd w:id="67"/>
      <w:bookmarkEnd w:id="68"/>
      <w:bookmarkEnd w:id="69"/>
      <w:r w:rsidRPr="008C301D">
        <w:t>4.</w:t>
      </w:r>
      <w:r w:rsidRPr="008C301D">
        <w:tab/>
      </w:r>
      <w:bookmarkStart w:id="83" w:name="_Toc309291817"/>
      <w:bookmarkEnd w:id="76"/>
      <w:bookmarkEnd w:id="77"/>
      <w:r w:rsidRPr="008C301D">
        <w:t>Reasons for decision</w:t>
      </w:r>
      <w:bookmarkEnd w:id="83"/>
      <w:bookmarkEnd w:id="78"/>
      <w:r w:rsidRPr="008C301D">
        <w:t xml:space="preserve"> </w:t>
      </w:r>
    </w:p>
    <w:p w:rsidR="008C301D" w:rsidRPr="008C301D" w:rsidRDefault="008C301D" w:rsidP="008C301D">
      <w:r w:rsidRPr="008C301D">
        <w:t>In reaching its decision</w:t>
      </w:r>
      <w:r w:rsidR="00101907">
        <w:t xml:space="preserve"> to abandon the Proposal</w:t>
      </w:r>
      <w:r w:rsidRPr="008C301D">
        <w:t xml:space="preserve">, FSANZ had regard to the </w:t>
      </w:r>
      <w:r w:rsidR="001A0C95">
        <w:t xml:space="preserve">same </w:t>
      </w:r>
      <w:r w:rsidR="001A0C95">
        <w:rPr>
          <w:rFonts w:eastAsia="Calibri"/>
        </w:rPr>
        <w:t>criteria that would apply to an assessment of a proposal</w:t>
      </w:r>
      <w:r w:rsidR="001A0C95">
        <w:t>. These are outlined below.</w:t>
      </w:r>
    </w:p>
    <w:p w:rsidR="008C301D" w:rsidRPr="008C301D" w:rsidRDefault="008C301D" w:rsidP="008C301D"/>
    <w:p w:rsidR="008C301D" w:rsidRDefault="008C301D" w:rsidP="008C301D">
      <w:pPr>
        <w:pStyle w:val="FSBullet1"/>
      </w:pPr>
      <w:r w:rsidRPr="008C301D">
        <w:t>whether costs that would arise from a food regulatory measure developed or varied as a result of the</w:t>
      </w:r>
      <w:r w:rsidR="00E24508">
        <w:t xml:space="preserve"> </w:t>
      </w:r>
      <w:r w:rsidRPr="00E24508">
        <w:t>Proposal o</w:t>
      </w:r>
      <w:r w:rsidRPr="008C301D">
        <w:t xml:space="preserve">utweighed the direct and indirect benefits to the community, Government or industry that would arise from the development or variation of the food regulatory measure </w:t>
      </w:r>
    </w:p>
    <w:p w:rsidR="00E24508" w:rsidRDefault="00E24508" w:rsidP="00E24508">
      <w:pPr>
        <w:rPr>
          <w:rFonts w:eastAsia="Calibri"/>
        </w:rPr>
      </w:pPr>
    </w:p>
    <w:p w:rsidR="00E24508" w:rsidRDefault="00F74A8D" w:rsidP="00A87FBE">
      <w:pPr>
        <w:ind w:left="567"/>
        <w:rPr>
          <w:szCs w:val="22"/>
        </w:rPr>
      </w:pPr>
      <w:r w:rsidRPr="00B13157">
        <w:rPr>
          <w:rFonts w:eastAsia="Calibri"/>
        </w:rPr>
        <w:t xml:space="preserve">A regulation impact statement (RIS) </w:t>
      </w:r>
      <w:r w:rsidR="00E24508">
        <w:rPr>
          <w:rFonts w:eastAsia="Calibri"/>
        </w:rPr>
        <w:t xml:space="preserve">is at SD7 </w:t>
      </w:r>
      <w:r w:rsidR="00E24508">
        <w:rPr>
          <w:rFonts w:cs="Arial"/>
          <w:szCs w:val="22"/>
        </w:rPr>
        <w:t>of the 2</w:t>
      </w:r>
      <w:r w:rsidR="00E24508" w:rsidRPr="00172673">
        <w:rPr>
          <w:rFonts w:cs="Arial"/>
          <w:szCs w:val="22"/>
          <w:vertAlign w:val="superscript"/>
        </w:rPr>
        <w:t>nd</w:t>
      </w:r>
      <w:r w:rsidR="00E24508">
        <w:rPr>
          <w:rFonts w:cs="Arial"/>
          <w:szCs w:val="22"/>
        </w:rPr>
        <w:t xml:space="preserve"> </w:t>
      </w:r>
      <w:r w:rsidR="00A87FBE">
        <w:rPr>
          <w:rFonts w:cs="Arial"/>
          <w:szCs w:val="22"/>
        </w:rPr>
        <w:t>call for s</w:t>
      </w:r>
      <w:r w:rsidR="00E24508">
        <w:rPr>
          <w:rFonts w:cs="Arial"/>
          <w:szCs w:val="22"/>
        </w:rPr>
        <w:t>ubmission</w:t>
      </w:r>
      <w:r w:rsidR="008446CC">
        <w:rPr>
          <w:rFonts w:cs="Arial"/>
          <w:szCs w:val="22"/>
        </w:rPr>
        <w:t>s</w:t>
      </w:r>
      <w:r w:rsidR="00E24508">
        <w:rPr>
          <w:rFonts w:cs="Arial"/>
          <w:szCs w:val="22"/>
        </w:rPr>
        <w:t xml:space="preserve"> for P1014</w:t>
      </w:r>
      <w:r w:rsidR="00E24508" w:rsidRPr="00735C95">
        <w:rPr>
          <w:rFonts w:cs="Arial"/>
          <w:lang w:bidi="ar-SA"/>
        </w:rPr>
        <w:t xml:space="preserve">. </w:t>
      </w:r>
    </w:p>
    <w:p w:rsidR="00E24508" w:rsidRPr="00172673" w:rsidRDefault="00E24508" w:rsidP="00E24508"/>
    <w:p w:rsidR="00370C19" w:rsidRDefault="00370C19" w:rsidP="00370C19">
      <w:pPr>
        <w:pStyle w:val="FSBullet1"/>
      </w:pPr>
      <w:r>
        <w:t>whether</w:t>
      </w:r>
      <w:r w:rsidRPr="007F7BF7">
        <w:t xml:space="preserve"> other measures </w:t>
      </w:r>
      <w:r>
        <w:t xml:space="preserve">(whether available to FSANZ or not) </w:t>
      </w:r>
      <w:r w:rsidRPr="007F7BF7">
        <w:t>would</w:t>
      </w:r>
      <w:r>
        <w:t xml:space="preserve"> be more cost-effective than a food regulatory measure developed or varied as a result of the </w:t>
      </w:r>
      <w:r w:rsidRPr="00E24508">
        <w:t>Proposal</w:t>
      </w:r>
    </w:p>
    <w:p w:rsidR="00871659" w:rsidRDefault="00871659" w:rsidP="00E24508">
      <w:pPr>
        <w:rPr>
          <w:lang w:bidi="ar-SA"/>
        </w:rPr>
      </w:pPr>
    </w:p>
    <w:p w:rsidR="00E24508" w:rsidRDefault="00E24508" w:rsidP="00A87FBE">
      <w:pPr>
        <w:ind w:left="567"/>
        <w:rPr>
          <w:rFonts w:cs="Arial"/>
          <w:lang w:bidi="ar-SA"/>
        </w:rPr>
      </w:pPr>
      <w:r>
        <w:rPr>
          <w:lang w:bidi="ar-SA"/>
        </w:rPr>
        <w:t>This</w:t>
      </w:r>
      <w:r w:rsidR="00871659">
        <w:rPr>
          <w:lang w:bidi="ar-SA"/>
        </w:rPr>
        <w:t xml:space="preserve"> was</w:t>
      </w:r>
      <w:r>
        <w:rPr>
          <w:lang w:bidi="ar-SA"/>
        </w:rPr>
        <w:t xml:space="preserve"> addressed under S</w:t>
      </w:r>
      <w:r>
        <w:rPr>
          <w:rFonts w:eastAsia="Calibri"/>
        </w:rPr>
        <w:t xml:space="preserve">D7 </w:t>
      </w:r>
      <w:r>
        <w:rPr>
          <w:rFonts w:cs="Arial"/>
          <w:szCs w:val="22"/>
        </w:rPr>
        <w:t>of the 2</w:t>
      </w:r>
      <w:r w:rsidRPr="00172673">
        <w:rPr>
          <w:rFonts w:cs="Arial"/>
          <w:szCs w:val="22"/>
          <w:vertAlign w:val="superscript"/>
        </w:rPr>
        <w:t>nd</w:t>
      </w:r>
      <w:r>
        <w:rPr>
          <w:rFonts w:cs="Arial"/>
          <w:szCs w:val="22"/>
        </w:rPr>
        <w:t xml:space="preserve"> Call for Submission</w:t>
      </w:r>
      <w:r w:rsidR="008446CC">
        <w:rPr>
          <w:rFonts w:cs="Arial"/>
          <w:szCs w:val="22"/>
        </w:rPr>
        <w:t>s</w:t>
      </w:r>
      <w:r>
        <w:rPr>
          <w:rFonts w:cs="Arial"/>
          <w:szCs w:val="22"/>
        </w:rPr>
        <w:t xml:space="preserve"> report for P1014</w:t>
      </w:r>
      <w:r w:rsidRPr="00735C95">
        <w:rPr>
          <w:rFonts w:cs="Arial"/>
          <w:lang w:bidi="ar-SA"/>
        </w:rPr>
        <w:t>.</w:t>
      </w:r>
    </w:p>
    <w:p w:rsidR="00E24508" w:rsidRPr="00E24508" w:rsidRDefault="00E24508" w:rsidP="00E24508">
      <w:pPr>
        <w:rPr>
          <w:lang w:bidi="ar-SA"/>
        </w:rPr>
      </w:pPr>
    </w:p>
    <w:p w:rsidR="00CB1920" w:rsidRPr="00CB1920" w:rsidRDefault="008C301D" w:rsidP="00CB1920">
      <w:pPr>
        <w:pStyle w:val="FSBullet1"/>
      </w:pPr>
      <w:r w:rsidRPr="008C301D">
        <w:t>any relevant New Zealand standards</w:t>
      </w:r>
    </w:p>
    <w:p w:rsidR="00CB1920" w:rsidRDefault="00CB1920" w:rsidP="00F74A8D">
      <w:pPr>
        <w:pStyle w:val="FSBullet1"/>
        <w:numPr>
          <w:ilvl w:val="0"/>
          <w:numId w:val="0"/>
        </w:numPr>
        <w:rPr>
          <w:rFonts w:eastAsia="Calibri"/>
        </w:rPr>
      </w:pPr>
    </w:p>
    <w:p w:rsidR="00F74A8D" w:rsidRDefault="00A87FBE" w:rsidP="00A87FBE">
      <w:pPr>
        <w:pStyle w:val="FSBullet1"/>
        <w:numPr>
          <w:ilvl w:val="0"/>
          <w:numId w:val="0"/>
        </w:numPr>
        <w:ind w:left="567"/>
        <w:rPr>
          <w:rFonts w:eastAsia="Calibri"/>
        </w:rPr>
      </w:pPr>
      <w:r>
        <w:rPr>
          <w:rFonts w:eastAsia="Calibri"/>
        </w:rPr>
        <w:t>Primary p</w:t>
      </w:r>
      <w:r w:rsidR="00F74A8D">
        <w:rPr>
          <w:rFonts w:eastAsia="Calibri"/>
        </w:rPr>
        <w:t>roduction and</w:t>
      </w:r>
      <w:r>
        <w:rPr>
          <w:rFonts w:eastAsia="Calibri"/>
        </w:rPr>
        <w:t xml:space="preserve"> p</w:t>
      </w:r>
      <w:r w:rsidR="00F74A8D">
        <w:rPr>
          <w:rFonts w:eastAsia="Calibri"/>
        </w:rPr>
        <w:t xml:space="preserve">rocessing </w:t>
      </w:r>
      <w:r>
        <w:rPr>
          <w:rFonts w:eastAsia="Calibri"/>
        </w:rPr>
        <w:t>s</w:t>
      </w:r>
      <w:r w:rsidR="00F74A8D">
        <w:rPr>
          <w:rFonts w:eastAsia="Calibri"/>
        </w:rPr>
        <w:t>tandards do not apply in New Zealand.</w:t>
      </w:r>
    </w:p>
    <w:p w:rsidR="00F74A8D" w:rsidRPr="00F74A8D" w:rsidRDefault="00F74A8D" w:rsidP="00F74A8D">
      <w:pPr>
        <w:rPr>
          <w:lang w:bidi="ar-SA"/>
        </w:rPr>
      </w:pPr>
    </w:p>
    <w:p w:rsidR="008C301D" w:rsidRPr="008C301D" w:rsidRDefault="008C301D" w:rsidP="00A45AAF">
      <w:pPr>
        <w:pStyle w:val="FSBullet"/>
        <w:rPr>
          <w:lang w:bidi="ar-SA"/>
        </w:rPr>
      </w:pPr>
      <w:proofErr w:type="gramStart"/>
      <w:r w:rsidRPr="008C301D">
        <w:rPr>
          <w:lang w:bidi="ar-SA"/>
        </w:rPr>
        <w:t>any</w:t>
      </w:r>
      <w:proofErr w:type="gramEnd"/>
      <w:r w:rsidRPr="008C301D">
        <w:rPr>
          <w:lang w:bidi="ar-SA"/>
        </w:rPr>
        <w:t xml:space="preserve"> other relevant matters.</w:t>
      </w:r>
    </w:p>
    <w:p w:rsidR="00CB1920" w:rsidRDefault="00CB1920" w:rsidP="008C301D"/>
    <w:p w:rsidR="00A87FBE" w:rsidRDefault="00E24508" w:rsidP="00A87FBE">
      <w:pPr>
        <w:ind w:left="567"/>
      </w:pPr>
      <w:r>
        <w:t xml:space="preserve">Other relevant matters </w:t>
      </w:r>
      <w:r w:rsidR="00871659">
        <w:t>were</w:t>
      </w:r>
      <w:r>
        <w:t xml:space="preserve"> considered in the </w:t>
      </w:r>
      <w:r>
        <w:rPr>
          <w:rFonts w:cs="Arial"/>
          <w:szCs w:val="22"/>
        </w:rPr>
        <w:t>2</w:t>
      </w:r>
      <w:r w:rsidRPr="00172673">
        <w:rPr>
          <w:rFonts w:cs="Arial"/>
          <w:szCs w:val="22"/>
          <w:vertAlign w:val="superscript"/>
        </w:rPr>
        <w:t>nd</w:t>
      </w:r>
      <w:r w:rsidR="00A87FBE">
        <w:rPr>
          <w:rFonts w:cs="Arial"/>
          <w:szCs w:val="22"/>
        </w:rPr>
        <w:t xml:space="preserve"> c</w:t>
      </w:r>
      <w:r>
        <w:rPr>
          <w:rFonts w:cs="Arial"/>
          <w:szCs w:val="22"/>
        </w:rPr>
        <w:t xml:space="preserve">all for </w:t>
      </w:r>
      <w:r w:rsidR="00A87FBE">
        <w:rPr>
          <w:rFonts w:cs="Arial"/>
          <w:szCs w:val="22"/>
        </w:rPr>
        <w:t>s</w:t>
      </w:r>
      <w:r>
        <w:rPr>
          <w:rFonts w:cs="Arial"/>
          <w:szCs w:val="22"/>
        </w:rPr>
        <w:t>ubmission</w:t>
      </w:r>
      <w:r w:rsidR="008446CC">
        <w:rPr>
          <w:rFonts w:cs="Arial"/>
          <w:szCs w:val="22"/>
        </w:rPr>
        <w:t>s</w:t>
      </w:r>
      <w:r>
        <w:rPr>
          <w:rFonts w:cs="Arial"/>
          <w:szCs w:val="22"/>
        </w:rPr>
        <w:t xml:space="preserve"> for P1014</w:t>
      </w:r>
      <w:r w:rsidRPr="00735C95">
        <w:rPr>
          <w:rFonts w:cs="Arial"/>
          <w:lang w:bidi="ar-SA"/>
        </w:rPr>
        <w:t>.</w:t>
      </w:r>
      <w:r w:rsidR="00A87FBE">
        <w:rPr>
          <w:rFonts w:cs="Arial"/>
          <w:lang w:bidi="ar-SA"/>
        </w:rPr>
        <w:t xml:space="preserve"> </w:t>
      </w:r>
      <w:r w:rsidR="008F52E5" w:rsidRPr="00BF4A62">
        <w:rPr>
          <w:rFonts w:eastAsia="Calibri"/>
        </w:rPr>
        <w:t xml:space="preserve">In this instance, it is considered appropriate to abandon P1005 as </w:t>
      </w:r>
      <w:r w:rsidR="008F52E5" w:rsidRPr="00BF4A62">
        <w:t xml:space="preserve">all of the matters examined under P1005, including the issues raised during the first round of public consultation, </w:t>
      </w:r>
      <w:r w:rsidR="00A87FBE">
        <w:t>are now</w:t>
      </w:r>
      <w:r w:rsidR="008F52E5" w:rsidRPr="00BF4A62">
        <w:t xml:space="preserve"> included under P1014.</w:t>
      </w:r>
      <w:r w:rsidR="00A87FBE">
        <w:br w:type="page"/>
      </w:r>
    </w:p>
    <w:p w:rsidR="008C301D" w:rsidRPr="008C301D" w:rsidRDefault="00EE32AF" w:rsidP="00EE32AF">
      <w:pPr>
        <w:pStyle w:val="Heading2"/>
      </w:pPr>
      <w:bookmarkStart w:id="84" w:name="_Toc309291819"/>
      <w:bookmarkStart w:id="85" w:name="_Toc366587862"/>
      <w:r>
        <w:lastRenderedPageBreak/>
        <w:t>4.1</w:t>
      </w:r>
      <w:r w:rsidR="008C301D" w:rsidRPr="00EE32AF">
        <w:tab/>
        <w:t>Addressing FSANZ’s objectives</w:t>
      </w:r>
      <w:r w:rsidR="0045293B" w:rsidRPr="00EE32AF">
        <w:t xml:space="preserve"> for standards </w:t>
      </w:r>
      <w:r w:rsidR="008C301D" w:rsidRPr="00EE32AF">
        <w:t>setting</w:t>
      </w:r>
      <w:bookmarkEnd w:id="84"/>
      <w:bookmarkEnd w:id="85"/>
    </w:p>
    <w:p w:rsidR="008C301D" w:rsidRPr="008C301D" w:rsidRDefault="008C301D" w:rsidP="008C301D">
      <w:r w:rsidRPr="008C301D">
        <w:rPr>
          <w:rFonts w:cs="Arial"/>
        </w:rPr>
        <w:t xml:space="preserve">FSANZ has </w:t>
      </w:r>
      <w:r w:rsidRPr="008C301D">
        <w:t xml:space="preserve">considered the three objectives in subsection 18(1) of the FSANZ Act </w:t>
      </w:r>
      <w:r w:rsidR="00101907">
        <w:t>in</w:t>
      </w:r>
      <w:r w:rsidR="00101907" w:rsidRPr="008C301D">
        <w:t xml:space="preserve"> </w:t>
      </w:r>
      <w:r w:rsidR="00101907">
        <w:t>making</w:t>
      </w:r>
      <w:r w:rsidR="00101907" w:rsidRPr="008C301D">
        <w:t xml:space="preserve"> its decision</w:t>
      </w:r>
      <w:r w:rsidRPr="008C301D">
        <w:t xml:space="preserve">. </w:t>
      </w:r>
    </w:p>
    <w:p w:rsidR="008C301D" w:rsidRPr="008C301D" w:rsidRDefault="008C301D" w:rsidP="00306E45">
      <w:pPr>
        <w:pStyle w:val="Heading3"/>
      </w:pPr>
      <w:bookmarkStart w:id="86" w:name="_Toc297029117"/>
      <w:bookmarkStart w:id="87" w:name="_Toc366587863"/>
      <w:r w:rsidRPr="008C301D">
        <w:t>4.1.1</w:t>
      </w:r>
      <w:r w:rsidRPr="008C301D">
        <w:tab/>
      </w:r>
      <w:r w:rsidRPr="008C301D">
        <w:tab/>
        <w:t>Protection of public health and safety</w:t>
      </w:r>
      <w:bookmarkEnd w:id="86"/>
      <w:bookmarkEnd w:id="87"/>
    </w:p>
    <w:p w:rsidR="00E24508" w:rsidRPr="00F44356" w:rsidRDefault="00871659" w:rsidP="00E24508">
      <w:pPr>
        <w:rPr>
          <w:rFonts w:cs="Arial"/>
          <w:szCs w:val="22"/>
        </w:rPr>
      </w:pPr>
      <w:r>
        <w:rPr>
          <w:rFonts w:cs="Arial"/>
          <w:szCs w:val="22"/>
        </w:rPr>
        <w:t>M</w:t>
      </w:r>
      <w:r w:rsidR="00E24508" w:rsidRPr="00F44356">
        <w:rPr>
          <w:rFonts w:cs="Arial"/>
          <w:szCs w:val="22"/>
        </w:rPr>
        <w:t xml:space="preserve">icrobiological </w:t>
      </w:r>
      <w:r w:rsidR="00E24508">
        <w:rPr>
          <w:rFonts w:cs="Arial"/>
          <w:szCs w:val="22"/>
        </w:rPr>
        <w:t xml:space="preserve">and chemical </w:t>
      </w:r>
      <w:r w:rsidR="00E24508" w:rsidRPr="00F44356">
        <w:rPr>
          <w:rFonts w:cs="Arial"/>
          <w:szCs w:val="22"/>
        </w:rPr>
        <w:t xml:space="preserve">hazards associated with </w:t>
      </w:r>
      <w:r>
        <w:rPr>
          <w:rFonts w:cs="Arial"/>
          <w:szCs w:val="22"/>
        </w:rPr>
        <w:t xml:space="preserve">the </w:t>
      </w:r>
      <w:r w:rsidR="00E24508">
        <w:rPr>
          <w:rFonts w:cs="Arial"/>
          <w:szCs w:val="22"/>
        </w:rPr>
        <w:t>major meat species</w:t>
      </w:r>
      <w:r w:rsidR="00E24508" w:rsidRPr="00F44356">
        <w:rPr>
          <w:rFonts w:cs="Arial"/>
          <w:szCs w:val="22"/>
        </w:rPr>
        <w:t xml:space="preserve"> are controlled by current meat processing requirements. </w:t>
      </w:r>
    </w:p>
    <w:p w:rsidR="008C301D" w:rsidRPr="008C301D" w:rsidRDefault="008C301D" w:rsidP="00306E45">
      <w:pPr>
        <w:pStyle w:val="Heading3"/>
      </w:pPr>
      <w:bookmarkStart w:id="88" w:name="_Toc366587864"/>
      <w:r>
        <w:t>4.1</w:t>
      </w:r>
      <w:r w:rsidRPr="008C301D">
        <w:t>.2</w:t>
      </w:r>
      <w:r w:rsidRPr="008C301D">
        <w:tab/>
        <w:t>The provision of adequate information relating to food to enable consumers to make informed choices</w:t>
      </w:r>
      <w:bookmarkEnd w:id="88"/>
    </w:p>
    <w:p w:rsidR="00E24508" w:rsidRPr="00914030" w:rsidRDefault="00E24508" w:rsidP="00E24508">
      <w:pPr>
        <w:rPr>
          <w:color w:val="FF0000"/>
        </w:rPr>
      </w:pPr>
      <w:r>
        <w:t xml:space="preserve">The provision of adequate information relating to food to enable consumers to make informed choices is not relevant to </w:t>
      </w:r>
      <w:r w:rsidR="00101907">
        <w:t>the Proposal or the decision</w:t>
      </w:r>
      <w:r>
        <w:t>.</w:t>
      </w:r>
    </w:p>
    <w:p w:rsidR="008C301D" w:rsidRPr="008C301D" w:rsidRDefault="008C301D" w:rsidP="00306E45">
      <w:pPr>
        <w:pStyle w:val="Heading3"/>
      </w:pPr>
      <w:bookmarkStart w:id="89" w:name="_Toc366587865"/>
      <w:r w:rsidRPr="008C301D">
        <w:t>4.</w:t>
      </w:r>
      <w:r>
        <w:t>1</w:t>
      </w:r>
      <w:r w:rsidRPr="008C301D">
        <w:t>.3</w:t>
      </w:r>
      <w:r w:rsidRPr="008C301D">
        <w:tab/>
        <w:t>The prevention of misleading or deceptive conduct</w:t>
      </w:r>
      <w:bookmarkEnd w:id="89"/>
    </w:p>
    <w:p w:rsidR="00E24508" w:rsidRPr="00E70793" w:rsidRDefault="00E24508" w:rsidP="00E24508">
      <w:pPr>
        <w:rPr>
          <w:lang w:eastAsia="en-AU" w:bidi="ar-SA"/>
        </w:rPr>
      </w:pPr>
      <w:r>
        <w:rPr>
          <w:lang w:eastAsia="en-AU" w:bidi="ar-SA"/>
        </w:rPr>
        <w:t xml:space="preserve">The prevention of misleading or deceptive conduct is not relevant to </w:t>
      </w:r>
      <w:r w:rsidR="00101907">
        <w:t>the Proposal or the decision</w:t>
      </w:r>
      <w:r w:rsidR="00871659">
        <w:rPr>
          <w:lang w:eastAsia="en-AU" w:bidi="ar-SA"/>
        </w:rPr>
        <w:t>.</w:t>
      </w:r>
    </w:p>
    <w:p w:rsidR="008C301D" w:rsidRPr="008C301D" w:rsidRDefault="008C301D" w:rsidP="00306E45">
      <w:pPr>
        <w:pStyle w:val="Heading3"/>
      </w:pPr>
      <w:bookmarkStart w:id="90" w:name="_Toc366587866"/>
      <w:r w:rsidRPr="008C301D">
        <w:t>4.</w:t>
      </w:r>
      <w:r>
        <w:t>1</w:t>
      </w:r>
      <w:r w:rsidRPr="008C301D">
        <w:t>.4</w:t>
      </w:r>
      <w:r w:rsidRPr="008C301D">
        <w:tab/>
        <w:t>Subsection 18(2) considerations</w:t>
      </w:r>
      <w:bookmarkEnd w:id="90"/>
    </w:p>
    <w:p w:rsidR="008C301D" w:rsidRPr="008C301D" w:rsidRDefault="008C301D" w:rsidP="008C301D">
      <w:pPr>
        <w:rPr>
          <w:rFonts w:cs="Arial"/>
        </w:rPr>
      </w:pPr>
      <w:r w:rsidRPr="008C301D">
        <w:rPr>
          <w:rFonts w:cs="Arial"/>
        </w:rPr>
        <w:t>FSANZ also had regard to the objectives set out in subsection 18(2):</w:t>
      </w:r>
    </w:p>
    <w:p w:rsidR="008C301D" w:rsidRPr="008C301D" w:rsidRDefault="008C301D" w:rsidP="008C301D">
      <w:pPr>
        <w:rPr>
          <w:rFonts w:cs="Arial"/>
        </w:rPr>
      </w:pPr>
    </w:p>
    <w:p w:rsidR="008C301D" w:rsidRDefault="008C301D" w:rsidP="008C301D">
      <w:pPr>
        <w:pStyle w:val="FSBullet1"/>
      </w:pPr>
      <w:r w:rsidRPr="008C301D">
        <w:t>the need for standards to be based on risk analysis using the best available scientific evidence</w:t>
      </w:r>
    </w:p>
    <w:p w:rsidR="00101907" w:rsidRPr="00912014" w:rsidRDefault="00101907" w:rsidP="00912014"/>
    <w:p w:rsidR="00E24508" w:rsidRDefault="00E24508" w:rsidP="00A87FBE">
      <w:pPr>
        <w:pStyle w:val="FSBullet1"/>
        <w:numPr>
          <w:ilvl w:val="0"/>
          <w:numId w:val="0"/>
        </w:numPr>
        <w:ind w:left="567"/>
      </w:pPr>
      <w:r>
        <w:t xml:space="preserve">FSANZ’s </w:t>
      </w:r>
      <w:r w:rsidRPr="00914030">
        <w:t xml:space="preserve">risk analysis </w:t>
      </w:r>
      <w:r>
        <w:t>relied on</w:t>
      </w:r>
      <w:r w:rsidRPr="00914030">
        <w:t xml:space="preserve"> the best available scientific evidence</w:t>
      </w:r>
      <w:r>
        <w:t xml:space="preserve">. This is provided in the supporting documents in the </w:t>
      </w:r>
      <w:r>
        <w:rPr>
          <w:szCs w:val="22"/>
        </w:rPr>
        <w:t>2</w:t>
      </w:r>
      <w:r w:rsidRPr="00172673">
        <w:rPr>
          <w:szCs w:val="22"/>
          <w:vertAlign w:val="superscript"/>
        </w:rPr>
        <w:t>nd</w:t>
      </w:r>
      <w:r>
        <w:rPr>
          <w:szCs w:val="22"/>
        </w:rPr>
        <w:t xml:space="preserve"> </w:t>
      </w:r>
      <w:r w:rsidR="00A87FBE">
        <w:rPr>
          <w:szCs w:val="22"/>
        </w:rPr>
        <w:t>c</w:t>
      </w:r>
      <w:r>
        <w:rPr>
          <w:szCs w:val="22"/>
        </w:rPr>
        <w:t xml:space="preserve">all for </w:t>
      </w:r>
      <w:r w:rsidR="00A87FBE">
        <w:rPr>
          <w:szCs w:val="22"/>
        </w:rPr>
        <w:t>s</w:t>
      </w:r>
      <w:r>
        <w:rPr>
          <w:szCs w:val="22"/>
        </w:rPr>
        <w:t>ubmission</w:t>
      </w:r>
      <w:r w:rsidR="00ED3713">
        <w:rPr>
          <w:szCs w:val="22"/>
        </w:rPr>
        <w:t>s</w:t>
      </w:r>
      <w:r>
        <w:rPr>
          <w:szCs w:val="22"/>
        </w:rPr>
        <w:t xml:space="preserve"> for P1014.</w:t>
      </w:r>
    </w:p>
    <w:p w:rsidR="00E24508" w:rsidRPr="00E24508" w:rsidRDefault="00E24508" w:rsidP="00E24508">
      <w:pPr>
        <w:rPr>
          <w:lang w:bidi="ar-SA"/>
        </w:rPr>
      </w:pPr>
    </w:p>
    <w:p w:rsidR="008C301D" w:rsidRDefault="008C301D" w:rsidP="008C301D">
      <w:pPr>
        <w:pStyle w:val="FSBullet1"/>
      </w:pPr>
      <w:r w:rsidRPr="008C301D">
        <w:t>the promotion of consistency between domestic and international food standards</w:t>
      </w:r>
    </w:p>
    <w:p w:rsidR="00101907" w:rsidRPr="00912014" w:rsidRDefault="00101907" w:rsidP="00912014"/>
    <w:p w:rsidR="00E24508" w:rsidRDefault="00E24508" w:rsidP="00A87FBE">
      <w:pPr>
        <w:pStyle w:val="FSBullet1"/>
        <w:numPr>
          <w:ilvl w:val="0"/>
          <w:numId w:val="0"/>
        </w:numPr>
        <w:ind w:left="567"/>
        <w:rPr>
          <w:iCs/>
        </w:rPr>
      </w:pPr>
      <w:r w:rsidRPr="00DC6570">
        <w:t xml:space="preserve">There </w:t>
      </w:r>
      <w:r w:rsidRPr="00153E75">
        <w:t>are r</w:t>
      </w:r>
      <w:r>
        <w:t xml:space="preserve">elevant international standards e.g. </w:t>
      </w:r>
      <w:r w:rsidRPr="00153E75">
        <w:t xml:space="preserve">the </w:t>
      </w:r>
      <w:r w:rsidRPr="00153E75">
        <w:rPr>
          <w:i/>
        </w:rPr>
        <w:t xml:space="preserve">Codex Code of Hygienic Practice for </w:t>
      </w:r>
      <w:r>
        <w:rPr>
          <w:i/>
        </w:rPr>
        <w:t>M</w:t>
      </w:r>
      <w:r w:rsidRPr="00153E75">
        <w:rPr>
          <w:i/>
        </w:rPr>
        <w:t>eat</w:t>
      </w:r>
      <w:r w:rsidRPr="00153E75">
        <w:t xml:space="preserve"> (CAC/RCP 58-2005)</w:t>
      </w:r>
      <w:r>
        <w:t xml:space="preserve"> which w</w:t>
      </w:r>
      <w:r w:rsidR="00ED3713">
        <w:t>as</w:t>
      </w:r>
      <w:r>
        <w:t xml:space="preserve"> considered in the </w:t>
      </w:r>
      <w:r>
        <w:rPr>
          <w:szCs w:val="22"/>
        </w:rPr>
        <w:t>2</w:t>
      </w:r>
      <w:r w:rsidRPr="00172673">
        <w:rPr>
          <w:szCs w:val="22"/>
          <w:vertAlign w:val="superscript"/>
        </w:rPr>
        <w:t>nd</w:t>
      </w:r>
      <w:r>
        <w:rPr>
          <w:szCs w:val="22"/>
        </w:rPr>
        <w:t xml:space="preserve"> Call for Submission</w:t>
      </w:r>
      <w:r w:rsidR="00ED3713">
        <w:rPr>
          <w:szCs w:val="22"/>
        </w:rPr>
        <w:t>s</w:t>
      </w:r>
      <w:r>
        <w:rPr>
          <w:szCs w:val="22"/>
        </w:rPr>
        <w:t xml:space="preserve"> report for P1014. </w:t>
      </w:r>
      <w:r>
        <w:t xml:space="preserve">  </w:t>
      </w:r>
    </w:p>
    <w:p w:rsidR="00E24508" w:rsidRPr="00E24508" w:rsidRDefault="00E24508" w:rsidP="00E24508">
      <w:pPr>
        <w:rPr>
          <w:lang w:bidi="ar-SA"/>
        </w:rPr>
      </w:pPr>
    </w:p>
    <w:p w:rsidR="008C301D" w:rsidRDefault="008C301D" w:rsidP="008C301D">
      <w:pPr>
        <w:pStyle w:val="FSBullet1"/>
      </w:pPr>
      <w:r w:rsidRPr="008C301D">
        <w:t>the desirability of an efficient and internationally competitive food industry</w:t>
      </w:r>
    </w:p>
    <w:p w:rsidR="00101907" w:rsidRPr="00912014" w:rsidRDefault="00101907" w:rsidP="00912014"/>
    <w:p w:rsidR="00E24508" w:rsidRPr="00D358FB" w:rsidRDefault="00E24508" w:rsidP="00A87FBE">
      <w:pPr>
        <w:pStyle w:val="FSBullet1"/>
        <w:numPr>
          <w:ilvl w:val="0"/>
          <w:numId w:val="0"/>
        </w:numPr>
        <w:ind w:left="567"/>
        <w:rPr>
          <w:lang w:eastAsia="en-GB"/>
        </w:rPr>
      </w:pPr>
      <w:r w:rsidRPr="00D358FB">
        <w:t xml:space="preserve">The preferred option </w:t>
      </w:r>
      <w:r w:rsidR="00871659">
        <w:t xml:space="preserve">under P1014 </w:t>
      </w:r>
      <w:r w:rsidRPr="00D358FB">
        <w:t>integrates the producer and processor providing a</w:t>
      </w:r>
      <w:r w:rsidRPr="00D358FB">
        <w:rPr>
          <w:lang w:val="en"/>
        </w:rPr>
        <w:t xml:space="preserve"> national “whole of chain” approach to food safety regulation.</w:t>
      </w:r>
      <w:r>
        <w:rPr>
          <w:lang w:val="en"/>
        </w:rPr>
        <w:t xml:space="preserve"> </w:t>
      </w:r>
    </w:p>
    <w:p w:rsidR="00E24508" w:rsidRPr="00E24508" w:rsidRDefault="00E24508" w:rsidP="00E24508">
      <w:pPr>
        <w:rPr>
          <w:lang w:bidi="ar-SA"/>
        </w:rPr>
      </w:pPr>
    </w:p>
    <w:p w:rsidR="008C301D" w:rsidRDefault="008C301D" w:rsidP="008C301D">
      <w:pPr>
        <w:pStyle w:val="FSBullet1"/>
      </w:pPr>
      <w:r w:rsidRPr="008C301D">
        <w:t>the promotion of fair trading in food</w:t>
      </w:r>
    </w:p>
    <w:p w:rsidR="00101907" w:rsidRPr="00912014" w:rsidRDefault="00101907" w:rsidP="00912014"/>
    <w:p w:rsidR="00E24508" w:rsidRDefault="00E24508" w:rsidP="00A87FBE">
      <w:pPr>
        <w:pStyle w:val="FSBullet1"/>
        <w:numPr>
          <w:ilvl w:val="0"/>
          <w:numId w:val="0"/>
        </w:numPr>
        <w:ind w:left="567"/>
      </w:pPr>
      <w:r>
        <w:t>This was not applicable.</w:t>
      </w:r>
    </w:p>
    <w:p w:rsidR="00E24508" w:rsidRPr="00E24508" w:rsidRDefault="00E24508" w:rsidP="00E24508">
      <w:pPr>
        <w:rPr>
          <w:lang w:bidi="ar-SA"/>
        </w:rPr>
      </w:pPr>
    </w:p>
    <w:p w:rsidR="008C301D" w:rsidRDefault="008C301D" w:rsidP="008C301D">
      <w:pPr>
        <w:pStyle w:val="FSBullet1"/>
      </w:pPr>
      <w:proofErr w:type="gramStart"/>
      <w:r w:rsidRPr="008C301D">
        <w:t>any</w:t>
      </w:r>
      <w:proofErr w:type="gramEnd"/>
      <w:r w:rsidRPr="008C301D">
        <w:t xml:space="preserve"> written policy guidelines formulated by the Ministerial Council.</w:t>
      </w:r>
    </w:p>
    <w:p w:rsidR="00101907" w:rsidRPr="00912014" w:rsidRDefault="00101907" w:rsidP="00912014"/>
    <w:p w:rsidR="00A87FBE" w:rsidRDefault="00E24508" w:rsidP="00A87FBE">
      <w:pPr>
        <w:ind w:left="567"/>
      </w:pPr>
      <w:r w:rsidRPr="00D358FB">
        <w:rPr>
          <w:rFonts w:cs="Arial"/>
          <w:szCs w:val="22"/>
        </w:rPr>
        <w:t>T</w:t>
      </w:r>
      <w:r w:rsidRPr="00D358FB">
        <w:rPr>
          <w:szCs w:val="22"/>
        </w:rPr>
        <w:t xml:space="preserve">he </w:t>
      </w:r>
      <w:r w:rsidRPr="00D358FB">
        <w:rPr>
          <w:i/>
          <w:szCs w:val="22"/>
        </w:rPr>
        <w:t>Overarching Policy Guideline on Primary Production and Processing Standards</w:t>
      </w:r>
      <w:r w:rsidRPr="00D358FB">
        <w:rPr>
          <w:szCs w:val="22"/>
        </w:rPr>
        <w:t xml:space="preserve"> specifies</w:t>
      </w:r>
      <w:r>
        <w:t xml:space="preserve"> a number of high order principles that must be considered when a standard is developed.</w:t>
      </w:r>
      <w:r w:rsidR="00871659">
        <w:t xml:space="preserve"> </w:t>
      </w:r>
      <w:bookmarkEnd w:id="79"/>
      <w:bookmarkEnd w:id="80"/>
      <w:bookmarkEnd w:id="81"/>
      <w:bookmarkEnd w:id="82"/>
      <w:r w:rsidR="00101907">
        <w:t>These will now apply in relation to P1014.</w:t>
      </w:r>
    </w:p>
    <w:p w:rsidR="00A87FBE" w:rsidRDefault="00A87FBE" w:rsidP="00A87FBE">
      <w:pPr>
        <w:ind w:left="567"/>
      </w:pPr>
      <w:r>
        <w:br w:type="page"/>
      </w:r>
    </w:p>
    <w:p w:rsidR="008F52E5" w:rsidRPr="008C301D" w:rsidRDefault="008F52E5" w:rsidP="008F52E5">
      <w:pPr>
        <w:pStyle w:val="Heading2"/>
      </w:pPr>
      <w:bookmarkStart w:id="91" w:name="_Toc320624944"/>
      <w:r w:rsidRPr="008C301D">
        <w:lastRenderedPageBreak/>
        <w:t>4.</w:t>
      </w:r>
      <w:r>
        <w:t>2</w:t>
      </w:r>
      <w:r w:rsidRPr="008C301D">
        <w:tab/>
        <w:t>Rights of review</w:t>
      </w:r>
      <w:bookmarkEnd w:id="91"/>
    </w:p>
    <w:p w:rsidR="008F52E5" w:rsidRDefault="008F52E5" w:rsidP="008F52E5">
      <w:pPr>
        <w:pStyle w:val="FSBullet1"/>
        <w:numPr>
          <w:ilvl w:val="0"/>
          <w:numId w:val="0"/>
        </w:numPr>
        <w:rPr>
          <w:lang w:val="en-AU"/>
        </w:rPr>
      </w:pPr>
      <w:r>
        <w:rPr>
          <w:lang w:val="en-AU"/>
        </w:rPr>
        <w:t>Section 143 of the FSANZ Act provides that a person whose interests are affected by the decision to abandon P1005 may apply to the Administrative Appeals Tribunal for review of th</w:t>
      </w:r>
      <w:r w:rsidR="00A87FBE">
        <w:rPr>
          <w:lang w:val="en-AU"/>
        </w:rPr>
        <w:t>e</w:t>
      </w:r>
      <w:r>
        <w:rPr>
          <w:lang w:val="en-AU"/>
        </w:rPr>
        <w:t xml:space="preserve"> decision. </w:t>
      </w:r>
    </w:p>
    <w:p w:rsidR="008F52E5" w:rsidRDefault="008F52E5" w:rsidP="008F52E5">
      <w:pPr>
        <w:rPr>
          <w:szCs w:val="22"/>
          <w:lang w:val="en-AU"/>
        </w:rPr>
      </w:pPr>
    </w:p>
    <w:p w:rsidR="008F52E5" w:rsidRPr="00E24508" w:rsidRDefault="008F52E5" w:rsidP="00E24508">
      <w:pPr>
        <w:rPr>
          <w:lang w:bidi="ar-SA"/>
        </w:rPr>
      </w:pPr>
    </w:p>
    <w:sectPr w:rsidR="008F52E5" w:rsidRPr="00E24508" w:rsidSect="008844E4">
      <w:pgSz w:w="11906" w:h="16838"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1C7" w:rsidRDefault="007E71C7">
      <w:r>
        <w:separator/>
      </w:r>
    </w:p>
  </w:endnote>
  <w:endnote w:type="continuationSeparator" w:id="0">
    <w:p w:rsidR="007E71C7" w:rsidRDefault="007E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altName w:val="Arial"/>
    <w:panose1 w:val="020B0704020202020204"/>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1C7" w:rsidRDefault="007E71C7"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E71C7" w:rsidRDefault="007E71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1C7" w:rsidRDefault="007E71C7"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20AC3">
      <w:rPr>
        <w:rStyle w:val="PageNumber"/>
        <w:noProof/>
      </w:rPr>
      <w:t>1</w:t>
    </w:r>
    <w:r>
      <w:rPr>
        <w:rStyle w:val="PageNumber"/>
      </w:rPr>
      <w:fldChar w:fldCharType="end"/>
    </w:r>
  </w:p>
  <w:p w:rsidR="007E71C7" w:rsidRDefault="007E71C7">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145" w:rsidRDefault="008401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1C7" w:rsidRDefault="007E71C7">
      <w:r>
        <w:separator/>
      </w:r>
    </w:p>
  </w:footnote>
  <w:footnote w:type="continuationSeparator" w:id="0">
    <w:p w:rsidR="007E71C7" w:rsidRDefault="007E71C7">
      <w:r>
        <w:continuationSeparator/>
      </w:r>
    </w:p>
  </w:footnote>
  <w:footnote w:id="1">
    <w:p w:rsidR="007E71C7" w:rsidRPr="00224AD6" w:rsidRDefault="007E71C7" w:rsidP="00FA4983">
      <w:pPr>
        <w:pStyle w:val="FootnoteText"/>
        <w:rPr>
          <w:sz w:val="18"/>
          <w:szCs w:val="18"/>
          <w:lang w:val="en-US"/>
        </w:rPr>
      </w:pPr>
      <w:r w:rsidRPr="00224AD6">
        <w:rPr>
          <w:rStyle w:val="FootnoteReference"/>
          <w:sz w:val="18"/>
          <w:szCs w:val="18"/>
        </w:rPr>
        <w:footnoteRef/>
      </w:r>
      <w:r w:rsidRPr="00224AD6">
        <w:rPr>
          <w:sz w:val="18"/>
          <w:szCs w:val="18"/>
        </w:rPr>
        <w:t xml:space="preserve"> </w:t>
      </w:r>
      <w:r w:rsidRPr="00224AD6">
        <w:rPr>
          <w:sz w:val="18"/>
          <w:szCs w:val="18"/>
          <w:lang w:val="en-US"/>
        </w:rPr>
        <w:t xml:space="preserve">The Ministerial Guidelines are available at </w:t>
      </w:r>
      <w:hyperlink r:id="rId1" w:history="1">
        <w:r w:rsidRPr="00224AD6">
          <w:rPr>
            <w:rStyle w:val="Hyperlink"/>
            <w:sz w:val="18"/>
            <w:szCs w:val="18"/>
            <w:lang w:val="en-US"/>
          </w:rPr>
          <w:t>http://www.foodstandards.gov.au/foodstandards/legislativeandgovernanceforumonfoodregulation/policyguidelines.cfm</w:t>
        </w:r>
      </w:hyperlink>
      <w:r w:rsidRPr="00224AD6">
        <w:rPr>
          <w:sz w:val="18"/>
          <w:szCs w:val="18"/>
          <w:lang w:val="en-US"/>
        </w:rPr>
        <w:t xml:space="preserve"> </w:t>
      </w:r>
    </w:p>
  </w:footnote>
  <w:footnote w:id="2">
    <w:p w:rsidR="007E71C7" w:rsidRPr="008A4A95" w:rsidRDefault="007E71C7" w:rsidP="005C3518">
      <w:pPr>
        <w:pStyle w:val="FootnoteText"/>
        <w:rPr>
          <w:lang w:val="en-US"/>
        </w:rPr>
      </w:pPr>
      <w:r>
        <w:rPr>
          <w:rStyle w:val="FootnoteReference"/>
        </w:rPr>
        <w:footnoteRef/>
      </w:r>
      <w:r>
        <w:t xml:space="preserve"> </w:t>
      </w:r>
      <w:r w:rsidRPr="00912014">
        <w:rPr>
          <w:sz w:val="18"/>
          <w:szCs w:val="18"/>
          <w:lang w:val="en-US"/>
        </w:rPr>
        <w:t>Productivity Commission Research Report December 2009. Performance Benchmarking of Australian and New Zealand Business Regulation: Food Safety.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145" w:rsidRDefault="008401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1C7" w:rsidRDefault="007E71C7">
    <w:pPr>
      <w:pStyle w:val="Header"/>
      <w:jc w:val="center"/>
      <w:rPr>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1C7" w:rsidRDefault="007E71C7">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5775"/>
    <w:multiLevelType w:val="hybridMultilevel"/>
    <w:tmpl w:val="DDA6AAC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1">
    <w:nsid w:val="00974BB8"/>
    <w:multiLevelType w:val="hybridMultilevel"/>
    <w:tmpl w:val="B9EE6DBE"/>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1D60D3D"/>
    <w:multiLevelType w:val="hybridMultilevel"/>
    <w:tmpl w:val="03A42BAE"/>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4042D2"/>
    <w:multiLevelType w:val="singleLevel"/>
    <w:tmpl w:val="08F62FD2"/>
    <w:lvl w:ilvl="0">
      <w:start w:val="1"/>
      <w:numFmt w:val="bullet"/>
      <w:lvlText w:val="·"/>
      <w:lvlJc w:val="left"/>
      <w:pPr>
        <w:tabs>
          <w:tab w:val="num" w:pos="680"/>
        </w:tabs>
        <w:ind w:left="680" w:hanging="680"/>
      </w:pPr>
      <w:rPr>
        <w:rFonts w:ascii="Symbol" w:hAnsi="Symbol" w:hint="default"/>
      </w:rPr>
    </w:lvl>
  </w:abstractNum>
  <w:abstractNum w:abstractNumId="5">
    <w:nsid w:val="08875667"/>
    <w:multiLevelType w:val="hybridMultilevel"/>
    <w:tmpl w:val="F188804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090B2E2C"/>
    <w:multiLevelType w:val="hybridMultilevel"/>
    <w:tmpl w:val="F1BEB6F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099E14BE"/>
    <w:multiLevelType w:val="hybridMultilevel"/>
    <w:tmpl w:val="6C02F4B6"/>
    <w:lvl w:ilvl="0" w:tplc="081A2046">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B125D2A"/>
    <w:multiLevelType w:val="hybridMultilevel"/>
    <w:tmpl w:val="B45CA966"/>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F8061BC"/>
    <w:multiLevelType w:val="multilevel"/>
    <w:tmpl w:val="46A6E3D0"/>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lowerLetter"/>
      <w:lvlText w:val="(%3)"/>
      <w:lvlJc w:val="left"/>
      <w:pPr>
        <w:tabs>
          <w:tab w:val="num" w:pos="1361"/>
        </w:tabs>
        <w:ind w:left="1361" w:hanging="681"/>
      </w:pPr>
      <w:rPr>
        <w:rFonts w:cs="Times New Roman" w:hint="default"/>
      </w:rPr>
    </w:lvl>
    <w:lvl w:ilvl="3">
      <w:start w:val="1"/>
      <w:numFmt w:val="lowerRoman"/>
      <w:lvlText w:val="(%4)"/>
      <w:lvlJc w:val="left"/>
      <w:pPr>
        <w:tabs>
          <w:tab w:val="num" w:pos="2041"/>
        </w:tabs>
        <w:ind w:left="2041" w:hanging="680"/>
      </w:pPr>
      <w:rPr>
        <w:rFonts w:cs="Times New Roman" w:hint="default"/>
      </w:rPr>
    </w:lvl>
    <w:lvl w:ilvl="4">
      <w:start w:val="1"/>
      <w:numFmt w:val="upperLetter"/>
      <w:lvlText w:val="(%5)"/>
      <w:lvlJc w:val="left"/>
      <w:pPr>
        <w:tabs>
          <w:tab w:val="num" w:pos="2722"/>
        </w:tabs>
        <w:ind w:left="2722" w:hanging="681"/>
      </w:pPr>
      <w:rPr>
        <w:rFonts w:cs="Times New Roman" w:hint="default"/>
      </w:rPr>
    </w:lvl>
    <w:lvl w:ilvl="5">
      <w:start w:val="1"/>
      <w:numFmt w:val="upperRoman"/>
      <w:lvlText w:val="(%6)"/>
      <w:lvlJc w:val="left"/>
      <w:pPr>
        <w:tabs>
          <w:tab w:val="num" w:pos="3402"/>
        </w:tabs>
        <w:ind w:left="3402" w:hanging="680"/>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10">
    <w:nsid w:val="0FA30746"/>
    <w:multiLevelType w:val="hybridMultilevel"/>
    <w:tmpl w:val="8BEC675E"/>
    <w:lvl w:ilvl="0" w:tplc="1892DE34">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nsid w:val="11687346"/>
    <w:multiLevelType w:val="hybridMultilevel"/>
    <w:tmpl w:val="4006A6A0"/>
    <w:lvl w:ilvl="0" w:tplc="F7E2334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nsid w:val="1AFB4C7A"/>
    <w:multiLevelType w:val="multilevel"/>
    <w:tmpl w:val="42ECE2EE"/>
    <w:lvl w:ilvl="0">
      <w:start w:val="1"/>
      <w:numFmt w:val="decimal"/>
      <w:lvlText w:val="%1."/>
      <w:lvlJc w:val="left"/>
      <w:pPr>
        <w:tabs>
          <w:tab w:val="num" w:pos="851"/>
        </w:tabs>
        <w:ind w:left="851" w:hanging="851"/>
      </w:pPr>
      <w:rPr>
        <w:rFonts w:ascii="Times New Roman Bold" w:hAnsi="Times New Roman Bold" w:hint="default"/>
        <w:b/>
        <w:i w:val="0"/>
        <w:sz w:val="28"/>
      </w:rPr>
    </w:lvl>
    <w:lvl w:ilvl="1">
      <w:start w:val="1"/>
      <w:numFmt w:val="decimal"/>
      <w:lvlText w:val="%1.%2"/>
      <w:lvlJc w:val="left"/>
      <w:pPr>
        <w:tabs>
          <w:tab w:val="num" w:pos="851"/>
        </w:tabs>
        <w:ind w:left="851" w:hanging="851"/>
      </w:pPr>
      <w:rPr>
        <w:rFonts w:ascii="Times New Roman Bold" w:hAnsi="Times New Roman Bold" w:hint="default"/>
        <w:b/>
        <w:i w:val="0"/>
        <w:caps w:val="0"/>
        <w:color w:val="auto"/>
        <w:sz w:val="24"/>
      </w:rPr>
    </w:lvl>
    <w:lvl w:ilvl="2">
      <w:start w:val="1"/>
      <w:numFmt w:val="decimal"/>
      <w:lvlText w:val="%1.%2.%3"/>
      <w:lvlJc w:val="left"/>
      <w:pPr>
        <w:tabs>
          <w:tab w:val="num" w:pos="851"/>
        </w:tabs>
        <w:ind w:left="851" w:hanging="851"/>
      </w:pPr>
      <w:rPr>
        <w:rFonts w:ascii="Times New Roman" w:hAnsi="Times New Roman" w:hint="default"/>
        <w:b w:val="0"/>
        <w:i/>
        <w:sz w:val="24"/>
        <w:u w:val="none"/>
      </w:rPr>
    </w:lvl>
    <w:lvl w:ilvl="3">
      <w:start w:val="1"/>
      <w:numFmt w:val="decimal"/>
      <w:lvlText w:val="%1.%2.%3.%4"/>
      <w:lvlJc w:val="left"/>
      <w:pPr>
        <w:tabs>
          <w:tab w:val="num" w:pos="851"/>
        </w:tabs>
        <w:ind w:left="851" w:hanging="851"/>
      </w:pPr>
      <w:rPr>
        <w:rFonts w:hint="default"/>
        <w:b w:val="0"/>
        <w:i/>
        <w:sz w:val="24"/>
        <w:u w:val="none"/>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4">
    <w:nsid w:val="1B82713A"/>
    <w:multiLevelType w:val="hybridMultilevel"/>
    <w:tmpl w:val="2A86A6A8"/>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740164"/>
    <w:multiLevelType w:val="hybridMultilevel"/>
    <w:tmpl w:val="09CC2F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F73467F"/>
    <w:multiLevelType w:val="hybridMultilevel"/>
    <w:tmpl w:val="8D243A2E"/>
    <w:lvl w:ilvl="0" w:tplc="3A842EA8">
      <w:start w:val="1"/>
      <w:numFmt w:val="bullet"/>
      <w:pStyle w:val="FSDas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6054271"/>
    <w:multiLevelType w:val="hybridMultilevel"/>
    <w:tmpl w:val="7AC0B316"/>
    <w:lvl w:ilvl="0" w:tplc="FDFEA67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9816A14"/>
    <w:multiLevelType w:val="hybridMultilevel"/>
    <w:tmpl w:val="84AAED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86E1F4C"/>
    <w:multiLevelType w:val="hybridMultilevel"/>
    <w:tmpl w:val="324CD5C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92327BD"/>
    <w:multiLevelType w:val="hybridMultilevel"/>
    <w:tmpl w:val="59BE2D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AF918BD"/>
    <w:multiLevelType w:val="hybridMultilevel"/>
    <w:tmpl w:val="6C20914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EDF413D"/>
    <w:multiLevelType w:val="hybridMultilevel"/>
    <w:tmpl w:val="DD964D8A"/>
    <w:lvl w:ilvl="0" w:tplc="08090001">
      <w:start w:val="1"/>
      <w:numFmt w:val="bullet"/>
      <w:lvlText w:val=""/>
      <w:lvlJc w:val="left"/>
      <w:pPr>
        <w:ind w:left="636" w:hanging="360"/>
      </w:pPr>
      <w:rPr>
        <w:rFonts w:ascii="Symbol" w:hAnsi="Symbol" w:hint="default"/>
      </w:rPr>
    </w:lvl>
    <w:lvl w:ilvl="1" w:tplc="08090003" w:tentative="1">
      <w:start w:val="1"/>
      <w:numFmt w:val="bullet"/>
      <w:lvlText w:val="o"/>
      <w:lvlJc w:val="left"/>
      <w:pPr>
        <w:ind w:left="1356" w:hanging="360"/>
      </w:pPr>
      <w:rPr>
        <w:rFonts w:ascii="Courier New" w:hAnsi="Courier New" w:cs="Courier New" w:hint="default"/>
      </w:rPr>
    </w:lvl>
    <w:lvl w:ilvl="2" w:tplc="08090005" w:tentative="1">
      <w:start w:val="1"/>
      <w:numFmt w:val="bullet"/>
      <w:lvlText w:val=""/>
      <w:lvlJc w:val="left"/>
      <w:pPr>
        <w:ind w:left="2076" w:hanging="360"/>
      </w:pPr>
      <w:rPr>
        <w:rFonts w:ascii="Wingdings" w:hAnsi="Wingdings" w:hint="default"/>
      </w:rPr>
    </w:lvl>
    <w:lvl w:ilvl="3" w:tplc="08090001" w:tentative="1">
      <w:start w:val="1"/>
      <w:numFmt w:val="bullet"/>
      <w:lvlText w:val=""/>
      <w:lvlJc w:val="left"/>
      <w:pPr>
        <w:ind w:left="2796" w:hanging="360"/>
      </w:pPr>
      <w:rPr>
        <w:rFonts w:ascii="Symbol" w:hAnsi="Symbol" w:hint="default"/>
      </w:rPr>
    </w:lvl>
    <w:lvl w:ilvl="4" w:tplc="08090003" w:tentative="1">
      <w:start w:val="1"/>
      <w:numFmt w:val="bullet"/>
      <w:lvlText w:val="o"/>
      <w:lvlJc w:val="left"/>
      <w:pPr>
        <w:ind w:left="3516" w:hanging="360"/>
      </w:pPr>
      <w:rPr>
        <w:rFonts w:ascii="Courier New" w:hAnsi="Courier New" w:cs="Courier New" w:hint="default"/>
      </w:rPr>
    </w:lvl>
    <w:lvl w:ilvl="5" w:tplc="08090005" w:tentative="1">
      <w:start w:val="1"/>
      <w:numFmt w:val="bullet"/>
      <w:lvlText w:val=""/>
      <w:lvlJc w:val="left"/>
      <w:pPr>
        <w:ind w:left="4236" w:hanging="360"/>
      </w:pPr>
      <w:rPr>
        <w:rFonts w:ascii="Wingdings" w:hAnsi="Wingdings" w:hint="default"/>
      </w:rPr>
    </w:lvl>
    <w:lvl w:ilvl="6" w:tplc="08090001" w:tentative="1">
      <w:start w:val="1"/>
      <w:numFmt w:val="bullet"/>
      <w:lvlText w:val=""/>
      <w:lvlJc w:val="left"/>
      <w:pPr>
        <w:ind w:left="4956" w:hanging="360"/>
      </w:pPr>
      <w:rPr>
        <w:rFonts w:ascii="Symbol" w:hAnsi="Symbol" w:hint="default"/>
      </w:rPr>
    </w:lvl>
    <w:lvl w:ilvl="7" w:tplc="08090003" w:tentative="1">
      <w:start w:val="1"/>
      <w:numFmt w:val="bullet"/>
      <w:lvlText w:val="o"/>
      <w:lvlJc w:val="left"/>
      <w:pPr>
        <w:ind w:left="5676" w:hanging="360"/>
      </w:pPr>
      <w:rPr>
        <w:rFonts w:ascii="Courier New" w:hAnsi="Courier New" w:cs="Courier New" w:hint="default"/>
      </w:rPr>
    </w:lvl>
    <w:lvl w:ilvl="8" w:tplc="08090005" w:tentative="1">
      <w:start w:val="1"/>
      <w:numFmt w:val="bullet"/>
      <w:lvlText w:val=""/>
      <w:lvlJc w:val="left"/>
      <w:pPr>
        <w:ind w:left="6396" w:hanging="360"/>
      </w:pPr>
      <w:rPr>
        <w:rFonts w:ascii="Wingdings" w:hAnsi="Wingdings" w:hint="default"/>
      </w:rPr>
    </w:lvl>
  </w:abstractNum>
  <w:abstractNum w:abstractNumId="24">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43DB599A"/>
    <w:multiLevelType w:val="hybridMultilevel"/>
    <w:tmpl w:val="49B0609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26">
    <w:nsid w:val="43DC1942"/>
    <w:multiLevelType w:val="hybridMultilevel"/>
    <w:tmpl w:val="642C88AA"/>
    <w:lvl w:ilvl="0" w:tplc="757A50B4">
      <w:start w:val="1"/>
      <w:numFmt w:val="bullet"/>
      <w:lvlText w:val="-"/>
      <w:lvlJc w:val="left"/>
      <w:pPr>
        <w:tabs>
          <w:tab w:val="num" w:pos="1134"/>
        </w:tabs>
        <w:ind w:left="1134" w:hanging="56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42C2125"/>
    <w:multiLevelType w:val="hybridMultilevel"/>
    <w:tmpl w:val="924025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9">
    <w:nsid w:val="503677BC"/>
    <w:multiLevelType w:val="hybridMultilevel"/>
    <w:tmpl w:val="81062EFA"/>
    <w:lvl w:ilvl="0" w:tplc="EBB4F7A8">
      <w:start w:val="1"/>
      <w:numFmt w:val="bullet"/>
      <w:pStyle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nsid w:val="53D1534F"/>
    <w:multiLevelType w:val="multilevel"/>
    <w:tmpl w:val="1D62B92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598D4AAA"/>
    <w:multiLevelType w:val="hybridMultilevel"/>
    <w:tmpl w:val="699059C8"/>
    <w:lvl w:ilvl="0" w:tplc="9886F1CA">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24953AF"/>
    <w:multiLevelType w:val="hybridMultilevel"/>
    <w:tmpl w:val="70A869FA"/>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C303099"/>
    <w:multiLevelType w:val="hybridMultilevel"/>
    <w:tmpl w:val="279C17C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77A5C5E"/>
    <w:multiLevelType w:val="hybridMultilevel"/>
    <w:tmpl w:val="E192367E"/>
    <w:lvl w:ilvl="0" w:tplc="04090001">
      <w:start w:val="1"/>
      <w:numFmt w:val="bullet"/>
      <w:lvlText w:val=""/>
      <w:lvlJc w:val="left"/>
      <w:pPr>
        <w:tabs>
          <w:tab w:val="num" w:pos="360"/>
        </w:tabs>
        <w:ind w:left="360" w:hanging="360"/>
      </w:pPr>
      <w:rPr>
        <w:rFonts w:ascii="Symbol" w:hAnsi="Symbol" w:hint="default"/>
      </w:rPr>
    </w:lvl>
    <w:lvl w:ilvl="1" w:tplc="EDFC7DEC">
      <w:start w:val="2"/>
      <w:numFmt w:val="decimal"/>
      <w:lvlText w:val="(%2)"/>
      <w:lvlJc w:val="left"/>
      <w:pPr>
        <w:tabs>
          <w:tab w:val="num" w:pos="1800"/>
        </w:tabs>
        <w:ind w:left="1800" w:hanging="720"/>
      </w:pPr>
    </w:lvl>
    <w:lvl w:ilvl="2" w:tplc="1154481A">
      <w:start w:val="14"/>
      <w:numFmt w:val="decimal"/>
      <w:lvlText w:val="%3"/>
      <w:lvlJc w:val="left"/>
      <w:pPr>
        <w:tabs>
          <w:tab w:val="num" w:pos="2700"/>
        </w:tabs>
        <w:ind w:left="2700" w:hanging="720"/>
      </w:pPr>
    </w:lvl>
    <w:lvl w:ilvl="3" w:tplc="53B6E002">
      <w:start w:val="1"/>
      <w:numFmt w:val="decimal"/>
      <w:lvlText w:val="%4)"/>
      <w:lvlJc w:val="left"/>
      <w:pPr>
        <w:tabs>
          <w:tab w:val="num" w:pos="717"/>
        </w:tabs>
        <w:ind w:left="680" w:hanging="323"/>
      </w:pPr>
    </w:lvl>
    <w:lvl w:ilvl="4" w:tplc="D36A3420">
      <w:start w:val="10"/>
      <w:numFmt w:val="decimal"/>
      <w:lvlText w:val="%5."/>
      <w:lvlJc w:val="left"/>
      <w:pPr>
        <w:tabs>
          <w:tab w:val="num" w:pos="3960"/>
        </w:tabs>
        <w:ind w:left="3960" w:hanging="72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9312594"/>
    <w:multiLevelType w:val="hybridMultilevel"/>
    <w:tmpl w:val="9A8A4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B7469A8"/>
    <w:multiLevelType w:val="hybridMultilevel"/>
    <w:tmpl w:val="C6DC5A9A"/>
    <w:lvl w:ilvl="0" w:tplc="1E669488">
      <w:start w:val="1"/>
      <w:numFmt w:val="bullet"/>
      <w:lvlText w:val=""/>
      <w:lvlJc w:val="left"/>
      <w:pPr>
        <w:tabs>
          <w:tab w:val="num" w:pos="577"/>
        </w:tabs>
        <w:ind w:left="577" w:hanging="510"/>
      </w:pPr>
      <w:rPr>
        <w:rFonts w:ascii="Symbol" w:hAnsi="Symbol" w:hint="default"/>
      </w:rPr>
    </w:lvl>
    <w:lvl w:ilvl="1" w:tplc="6FAA70C4">
      <w:start w:val="1"/>
      <w:numFmt w:val="bullet"/>
      <w:lvlText w:val=""/>
      <w:lvlJc w:val="left"/>
      <w:pPr>
        <w:tabs>
          <w:tab w:val="num" w:pos="1601"/>
        </w:tabs>
        <w:ind w:left="1601" w:hanging="454"/>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nsid w:val="7E8E55DE"/>
    <w:multiLevelType w:val="hybridMultilevel"/>
    <w:tmpl w:val="DDA6AAC2"/>
    <w:lvl w:ilvl="0" w:tplc="0CE4089E">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num w:numId="1">
    <w:abstractNumId w:val="36"/>
  </w:num>
  <w:num w:numId="2">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34"/>
    <w:lvlOverride w:ilvl="0"/>
    <w:lvlOverride w:ilvl="1">
      <w:startOverride w:val="2"/>
    </w:lvlOverride>
    <w:lvlOverride w:ilvl="2">
      <w:startOverride w:val="14"/>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4"/>
  </w:num>
  <w:num w:numId="13">
    <w:abstractNumId w:val="33"/>
  </w:num>
  <w:num w:numId="14">
    <w:abstractNumId w:val="22"/>
  </w:num>
  <w:num w:numId="15">
    <w:abstractNumId w:val="32"/>
  </w:num>
  <w:num w:numId="16">
    <w:abstractNumId w:val="11"/>
  </w:num>
  <w:num w:numId="17">
    <w:abstractNumId w:val="3"/>
  </w:num>
  <w:num w:numId="18">
    <w:abstractNumId w:val="0"/>
  </w:num>
  <w:num w:numId="19">
    <w:abstractNumId w:val="25"/>
  </w:num>
  <w:num w:numId="20">
    <w:abstractNumId w:val="8"/>
  </w:num>
  <w:num w:numId="21">
    <w:abstractNumId w:val="37"/>
  </w:num>
  <w:num w:numId="22">
    <w:abstractNumId w:val="31"/>
  </w:num>
  <w:num w:numId="23">
    <w:abstractNumId w:val="13"/>
  </w:num>
  <w:num w:numId="24">
    <w:abstractNumId w:val="15"/>
  </w:num>
  <w:num w:numId="25">
    <w:abstractNumId w:val="30"/>
  </w:num>
  <w:num w:numId="26">
    <w:abstractNumId w:val="30"/>
  </w:num>
  <w:num w:numId="27">
    <w:abstractNumId w:val="21"/>
  </w:num>
  <w:num w:numId="28">
    <w:abstractNumId w:val="26"/>
  </w:num>
  <w:num w:numId="29">
    <w:abstractNumId w:val="27"/>
  </w:num>
  <w:num w:numId="30">
    <w:abstractNumId w:val="18"/>
  </w:num>
  <w:num w:numId="31">
    <w:abstractNumId w:val="16"/>
  </w:num>
  <w:num w:numId="32">
    <w:abstractNumId w:val="2"/>
  </w:num>
  <w:num w:numId="33">
    <w:abstractNumId w:val="9"/>
  </w:num>
  <w:num w:numId="34">
    <w:abstractNumId w:val="4"/>
  </w:num>
  <w:num w:numId="35">
    <w:abstractNumId w:val="23"/>
  </w:num>
  <w:num w:numId="36">
    <w:abstractNumId w:val="20"/>
  </w:num>
  <w:num w:numId="37">
    <w:abstractNumId w:val="7"/>
  </w:num>
  <w:num w:numId="38">
    <w:abstractNumId w:val="35"/>
  </w:num>
  <w:num w:numId="39">
    <w:abstractNumId w:val="17"/>
  </w:num>
  <w:num w:numId="40">
    <w:abstractNumId w:val="28"/>
  </w:num>
  <w:num w:numId="41">
    <w:abstractNumId w:val="12"/>
  </w:num>
  <w:num w:numId="42">
    <w:abstractNumId w:val="19"/>
  </w:num>
  <w:num w:numId="43">
    <w:abstractNumId w:val="10"/>
  </w:num>
  <w:num w:numId="44">
    <w:abstractNumId w:val="29"/>
  </w:num>
  <w:num w:numId="45">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CBC"/>
    <w:rsid w:val="0000247B"/>
    <w:rsid w:val="0000469B"/>
    <w:rsid w:val="00010E79"/>
    <w:rsid w:val="00026CFD"/>
    <w:rsid w:val="00035FF3"/>
    <w:rsid w:val="000418F0"/>
    <w:rsid w:val="00051021"/>
    <w:rsid w:val="000524F0"/>
    <w:rsid w:val="00052D54"/>
    <w:rsid w:val="00064B2D"/>
    <w:rsid w:val="00065F1F"/>
    <w:rsid w:val="00076D33"/>
    <w:rsid w:val="0007740B"/>
    <w:rsid w:val="00081B0A"/>
    <w:rsid w:val="000A3D8B"/>
    <w:rsid w:val="000B6AF2"/>
    <w:rsid w:val="000D6FD4"/>
    <w:rsid w:val="000E0AE4"/>
    <w:rsid w:val="000E3DBC"/>
    <w:rsid w:val="000F3CFE"/>
    <w:rsid w:val="00101907"/>
    <w:rsid w:val="00102800"/>
    <w:rsid w:val="0012388D"/>
    <w:rsid w:val="001269B4"/>
    <w:rsid w:val="00144651"/>
    <w:rsid w:val="00172673"/>
    <w:rsid w:val="00182862"/>
    <w:rsid w:val="00182C4C"/>
    <w:rsid w:val="00197D8D"/>
    <w:rsid w:val="001A0C95"/>
    <w:rsid w:val="001A1242"/>
    <w:rsid w:val="001A1A75"/>
    <w:rsid w:val="001A7E9A"/>
    <w:rsid w:val="001C27A3"/>
    <w:rsid w:val="001E09FA"/>
    <w:rsid w:val="00202A6F"/>
    <w:rsid w:val="00221D07"/>
    <w:rsid w:val="0022793C"/>
    <w:rsid w:val="00227E4A"/>
    <w:rsid w:val="002421C1"/>
    <w:rsid w:val="00284453"/>
    <w:rsid w:val="00291D12"/>
    <w:rsid w:val="0029204E"/>
    <w:rsid w:val="002A0194"/>
    <w:rsid w:val="002A5F8B"/>
    <w:rsid w:val="002A7F6C"/>
    <w:rsid w:val="002F0BB7"/>
    <w:rsid w:val="002F6488"/>
    <w:rsid w:val="00306E45"/>
    <w:rsid w:val="003213F9"/>
    <w:rsid w:val="00323DBF"/>
    <w:rsid w:val="00332B12"/>
    <w:rsid w:val="00337CBC"/>
    <w:rsid w:val="00351B07"/>
    <w:rsid w:val="00360E77"/>
    <w:rsid w:val="00370C19"/>
    <w:rsid w:val="00371B29"/>
    <w:rsid w:val="003766F8"/>
    <w:rsid w:val="00380106"/>
    <w:rsid w:val="00390821"/>
    <w:rsid w:val="00391769"/>
    <w:rsid w:val="003953E1"/>
    <w:rsid w:val="003956B3"/>
    <w:rsid w:val="003A68BE"/>
    <w:rsid w:val="003A7B84"/>
    <w:rsid w:val="003C4969"/>
    <w:rsid w:val="003E41D5"/>
    <w:rsid w:val="003E46BA"/>
    <w:rsid w:val="003F74C1"/>
    <w:rsid w:val="00405B1A"/>
    <w:rsid w:val="00410C76"/>
    <w:rsid w:val="00411907"/>
    <w:rsid w:val="00417EE3"/>
    <w:rsid w:val="004207EB"/>
    <w:rsid w:val="00421730"/>
    <w:rsid w:val="00436F36"/>
    <w:rsid w:val="00437276"/>
    <w:rsid w:val="0045293B"/>
    <w:rsid w:val="00456B54"/>
    <w:rsid w:val="00464643"/>
    <w:rsid w:val="00474A5F"/>
    <w:rsid w:val="00486793"/>
    <w:rsid w:val="00486C66"/>
    <w:rsid w:val="004A2037"/>
    <w:rsid w:val="004A793C"/>
    <w:rsid w:val="004F4F98"/>
    <w:rsid w:val="004F69F6"/>
    <w:rsid w:val="004F79AC"/>
    <w:rsid w:val="005207D8"/>
    <w:rsid w:val="00523930"/>
    <w:rsid w:val="005244F1"/>
    <w:rsid w:val="00562917"/>
    <w:rsid w:val="00571B8C"/>
    <w:rsid w:val="00586228"/>
    <w:rsid w:val="005967A1"/>
    <w:rsid w:val="005A572E"/>
    <w:rsid w:val="005B53A2"/>
    <w:rsid w:val="005B6AF4"/>
    <w:rsid w:val="005C04CB"/>
    <w:rsid w:val="005C0BD0"/>
    <w:rsid w:val="005C3518"/>
    <w:rsid w:val="005D16AD"/>
    <w:rsid w:val="005D2016"/>
    <w:rsid w:val="005D6395"/>
    <w:rsid w:val="005D72E1"/>
    <w:rsid w:val="005E1714"/>
    <w:rsid w:val="005E6E16"/>
    <w:rsid w:val="005F400E"/>
    <w:rsid w:val="005F7342"/>
    <w:rsid w:val="00601DBD"/>
    <w:rsid w:val="00610A3C"/>
    <w:rsid w:val="00610F4E"/>
    <w:rsid w:val="00614FFB"/>
    <w:rsid w:val="006200D9"/>
    <w:rsid w:val="00627F48"/>
    <w:rsid w:val="00663FCF"/>
    <w:rsid w:val="006652A2"/>
    <w:rsid w:val="006837FE"/>
    <w:rsid w:val="006973B6"/>
    <w:rsid w:val="006A48A7"/>
    <w:rsid w:val="006C5CF5"/>
    <w:rsid w:val="006D4EE6"/>
    <w:rsid w:val="006F4A82"/>
    <w:rsid w:val="00720AC3"/>
    <w:rsid w:val="00724FA4"/>
    <w:rsid w:val="00725924"/>
    <w:rsid w:val="00730800"/>
    <w:rsid w:val="00740BCB"/>
    <w:rsid w:val="00755F02"/>
    <w:rsid w:val="007602AA"/>
    <w:rsid w:val="007652EF"/>
    <w:rsid w:val="00770736"/>
    <w:rsid w:val="00772BDC"/>
    <w:rsid w:val="00773C92"/>
    <w:rsid w:val="00780792"/>
    <w:rsid w:val="007A44B4"/>
    <w:rsid w:val="007A7D3D"/>
    <w:rsid w:val="007B225D"/>
    <w:rsid w:val="007C1C64"/>
    <w:rsid w:val="007E48BC"/>
    <w:rsid w:val="007E71C7"/>
    <w:rsid w:val="007E79F7"/>
    <w:rsid w:val="007F3630"/>
    <w:rsid w:val="00807559"/>
    <w:rsid w:val="00826D7D"/>
    <w:rsid w:val="00840145"/>
    <w:rsid w:val="0084243F"/>
    <w:rsid w:val="008446CC"/>
    <w:rsid w:val="008450BC"/>
    <w:rsid w:val="00847066"/>
    <w:rsid w:val="0085334B"/>
    <w:rsid w:val="008537BA"/>
    <w:rsid w:val="00870214"/>
    <w:rsid w:val="00871659"/>
    <w:rsid w:val="008844E4"/>
    <w:rsid w:val="00885C51"/>
    <w:rsid w:val="00896B85"/>
    <w:rsid w:val="008A3DB3"/>
    <w:rsid w:val="008C301D"/>
    <w:rsid w:val="008C617F"/>
    <w:rsid w:val="008D06C6"/>
    <w:rsid w:val="008E6250"/>
    <w:rsid w:val="008F52E5"/>
    <w:rsid w:val="00902E0C"/>
    <w:rsid w:val="00912014"/>
    <w:rsid w:val="00920249"/>
    <w:rsid w:val="00932F14"/>
    <w:rsid w:val="00937AE3"/>
    <w:rsid w:val="0094247F"/>
    <w:rsid w:val="00942D60"/>
    <w:rsid w:val="00947534"/>
    <w:rsid w:val="009478A1"/>
    <w:rsid w:val="0096523B"/>
    <w:rsid w:val="00967125"/>
    <w:rsid w:val="00972D06"/>
    <w:rsid w:val="009A391C"/>
    <w:rsid w:val="009E0A61"/>
    <w:rsid w:val="009E3010"/>
    <w:rsid w:val="009F7065"/>
    <w:rsid w:val="00A318EB"/>
    <w:rsid w:val="00A45AAF"/>
    <w:rsid w:val="00A56DC7"/>
    <w:rsid w:val="00A74FD1"/>
    <w:rsid w:val="00A81FB2"/>
    <w:rsid w:val="00A84A58"/>
    <w:rsid w:val="00A87927"/>
    <w:rsid w:val="00A87FBE"/>
    <w:rsid w:val="00A96594"/>
    <w:rsid w:val="00AA1D97"/>
    <w:rsid w:val="00AA6FA3"/>
    <w:rsid w:val="00AB6D2D"/>
    <w:rsid w:val="00AC2996"/>
    <w:rsid w:val="00AC428E"/>
    <w:rsid w:val="00AF24FA"/>
    <w:rsid w:val="00AF387F"/>
    <w:rsid w:val="00B00E7F"/>
    <w:rsid w:val="00B05FEC"/>
    <w:rsid w:val="00B21DCC"/>
    <w:rsid w:val="00B25F37"/>
    <w:rsid w:val="00B4291C"/>
    <w:rsid w:val="00B44422"/>
    <w:rsid w:val="00B46EA0"/>
    <w:rsid w:val="00B731D3"/>
    <w:rsid w:val="00B839A3"/>
    <w:rsid w:val="00B902BD"/>
    <w:rsid w:val="00B9590E"/>
    <w:rsid w:val="00B96C59"/>
    <w:rsid w:val="00BB1EB6"/>
    <w:rsid w:val="00BB79AD"/>
    <w:rsid w:val="00BD2A39"/>
    <w:rsid w:val="00BD2E80"/>
    <w:rsid w:val="00BD49FF"/>
    <w:rsid w:val="00BE11B8"/>
    <w:rsid w:val="00BF7FF0"/>
    <w:rsid w:val="00C051AB"/>
    <w:rsid w:val="00C12502"/>
    <w:rsid w:val="00C17240"/>
    <w:rsid w:val="00C40AA5"/>
    <w:rsid w:val="00C41C73"/>
    <w:rsid w:val="00C46F70"/>
    <w:rsid w:val="00C476D0"/>
    <w:rsid w:val="00C512FA"/>
    <w:rsid w:val="00C61AF0"/>
    <w:rsid w:val="00C62A51"/>
    <w:rsid w:val="00C836E3"/>
    <w:rsid w:val="00C86577"/>
    <w:rsid w:val="00C92E07"/>
    <w:rsid w:val="00C96868"/>
    <w:rsid w:val="00CA0416"/>
    <w:rsid w:val="00CA5734"/>
    <w:rsid w:val="00CB115C"/>
    <w:rsid w:val="00CB1920"/>
    <w:rsid w:val="00CB5D88"/>
    <w:rsid w:val="00CC560B"/>
    <w:rsid w:val="00CC75E2"/>
    <w:rsid w:val="00CD46EB"/>
    <w:rsid w:val="00CD7EBF"/>
    <w:rsid w:val="00CF0298"/>
    <w:rsid w:val="00CF1AFF"/>
    <w:rsid w:val="00CF3FE3"/>
    <w:rsid w:val="00D056F1"/>
    <w:rsid w:val="00D15A08"/>
    <w:rsid w:val="00D23DB6"/>
    <w:rsid w:val="00D33B41"/>
    <w:rsid w:val="00D51A95"/>
    <w:rsid w:val="00D60568"/>
    <w:rsid w:val="00D70C7A"/>
    <w:rsid w:val="00D77FBA"/>
    <w:rsid w:val="00DA10A8"/>
    <w:rsid w:val="00DB1E08"/>
    <w:rsid w:val="00DB2973"/>
    <w:rsid w:val="00DB74E5"/>
    <w:rsid w:val="00DC1B56"/>
    <w:rsid w:val="00DC2129"/>
    <w:rsid w:val="00DC546A"/>
    <w:rsid w:val="00DC6570"/>
    <w:rsid w:val="00DD3061"/>
    <w:rsid w:val="00DD3703"/>
    <w:rsid w:val="00DF25C3"/>
    <w:rsid w:val="00E04062"/>
    <w:rsid w:val="00E063C6"/>
    <w:rsid w:val="00E07790"/>
    <w:rsid w:val="00E2003B"/>
    <w:rsid w:val="00E24508"/>
    <w:rsid w:val="00E279D8"/>
    <w:rsid w:val="00E319B1"/>
    <w:rsid w:val="00E337B6"/>
    <w:rsid w:val="00E5492F"/>
    <w:rsid w:val="00E572B1"/>
    <w:rsid w:val="00E70A86"/>
    <w:rsid w:val="00E777EC"/>
    <w:rsid w:val="00E80FCD"/>
    <w:rsid w:val="00EA4F64"/>
    <w:rsid w:val="00EA7F2F"/>
    <w:rsid w:val="00EB6590"/>
    <w:rsid w:val="00EC00DE"/>
    <w:rsid w:val="00EC30E1"/>
    <w:rsid w:val="00EC3436"/>
    <w:rsid w:val="00ED172A"/>
    <w:rsid w:val="00ED3713"/>
    <w:rsid w:val="00EE32AF"/>
    <w:rsid w:val="00F14BEC"/>
    <w:rsid w:val="00F225C5"/>
    <w:rsid w:val="00F2587A"/>
    <w:rsid w:val="00F34E02"/>
    <w:rsid w:val="00F360D2"/>
    <w:rsid w:val="00F36EC2"/>
    <w:rsid w:val="00F3715D"/>
    <w:rsid w:val="00F37A10"/>
    <w:rsid w:val="00F40C23"/>
    <w:rsid w:val="00F420C8"/>
    <w:rsid w:val="00F4235C"/>
    <w:rsid w:val="00F42A4C"/>
    <w:rsid w:val="00F526BD"/>
    <w:rsid w:val="00F71B67"/>
    <w:rsid w:val="00F74A8D"/>
    <w:rsid w:val="00F979CE"/>
    <w:rsid w:val="00FA4983"/>
    <w:rsid w:val="00FB7512"/>
    <w:rsid w:val="00FD6665"/>
    <w:rsid w:val="00FD7547"/>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uiPriority="5" w:qFormat="1"/>
    <w:lsdException w:name="caption" w:semiHidden="1" w:unhideWhenUsed="1"/>
    <w:lsdException w:name="Title" w:uiPriority="10"/>
    <w:lsdException w:name="Subtitle" w:uiPriority="11"/>
    <w:lsdException w:name="Hyperlink" w:uiPriority="99"/>
    <w:lsdException w:name="Strong" w:uiPriority="22"/>
    <w:lsdException w:name="Emphasis" w:uiPriority="20"/>
    <w:lsdException w:name="Plai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EA4F64"/>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5C0BD0"/>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6D4EE6"/>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A87FBE"/>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5C0BD0"/>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6D4EE6"/>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A87FBE"/>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A87FBE"/>
    <w:rPr>
      <w:rFonts w:ascii="Arial" w:hAnsi="Arial"/>
      <w:color w:val="3333FF"/>
      <w:u w:val="single"/>
    </w:rPr>
  </w:style>
  <w:style w:type="paragraph" w:styleId="Header">
    <w:name w:val="header"/>
    <w:basedOn w:val="Normal"/>
    <w:rsid w:val="00E777EC"/>
  </w:style>
  <w:style w:type="paragraph" w:customStyle="1" w:styleId="FSTitle">
    <w:name w:val="FS Title"/>
    <w:basedOn w:val="Normal"/>
    <w:qFormat/>
    <w:rsid w:val="00967125"/>
    <w:rPr>
      <w:rFonts w:cs="Tahoma"/>
      <w:bCs/>
      <w:sz w:val="32"/>
    </w:rPr>
  </w:style>
  <w:style w:type="paragraph" w:customStyle="1" w:styleId="FSDash">
    <w:name w:val="FS Dash"/>
    <w:basedOn w:val="Normal"/>
    <w:qFormat/>
    <w:rsid w:val="007602AA"/>
    <w:pPr>
      <w:numPr>
        <w:numId w:val="31"/>
      </w:num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B96C59"/>
    <w:pPr>
      <w:tabs>
        <w:tab w:val="center" w:pos="4153"/>
        <w:tab w:val="right" w:pos="8306"/>
      </w:tabs>
    </w:pPr>
    <w:rPr>
      <w:sz w:val="20"/>
    </w:rPr>
  </w:style>
  <w:style w:type="character" w:styleId="PageNumber">
    <w:name w:val="page number"/>
    <w:basedOn w:val="DefaultParagraphFont"/>
    <w:rsid w:val="00B96C59"/>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A318EB"/>
    <w:rPr>
      <w:color w:val="800080"/>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142Tableheading2">
    <w:name w:val="1.4.2 Table heading2"/>
    <w:basedOn w:val="Normal"/>
    <w:rsid w:val="00B96C59"/>
    <w:pPr>
      <w:keepNext/>
      <w:jc w:val="center"/>
    </w:pPr>
    <w:rPr>
      <w:iCs/>
      <w:smallCaps/>
      <w:sz w:val="18"/>
      <w:szCs w:val="20"/>
    </w:rPr>
  </w:style>
  <w:style w:type="paragraph" w:customStyle="1" w:styleId="142tableheading1">
    <w:name w:val="1.4.2 table heading1"/>
    <w:basedOn w:val="142Tableheading2"/>
    <w:rsid w:val="00B96C59"/>
    <w:rPr>
      <w:b/>
      <w:bCs/>
      <w:iCs w:val="0"/>
    </w:rPr>
  </w:style>
  <w:style w:type="paragraph" w:customStyle="1" w:styleId="142tabletext1">
    <w:name w:val="1.4.2 table text1"/>
    <w:basedOn w:val="Normal"/>
    <w:rsid w:val="00B96C59"/>
    <w:pPr>
      <w:ind w:left="142" w:hanging="142"/>
    </w:pPr>
    <w:rPr>
      <w:smallCaps/>
      <w:sz w:val="18"/>
      <w:szCs w:val="20"/>
    </w:rPr>
  </w:style>
  <w:style w:type="paragraph" w:customStyle="1" w:styleId="142tabletext2">
    <w:name w:val="1.4.2 table text2"/>
    <w:basedOn w:val="142tabletext1"/>
    <w:rsid w:val="00A318EB"/>
    <w:pPr>
      <w:jc w:val="right"/>
    </w:pPr>
  </w:style>
  <w:style w:type="paragraph" w:customStyle="1" w:styleId="Clause">
    <w:name w:val="Clause"/>
    <w:basedOn w:val="Normal"/>
    <w:next w:val="Normal"/>
    <w:rsid w:val="00B96C59"/>
    <w:pPr>
      <w:tabs>
        <w:tab w:val="left" w:pos="851"/>
      </w:tabs>
    </w:pPr>
    <w:rPr>
      <w:sz w:val="20"/>
      <w:szCs w:val="20"/>
    </w:rPr>
  </w:style>
  <w:style w:type="paragraph" w:customStyle="1" w:styleId="Clauseheading">
    <w:name w:val="Clause heading"/>
    <w:basedOn w:val="Normal"/>
    <w:next w:val="Normal"/>
    <w:rsid w:val="00A318EB"/>
    <w:pPr>
      <w:tabs>
        <w:tab w:val="left" w:pos="851"/>
      </w:tabs>
    </w:pPr>
    <w:rPr>
      <w:b/>
      <w:szCs w:val="20"/>
    </w:rPr>
  </w:style>
  <w:style w:type="paragraph" w:customStyle="1" w:styleId="ClauseList">
    <w:name w:val="Clause List"/>
    <w:basedOn w:val="Clause"/>
    <w:next w:val="Normal"/>
    <w:rsid w:val="00A318EB"/>
  </w:style>
  <w:style w:type="paragraph" w:customStyle="1" w:styleId="Definition">
    <w:name w:val="Definition"/>
    <w:basedOn w:val="Normal"/>
    <w:next w:val="Normal"/>
    <w:rsid w:val="00B96C59"/>
    <w:pPr>
      <w:ind w:left="1701" w:hanging="851"/>
    </w:pPr>
    <w:rPr>
      <w:sz w:val="20"/>
      <w:szCs w:val="20"/>
    </w:rPr>
  </w:style>
  <w:style w:type="paragraph" w:customStyle="1" w:styleId="DivisionHeading">
    <w:name w:val="Division Heading"/>
    <w:basedOn w:val="Normal"/>
    <w:next w:val="Normal"/>
    <w:rsid w:val="00A318EB"/>
    <w:pPr>
      <w:tabs>
        <w:tab w:val="left" w:pos="851"/>
      </w:tabs>
      <w:jc w:val="center"/>
    </w:pPr>
    <w:rPr>
      <w:b/>
      <w:sz w:val="28"/>
      <w:szCs w:val="20"/>
    </w:rPr>
  </w:style>
  <w:style w:type="paragraph" w:customStyle="1" w:styleId="EditorialNoteLine1">
    <w:name w:val="Editorial Note Line 1"/>
    <w:basedOn w:val="Normal"/>
    <w:next w:val="Normal"/>
    <w:rsid w:val="00B96C59"/>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sid w:val="00A318EB"/>
    <w:rPr>
      <w:b w:val="0"/>
    </w:rPr>
  </w:style>
  <w:style w:type="paragraph" w:customStyle="1" w:styleId="Footnote">
    <w:name w:val="Footnote"/>
    <w:basedOn w:val="Normal"/>
    <w:rsid w:val="00144651"/>
    <w:pPr>
      <w:tabs>
        <w:tab w:val="left" w:pos="851"/>
      </w:tabs>
    </w:pPr>
    <w:rPr>
      <w:sz w:val="18"/>
      <w:szCs w:val="20"/>
    </w:rPr>
  </w:style>
  <w:style w:type="paragraph" w:customStyle="1" w:styleId="MiscellaneousHeading">
    <w:name w:val="Miscellaneous Heading"/>
    <w:basedOn w:val="Normal"/>
    <w:next w:val="Normal"/>
    <w:rsid w:val="00B96C59"/>
    <w:rPr>
      <w:b/>
      <w:sz w:val="20"/>
      <w:szCs w:val="20"/>
    </w:rPr>
  </w:style>
  <w:style w:type="paragraph" w:customStyle="1" w:styleId="Paragraph">
    <w:name w:val="Paragraph"/>
    <w:basedOn w:val="Clause"/>
    <w:next w:val="Normal"/>
    <w:rsid w:val="00A318EB"/>
    <w:pPr>
      <w:tabs>
        <w:tab w:val="clear" w:pos="851"/>
      </w:tabs>
      <w:ind w:left="1702" w:hanging="851"/>
    </w:pPr>
  </w:style>
  <w:style w:type="paragraph" w:customStyle="1" w:styleId="ScheduleHeading">
    <w:name w:val="Schedule Heading"/>
    <w:basedOn w:val="Normal"/>
    <w:next w:val="Normal"/>
    <w:rsid w:val="00B96C59"/>
    <w:pPr>
      <w:tabs>
        <w:tab w:val="left" w:pos="851"/>
      </w:tabs>
      <w:jc w:val="center"/>
    </w:pPr>
    <w:rPr>
      <w:b/>
      <w:caps/>
      <w:sz w:val="20"/>
      <w:szCs w:val="20"/>
    </w:rPr>
  </w:style>
  <w:style w:type="paragraph" w:customStyle="1" w:styleId="Standardtitle">
    <w:name w:val="Standard title"/>
    <w:basedOn w:val="Normal"/>
    <w:rsid w:val="00A318EB"/>
    <w:pPr>
      <w:tabs>
        <w:tab w:val="left" w:pos="851"/>
      </w:tabs>
      <w:jc w:val="center"/>
    </w:pPr>
    <w:rPr>
      <w:b/>
      <w:i/>
      <w:iCs/>
      <w:caps/>
      <w:sz w:val="28"/>
      <w:szCs w:val="20"/>
    </w:rPr>
  </w:style>
  <w:style w:type="paragraph" w:customStyle="1" w:styleId="Subclause">
    <w:name w:val="Subclause"/>
    <w:basedOn w:val="Clause"/>
    <w:rsid w:val="00A318EB"/>
    <w:pPr>
      <w:ind w:hanging="11"/>
    </w:pPr>
  </w:style>
  <w:style w:type="paragraph" w:customStyle="1" w:styleId="Subparagraph">
    <w:name w:val="Subparagraph"/>
    <w:basedOn w:val="Paragraph"/>
    <w:next w:val="Normal"/>
    <w:rsid w:val="00A318EB"/>
    <w:pPr>
      <w:ind w:left="2553"/>
    </w:pPr>
  </w:style>
  <w:style w:type="paragraph" w:customStyle="1" w:styleId="Table1">
    <w:name w:val="Table 1"/>
    <w:basedOn w:val="Normal"/>
    <w:rsid w:val="00B96C59"/>
    <w:pPr>
      <w:spacing w:after="120"/>
      <w:jc w:val="center"/>
    </w:pPr>
    <w:rPr>
      <w:b/>
      <w:bCs/>
      <w:sz w:val="18"/>
      <w:szCs w:val="20"/>
    </w:rPr>
  </w:style>
  <w:style w:type="paragraph" w:customStyle="1" w:styleId="Table2">
    <w:name w:val="Table 2"/>
    <w:basedOn w:val="Normal"/>
    <w:rsid w:val="00B96C59"/>
    <w:pPr>
      <w:ind w:left="142" w:hanging="142"/>
    </w:pPr>
    <w:rPr>
      <w:bCs/>
      <w:sz w:val="18"/>
      <w:szCs w:val="20"/>
    </w:rPr>
  </w:style>
  <w:style w:type="paragraph" w:customStyle="1" w:styleId="TableHeading">
    <w:name w:val="Table Heading"/>
    <w:basedOn w:val="Normal"/>
    <w:next w:val="Normal"/>
    <w:rsid w:val="00B96C59"/>
    <w:pPr>
      <w:tabs>
        <w:tab w:val="left" w:pos="851"/>
      </w:tabs>
      <w:jc w:val="center"/>
    </w:pPr>
    <w:rPr>
      <w:b/>
      <w:sz w:val="20"/>
      <w:szCs w:val="20"/>
    </w:rPr>
  </w:style>
  <w:style w:type="paragraph" w:customStyle="1" w:styleId="TitleBorder">
    <w:name w:val="TitleBorder"/>
    <w:basedOn w:val="Normal"/>
    <w:rsid w:val="00A318EB"/>
    <w:pPr>
      <w:pBdr>
        <w:bottom w:val="double" w:sz="6" w:space="0" w:color="auto"/>
      </w:pBdr>
      <w:tabs>
        <w:tab w:val="left" w:pos="851"/>
      </w:tabs>
    </w:pPr>
    <w:rPr>
      <w:b/>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SFootnote Text,Footnotes Text,FSFootnotes Text"/>
    <w:basedOn w:val="Normal"/>
    <w:link w:val="FootnoteTextChar"/>
    <w:uiPriority w:val="5"/>
    <w:qFormat/>
    <w:rsid w:val="00A318EB"/>
    <w:rPr>
      <w:sz w:val="20"/>
      <w:szCs w:val="20"/>
    </w:rPr>
  </w:style>
  <w:style w:type="character" w:styleId="FootnoteReference">
    <w:name w:val="footnote reference"/>
    <w:basedOn w:val="DefaultParagraphFont"/>
    <w:rsid w:val="00A318EB"/>
    <w:rPr>
      <w:vertAlign w:val="superscript"/>
    </w:rPr>
  </w:style>
  <w:style w:type="paragraph" w:customStyle="1" w:styleId="FSDecisionHeading">
    <w:name w:val="FS Decision Heading"/>
    <w:basedOn w:val="Normal"/>
    <w:next w:val="FSDecisiontext"/>
    <w:qFormat/>
    <w:rsid w:val="00A81FB2"/>
    <w:pPr>
      <w:pBdr>
        <w:top w:val="single" w:sz="4" w:space="1" w:color="auto"/>
        <w:left w:val="single" w:sz="4" w:space="4" w:color="auto"/>
        <w:bottom w:val="single" w:sz="4" w:space="1" w:color="auto"/>
        <w:right w:val="single" w:sz="4" w:space="4" w:color="auto"/>
      </w:pBdr>
    </w:pPr>
    <w:rPr>
      <w:b/>
      <w:bCs/>
    </w:rPr>
  </w:style>
  <w:style w:type="paragraph" w:customStyle="1" w:styleId="FSDecisiontext">
    <w:name w:val="FS Decision text"/>
    <w:basedOn w:val="Normal"/>
    <w:qFormat/>
    <w:rsid w:val="00CA5734"/>
    <w:pPr>
      <w:pBdr>
        <w:top w:val="single" w:sz="4" w:space="1" w:color="auto"/>
        <w:left w:val="single" w:sz="4" w:space="4" w:color="auto"/>
        <w:bottom w:val="single" w:sz="4" w:space="1" w:color="auto"/>
        <w:right w:val="single" w:sz="4" w:space="4" w:color="auto"/>
      </w:pBdr>
    </w:pPr>
    <w:rPr>
      <w:rFonts w:ascii="Arial Bold" w:hAnsi="Arial Bold"/>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paragraph" w:customStyle="1" w:styleId="FSBullet">
    <w:name w:val="FS Bullet"/>
    <w:basedOn w:val="Normal"/>
    <w:next w:val="Normal"/>
    <w:link w:val="FSBulletChar"/>
    <w:qFormat/>
    <w:rsid w:val="00E2003B"/>
    <w:pPr>
      <w:numPr>
        <w:numId w:val="32"/>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table" w:styleId="TableColorful3">
    <w:name w:val="Table Colorful 3"/>
    <w:basedOn w:val="TableNormal"/>
    <w:rsid w:val="009478A1"/>
    <w:pPr>
      <w:widowControl w:val="0"/>
      <w:spacing w:before="12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755F02"/>
    <w:pPr>
      <w:widowControl/>
      <w:numPr>
        <w:numId w:val="39"/>
      </w:numPr>
      <w:ind w:left="567" w:hanging="567"/>
    </w:pPr>
    <w:rPr>
      <w:rFonts w:cs="Arial"/>
      <w:lang w:bidi="ar-SA"/>
    </w:rPr>
  </w:style>
  <w:style w:type="character" w:customStyle="1" w:styleId="FSBullet1Char">
    <w:name w:val="FSBullet 1 Char"/>
    <w:link w:val="FSBullet1"/>
    <w:rsid w:val="00755F02"/>
    <w:rPr>
      <w:rFonts w:ascii="Arial" w:hAnsi="Arial" w:cs="Arial"/>
      <w:sz w:val="22"/>
      <w:szCs w:val="24"/>
      <w:lang w:eastAsia="en-US"/>
    </w:rPr>
  </w:style>
  <w:style w:type="paragraph" w:customStyle="1" w:styleId="FSBullet2">
    <w:name w:val="FSBullet 2"/>
    <w:basedOn w:val="Normal"/>
    <w:qFormat/>
    <w:rsid w:val="00CA5734"/>
    <w:pPr>
      <w:widowControl/>
      <w:numPr>
        <w:numId w:val="40"/>
      </w:numPr>
    </w:pPr>
    <w:rPr>
      <w:rFonts w:eastAsia="Calibri"/>
      <w:szCs w:val="22"/>
      <w:lang w:bidi="ar-SA"/>
    </w:rPr>
  </w:style>
  <w:style w:type="paragraph" w:customStyle="1" w:styleId="FSBullet3">
    <w:name w:val="FSBullet 3"/>
    <w:basedOn w:val="Normal"/>
    <w:qFormat/>
    <w:rsid w:val="00CA5734"/>
    <w:pPr>
      <w:keepNext/>
      <w:widowControl/>
      <w:numPr>
        <w:numId w:val="41"/>
      </w:numPr>
    </w:pPr>
    <w:rPr>
      <w:rFonts w:eastAsia="Calibri"/>
      <w:b/>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Revision">
    <w:name w:val="Revision"/>
    <w:hidden/>
    <w:uiPriority w:val="99"/>
    <w:semiHidden/>
    <w:rsid w:val="0022793C"/>
    <w:rPr>
      <w:rFonts w:ascii="Arial" w:hAnsi="Arial"/>
      <w:sz w:val="22"/>
      <w:szCs w:val="24"/>
      <w:lang w:eastAsia="en-US" w:bidi="en-US"/>
    </w:rPr>
  </w:style>
  <w:style w:type="table" w:customStyle="1" w:styleId="MediumShading1-Accent31">
    <w:name w:val="Medium Shading 1 - Accent 31"/>
    <w:basedOn w:val="TableNormal"/>
    <w:next w:val="MediumShading1-Accent3"/>
    <w:uiPriority w:val="63"/>
    <w:rsid w:val="0022793C"/>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FootnoteTextChar">
    <w:name w:val="Footnote Text Char"/>
    <w:aliases w:val="FSFootnote Text Char,Footnotes Text Char,FSFootnotes Text Char"/>
    <w:link w:val="FootnoteText"/>
    <w:uiPriority w:val="5"/>
    <w:rsid w:val="00FA4983"/>
    <w:rPr>
      <w:rFonts w:ascii="Arial" w:hAnsi="Arial"/>
      <w:lang w:eastAsia="en-US" w:bidi="en-US"/>
    </w:rPr>
  </w:style>
  <w:style w:type="paragraph" w:styleId="PlainText">
    <w:name w:val="Plain Text"/>
    <w:basedOn w:val="Normal"/>
    <w:link w:val="PlainTextChar"/>
    <w:uiPriority w:val="99"/>
    <w:unhideWhenUsed/>
    <w:rsid w:val="00F360D2"/>
    <w:pPr>
      <w:widowControl/>
    </w:pPr>
    <w:rPr>
      <w:rFonts w:ascii="Consolas" w:eastAsia="Calibri" w:hAnsi="Consolas"/>
      <w:sz w:val="21"/>
      <w:szCs w:val="21"/>
      <w:lang w:val="x-none" w:bidi="ar-SA"/>
    </w:rPr>
  </w:style>
  <w:style w:type="character" w:customStyle="1" w:styleId="PlainTextChar">
    <w:name w:val="Plain Text Char"/>
    <w:basedOn w:val="DefaultParagraphFont"/>
    <w:link w:val="PlainText"/>
    <w:uiPriority w:val="99"/>
    <w:rsid w:val="00F360D2"/>
    <w:rPr>
      <w:rFonts w:ascii="Consolas" w:eastAsia="Calibri" w:hAnsi="Consolas"/>
      <w:sz w:val="21"/>
      <w:szCs w:val="21"/>
      <w:lang w:val="x-none" w:eastAsia="en-US"/>
    </w:rPr>
  </w:style>
  <w:style w:type="paragraph" w:customStyle="1" w:styleId="Bullet">
    <w:name w:val="Bullet"/>
    <w:basedOn w:val="Normal"/>
    <w:link w:val="BulletChar"/>
    <w:uiPriority w:val="99"/>
    <w:qFormat/>
    <w:rsid w:val="00306E45"/>
    <w:pPr>
      <w:widowControl/>
      <w:numPr>
        <w:numId w:val="44"/>
      </w:numPr>
    </w:pPr>
    <w:rPr>
      <w:rFonts w:ascii="Times New Roman" w:eastAsiaTheme="minorHAnsi" w:hAnsi="Times New Roman"/>
      <w:sz w:val="24"/>
      <w:lang w:bidi="ar-SA"/>
    </w:rPr>
  </w:style>
  <w:style w:type="character" w:customStyle="1" w:styleId="BulletChar">
    <w:name w:val="Bullet Char"/>
    <w:link w:val="Bullet"/>
    <w:uiPriority w:val="99"/>
    <w:rsid w:val="00306E45"/>
    <w:rPr>
      <w:rFonts w:ascii="Times New Roman" w:eastAsiaTheme="minorHAnsi" w:hAnsi="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uiPriority="5" w:qFormat="1"/>
    <w:lsdException w:name="caption" w:semiHidden="1" w:unhideWhenUsed="1"/>
    <w:lsdException w:name="Title" w:uiPriority="10"/>
    <w:lsdException w:name="Subtitle" w:uiPriority="11"/>
    <w:lsdException w:name="Hyperlink" w:uiPriority="99"/>
    <w:lsdException w:name="Strong" w:uiPriority="22"/>
    <w:lsdException w:name="Emphasis" w:uiPriority="20"/>
    <w:lsdException w:name="Plai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EA4F64"/>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5C0BD0"/>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6D4EE6"/>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A87FBE"/>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5C0BD0"/>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6D4EE6"/>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A87FBE"/>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A87FBE"/>
    <w:rPr>
      <w:rFonts w:ascii="Arial" w:hAnsi="Arial"/>
      <w:color w:val="3333FF"/>
      <w:u w:val="single"/>
    </w:rPr>
  </w:style>
  <w:style w:type="paragraph" w:styleId="Header">
    <w:name w:val="header"/>
    <w:basedOn w:val="Normal"/>
    <w:rsid w:val="00E777EC"/>
  </w:style>
  <w:style w:type="paragraph" w:customStyle="1" w:styleId="FSTitle">
    <w:name w:val="FS Title"/>
    <w:basedOn w:val="Normal"/>
    <w:qFormat/>
    <w:rsid w:val="00967125"/>
    <w:rPr>
      <w:rFonts w:cs="Tahoma"/>
      <w:bCs/>
      <w:sz w:val="32"/>
    </w:rPr>
  </w:style>
  <w:style w:type="paragraph" w:customStyle="1" w:styleId="FSDash">
    <w:name w:val="FS Dash"/>
    <w:basedOn w:val="Normal"/>
    <w:qFormat/>
    <w:rsid w:val="007602AA"/>
    <w:pPr>
      <w:numPr>
        <w:numId w:val="31"/>
      </w:num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B96C59"/>
    <w:pPr>
      <w:tabs>
        <w:tab w:val="center" w:pos="4153"/>
        <w:tab w:val="right" w:pos="8306"/>
      </w:tabs>
    </w:pPr>
    <w:rPr>
      <w:sz w:val="20"/>
    </w:rPr>
  </w:style>
  <w:style w:type="character" w:styleId="PageNumber">
    <w:name w:val="page number"/>
    <w:basedOn w:val="DefaultParagraphFont"/>
    <w:rsid w:val="00B96C59"/>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A318EB"/>
    <w:rPr>
      <w:color w:val="800080"/>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142Tableheading2">
    <w:name w:val="1.4.2 Table heading2"/>
    <w:basedOn w:val="Normal"/>
    <w:rsid w:val="00B96C59"/>
    <w:pPr>
      <w:keepNext/>
      <w:jc w:val="center"/>
    </w:pPr>
    <w:rPr>
      <w:iCs/>
      <w:smallCaps/>
      <w:sz w:val="18"/>
      <w:szCs w:val="20"/>
    </w:rPr>
  </w:style>
  <w:style w:type="paragraph" w:customStyle="1" w:styleId="142tableheading1">
    <w:name w:val="1.4.2 table heading1"/>
    <w:basedOn w:val="142Tableheading2"/>
    <w:rsid w:val="00B96C59"/>
    <w:rPr>
      <w:b/>
      <w:bCs/>
      <w:iCs w:val="0"/>
    </w:rPr>
  </w:style>
  <w:style w:type="paragraph" w:customStyle="1" w:styleId="142tabletext1">
    <w:name w:val="1.4.2 table text1"/>
    <w:basedOn w:val="Normal"/>
    <w:rsid w:val="00B96C59"/>
    <w:pPr>
      <w:ind w:left="142" w:hanging="142"/>
    </w:pPr>
    <w:rPr>
      <w:smallCaps/>
      <w:sz w:val="18"/>
      <w:szCs w:val="20"/>
    </w:rPr>
  </w:style>
  <w:style w:type="paragraph" w:customStyle="1" w:styleId="142tabletext2">
    <w:name w:val="1.4.2 table text2"/>
    <w:basedOn w:val="142tabletext1"/>
    <w:rsid w:val="00A318EB"/>
    <w:pPr>
      <w:jc w:val="right"/>
    </w:pPr>
  </w:style>
  <w:style w:type="paragraph" w:customStyle="1" w:styleId="Clause">
    <w:name w:val="Clause"/>
    <w:basedOn w:val="Normal"/>
    <w:next w:val="Normal"/>
    <w:rsid w:val="00B96C59"/>
    <w:pPr>
      <w:tabs>
        <w:tab w:val="left" w:pos="851"/>
      </w:tabs>
    </w:pPr>
    <w:rPr>
      <w:sz w:val="20"/>
      <w:szCs w:val="20"/>
    </w:rPr>
  </w:style>
  <w:style w:type="paragraph" w:customStyle="1" w:styleId="Clauseheading">
    <w:name w:val="Clause heading"/>
    <w:basedOn w:val="Normal"/>
    <w:next w:val="Normal"/>
    <w:rsid w:val="00A318EB"/>
    <w:pPr>
      <w:tabs>
        <w:tab w:val="left" w:pos="851"/>
      </w:tabs>
    </w:pPr>
    <w:rPr>
      <w:b/>
      <w:szCs w:val="20"/>
    </w:rPr>
  </w:style>
  <w:style w:type="paragraph" w:customStyle="1" w:styleId="ClauseList">
    <w:name w:val="Clause List"/>
    <w:basedOn w:val="Clause"/>
    <w:next w:val="Normal"/>
    <w:rsid w:val="00A318EB"/>
  </w:style>
  <w:style w:type="paragraph" w:customStyle="1" w:styleId="Definition">
    <w:name w:val="Definition"/>
    <w:basedOn w:val="Normal"/>
    <w:next w:val="Normal"/>
    <w:rsid w:val="00B96C59"/>
    <w:pPr>
      <w:ind w:left="1701" w:hanging="851"/>
    </w:pPr>
    <w:rPr>
      <w:sz w:val="20"/>
      <w:szCs w:val="20"/>
    </w:rPr>
  </w:style>
  <w:style w:type="paragraph" w:customStyle="1" w:styleId="DivisionHeading">
    <w:name w:val="Division Heading"/>
    <w:basedOn w:val="Normal"/>
    <w:next w:val="Normal"/>
    <w:rsid w:val="00A318EB"/>
    <w:pPr>
      <w:tabs>
        <w:tab w:val="left" w:pos="851"/>
      </w:tabs>
      <w:jc w:val="center"/>
    </w:pPr>
    <w:rPr>
      <w:b/>
      <w:sz w:val="28"/>
      <w:szCs w:val="20"/>
    </w:rPr>
  </w:style>
  <w:style w:type="paragraph" w:customStyle="1" w:styleId="EditorialNoteLine1">
    <w:name w:val="Editorial Note Line 1"/>
    <w:basedOn w:val="Normal"/>
    <w:next w:val="Normal"/>
    <w:rsid w:val="00B96C59"/>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sid w:val="00A318EB"/>
    <w:rPr>
      <w:b w:val="0"/>
    </w:rPr>
  </w:style>
  <w:style w:type="paragraph" w:customStyle="1" w:styleId="Footnote">
    <w:name w:val="Footnote"/>
    <w:basedOn w:val="Normal"/>
    <w:rsid w:val="00144651"/>
    <w:pPr>
      <w:tabs>
        <w:tab w:val="left" w:pos="851"/>
      </w:tabs>
    </w:pPr>
    <w:rPr>
      <w:sz w:val="18"/>
      <w:szCs w:val="20"/>
    </w:rPr>
  </w:style>
  <w:style w:type="paragraph" w:customStyle="1" w:styleId="MiscellaneousHeading">
    <w:name w:val="Miscellaneous Heading"/>
    <w:basedOn w:val="Normal"/>
    <w:next w:val="Normal"/>
    <w:rsid w:val="00B96C59"/>
    <w:rPr>
      <w:b/>
      <w:sz w:val="20"/>
      <w:szCs w:val="20"/>
    </w:rPr>
  </w:style>
  <w:style w:type="paragraph" w:customStyle="1" w:styleId="Paragraph">
    <w:name w:val="Paragraph"/>
    <w:basedOn w:val="Clause"/>
    <w:next w:val="Normal"/>
    <w:rsid w:val="00A318EB"/>
    <w:pPr>
      <w:tabs>
        <w:tab w:val="clear" w:pos="851"/>
      </w:tabs>
      <w:ind w:left="1702" w:hanging="851"/>
    </w:pPr>
  </w:style>
  <w:style w:type="paragraph" w:customStyle="1" w:styleId="ScheduleHeading">
    <w:name w:val="Schedule Heading"/>
    <w:basedOn w:val="Normal"/>
    <w:next w:val="Normal"/>
    <w:rsid w:val="00B96C59"/>
    <w:pPr>
      <w:tabs>
        <w:tab w:val="left" w:pos="851"/>
      </w:tabs>
      <w:jc w:val="center"/>
    </w:pPr>
    <w:rPr>
      <w:b/>
      <w:caps/>
      <w:sz w:val="20"/>
      <w:szCs w:val="20"/>
    </w:rPr>
  </w:style>
  <w:style w:type="paragraph" w:customStyle="1" w:styleId="Standardtitle">
    <w:name w:val="Standard title"/>
    <w:basedOn w:val="Normal"/>
    <w:rsid w:val="00A318EB"/>
    <w:pPr>
      <w:tabs>
        <w:tab w:val="left" w:pos="851"/>
      </w:tabs>
      <w:jc w:val="center"/>
    </w:pPr>
    <w:rPr>
      <w:b/>
      <w:i/>
      <w:iCs/>
      <w:caps/>
      <w:sz w:val="28"/>
      <w:szCs w:val="20"/>
    </w:rPr>
  </w:style>
  <w:style w:type="paragraph" w:customStyle="1" w:styleId="Subclause">
    <w:name w:val="Subclause"/>
    <w:basedOn w:val="Clause"/>
    <w:rsid w:val="00A318EB"/>
    <w:pPr>
      <w:ind w:hanging="11"/>
    </w:pPr>
  </w:style>
  <w:style w:type="paragraph" w:customStyle="1" w:styleId="Subparagraph">
    <w:name w:val="Subparagraph"/>
    <w:basedOn w:val="Paragraph"/>
    <w:next w:val="Normal"/>
    <w:rsid w:val="00A318EB"/>
    <w:pPr>
      <w:ind w:left="2553"/>
    </w:pPr>
  </w:style>
  <w:style w:type="paragraph" w:customStyle="1" w:styleId="Table1">
    <w:name w:val="Table 1"/>
    <w:basedOn w:val="Normal"/>
    <w:rsid w:val="00B96C59"/>
    <w:pPr>
      <w:spacing w:after="120"/>
      <w:jc w:val="center"/>
    </w:pPr>
    <w:rPr>
      <w:b/>
      <w:bCs/>
      <w:sz w:val="18"/>
      <w:szCs w:val="20"/>
    </w:rPr>
  </w:style>
  <w:style w:type="paragraph" w:customStyle="1" w:styleId="Table2">
    <w:name w:val="Table 2"/>
    <w:basedOn w:val="Normal"/>
    <w:rsid w:val="00B96C59"/>
    <w:pPr>
      <w:ind w:left="142" w:hanging="142"/>
    </w:pPr>
    <w:rPr>
      <w:bCs/>
      <w:sz w:val="18"/>
      <w:szCs w:val="20"/>
    </w:rPr>
  </w:style>
  <w:style w:type="paragraph" w:customStyle="1" w:styleId="TableHeading">
    <w:name w:val="Table Heading"/>
    <w:basedOn w:val="Normal"/>
    <w:next w:val="Normal"/>
    <w:rsid w:val="00B96C59"/>
    <w:pPr>
      <w:tabs>
        <w:tab w:val="left" w:pos="851"/>
      </w:tabs>
      <w:jc w:val="center"/>
    </w:pPr>
    <w:rPr>
      <w:b/>
      <w:sz w:val="20"/>
      <w:szCs w:val="20"/>
    </w:rPr>
  </w:style>
  <w:style w:type="paragraph" w:customStyle="1" w:styleId="TitleBorder">
    <w:name w:val="TitleBorder"/>
    <w:basedOn w:val="Normal"/>
    <w:rsid w:val="00A318EB"/>
    <w:pPr>
      <w:pBdr>
        <w:bottom w:val="double" w:sz="6" w:space="0" w:color="auto"/>
      </w:pBdr>
      <w:tabs>
        <w:tab w:val="left" w:pos="851"/>
      </w:tabs>
    </w:pPr>
    <w:rPr>
      <w:b/>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SFootnote Text,Footnotes Text,FSFootnotes Text"/>
    <w:basedOn w:val="Normal"/>
    <w:link w:val="FootnoteTextChar"/>
    <w:uiPriority w:val="5"/>
    <w:qFormat/>
    <w:rsid w:val="00A318EB"/>
    <w:rPr>
      <w:sz w:val="20"/>
      <w:szCs w:val="20"/>
    </w:rPr>
  </w:style>
  <w:style w:type="character" w:styleId="FootnoteReference">
    <w:name w:val="footnote reference"/>
    <w:basedOn w:val="DefaultParagraphFont"/>
    <w:rsid w:val="00A318EB"/>
    <w:rPr>
      <w:vertAlign w:val="superscript"/>
    </w:rPr>
  </w:style>
  <w:style w:type="paragraph" w:customStyle="1" w:styleId="FSDecisionHeading">
    <w:name w:val="FS Decision Heading"/>
    <w:basedOn w:val="Normal"/>
    <w:next w:val="FSDecisiontext"/>
    <w:qFormat/>
    <w:rsid w:val="00A81FB2"/>
    <w:pPr>
      <w:pBdr>
        <w:top w:val="single" w:sz="4" w:space="1" w:color="auto"/>
        <w:left w:val="single" w:sz="4" w:space="4" w:color="auto"/>
        <w:bottom w:val="single" w:sz="4" w:space="1" w:color="auto"/>
        <w:right w:val="single" w:sz="4" w:space="4" w:color="auto"/>
      </w:pBdr>
    </w:pPr>
    <w:rPr>
      <w:b/>
      <w:bCs/>
    </w:rPr>
  </w:style>
  <w:style w:type="paragraph" w:customStyle="1" w:styleId="FSDecisiontext">
    <w:name w:val="FS Decision text"/>
    <w:basedOn w:val="Normal"/>
    <w:qFormat/>
    <w:rsid w:val="00CA5734"/>
    <w:pPr>
      <w:pBdr>
        <w:top w:val="single" w:sz="4" w:space="1" w:color="auto"/>
        <w:left w:val="single" w:sz="4" w:space="4" w:color="auto"/>
        <w:bottom w:val="single" w:sz="4" w:space="1" w:color="auto"/>
        <w:right w:val="single" w:sz="4" w:space="4" w:color="auto"/>
      </w:pBdr>
    </w:pPr>
    <w:rPr>
      <w:rFonts w:ascii="Arial Bold" w:hAnsi="Arial Bold"/>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paragraph" w:customStyle="1" w:styleId="FSBullet">
    <w:name w:val="FS Bullet"/>
    <w:basedOn w:val="Normal"/>
    <w:next w:val="Normal"/>
    <w:link w:val="FSBulletChar"/>
    <w:qFormat/>
    <w:rsid w:val="00E2003B"/>
    <w:pPr>
      <w:numPr>
        <w:numId w:val="32"/>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table" w:styleId="TableColorful3">
    <w:name w:val="Table Colorful 3"/>
    <w:basedOn w:val="TableNormal"/>
    <w:rsid w:val="009478A1"/>
    <w:pPr>
      <w:widowControl w:val="0"/>
      <w:spacing w:before="12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755F02"/>
    <w:pPr>
      <w:widowControl/>
      <w:numPr>
        <w:numId w:val="39"/>
      </w:numPr>
      <w:ind w:left="567" w:hanging="567"/>
    </w:pPr>
    <w:rPr>
      <w:rFonts w:cs="Arial"/>
      <w:lang w:bidi="ar-SA"/>
    </w:rPr>
  </w:style>
  <w:style w:type="character" w:customStyle="1" w:styleId="FSBullet1Char">
    <w:name w:val="FSBullet 1 Char"/>
    <w:link w:val="FSBullet1"/>
    <w:rsid w:val="00755F02"/>
    <w:rPr>
      <w:rFonts w:ascii="Arial" w:hAnsi="Arial" w:cs="Arial"/>
      <w:sz w:val="22"/>
      <w:szCs w:val="24"/>
      <w:lang w:eastAsia="en-US"/>
    </w:rPr>
  </w:style>
  <w:style w:type="paragraph" w:customStyle="1" w:styleId="FSBullet2">
    <w:name w:val="FSBullet 2"/>
    <w:basedOn w:val="Normal"/>
    <w:qFormat/>
    <w:rsid w:val="00CA5734"/>
    <w:pPr>
      <w:widowControl/>
      <w:numPr>
        <w:numId w:val="40"/>
      </w:numPr>
    </w:pPr>
    <w:rPr>
      <w:rFonts w:eastAsia="Calibri"/>
      <w:szCs w:val="22"/>
      <w:lang w:bidi="ar-SA"/>
    </w:rPr>
  </w:style>
  <w:style w:type="paragraph" w:customStyle="1" w:styleId="FSBullet3">
    <w:name w:val="FSBullet 3"/>
    <w:basedOn w:val="Normal"/>
    <w:qFormat/>
    <w:rsid w:val="00CA5734"/>
    <w:pPr>
      <w:keepNext/>
      <w:widowControl/>
      <w:numPr>
        <w:numId w:val="41"/>
      </w:numPr>
    </w:pPr>
    <w:rPr>
      <w:rFonts w:eastAsia="Calibri"/>
      <w:b/>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Revision">
    <w:name w:val="Revision"/>
    <w:hidden/>
    <w:uiPriority w:val="99"/>
    <w:semiHidden/>
    <w:rsid w:val="0022793C"/>
    <w:rPr>
      <w:rFonts w:ascii="Arial" w:hAnsi="Arial"/>
      <w:sz w:val="22"/>
      <w:szCs w:val="24"/>
      <w:lang w:eastAsia="en-US" w:bidi="en-US"/>
    </w:rPr>
  </w:style>
  <w:style w:type="table" w:customStyle="1" w:styleId="MediumShading1-Accent31">
    <w:name w:val="Medium Shading 1 - Accent 31"/>
    <w:basedOn w:val="TableNormal"/>
    <w:next w:val="MediumShading1-Accent3"/>
    <w:uiPriority w:val="63"/>
    <w:rsid w:val="0022793C"/>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FootnoteTextChar">
    <w:name w:val="Footnote Text Char"/>
    <w:aliases w:val="FSFootnote Text Char,Footnotes Text Char,FSFootnotes Text Char"/>
    <w:link w:val="FootnoteText"/>
    <w:uiPriority w:val="5"/>
    <w:rsid w:val="00FA4983"/>
    <w:rPr>
      <w:rFonts w:ascii="Arial" w:hAnsi="Arial"/>
      <w:lang w:eastAsia="en-US" w:bidi="en-US"/>
    </w:rPr>
  </w:style>
  <w:style w:type="paragraph" w:styleId="PlainText">
    <w:name w:val="Plain Text"/>
    <w:basedOn w:val="Normal"/>
    <w:link w:val="PlainTextChar"/>
    <w:uiPriority w:val="99"/>
    <w:unhideWhenUsed/>
    <w:rsid w:val="00F360D2"/>
    <w:pPr>
      <w:widowControl/>
    </w:pPr>
    <w:rPr>
      <w:rFonts w:ascii="Consolas" w:eastAsia="Calibri" w:hAnsi="Consolas"/>
      <w:sz w:val="21"/>
      <w:szCs w:val="21"/>
      <w:lang w:val="x-none" w:bidi="ar-SA"/>
    </w:rPr>
  </w:style>
  <w:style w:type="character" w:customStyle="1" w:styleId="PlainTextChar">
    <w:name w:val="Plain Text Char"/>
    <w:basedOn w:val="DefaultParagraphFont"/>
    <w:link w:val="PlainText"/>
    <w:uiPriority w:val="99"/>
    <w:rsid w:val="00F360D2"/>
    <w:rPr>
      <w:rFonts w:ascii="Consolas" w:eastAsia="Calibri" w:hAnsi="Consolas"/>
      <w:sz w:val="21"/>
      <w:szCs w:val="21"/>
      <w:lang w:val="x-none" w:eastAsia="en-US"/>
    </w:rPr>
  </w:style>
  <w:style w:type="paragraph" w:customStyle="1" w:styleId="Bullet">
    <w:name w:val="Bullet"/>
    <w:basedOn w:val="Normal"/>
    <w:link w:val="BulletChar"/>
    <w:uiPriority w:val="99"/>
    <w:qFormat/>
    <w:rsid w:val="00306E45"/>
    <w:pPr>
      <w:widowControl/>
      <w:numPr>
        <w:numId w:val="44"/>
      </w:numPr>
    </w:pPr>
    <w:rPr>
      <w:rFonts w:ascii="Times New Roman" w:eastAsiaTheme="minorHAnsi" w:hAnsi="Times New Roman"/>
      <w:sz w:val="24"/>
      <w:lang w:bidi="ar-SA"/>
    </w:rPr>
  </w:style>
  <w:style w:type="character" w:customStyle="1" w:styleId="BulletChar">
    <w:name w:val="Bullet Char"/>
    <w:link w:val="Bullet"/>
    <w:uiPriority w:val="99"/>
    <w:rsid w:val="00306E45"/>
    <w:rPr>
      <w:rFonts w:ascii="Times New Roman" w:eastAsiaTheme="minorHAnsi"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77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foodstandards.gov.au/code/proposals/Pages/proposalp1005primary4220.aspx"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foodstandards.gov.au/code/proposals/Pages/proposalp1014primary5331.aspx" TargetMode="External"/><Relationship Id="rId2" Type="http://schemas.openxmlformats.org/officeDocument/2006/relationships/numbering" Target="numbering.xml"/><Relationship Id="rId16" Type="http://schemas.openxmlformats.org/officeDocument/2006/relationships/hyperlink" Target="http://www.health.gov.au/internet/main/publishing.nsf/Content/00E8A0712A1A5C3BCA2578A7007FBE77/$File/anzfrmc_standard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ustomXml" Target="../customXml/item4.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www.foodstandards.gov.au/foodstandards/legislativeandgovernanceforumonfoodregulation/policyguidelines.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08AB45-53E9-49EF-8E30-A44D46EB867E}"/>
</file>

<file path=customXml/itemProps2.xml><?xml version="1.0" encoding="utf-8"?>
<ds:datastoreItem xmlns:ds="http://schemas.openxmlformats.org/officeDocument/2006/customXml" ds:itemID="{158067F9-4C19-4326-B12F-3F9999F52C1C}"/>
</file>

<file path=customXml/itemProps3.xml><?xml version="1.0" encoding="utf-8"?>
<ds:datastoreItem xmlns:ds="http://schemas.openxmlformats.org/officeDocument/2006/customXml" ds:itemID="{66709A03-2B69-4C8D-8E82-945827547EEC}"/>
</file>

<file path=customXml/itemProps4.xml><?xml version="1.0" encoding="utf-8"?>
<ds:datastoreItem xmlns:ds="http://schemas.openxmlformats.org/officeDocument/2006/customXml" ds:itemID="{4F637DCF-C048-4AEB-857E-661D92639AA5}"/>
</file>

<file path=docProps/app.xml><?xml version="1.0" encoding="utf-8"?>
<Properties xmlns="http://schemas.openxmlformats.org/officeDocument/2006/extended-properties" xmlns:vt="http://schemas.openxmlformats.org/officeDocument/2006/docPropsVTypes">
  <Template>Normal</Template>
  <TotalTime>0</TotalTime>
  <Pages>8</Pages>
  <Words>1845</Words>
  <Characters>11934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13752</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2013-10-03T02:25:00Z</dcterms:created>
  <dcterms:modified xsi:type="dcterms:W3CDTF">2013-10-03T02:27:00Z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ies>
</file>