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r>
        <w:rPr>
          <w:noProof/>
          <w:lang w:eastAsia="en-GB" w:bidi="ar-SA"/>
        </w:rPr>
        <w:drawing>
          <wp:inline distT="0" distB="0" distL="0" distR="0" wp14:anchorId="587BFD88" wp14:editId="27BA37A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bookmarkStart w:id="0" w:name="_GoBack"/>
      <w:bookmarkEnd w:id="0"/>
    </w:p>
    <w:p w:rsidR="00E203C2" w:rsidRDefault="00E203C2" w:rsidP="00E203C2"/>
    <w:p w:rsidR="00092CDA" w:rsidRDefault="00092CDA" w:rsidP="004432FE">
      <w:pPr>
        <w:pStyle w:val="FSTitle"/>
        <w:rPr>
          <w:b/>
        </w:rPr>
      </w:pPr>
      <w:r w:rsidRPr="005B7A73">
        <w:rPr>
          <w:b/>
        </w:rPr>
        <w:t>S</w:t>
      </w:r>
      <w:r w:rsidR="00B12F1E" w:rsidRPr="005B7A73">
        <w:rPr>
          <w:b/>
        </w:rPr>
        <w:t>upporting document</w:t>
      </w:r>
      <w:r w:rsidRPr="005B7A73">
        <w:rPr>
          <w:b/>
        </w:rPr>
        <w:t xml:space="preserve"> </w:t>
      </w:r>
      <w:r w:rsidR="00143C66" w:rsidRPr="00143C66">
        <w:rPr>
          <w:b/>
        </w:rPr>
        <w:t>2</w:t>
      </w:r>
    </w:p>
    <w:p w:rsidR="004432FE" w:rsidRPr="005B7A73" w:rsidRDefault="004432FE" w:rsidP="00053C87"/>
    <w:p w:rsidR="0044680C" w:rsidRPr="00053C87" w:rsidRDefault="00DB00CA" w:rsidP="00053C87">
      <w:pPr>
        <w:pStyle w:val="Heading1"/>
        <w:numPr>
          <w:ilvl w:val="0"/>
          <w:numId w:val="0"/>
        </w:numPr>
        <w:spacing w:before="0" w:after="0"/>
        <w:rPr>
          <w:b w:val="0"/>
          <w:sz w:val="32"/>
          <w:lang w:eastAsia="en-AU"/>
        </w:rPr>
      </w:pPr>
      <w:r w:rsidRPr="00053C87">
        <w:rPr>
          <w:b w:val="0"/>
          <w:sz w:val="32"/>
          <w:lang w:eastAsia="en-AU"/>
        </w:rPr>
        <w:t>Scientific basis</w:t>
      </w:r>
      <w:r w:rsidR="00AD7364" w:rsidRPr="00053C87">
        <w:rPr>
          <w:b w:val="0"/>
          <w:sz w:val="32"/>
          <w:lang w:eastAsia="en-AU"/>
        </w:rPr>
        <w:t xml:space="preserve"> for</w:t>
      </w:r>
      <w:r w:rsidR="0044680C" w:rsidRPr="00053C87">
        <w:rPr>
          <w:b w:val="0"/>
          <w:sz w:val="32"/>
          <w:lang w:eastAsia="en-AU"/>
        </w:rPr>
        <w:t xml:space="preserve"> </w:t>
      </w:r>
      <w:r w:rsidR="00297E2F" w:rsidRPr="00053C87">
        <w:rPr>
          <w:b w:val="0"/>
          <w:i/>
          <w:sz w:val="32"/>
          <w:lang w:eastAsia="en-AU"/>
        </w:rPr>
        <w:t>Listeria monocytogenes</w:t>
      </w:r>
      <w:r w:rsidR="00297E2F" w:rsidRPr="00053C87">
        <w:rPr>
          <w:b w:val="0"/>
          <w:sz w:val="32"/>
          <w:lang w:eastAsia="en-AU"/>
        </w:rPr>
        <w:t xml:space="preserve"> limits</w:t>
      </w:r>
      <w:r w:rsidR="00AD7364" w:rsidRPr="00053C87">
        <w:rPr>
          <w:b w:val="0"/>
          <w:sz w:val="32"/>
          <w:lang w:eastAsia="en-AU"/>
        </w:rPr>
        <w:t xml:space="preserve"> </w:t>
      </w:r>
      <w:r w:rsidR="00143C66" w:rsidRPr="00053C87">
        <w:rPr>
          <w:b w:val="0"/>
          <w:sz w:val="32"/>
          <w:lang w:eastAsia="en-AU"/>
        </w:rPr>
        <w:t xml:space="preserve">– </w:t>
      </w:r>
      <w:r w:rsidR="0021472C" w:rsidRPr="00053C87">
        <w:rPr>
          <w:b w:val="0"/>
          <w:sz w:val="32"/>
          <w:lang w:eastAsia="en-AU"/>
        </w:rPr>
        <w:t xml:space="preserve">Proposal </w:t>
      </w:r>
      <w:r w:rsidR="00143C66" w:rsidRPr="00053C87">
        <w:rPr>
          <w:b w:val="0"/>
          <w:sz w:val="32"/>
          <w:lang w:eastAsia="en-AU"/>
        </w:rPr>
        <w:t>P1022</w:t>
      </w:r>
    </w:p>
    <w:p w:rsidR="0021472C" w:rsidRDefault="0021472C" w:rsidP="004432FE">
      <w:pPr>
        <w:rPr>
          <w:lang w:eastAsia="en-AU" w:bidi="ar-SA"/>
        </w:rPr>
      </w:pPr>
    </w:p>
    <w:p w:rsidR="0021472C" w:rsidRPr="00053C87" w:rsidRDefault="0021472C" w:rsidP="004432FE">
      <w:pPr>
        <w:rPr>
          <w:bCs/>
          <w:sz w:val="32"/>
          <w:szCs w:val="28"/>
          <w:lang w:eastAsia="en-AU" w:bidi="ar-SA"/>
        </w:rPr>
      </w:pPr>
      <w:r w:rsidRPr="00053C87">
        <w:rPr>
          <w:bCs/>
          <w:sz w:val="32"/>
          <w:szCs w:val="28"/>
          <w:lang w:eastAsia="en-AU" w:bidi="ar-SA"/>
        </w:rPr>
        <w:t xml:space="preserve">Criteria for </w:t>
      </w:r>
      <w:r w:rsidRPr="00053C87">
        <w:rPr>
          <w:bCs/>
          <w:i/>
          <w:sz w:val="32"/>
          <w:szCs w:val="28"/>
          <w:lang w:eastAsia="en-AU" w:bidi="ar-SA"/>
        </w:rPr>
        <w:t>Listeria monocytogenes</w:t>
      </w:r>
      <w:r w:rsidRPr="00053C87">
        <w:rPr>
          <w:bCs/>
          <w:sz w:val="32"/>
          <w:szCs w:val="28"/>
          <w:lang w:eastAsia="en-AU" w:bidi="ar-SA"/>
        </w:rPr>
        <w:t xml:space="preserve"> – Microbiological Limits for Foods</w:t>
      </w:r>
    </w:p>
    <w:p w:rsidR="00E203C2" w:rsidRPr="00B37BF0" w:rsidRDefault="00E203C2" w:rsidP="00E203C2">
      <w:pPr>
        <w:pBdr>
          <w:bottom w:val="single" w:sz="12" w:space="1" w:color="auto"/>
        </w:pBdr>
        <w:spacing w:line="280" w:lineRule="exact"/>
        <w:rPr>
          <w:rFonts w:cs="Arial"/>
          <w:bCs/>
        </w:rPr>
      </w:pPr>
    </w:p>
    <w:p w:rsidR="00E203C2" w:rsidRPr="00B37BF0" w:rsidRDefault="00E203C2" w:rsidP="00E203C2"/>
    <w:p w:rsidR="00092CDA" w:rsidRPr="00092CDA" w:rsidRDefault="00092CDA" w:rsidP="00CF68D9">
      <w:pPr>
        <w:pStyle w:val="Heading1"/>
        <w:numPr>
          <w:ilvl w:val="0"/>
          <w:numId w:val="0"/>
        </w:numPr>
        <w:spacing w:before="0"/>
      </w:pPr>
      <w:bookmarkStart w:id="1" w:name="_Toc286391001"/>
      <w:bookmarkStart w:id="2" w:name="_Toc300933414"/>
      <w:bookmarkStart w:id="3" w:name="_Toc370215857"/>
      <w:r w:rsidRPr="00092CDA">
        <w:t xml:space="preserve">Executive </w:t>
      </w:r>
      <w:r w:rsidR="00B12F1E">
        <w:t>s</w:t>
      </w:r>
      <w:r w:rsidRPr="00092CDA">
        <w:t>ummary</w:t>
      </w:r>
      <w:bookmarkEnd w:id="1"/>
      <w:bookmarkEnd w:id="2"/>
      <w:bookmarkEnd w:id="3"/>
    </w:p>
    <w:p w:rsidR="00092CDA" w:rsidRDefault="00E06421" w:rsidP="00E06421">
      <w:r w:rsidRPr="0012650D">
        <w:rPr>
          <w:rFonts w:cs="Arial"/>
          <w:i/>
          <w:color w:val="000000"/>
          <w:szCs w:val="22"/>
        </w:rPr>
        <w:t>Listeria monocytogenes</w:t>
      </w:r>
      <w:r w:rsidRPr="0012650D">
        <w:rPr>
          <w:rFonts w:cs="Arial"/>
          <w:color w:val="000000"/>
          <w:szCs w:val="22"/>
        </w:rPr>
        <w:t xml:space="preserve"> </w:t>
      </w:r>
      <w:r>
        <w:rPr>
          <w:rFonts w:cs="Arial"/>
          <w:color w:val="000000"/>
          <w:szCs w:val="22"/>
        </w:rPr>
        <w:t>is a pathogenic bacterium which can cause invasive listeriosis</w:t>
      </w:r>
      <w:r w:rsidRPr="0012650D">
        <w:rPr>
          <w:rFonts w:cs="Arial"/>
          <w:color w:val="000000"/>
          <w:szCs w:val="22"/>
        </w:rPr>
        <w:t xml:space="preserve">, a </w:t>
      </w:r>
      <w:r>
        <w:rPr>
          <w:rFonts w:cs="Arial"/>
          <w:color w:val="000000"/>
          <w:szCs w:val="22"/>
        </w:rPr>
        <w:t xml:space="preserve">relatively rare but often severe </w:t>
      </w:r>
      <w:r w:rsidRPr="0012650D">
        <w:rPr>
          <w:rFonts w:cs="Arial"/>
          <w:color w:val="000000"/>
          <w:szCs w:val="22"/>
        </w:rPr>
        <w:t xml:space="preserve">disease </w:t>
      </w:r>
      <w:r>
        <w:rPr>
          <w:rFonts w:cs="Arial"/>
          <w:color w:val="000000"/>
          <w:szCs w:val="22"/>
        </w:rPr>
        <w:t>with fatality rates around 20-30%</w:t>
      </w:r>
      <w:r w:rsidRPr="0012650D">
        <w:rPr>
          <w:rFonts w:cs="Arial"/>
          <w:color w:val="000000"/>
          <w:szCs w:val="22"/>
        </w:rPr>
        <w:t>.</w:t>
      </w:r>
      <w:r>
        <w:rPr>
          <w:rFonts w:cs="Arial"/>
          <w:color w:val="000000"/>
          <w:szCs w:val="22"/>
        </w:rPr>
        <w:t xml:space="preserve"> Most often affecting individuals experiencing immunosuppression including </w:t>
      </w:r>
      <w:r w:rsidR="0021472C">
        <w:rPr>
          <w:rFonts w:cs="Arial"/>
          <w:color w:val="000000"/>
          <w:szCs w:val="22"/>
        </w:rPr>
        <w:t>those</w:t>
      </w:r>
      <w:r>
        <w:rPr>
          <w:rFonts w:cs="Arial"/>
          <w:color w:val="000000"/>
          <w:szCs w:val="22"/>
        </w:rPr>
        <w:t xml:space="preserve"> with chronic disease, listeriosis infection in otherwise healthy individuals </w:t>
      </w:r>
      <w:r w:rsidR="00BC20E7">
        <w:rPr>
          <w:rFonts w:cs="Arial"/>
          <w:color w:val="000000"/>
          <w:szCs w:val="22"/>
        </w:rPr>
        <w:t xml:space="preserve">generally </w:t>
      </w:r>
      <w:r>
        <w:rPr>
          <w:rFonts w:cs="Arial"/>
          <w:color w:val="000000"/>
          <w:szCs w:val="22"/>
        </w:rPr>
        <w:t>exhibits few or no symptoms.</w:t>
      </w:r>
    </w:p>
    <w:p w:rsidR="00092CDA" w:rsidRDefault="00092CDA" w:rsidP="00690206"/>
    <w:p w:rsidR="00E06421" w:rsidRDefault="00BC20E7" w:rsidP="00E06421">
      <w:pPr>
        <w:rPr>
          <w:rFonts w:cs="Arial"/>
          <w:color w:val="000000"/>
          <w:szCs w:val="22"/>
        </w:rPr>
      </w:pPr>
      <w:r>
        <w:rPr>
          <w:rFonts w:cs="Arial"/>
          <w:color w:val="000000"/>
          <w:szCs w:val="22"/>
        </w:rPr>
        <w:t>F</w:t>
      </w:r>
      <w:r w:rsidR="00E06421">
        <w:rPr>
          <w:rFonts w:cs="Arial"/>
          <w:color w:val="000000"/>
          <w:szCs w:val="22"/>
        </w:rPr>
        <w:t>oods associated with</w:t>
      </w:r>
      <w:r w:rsidR="0021472C">
        <w:rPr>
          <w:rFonts w:cs="Arial"/>
          <w:color w:val="000000"/>
          <w:szCs w:val="22"/>
        </w:rPr>
        <w:t xml:space="preserve"> causing</w:t>
      </w:r>
      <w:r w:rsidR="00E06421">
        <w:rPr>
          <w:rFonts w:cs="Arial"/>
          <w:color w:val="000000"/>
          <w:szCs w:val="22"/>
        </w:rPr>
        <w:t xml:space="preserve"> listeriosis have been overwhelmingly ready-to-eat </w:t>
      </w:r>
      <w:r w:rsidR="002F1E5A">
        <w:rPr>
          <w:rFonts w:cs="Arial"/>
          <w:color w:val="000000"/>
          <w:szCs w:val="22"/>
        </w:rPr>
        <w:t xml:space="preserve">(RTE) </w:t>
      </w:r>
      <w:r w:rsidR="00E06421">
        <w:rPr>
          <w:rFonts w:cs="Arial"/>
          <w:color w:val="000000"/>
          <w:szCs w:val="22"/>
        </w:rPr>
        <w:t xml:space="preserve">products that are typically held for extended periods </w:t>
      </w:r>
      <w:r w:rsidR="004C2431">
        <w:rPr>
          <w:rFonts w:cs="Arial"/>
          <w:color w:val="000000"/>
          <w:szCs w:val="22"/>
        </w:rPr>
        <w:t>at refrigerated temperatures</w:t>
      </w:r>
      <w:r>
        <w:rPr>
          <w:rFonts w:cs="Arial"/>
          <w:color w:val="000000"/>
          <w:szCs w:val="22"/>
        </w:rPr>
        <w:t>,</w:t>
      </w:r>
      <w:r w:rsidR="00E06421">
        <w:rPr>
          <w:rFonts w:cs="Arial"/>
          <w:color w:val="000000"/>
          <w:szCs w:val="22"/>
        </w:rPr>
        <w:t xml:space="preserve"> </w:t>
      </w:r>
      <w:r w:rsidR="00BD7CD9">
        <w:rPr>
          <w:rFonts w:cs="Arial"/>
          <w:color w:val="000000"/>
          <w:szCs w:val="22"/>
        </w:rPr>
        <w:t>in</w:t>
      </w:r>
      <w:r w:rsidR="00E06421">
        <w:rPr>
          <w:rFonts w:cs="Arial"/>
          <w:color w:val="000000"/>
          <w:szCs w:val="22"/>
        </w:rPr>
        <w:t xml:space="preserve"> which </w:t>
      </w:r>
      <w:r w:rsidR="00E06421" w:rsidRPr="002551F3">
        <w:rPr>
          <w:rFonts w:cs="Arial"/>
          <w:i/>
          <w:color w:val="000000"/>
          <w:szCs w:val="22"/>
        </w:rPr>
        <w:t>L.</w:t>
      </w:r>
      <w:r w:rsidR="00E06421">
        <w:rPr>
          <w:rFonts w:cs="Arial"/>
          <w:i/>
          <w:color w:val="000000"/>
          <w:szCs w:val="22"/>
        </w:rPr>
        <w:t> </w:t>
      </w:r>
      <w:r w:rsidR="00E06421" w:rsidRPr="002551F3">
        <w:rPr>
          <w:rFonts w:cs="Arial"/>
          <w:i/>
          <w:color w:val="000000"/>
          <w:szCs w:val="22"/>
        </w:rPr>
        <w:t>monocytogenes</w:t>
      </w:r>
      <w:r w:rsidR="00E06421">
        <w:rPr>
          <w:rFonts w:cs="Arial"/>
          <w:color w:val="000000"/>
          <w:szCs w:val="22"/>
        </w:rPr>
        <w:t xml:space="preserve"> can grow to</w:t>
      </w:r>
      <w:r>
        <w:rPr>
          <w:rFonts w:cs="Arial"/>
          <w:color w:val="000000"/>
          <w:szCs w:val="22"/>
        </w:rPr>
        <w:t xml:space="preserve"> </w:t>
      </w:r>
      <w:r w:rsidR="00E06421">
        <w:rPr>
          <w:rFonts w:cs="Arial"/>
          <w:color w:val="000000"/>
          <w:szCs w:val="22"/>
        </w:rPr>
        <w:t xml:space="preserve">levels that </w:t>
      </w:r>
      <w:r w:rsidR="002273DF">
        <w:rPr>
          <w:rFonts w:cs="Arial"/>
          <w:color w:val="000000"/>
          <w:szCs w:val="22"/>
        </w:rPr>
        <w:t>can</w:t>
      </w:r>
      <w:r w:rsidR="00E06421">
        <w:rPr>
          <w:rFonts w:cs="Arial"/>
          <w:color w:val="000000"/>
          <w:szCs w:val="22"/>
        </w:rPr>
        <w:t xml:space="preserve"> present a risk to consumers.</w:t>
      </w:r>
    </w:p>
    <w:p w:rsidR="000E3AF1" w:rsidRDefault="000E3AF1" w:rsidP="00690206"/>
    <w:p w:rsidR="004B016E" w:rsidRDefault="002273DF" w:rsidP="00E06421">
      <w:r>
        <w:t>Several extensive i</w:t>
      </w:r>
      <w:r w:rsidR="00E06421" w:rsidRPr="002B3EEA">
        <w:t xml:space="preserve">nternational risk assessments </w:t>
      </w:r>
      <w:r>
        <w:t xml:space="preserve">have </w:t>
      </w:r>
      <w:r w:rsidR="00E06421" w:rsidRPr="002B3EEA">
        <w:t>demonstrate</w:t>
      </w:r>
      <w:r>
        <w:t>d</w:t>
      </w:r>
      <w:r w:rsidR="00E06421" w:rsidRPr="002B3EEA">
        <w:t xml:space="preserve"> that the risk of illness is strongly influenced by the ability of the food to support the growth of </w:t>
      </w:r>
      <w:r w:rsidR="00E06421" w:rsidRPr="002B3EEA">
        <w:rPr>
          <w:i/>
        </w:rPr>
        <w:t>L. monocytogenes</w:t>
      </w:r>
      <w:r w:rsidR="00E06421" w:rsidRPr="002B3EEA">
        <w:t xml:space="preserve"> to high levels. </w:t>
      </w:r>
      <w:r w:rsidR="0021472C">
        <w:t xml:space="preserve">Foods containing low levels (&lt;100 cfu/g) pose very little risk, even </w:t>
      </w:r>
      <w:r w:rsidR="00AD7364">
        <w:t>when consumed by</w:t>
      </w:r>
      <w:r w:rsidR="0021472C">
        <w:t xml:space="preserve"> vulnerable individuals.</w:t>
      </w:r>
    </w:p>
    <w:p w:rsidR="004B016E" w:rsidRDefault="004B016E" w:rsidP="00E06421"/>
    <w:p w:rsidR="00E06421" w:rsidRDefault="002273DF" w:rsidP="00E06421">
      <w:r>
        <w:t>I</w:t>
      </w:r>
      <w:r w:rsidR="004B016E">
        <w:t>nternational</w:t>
      </w:r>
      <w:r>
        <w:t>ly</w:t>
      </w:r>
      <w:r w:rsidR="004B016E">
        <w:t xml:space="preserve">, </w:t>
      </w:r>
      <w:r w:rsidR="0021472C">
        <w:t xml:space="preserve">risk-based </w:t>
      </w:r>
      <w:r w:rsidR="004B016E">
        <w:t>mi</w:t>
      </w:r>
      <w:r w:rsidR="00E06421">
        <w:t xml:space="preserve">crobiological criteria for </w:t>
      </w:r>
      <w:r w:rsidR="00E06421" w:rsidRPr="009924F6">
        <w:rPr>
          <w:i/>
        </w:rPr>
        <w:t>L. monocytogenes</w:t>
      </w:r>
      <w:r w:rsidR="00E06421">
        <w:t xml:space="preserve"> in RTE foods based on whether growth can occur in a food ha</w:t>
      </w:r>
      <w:r w:rsidR="004B016E">
        <w:t xml:space="preserve">ve </w:t>
      </w:r>
      <w:r w:rsidR="00E06421">
        <w:t xml:space="preserve">been </w:t>
      </w:r>
      <w:r w:rsidR="0021472C">
        <w:t>established</w:t>
      </w:r>
      <w:r w:rsidR="00E06421">
        <w:t xml:space="preserve"> </w:t>
      </w:r>
      <w:r w:rsidR="0021472C">
        <w:t>by Codex and adopted by many countries, including</w:t>
      </w:r>
      <w:r w:rsidR="00E06421">
        <w:t xml:space="preserve"> Canada and the European Commission.</w:t>
      </w:r>
    </w:p>
    <w:p w:rsidR="00E066BA" w:rsidRDefault="00E066BA" w:rsidP="00051ED9"/>
    <w:p w:rsidR="00143C66" w:rsidRDefault="00143C66">
      <w:pPr>
        <w:widowControl/>
        <w:rPr>
          <w:b/>
          <w:bCs/>
          <w:sz w:val="36"/>
          <w:szCs w:val="28"/>
          <w:lang w:eastAsia="en-AU" w:bidi="ar-SA"/>
        </w:rPr>
      </w:pPr>
      <w:r>
        <w:rPr>
          <w:lang w:eastAsia="en-AU"/>
        </w:rPr>
        <w:br w:type="page"/>
      </w:r>
    </w:p>
    <w:p w:rsidR="00513006" w:rsidRDefault="00143C66" w:rsidP="00742F59">
      <w:pPr>
        <w:pStyle w:val="Heading1"/>
        <w:rPr>
          <w:lang w:eastAsia="en-AU"/>
        </w:rPr>
      </w:pPr>
      <w:r>
        <w:rPr>
          <w:lang w:eastAsia="en-AU"/>
        </w:rPr>
        <w:lastRenderedPageBreak/>
        <w:t>Background</w:t>
      </w:r>
    </w:p>
    <w:p w:rsidR="00CF68D9" w:rsidRPr="002B3EEA" w:rsidRDefault="004C0CED" w:rsidP="00CF68D9">
      <w:pPr>
        <w:pStyle w:val="Heading2"/>
      </w:pPr>
      <w:bookmarkStart w:id="4" w:name="_Toc335810284"/>
      <w:bookmarkStart w:id="5" w:name="_Toc370215859"/>
      <w:r w:rsidRPr="004D4B6D">
        <w:rPr>
          <w:i/>
        </w:rPr>
        <w:t>Listeria monocytogenes</w:t>
      </w:r>
      <w:bookmarkEnd w:id="4"/>
      <w:bookmarkEnd w:id="5"/>
    </w:p>
    <w:p w:rsidR="00360249" w:rsidRDefault="00B17239" w:rsidP="00CF68D9">
      <w:pPr>
        <w:rPr>
          <w:rFonts w:cs="Arial"/>
          <w:color w:val="000000"/>
          <w:szCs w:val="22"/>
        </w:rPr>
      </w:pPr>
      <w:r w:rsidRPr="0012650D">
        <w:rPr>
          <w:rFonts w:cs="Arial"/>
          <w:i/>
          <w:color w:val="000000"/>
          <w:szCs w:val="22"/>
        </w:rPr>
        <w:t>Listeria monocytogenes</w:t>
      </w:r>
      <w:r w:rsidRPr="0012650D">
        <w:rPr>
          <w:rFonts w:cs="Arial"/>
          <w:color w:val="000000"/>
          <w:szCs w:val="22"/>
        </w:rPr>
        <w:t xml:space="preserve"> </w:t>
      </w:r>
      <w:r w:rsidR="00360249">
        <w:rPr>
          <w:rFonts w:cs="Arial"/>
          <w:color w:val="000000"/>
          <w:szCs w:val="22"/>
        </w:rPr>
        <w:t xml:space="preserve">is a Gram-positive, non-spore forming pathogenic bacterium which occurs widely in the environment. </w:t>
      </w:r>
      <w:r w:rsidR="00360249" w:rsidRPr="00360249">
        <w:rPr>
          <w:rFonts w:cs="Arial"/>
          <w:i/>
          <w:color w:val="000000"/>
          <w:szCs w:val="22"/>
        </w:rPr>
        <w:t>L. monocytogenes</w:t>
      </w:r>
      <w:r w:rsidR="00360249">
        <w:rPr>
          <w:rFonts w:cs="Arial"/>
          <w:color w:val="000000"/>
          <w:szCs w:val="22"/>
        </w:rPr>
        <w:t xml:space="preserve"> </w:t>
      </w:r>
      <w:r w:rsidR="00360249" w:rsidRPr="0012650D">
        <w:rPr>
          <w:rFonts w:cs="Arial"/>
          <w:color w:val="000000"/>
          <w:szCs w:val="22"/>
        </w:rPr>
        <w:t>has been isolated from domestic and wild animals, birds, soil, vegetation, fodder</w:t>
      </w:r>
      <w:r w:rsidR="00360249">
        <w:rPr>
          <w:rFonts w:cs="Arial"/>
          <w:color w:val="000000"/>
          <w:szCs w:val="22"/>
        </w:rPr>
        <w:t>,</w:t>
      </w:r>
      <w:r w:rsidR="00360249" w:rsidRPr="0012650D">
        <w:rPr>
          <w:rFonts w:cs="Arial"/>
          <w:color w:val="000000"/>
          <w:szCs w:val="22"/>
        </w:rPr>
        <w:t xml:space="preserve"> water</w:t>
      </w:r>
      <w:r w:rsidR="00360249">
        <w:rPr>
          <w:rFonts w:cs="Arial"/>
          <w:color w:val="000000"/>
          <w:szCs w:val="22"/>
        </w:rPr>
        <w:t xml:space="preserve"> and</w:t>
      </w:r>
      <w:r w:rsidR="00360249" w:rsidRPr="0012650D">
        <w:rPr>
          <w:rFonts w:cs="Arial"/>
          <w:color w:val="000000"/>
          <w:szCs w:val="22"/>
        </w:rPr>
        <w:t xml:space="preserve"> from floors, drains and wet areas of food processing factories</w:t>
      </w:r>
      <w:r w:rsidR="00BD7CD9">
        <w:rPr>
          <w:rFonts w:cs="Arial"/>
          <w:color w:val="000000"/>
          <w:szCs w:val="22"/>
        </w:rPr>
        <w:t>.</w:t>
      </w:r>
    </w:p>
    <w:p w:rsidR="00360249" w:rsidRDefault="00360249" w:rsidP="00CF68D9">
      <w:pPr>
        <w:rPr>
          <w:rFonts w:cs="Arial"/>
          <w:color w:val="000000"/>
          <w:szCs w:val="22"/>
        </w:rPr>
      </w:pPr>
    </w:p>
    <w:p w:rsidR="00CF68D9" w:rsidRDefault="00360249" w:rsidP="00CF68D9">
      <w:pPr>
        <w:rPr>
          <w:rFonts w:cs="Arial"/>
          <w:color w:val="000000"/>
          <w:szCs w:val="22"/>
        </w:rPr>
      </w:pPr>
      <w:r w:rsidRPr="00360249">
        <w:rPr>
          <w:rFonts w:cs="Arial"/>
          <w:i/>
          <w:color w:val="000000"/>
          <w:szCs w:val="22"/>
        </w:rPr>
        <w:t>L. monocytogenes</w:t>
      </w:r>
      <w:r>
        <w:rPr>
          <w:rFonts w:cs="Arial"/>
          <w:color w:val="000000"/>
          <w:szCs w:val="22"/>
        </w:rPr>
        <w:t xml:space="preserve"> causes invasive listeriosis</w:t>
      </w:r>
      <w:r w:rsidR="00B17239" w:rsidRPr="0012650D">
        <w:rPr>
          <w:rFonts w:cs="Arial"/>
          <w:color w:val="000000"/>
          <w:szCs w:val="22"/>
        </w:rPr>
        <w:t xml:space="preserve">, a disease that can have severe consequences for </w:t>
      </w:r>
      <w:r>
        <w:rPr>
          <w:rFonts w:cs="Arial"/>
          <w:color w:val="000000"/>
          <w:szCs w:val="22"/>
        </w:rPr>
        <w:t>particular</w:t>
      </w:r>
      <w:r w:rsidR="00B17239" w:rsidRPr="0012650D">
        <w:rPr>
          <w:rFonts w:cs="Arial"/>
          <w:color w:val="000000"/>
          <w:szCs w:val="22"/>
        </w:rPr>
        <w:t xml:space="preserve"> groups of the population. </w:t>
      </w:r>
      <w:r>
        <w:rPr>
          <w:rFonts w:cs="Arial"/>
          <w:color w:val="000000"/>
          <w:szCs w:val="22"/>
        </w:rPr>
        <w:t xml:space="preserve">Listeriosis most </w:t>
      </w:r>
      <w:r w:rsidR="0067667D">
        <w:rPr>
          <w:rFonts w:cs="Arial"/>
          <w:color w:val="000000"/>
          <w:szCs w:val="22"/>
        </w:rPr>
        <w:t>often</w:t>
      </w:r>
      <w:r>
        <w:rPr>
          <w:rFonts w:cs="Arial"/>
          <w:color w:val="000000"/>
          <w:szCs w:val="22"/>
        </w:rPr>
        <w:t xml:space="preserve"> affects individuals experiencing immunosuppression</w:t>
      </w:r>
      <w:r w:rsidR="006B518B">
        <w:rPr>
          <w:rFonts w:cs="Arial"/>
          <w:color w:val="000000"/>
          <w:szCs w:val="22"/>
        </w:rPr>
        <w:t xml:space="preserve">, </w:t>
      </w:r>
      <w:r>
        <w:rPr>
          <w:rFonts w:cs="Arial"/>
          <w:color w:val="000000"/>
          <w:szCs w:val="22"/>
        </w:rPr>
        <w:t xml:space="preserve">including </w:t>
      </w:r>
      <w:r w:rsidR="006B518B">
        <w:rPr>
          <w:rFonts w:cs="Arial"/>
          <w:color w:val="000000"/>
          <w:szCs w:val="22"/>
        </w:rPr>
        <w:t xml:space="preserve">those with </w:t>
      </w:r>
      <w:r>
        <w:rPr>
          <w:rFonts w:cs="Arial"/>
          <w:color w:val="000000"/>
          <w:szCs w:val="22"/>
        </w:rPr>
        <w:t>chronic disease (</w:t>
      </w:r>
      <w:r w:rsidR="006B518B">
        <w:rPr>
          <w:rFonts w:cs="Arial"/>
          <w:color w:val="000000"/>
          <w:szCs w:val="22"/>
        </w:rPr>
        <w:t>e.g.</w:t>
      </w:r>
      <w:r>
        <w:rPr>
          <w:rFonts w:cs="Arial"/>
          <w:color w:val="000000"/>
          <w:szCs w:val="22"/>
        </w:rPr>
        <w:t xml:space="preserve"> cancer, diabetes, malnutrition, AIDS), foetuses or neonates (assumed to be infected </w:t>
      </w:r>
      <w:r w:rsidRPr="0067667D">
        <w:rPr>
          <w:rFonts w:cs="Arial"/>
          <w:i/>
          <w:color w:val="000000"/>
          <w:szCs w:val="22"/>
        </w:rPr>
        <w:t>in utero</w:t>
      </w:r>
      <w:r>
        <w:rPr>
          <w:rFonts w:cs="Arial"/>
          <w:color w:val="000000"/>
          <w:szCs w:val="22"/>
        </w:rPr>
        <w:t>)</w:t>
      </w:r>
      <w:r w:rsidR="00A71289">
        <w:rPr>
          <w:rFonts w:cs="Arial"/>
          <w:color w:val="000000"/>
          <w:szCs w:val="22"/>
        </w:rPr>
        <w:t>;</w:t>
      </w:r>
      <w:r>
        <w:rPr>
          <w:rFonts w:cs="Arial"/>
          <w:color w:val="000000"/>
          <w:szCs w:val="22"/>
        </w:rPr>
        <w:t xml:space="preserve"> the elderly and individuals being treated with immunosuppress</w:t>
      </w:r>
      <w:r w:rsidR="006B518B">
        <w:rPr>
          <w:rFonts w:cs="Arial"/>
          <w:color w:val="000000"/>
          <w:szCs w:val="22"/>
        </w:rPr>
        <w:t>ive drugs (e.g.</w:t>
      </w:r>
      <w:r>
        <w:rPr>
          <w:rFonts w:cs="Arial"/>
          <w:color w:val="000000"/>
          <w:szCs w:val="22"/>
        </w:rPr>
        <w:t xml:space="preserve"> transplant patients)</w:t>
      </w:r>
      <w:r w:rsidR="00277F60">
        <w:rPr>
          <w:rFonts w:cs="Arial"/>
          <w:color w:val="000000"/>
          <w:szCs w:val="22"/>
        </w:rPr>
        <w:t xml:space="preserve">. </w:t>
      </w:r>
      <w:r>
        <w:rPr>
          <w:rFonts w:cs="Arial"/>
          <w:color w:val="000000"/>
          <w:szCs w:val="22"/>
        </w:rPr>
        <w:t xml:space="preserve">Manifestations of the disease include, but are not limited to, </w:t>
      </w:r>
      <w:r w:rsidR="0067667D">
        <w:rPr>
          <w:rFonts w:cs="Arial"/>
          <w:color w:val="000000"/>
          <w:szCs w:val="22"/>
        </w:rPr>
        <w:t>bacteraemia</w:t>
      </w:r>
      <w:r>
        <w:rPr>
          <w:rFonts w:cs="Arial"/>
          <w:color w:val="000000"/>
          <w:szCs w:val="22"/>
        </w:rPr>
        <w:t xml:space="preserve">, septicaemia, meningitis, encephalitis, miscarriage, neonatal disease, </w:t>
      </w:r>
      <w:r w:rsidR="0067667D">
        <w:rPr>
          <w:rFonts w:cs="Arial"/>
          <w:color w:val="000000"/>
          <w:szCs w:val="22"/>
        </w:rPr>
        <w:t xml:space="preserve">premature birth, and stillbirth </w:t>
      </w:r>
      <w:r w:rsidR="00AD7364">
        <w:rPr>
          <w:rFonts w:cs="Arial"/>
          <w:color w:val="000000"/>
          <w:szCs w:val="22"/>
        </w:rPr>
        <w:fldChar w:fldCharType="begin"/>
      </w:r>
      <w:r w:rsidR="00B64271">
        <w:rPr>
          <w:rFonts w:cs="Arial"/>
          <w:color w:val="000000"/>
          <w:szCs w:val="22"/>
        </w:rPr>
        <w:instrText xml:space="preserve"> ADDIN REFMGR.CITE &lt;Refman&gt;&lt;Cite&gt;&lt;Author&gt;Codex&lt;/Author&gt;&lt;Year&gt;2007&lt;/Year&gt;&lt;RecNum&gt;7921&lt;/RecNum&gt;&lt;IDText&gt;Guidelines on the Application of General Principals of Food Hygiene on the Control of Listeria monocytogenes in Foods (CAC/GL 61 - 2007)&lt;/IDText&gt;&lt;MDL Ref_Type="Report"&gt;&lt;Ref_Type&gt;Report&lt;/Ref_Type&gt;&lt;Ref_ID&gt;7921&lt;/Ref_ID&gt;&lt;Title_Primary&gt;Guidelines on the Application of General Principals of Food Hygiene on the Control of &lt;i&gt;Listeria monocytogenes&lt;/i&gt; in Foods (CAC/GL 61 - 2007)&lt;/Title_Primary&gt;&lt;Authors_Primary&gt;Codex&lt;/Authors_Primary&gt;&lt;Date_Primary&gt;2007&lt;/Date_Primary&gt;&lt;Keywords&gt;FOOD&lt;/Keywords&gt;&lt;Keywords&gt;Listeria&lt;/Keywords&gt;&lt;Keywords&gt;Listeria monocytogenes&lt;/Keywords&gt;&lt;Keywords&gt;LISTERIA-MONOCYTOGENES&lt;/Keywords&gt;&lt;Keywords&gt;MONOCYTOGENES&lt;/Keywords&gt;&lt;Keywords&gt;FOODS&lt;/Keywords&gt;&lt;Reprint&gt;Not in File&lt;/Reprint&gt;&lt;Pub_Place&gt;Geneva, Switzerland&lt;/Pub_Place&gt;&lt;Publisher&gt;Codex Alimentarius Commission&lt;/Publisher&gt;&lt;Date_Secondary&gt;2012/6/14&lt;/Date_Secondary&gt;&lt;ZZ_WorkformID&gt;24&lt;/ZZ_WorkformID&gt;&lt;/MDL&gt;&lt;/Cite&gt;&lt;/Refman&gt;</w:instrText>
      </w:r>
      <w:r w:rsidR="00AD7364">
        <w:rPr>
          <w:rFonts w:cs="Arial"/>
          <w:color w:val="000000"/>
          <w:szCs w:val="22"/>
        </w:rPr>
        <w:fldChar w:fldCharType="separate"/>
      </w:r>
      <w:r w:rsidR="00AD7364">
        <w:rPr>
          <w:rFonts w:cs="Arial"/>
          <w:noProof/>
          <w:color w:val="000000"/>
          <w:szCs w:val="22"/>
        </w:rPr>
        <w:t>(Codex 2007)</w:t>
      </w:r>
      <w:r w:rsidR="00AD7364">
        <w:rPr>
          <w:rFonts w:cs="Arial"/>
          <w:color w:val="000000"/>
          <w:szCs w:val="22"/>
        </w:rPr>
        <w:fldChar w:fldCharType="end"/>
      </w:r>
      <w:r w:rsidR="0067667D">
        <w:rPr>
          <w:rFonts w:cs="Arial"/>
          <w:color w:val="000000"/>
          <w:szCs w:val="22"/>
        </w:rPr>
        <w:t xml:space="preserve">. </w:t>
      </w:r>
    </w:p>
    <w:p w:rsidR="0067667D" w:rsidRDefault="0067667D" w:rsidP="00CF68D9">
      <w:pPr>
        <w:rPr>
          <w:rFonts w:cs="Arial"/>
          <w:iCs/>
          <w:lang w:eastAsia="en-AU"/>
        </w:rPr>
      </w:pPr>
    </w:p>
    <w:p w:rsidR="0067667D" w:rsidRDefault="00CF68D9" w:rsidP="00CF68D9">
      <w:pPr>
        <w:rPr>
          <w:lang w:eastAsia="en-AU"/>
        </w:rPr>
      </w:pPr>
      <w:r w:rsidRPr="002B3EEA">
        <w:rPr>
          <w:rFonts w:cs="Arial"/>
          <w:iCs/>
          <w:lang w:eastAsia="en-AU"/>
        </w:rPr>
        <w:t xml:space="preserve">In </w:t>
      </w:r>
      <w:r w:rsidR="0067667D">
        <w:rPr>
          <w:rFonts w:cs="Arial"/>
          <w:iCs/>
          <w:lang w:eastAsia="en-AU"/>
        </w:rPr>
        <w:t xml:space="preserve">otherwise </w:t>
      </w:r>
      <w:r w:rsidRPr="002B3EEA">
        <w:rPr>
          <w:rFonts w:cs="Arial"/>
          <w:iCs/>
          <w:lang w:eastAsia="en-AU"/>
        </w:rPr>
        <w:t xml:space="preserve">healthy </w:t>
      </w:r>
      <w:r w:rsidR="0067667D">
        <w:rPr>
          <w:rFonts w:cs="Arial"/>
          <w:iCs/>
          <w:lang w:eastAsia="en-AU"/>
        </w:rPr>
        <w:t>individuals</w:t>
      </w:r>
      <w:r w:rsidRPr="002B3EEA">
        <w:rPr>
          <w:rFonts w:cs="Arial"/>
          <w:iCs/>
          <w:lang w:eastAsia="en-AU"/>
        </w:rPr>
        <w:t xml:space="preserve">, infection with </w:t>
      </w:r>
      <w:r w:rsidRPr="002B3EEA">
        <w:rPr>
          <w:rFonts w:cs="Arial"/>
          <w:i/>
          <w:iCs/>
          <w:lang w:eastAsia="en-AU"/>
        </w:rPr>
        <w:t>L. monocytogenes</w:t>
      </w:r>
      <w:r w:rsidRPr="002B3EEA">
        <w:rPr>
          <w:rFonts w:cs="Arial"/>
          <w:lang w:eastAsia="en-AU"/>
        </w:rPr>
        <w:t xml:space="preserve"> </w:t>
      </w:r>
      <w:r w:rsidR="00AD7364">
        <w:rPr>
          <w:rFonts w:cs="Arial"/>
          <w:lang w:eastAsia="en-AU"/>
        </w:rPr>
        <w:t>is usually non-invasive</w:t>
      </w:r>
      <w:r w:rsidR="006B518B">
        <w:rPr>
          <w:rFonts w:cs="Arial"/>
          <w:lang w:eastAsia="en-AU"/>
        </w:rPr>
        <w:t>,</w:t>
      </w:r>
      <w:r w:rsidR="00AD7364">
        <w:rPr>
          <w:rFonts w:cs="Arial"/>
          <w:lang w:eastAsia="en-AU"/>
        </w:rPr>
        <w:t xml:space="preserve"> causing</w:t>
      </w:r>
      <w:r w:rsidRPr="002B3EEA">
        <w:rPr>
          <w:rFonts w:cs="Arial"/>
          <w:lang w:eastAsia="en-AU"/>
        </w:rPr>
        <w:t xml:space="preserve"> few or no symptoms and may be mistaken for mild </w:t>
      </w:r>
      <w:r w:rsidR="00AD7364">
        <w:rPr>
          <w:rFonts w:cs="Arial"/>
          <w:lang w:eastAsia="en-AU"/>
        </w:rPr>
        <w:t>gastroenteritis</w:t>
      </w:r>
      <w:r w:rsidRPr="002B3EEA">
        <w:rPr>
          <w:rFonts w:cs="Arial"/>
          <w:lang w:eastAsia="en-AU"/>
        </w:rPr>
        <w:t xml:space="preserve"> or flu.</w:t>
      </w:r>
      <w:r w:rsidRPr="002B3EEA">
        <w:rPr>
          <w:lang w:eastAsia="en-AU"/>
        </w:rPr>
        <w:t xml:space="preserve"> </w:t>
      </w:r>
    </w:p>
    <w:p w:rsidR="0067667D" w:rsidRDefault="0067667D" w:rsidP="00CF68D9">
      <w:pPr>
        <w:rPr>
          <w:lang w:eastAsia="en-AU"/>
        </w:rPr>
      </w:pPr>
    </w:p>
    <w:p w:rsidR="00360249" w:rsidRDefault="00360249" w:rsidP="00CF68D9">
      <w:pPr>
        <w:rPr>
          <w:rFonts w:cs="Arial"/>
          <w:lang w:eastAsia="en-AU"/>
        </w:rPr>
      </w:pPr>
      <w:r w:rsidRPr="0067667D">
        <w:rPr>
          <w:rFonts w:cs="Arial"/>
          <w:i/>
          <w:lang w:eastAsia="en-AU"/>
        </w:rPr>
        <w:t>L. monocytogenes</w:t>
      </w:r>
      <w:r>
        <w:rPr>
          <w:rFonts w:cs="Arial"/>
          <w:lang w:eastAsia="en-AU"/>
        </w:rPr>
        <w:t xml:space="preserve"> grows at low </w:t>
      </w:r>
      <w:r w:rsidR="0067667D">
        <w:rPr>
          <w:rFonts w:cs="Arial"/>
          <w:lang w:eastAsia="en-AU"/>
        </w:rPr>
        <w:t>oxygen</w:t>
      </w:r>
      <w:r>
        <w:rPr>
          <w:rFonts w:cs="Arial"/>
          <w:lang w:eastAsia="en-AU"/>
        </w:rPr>
        <w:t xml:space="preserve"> conditions and refrigeration temperatures</w:t>
      </w:r>
      <w:r w:rsidR="006B518B">
        <w:rPr>
          <w:rFonts w:cs="Arial"/>
          <w:lang w:eastAsia="en-AU"/>
        </w:rPr>
        <w:t xml:space="preserve"> (&lt;4 °C)</w:t>
      </w:r>
      <w:r w:rsidR="00A71289">
        <w:rPr>
          <w:rFonts w:cs="Arial"/>
          <w:lang w:eastAsia="en-AU"/>
        </w:rPr>
        <w:t>, and</w:t>
      </w:r>
      <w:r w:rsidR="002D4021">
        <w:rPr>
          <w:rFonts w:cs="Arial"/>
          <w:lang w:eastAsia="en-AU"/>
        </w:rPr>
        <w:t xml:space="preserve"> can survive</w:t>
      </w:r>
      <w:r>
        <w:rPr>
          <w:rFonts w:cs="Arial"/>
          <w:lang w:eastAsia="en-AU"/>
        </w:rPr>
        <w:t xml:space="preserve"> for long periods in the environment, on foods, in the processing plant and in the household refrigerator</w:t>
      </w:r>
      <w:r w:rsidR="00277F60">
        <w:rPr>
          <w:rFonts w:cs="Arial"/>
          <w:lang w:eastAsia="en-AU"/>
        </w:rPr>
        <w:t xml:space="preserve">. </w:t>
      </w:r>
    </w:p>
    <w:p w:rsidR="00360249" w:rsidRDefault="00360249" w:rsidP="00CF68D9">
      <w:pPr>
        <w:rPr>
          <w:rFonts w:cs="Arial"/>
          <w:lang w:eastAsia="en-AU"/>
        </w:rPr>
      </w:pPr>
    </w:p>
    <w:p w:rsidR="00CF68D9" w:rsidRDefault="00DB064F" w:rsidP="00CF68D9">
      <w:pPr>
        <w:rPr>
          <w:rFonts w:cs="Arial"/>
          <w:lang w:eastAsia="en-AU"/>
        </w:rPr>
      </w:pPr>
      <w:r>
        <w:rPr>
          <w:rFonts w:cs="Arial"/>
          <w:lang w:eastAsia="en-AU"/>
        </w:rPr>
        <w:t>Further</w:t>
      </w:r>
      <w:r w:rsidR="00CF68D9" w:rsidRPr="002B3EEA">
        <w:rPr>
          <w:rFonts w:cs="Arial"/>
          <w:lang w:eastAsia="en-AU"/>
        </w:rPr>
        <w:t xml:space="preserve"> information</w:t>
      </w:r>
      <w:r>
        <w:rPr>
          <w:rFonts w:cs="Arial"/>
          <w:lang w:eastAsia="en-AU"/>
        </w:rPr>
        <w:t xml:space="preserve"> regarding </w:t>
      </w:r>
      <w:r w:rsidRPr="00DB064F">
        <w:rPr>
          <w:rFonts w:cs="Arial"/>
          <w:i/>
          <w:lang w:eastAsia="en-AU"/>
        </w:rPr>
        <w:t>L. monocytogenes</w:t>
      </w:r>
      <w:r w:rsidR="00CF68D9" w:rsidRPr="002B3EEA">
        <w:rPr>
          <w:rFonts w:cs="Arial"/>
          <w:lang w:eastAsia="en-AU"/>
        </w:rPr>
        <w:t xml:space="preserve"> can be found in the FSANZ publication titled </w:t>
      </w:r>
      <w:hyperlink r:id="rId9" w:history="1">
        <w:r w:rsidR="00CF68D9" w:rsidRPr="002B3EEA">
          <w:rPr>
            <w:rStyle w:val="Hyperlink"/>
            <w:rFonts w:cs="Arial"/>
            <w:i/>
            <w:lang w:eastAsia="en-AU"/>
          </w:rPr>
          <w:t>Agents of foodborne illness</w:t>
        </w:r>
      </w:hyperlink>
      <w:r w:rsidR="00CF68D9" w:rsidRPr="002B3EEA">
        <w:rPr>
          <w:rFonts w:cs="Arial"/>
          <w:lang w:eastAsia="en-AU"/>
        </w:rPr>
        <w:t xml:space="preserve"> </w:t>
      </w:r>
      <w:r w:rsidR="007272CE">
        <w:rPr>
          <w:rFonts w:cs="Arial"/>
          <w:lang w:eastAsia="en-AU"/>
        </w:rPr>
        <w:fldChar w:fldCharType="begin"/>
      </w:r>
      <w:r w:rsidR="00B64271">
        <w:rPr>
          <w:rFonts w:cs="Arial"/>
          <w:lang w:eastAsia="en-AU"/>
        </w:rPr>
        <w:instrText xml:space="preserve"> ADDIN REFMGR.CITE &lt;Refman&gt;&lt;Cite&gt;&lt;Author&gt;FSANZ&lt;/Author&gt;&lt;Year&gt;2013&lt;/Year&gt;&lt;RecNum&gt;7922&lt;/RecNum&gt;&lt;IDText&gt;Agents of foodborne illness&lt;/IDText&gt;&lt;MDL Ref_Type="Report"&gt;&lt;Ref_Type&gt;Report&lt;/Ref_Type&gt;&lt;Ref_ID&gt;7922&lt;/Ref_ID&gt;&lt;Title_Primary&gt;Agents of foodborne illness&lt;/Title_Primary&gt;&lt;Authors_Primary&gt;FSANZ&lt;/Authors_Primary&gt;&lt;Date_Primary&gt;2013&lt;/Date_Primary&gt;&lt;Keywords&gt;FOODBORNE&lt;/Keywords&gt;&lt;Reprint&gt;Not in File&lt;/Reprint&gt;&lt;Pub_Place&gt;Barton, ACT, Australia&lt;/Pub_Place&gt;&lt;Publisher&gt;Food Standards Australia New Zealand&lt;/Publisher&gt;&lt;Date_Secondary&gt;2013/10/21&lt;/Date_Secondary&gt;&lt;Web_URL&gt;&lt;u&gt;http://www.foodstandards.gov.au/publications/Pages/agentsoffoodborneill5155.aspx&lt;/u&gt;&lt;/Web_URL&gt;&lt;ZZ_WorkformID&gt;24&lt;/ZZ_WorkformID&gt;&lt;/MDL&gt;&lt;/Cite&gt;&lt;/Refman&gt;</w:instrText>
      </w:r>
      <w:r w:rsidR="007272CE">
        <w:rPr>
          <w:rFonts w:cs="Arial"/>
          <w:lang w:eastAsia="en-AU"/>
        </w:rPr>
        <w:fldChar w:fldCharType="separate"/>
      </w:r>
      <w:r w:rsidR="007272CE">
        <w:rPr>
          <w:rFonts w:cs="Arial"/>
          <w:noProof/>
          <w:lang w:eastAsia="en-AU"/>
        </w:rPr>
        <w:t>(FSANZ 2013)</w:t>
      </w:r>
      <w:r w:rsidR="007272CE">
        <w:rPr>
          <w:rFonts w:cs="Arial"/>
          <w:lang w:eastAsia="en-AU"/>
        </w:rPr>
        <w:fldChar w:fldCharType="end"/>
      </w:r>
      <w:r w:rsidR="007272CE">
        <w:rPr>
          <w:rFonts w:cs="Arial"/>
          <w:lang w:eastAsia="en-AU"/>
        </w:rPr>
        <w:t>.</w:t>
      </w:r>
    </w:p>
    <w:p w:rsidR="00B17239" w:rsidRDefault="00B17239" w:rsidP="00CF68D9">
      <w:pPr>
        <w:rPr>
          <w:rFonts w:cs="Arial"/>
          <w:lang w:eastAsia="en-AU"/>
        </w:rPr>
      </w:pPr>
    </w:p>
    <w:p w:rsidR="00B17239" w:rsidRPr="003821A5" w:rsidRDefault="00B17239" w:rsidP="003821A5">
      <w:pPr>
        <w:pStyle w:val="Heading2"/>
      </w:pPr>
      <w:bookmarkStart w:id="6" w:name="_Toc370215860"/>
      <w:r w:rsidRPr="003821A5">
        <w:t>Incidence of illness</w:t>
      </w:r>
      <w:bookmarkEnd w:id="6"/>
      <w:r w:rsidRPr="003821A5">
        <w:t xml:space="preserve"> </w:t>
      </w:r>
    </w:p>
    <w:p w:rsidR="0067667D" w:rsidRDefault="0067667D" w:rsidP="0067667D">
      <w:pPr>
        <w:rPr>
          <w:rFonts w:cs="Arial"/>
          <w:color w:val="000000"/>
          <w:szCs w:val="22"/>
        </w:rPr>
      </w:pPr>
      <w:r>
        <w:rPr>
          <w:lang w:eastAsia="en-AU"/>
        </w:rPr>
        <w:t>Invasive listeriosis is a relatively rare, but often severe disease with incidences typically of 3 to 8 cases per 1,000,000 population and fatality rates of 20 to 30% among hospitalised patients</w:t>
      </w:r>
      <w:r w:rsidR="00AD7364">
        <w:rPr>
          <w:lang w:eastAsia="en-AU"/>
        </w:rPr>
        <w:t xml:space="preserve"> </w:t>
      </w:r>
      <w:r w:rsidR="00AD7364">
        <w:rPr>
          <w:lang w:eastAsia="en-AU"/>
        </w:rPr>
        <w:fldChar w:fldCharType="begin"/>
      </w:r>
      <w:r w:rsidR="00B64271">
        <w:rPr>
          <w:lang w:eastAsia="en-AU"/>
        </w:rPr>
        <w:instrText xml:space="preserve"> ADDIN REFMGR.CITE &lt;Refman&gt;&lt;Cite&gt;&lt;Author&gt;FAO/WHO&lt;/Author&gt;&lt;Year&gt;2001&lt;/Year&gt;&lt;RecNum&gt;7925&lt;/RecNum&gt;&lt;IDText&gt;Risk Characterisation of Salmonella spp. in eggs and broiler chickens and L. monocytogenes in ready-to-eat foods&lt;/IDText&gt;&lt;MDL Ref_Type="Report"&gt;&lt;Ref_Type&gt;Report&lt;/Ref_Type&gt;&lt;Ref_ID&gt;7925&lt;/Ref_ID&gt;&lt;Title_Primary&gt;Risk Characterisation of &lt;i&gt;Salmonella &lt;/i&gt;spp. in eggs and broiler chickens and &lt;i&gt;L. monocytogenes&lt;/i&gt; in ready-to-eat foods&lt;/Title_Primary&gt;&lt;Authors_Primary&gt;FAO/WHO&lt;/Authors_Primary&gt;&lt;Date_Primary&gt;2001&lt;/Date_Primary&gt;&lt;Keywords&gt;Risk&lt;/Keywords&gt;&lt;Keywords&gt;MONOCYTOGENES&lt;/Keywords&gt;&lt;Keywords&gt;FOODS&lt;/Keywords&gt;&lt;Keywords&gt;FOOD&lt;/Keywords&gt;&lt;Reprint&gt;In File&lt;/Reprint&gt;&lt;Volume&gt;Food and Nutrition Paper 72&lt;/Volume&gt;&lt;Title_Series&gt;Joint FAO/WHO Expert Consultation on Risk Assessment of Microbiological Hazards in Foods&lt;/Title_Series&gt;&lt;ZZ_WorkformID&gt;24&lt;/ZZ_WorkformID&gt;&lt;/MDL&gt;&lt;/Cite&gt;&lt;/Refman&gt;</w:instrText>
      </w:r>
      <w:r w:rsidR="00AD7364">
        <w:rPr>
          <w:lang w:eastAsia="en-AU"/>
        </w:rPr>
        <w:fldChar w:fldCharType="separate"/>
      </w:r>
      <w:r w:rsidR="00AD7364">
        <w:rPr>
          <w:noProof/>
          <w:lang w:eastAsia="en-AU"/>
        </w:rPr>
        <w:t>(FAO/WHO 2001)</w:t>
      </w:r>
      <w:r w:rsidR="00AD7364">
        <w:rPr>
          <w:lang w:eastAsia="en-AU"/>
        </w:rPr>
        <w:fldChar w:fldCharType="end"/>
      </w:r>
      <w:r>
        <w:rPr>
          <w:lang w:eastAsia="en-AU"/>
        </w:rPr>
        <w:t>.</w:t>
      </w:r>
    </w:p>
    <w:p w:rsidR="0067667D" w:rsidRDefault="0067667D" w:rsidP="00B17239">
      <w:pPr>
        <w:rPr>
          <w:rFonts w:cs="Arial"/>
          <w:color w:val="000000"/>
          <w:szCs w:val="22"/>
        </w:rPr>
      </w:pPr>
    </w:p>
    <w:p w:rsidR="0067667D" w:rsidRDefault="00DB064F" w:rsidP="00B17239">
      <w:pPr>
        <w:rPr>
          <w:rFonts w:cs="Arial"/>
          <w:color w:val="000000"/>
          <w:szCs w:val="22"/>
        </w:rPr>
      </w:pPr>
      <w:r>
        <w:rPr>
          <w:rFonts w:cs="Arial"/>
          <w:color w:val="000000"/>
          <w:szCs w:val="22"/>
        </w:rPr>
        <w:t xml:space="preserve">A </w:t>
      </w:r>
      <w:r w:rsidR="00B17239" w:rsidRPr="0012650D">
        <w:rPr>
          <w:rFonts w:cs="Arial"/>
          <w:color w:val="000000"/>
          <w:szCs w:val="22"/>
        </w:rPr>
        <w:t>notifiable disease in all Australian states and territories</w:t>
      </w:r>
      <w:r>
        <w:rPr>
          <w:rFonts w:cs="Arial"/>
          <w:color w:val="000000"/>
          <w:szCs w:val="22"/>
        </w:rPr>
        <w:t>,</w:t>
      </w:r>
      <w:r w:rsidR="0067667D">
        <w:rPr>
          <w:rFonts w:cs="Arial"/>
          <w:color w:val="000000"/>
          <w:szCs w:val="22"/>
        </w:rPr>
        <w:t xml:space="preserve"> the </w:t>
      </w:r>
      <w:r w:rsidR="00B17239" w:rsidRPr="0012650D">
        <w:rPr>
          <w:rFonts w:cs="Arial"/>
          <w:color w:val="000000"/>
          <w:szCs w:val="22"/>
        </w:rPr>
        <w:t xml:space="preserve">incidence of listeriosis in 2012 was 0.4 cases per 100,000 </w:t>
      </w:r>
      <w:proofErr w:type="gramStart"/>
      <w:r w:rsidR="00B17239" w:rsidRPr="0012650D">
        <w:rPr>
          <w:rFonts w:cs="Arial"/>
          <w:color w:val="000000"/>
          <w:szCs w:val="22"/>
        </w:rPr>
        <w:t>population</w:t>
      </w:r>
      <w:proofErr w:type="gramEnd"/>
      <w:r w:rsidR="00B17239" w:rsidRPr="0012650D">
        <w:rPr>
          <w:rFonts w:cs="Arial"/>
          <w:color w:val="000000"/>
          <w:szCs w:val="22"/>
        </w:rPr>
        <w:t xml:space="preserve"> (93 cases). </w:t>
      </w:r>
      <w:r w:rsidR="003821A5">
        <w:rPr>
          <w:rFonts w:cs="Arial"/>
          <w:color w:val="000000"/>
          <w:szCs w:val="22"/>
        </w:rPr>
        <w:t xml:space="preserve">Seventy-two </w:t>
      </w:r>
      <w:r w:rsidR="005325CB">
        <w:rPr>
          <w:rFonts w:cs="Arial"/>
          <w:color w:val="000000"/>
          <w:szCs w:val="22"/>
        </w:rPr>
        <w:t>per cent</w:t>
      </w:r>
      <w:r w:rsidR="003821A5">
        <w:rPr>
          <w:rFonts w:cs="Arial"/>
          <w:color w:val="000000"/>
          <w:szCs w:val="22"/>
        </w:rPr>
        <w:t xml:space="preserve"> (67/93) of </w:t>
      </w:r>
      <w:r w:rsidR="0067667D">
        <w:rPr>
          <w:rFonts w:cs="Arial"/>
          <w:color w:val="000000"/>
          <w:szCs w:val="22"/>
        </w:rPr>
        <w:t>these</w:t>
      </w:r>
      <w:r w:rsidR="003821A5">
        <w:rPr>
          <w:rFonts w:cs="Arial"/>
          <w:color w:val="000000"/>
          <w:szCs w:val="22"/>
        </w:rPr>
        <w:t xml:space="preserve"> were for people aged 60 years or over. </w:t>
      </w:r>
      <w:r w:rsidR="00B17239" w:rsidRPr="0012650D">
        <w:rPr>
          <w:rFonts w:cs="Arial"/>
          <w:color w:val="000000"/>
          <w:szCs w:val="22"/>
        </w:rPr>
        <w:t>This is a</w:t>
      </w:r>
      <w:r>
        <w:rPr>
          <w:rFonts w:cs="Arial"/>
          <w:color w:val="000000"/>
          <w:szCs w:val="22"/>
        </w:rPr>
        <w:t>n</w:t>
      </w:r>
      <w:r w:rsidR="00B17239" w:rsidRPr="0012650D">
        <w:rPr>
          <w:rFonts w:cs="Arial"/>
          <w:color w:val="000000"/>
          <w:szCs w:val="22"/>
        </w:rPr>
        <w:t xml:space="preserve"> increase from the previous 5 year mean of 0.3 cases per 100,000 population per year (ranging from 0.2–0.4 cases</w:t>
      </w:r>
      <w:r w:rsidR="0067667D">
        <w:rPr>
          <w:rFonts w:cs="Arial"/>
          <w:color w:val="000000"/>
          <w:szCs w:val="22"/>
        </w:rPr>
        <w:t>/</w:t>
      </w:r>
      <w:r w:rsidR="00B17239" w:rsidRPr="0012650D">
        <w:rPr>
          <w:rFonts w:cs="Arial"/>
          <w:color w:val="000000"/>
          <w:szCs w:val="22"/>
        </w:rPr>
        <w:t>100,000 population</w:t>
      </w:r>
      <w:r w:rsidR="0067667D">
        <w:rPr>
          <w:rFonts w:cs="Arial"/>
          <w:color w:val="000000"/>
          <w:szCs w:val="22"/>
        </w:rPr>
        <w:t>/year</w:t>
      </w:r>
      <w:r w:rsidR="00B17239" w:rsidRPr="0012650D">
        <w:rPr>
          <w:rFonts w:cs="Arial"/>
          <w:color w:val="000000"/>
          <w:szCs w:val="22"/>
        </w:rPr>
        <w:t xml:space="preserve">) </w:t>
      </w:r>
      <w:r w:rsidR="00AD7364">
        <w:rPr>
          <w:rFonts w:cs="Arial"/>
          <w:color w:val="000000"/>
          <w:szCs w:val="22"/>
        </w:rPr>
        <w:fldChar w:fldCharType="begin"/>
      </w:r>
      <w:r w:rsidR="00B64271">
        <w:rPr>
          <w:rFonts w:cs="Arial"/>
          <w:color w:val="000000"/>
          <w:szCs w:val="22"/>
        </w:rPr>
        <w:instrText xml:space="preserve"> ADDIN REFMGR.CITE &lt;Refman&gt;&lt;Cite&gt;&lt;Author&gt;NNDSS&lt;/Author&gt;&lt;Year&gt;2013&lt;/Year&gt;&lt;RecNum&gt;7926&lt;/RecNum&gt;&lt;IDText&gt;Number of notifications of Listeriosis, Australia, 2013&lt;/IDText&gt;&lt;MDL Ref_Type="Online Source"&gt;&lt;Ref_Type&gt;Online Source&lt;/Ref_Type&gt;&lt;Ref_ID&gt;7926&lt;/Ref_ID&gt;&lt;Title_Primary&gt;Number of notifications of Listeriosis, Australia, 2013&lt;/Title_Primary&gt;&lt;Authors_Primary&gt;NNDSS&lt;/Authors_Primary&gt;&lt;Date_Primary&gt;2013&lt;/Date_Primary&gt;&lt;Keywords&gt;Australia&lt;/Keywords&gt;&lt;Keywords&gt;DISEASE&lt;/Keywords&gt;&lt;Reprint&gt;In File&lt;/Reprint&gt;&lt;Date_Secondary&gt;2013/10/29&lt;/Date_Secondary&gt;&lt;Web_URL&gt;&lt;u&gt;http://www9.health.gov.au/cda/source/rpt_3.cfm&lt;/u&gt;&lt;/Web_URL&gt;&lt;ZZ_WorkformID&gt;31&lt;/ZZ_WorkformID&gt;&lt;/MDL&gt;&lt;/Cite&gt;&lt;/Refman&gt;</w:instrText>
      </w:r>
      <w:r w:rsidR="00AD7364">
        <w:rPr>
          <w:rFonts w:cs="Arial"/>
          <w:color w:val="000000"/>
          <w:szCs w:val="22"/>
        </w:rPr>
        <w:fldChar w:fldCharType="separate"/>
      </w:r>
      <w:r w:rsidR="00AD7364">
        <w:rPr>
          <w:rFonts w:cs="Arial"/>
          <w:noProof/>
          <w:color w:val="000000"/>
          <w:szCs w:val="22"/>
        </w:rPr>
        <w:t>(NNDSS 2013)</w:t>
      </w:r>
      <w:r w:rsidR="00AD7364">
        <w:rPr>
          <w:rFonts w:cs="Arial"/>
          <w:color w:val="000000"/>
          <w:szCs w:val="22"/>
        </w:rPr>
        <w:fldChar w:fldCharType="end"/>
      </w:r>
      <w:r w:rsidR="00B17239" w:rsidRPr="0012650D">
        <w:rPr>
          <w:rFonts w:cs="Arial"/>
          <w:color w:val="000000"/>
          <w:szCs w:val="22"/>
        </w:rPr>
        <w:t xml:space="preserve">. </w:t>
      </w:r>
    </w:p>
    <w:p w:rsidR="0067667D" w:rsidRDefault="0067667D" w:rsidP="00B17239">
      <w:pPr>
        <w:rPr>
          <w:rFonts w:cs="Arial"/>
          <w:color w:val="000000"/>
          <w:szCs w:val="22"/>
        </w:rPr>
      </w:pPr>
    </w:p>
    <w:p w:rsidR="001B3DC7" w:rsidRDefault="0067667D" w:rsidP="00B17239">
      <w:pPr>
        <w:rPr>
          <w:rFonts w:cs="Arial"/>
          <w:color w:val="000000"/>
          <w:szCs w:val="22"/>
        </w:rPr>
      </w:pPr>
      <w:r>
        <w:rPr>
          <w:rFonts w:cs="Arial"/>
          <w:color w:val="000000"/>
          <w:szCs w:val="22"/>
        </w:rPr>
        <w:t xml:space="preserve">Data </w:t>
      </w:r>
      <w:r w:rsidR="00DB064F">
        <w:rPr>
          <w:rFonts w:cs="Arial"/>
          <w:color w:val="000000"/>
          <w:szCs w:val="22"/>
        </w:rPr>
        <w:t>in</w:t>
      </w:r>
      <w:r>
        <w:rPr>
          <w:rFonts w:cs="Arial"/>
          <w:color w:val="000000"/>
          <w:szCs w:val="22"/>
        </w:rPr>
        <w:t xml:space="preserve"> 2010 indicate</w:t>
      </w:r>
      <w:r w:rsidR="00DB064F">
        <w:rPr>
          <w:rFonts w:cs="Arial"/>
          <w:color w:val="000000"/>
          <w:szCs w:val="22"/>
        </w:rPr>
        <w:t>s</w:t>
      </w:r>
      <w:r>
        <w:rPr>
          <w:rFonts w:cs="Arial"/>
          <w:color w:val="000000"/>
          <w:szCs w:val="22"/>
        </w:rPr>
        <w:t xml:space="preserve"> the fatality </w:t>
      </w:r>
      <w:r w:rsidRPr="0012650D">
        <w:rPr>
          <w:rFonts w:cs="Arial"/>
          <w:color w:val="000000"/>
          <w:szCs w:val="22"/>
        </w:rPr>
        <w:t xml:space="preserve">rate </w:t>
      </w:r>
      <w:r w:rsidR="00DB064F">
        <w:rPr>
          <w:rFonts w:cs="Arial"/>
          <w:color w:val="000000"/>
          <w:szCs w:val="22"/>
        </w:rPr>
        <w:t>at</w:t>
      </w:r>
      <w:r w:rsidRPr="0012650D">
        <w:rPr>
          <w:rFonts w:cs="Arial"/>
          <w:color w:val="000000"/>
          <w:szCs w:val="22"/>
        </w:rPr>
        <w:t xml:space="preserve"> 21%, which was an increase from the 14% fatality rate of the previous year</w:t>
      </w:r>
      <w:r w:rsidR="00EB528B">
        <w:rPr>
          <w:rFonts w:cs="Arial"/>
          <w:color w:val="000000"/>
          <w:szCs w:val="22"/>
        </w:rPr>
        <w:t xml:space="preserve"> </w:t>
      </w:r>
      <w:r w:rsidR="00EB528B">
        <w:rPr>
          <w:rFonts w:cs="Arial"/>
          <w:color w:val="000000"/>
          <w:szCs w:val="22"/>
        </w:rPr>
        <w:fldChar w:fldCharType="begin">
          <w:fldData xml:space="preserve">PFJlZm1hbj48Q2l0ZT48QXV0aG9yPk96Rm9vZE5ldDwvQXV0aG9yPjxZZWFyPjIwMTA8L1llYXI+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==
</w:fldData>
        </w:fldChar>
      </w:r>
      <w:r w:rsidR="00B64271">
        <w:rPr>
          <w:rFonts w:cs="Arial"/>
          <w:color w:val="000000"/>
          <w:szCs w:val="22"/>
        </w:rPr>
        <w:instrText xml:space="preserve"> ADDIN REFMGR.CITE </w:instrText>
      </w:r>
      <w:r w:rsidR="00B64271">
        <w:rPr>
          <w:rFonts w:cs="Arial"/>
          <w:color w:val="000000"/>
          <w:szCs w:val="22"/>
        </w:rPr>
        <w:fldChar w:fldCharType="begin">
          <w:fldData xml:space="preserve">PFJlZm1hbj48Q2l0ZT48QXV0aG9yPk96Rm9vZE5ldDwvQXV0aG9yPjxZZWFyPjIwMTA8L1llYXI+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==
</w:fldData>
        </w:fldChar>
      </w:r>
      <w:r w:rsidR="00B64271">
        <w:rPr>
          <w:rFonts w:cs="Arial"/>
          <w:color w:val="000000"/>
          <w:szCs w:val="22"/>
        </w:rPr>
        <w:instrText xml:space="preserve"> ADDIN EN.CITE.DATA </w:instrText>
      </w:r>
      <w:r w:rsidR="00B64271">
        <w:rPr>
          <w:rFonts w:cs="Arial"/>
          <w:color w:val="000000"/>
          <w:szCs w:val="22"/>
        </w:rPr>
      </w:r>
      <w:r w:rsidR="00B64271">
        <w:rPr>
          <w:rFonts w:cs="Arial"/>
          <w:color w:val="000000"/>
          <w:szCs w:val="22"/>
        </w:rPr>
        <w:fldChar w:fldCharType="end"/>
      </w:r>
      <w:r w:rsidR="00EB528B">
        <w:rPr>
          <w:rFonts w:cs="Arial"/>
          <w:color w:val="000000"/>
          <w:szCs w:val="22"/>
        </w:rPr>
      </w:r>
      <w:r w:rsidR="00EB528B">
        <w:rPr>
          <w:rFonts w:cs="Arial"/>
          <w:color w:val="000000"/>
          <w:szCs w:val="22"/>
        </w:rPr>
        <w:fldChar w:fldCharType="separate"/>
      </w:r>
      <w:r w:rsidR="00EB528B">
        <w:rPr>
          <w:rFonts w:cs="Arial"/>
          <w:noProof/>
          <w:color w:val="000000"/>
          <w:szCs w:val="22"/>
        </w:rPr>
        <w:t>(OzFoodNet 2010; OzFoodNet 2012)</w:t>
      </w:r>
      <w:r w:rsidR="00EB528B">
        <w:rPr>
          <w:rFonts w:cs="Arial"/>
          <w:color w:val="000000"/>
          <w:szCs w:val="22"/>
        </w:rPr>
        <w:fldChar w:fldCharType="end"/>
      </w:r>
      <w:r w:rsidRPr="0012650D">
        <w:rPr>
          <w:rFonts w:cs="Arial"/>
          <w:color w:val="000000"/>
          <w:szCs w:val="22"/>
        </w:rPr>
        <w:t>.</w:t>
      </w:r>
    </w:p>
    <w:p w:rsidR="001B3DC7" w:rsidRDefault="001B3DC7" w:rsidP="00B17239">
      <w:pPr>
        <w:rPr>
          <w:rFonts w:cs="Arial"/>
          <w:color w:val="000000"/>
          <w:szCs w:val="22"/>
        </w:rPr>
      </w:pPr>
    </w:p>
    <w:p w:rsidR="00B17239" w:rsidRPr="0012650D" w:rsidRDefault="00DB064F" w:rsidP="00B17239">
      <w:pPr>
        <w:rPr>
          <w:rFonts w:cs="Arial"/>
          <w:color w:val="000000"/>
          <w:szCs w:val="22"/>
        </w:rPr>
      </w:pPr>
      <w:r>
        <w:rPr>
          <w:rFonts w:cs="Arial"/>
          <w:color w:val="000000"/>
          <w:szCs w:val="22"/>
        </w:rPr>
        <w:t>In New Zealand, t</w:t>
      </w:r>
      <w:r w:rsidR="00B17239" w:rsidRPr="0012650D">
        <w:rPr>
          <w:rFonts w:cs="Arial"/>
          <w:color w:val="000000"/>
          <w:szCs w:val="22"/>
        </w:rPr>
        <w:t xml:space="preserve">he notification rate </w:t>
      </w:r>
      <w:r>
        <w:rPr>
          <w:rFonts w:cs="Arial"/>
          <w:color w:val="000000"/>
          <w:szCs w:val="22"/>
        </w:rPr>
        <w:t>for</w:t>
      </w:r>
      <w:r w:rsidR="00B17239" w:rsidRPr="0012650D">
        <w:rPr>
          <w:rFonts w:cs="Arial"/>
          <w:color w:val="000000"/>
          <w:szCs w:val="22"/>
        </w:rPr>
        <w:t xml:space="preserve"> 2011 was 0.6 cases per 100,000 population (26 cases)</w:t>
      </w:r>
      <w:r>
        <w:rPr>
          <w:rFonts w:cs="Arial"/>
          <w:color w:val="000000"/>
          <w:szCs w:val="22"/>
        </w:rPr>
        <w:t>, with a fatality rate of 3.8%</w:t>
      </w:r>
      <w:r w:rsidR="00EB528B">
        <w:rPr>
          <w:rFonts w:cs="Arial"/>
          <w:color w:val="000000"/>
          <w:szCs w:val="22"/>
        </w:rPr>
        <w:t xml:space="preserve"> </w:t>
      </w:r>
      <w:r w:rsidR="00EB528B">
        <w:rPr>
          <w:rFonts w:cs="Arial"/>
          <w:color w:val="000000"/>
          <w:szCs w:val="22"/>
        </w:rPr>
        <w:fldChar w:fldCharType="begin"/>
      </w:r>
      <w:r w:rsidR="00B64271">
        <w:rPr>
          <w:rFonts w:cs="Arial"/>
          <w:color w:val="000000"/>
          <w:szCs w:val="22"/>
        </w:rPr>
        <w:instrText xml:space="preserve"> ADDIN REFMGR.CITE &lt;Refman&gt;&lt;Cite&gt;&lt;Author&gt;Lim&lt;/Author&gt;&lt;Year&gt;2012&lt;/Year&gt;&lt;RecNum&gt;7927&lt;/RecNum&gt;&lt;IDText&gt;Annual report concerning foodborne disease in New Zealand 2011&lt;/IDText&gt;&lt;MDL Ref_Type="Report"&gt;&lt;Ref_Type&gt;Report&lt;/Ref_Type&gt;&lt;Ref_ID&gt;7927&lt;/Ref_ID&gt;&lt;Title_Primary&gt;Annual report concerning foodborne disease in New Zealand 2011&lt;/Title_Primary&gt;&lt;Authors_Primary&gt;Lim,E.&lt;/Authors_Primary&gt;&lt;Authors_Primary&gt;Lopez,L.&lt;/Authors_Primary&gt;&lt;Authors_Primary&gt;Borman,A.&lt;/Authors_Primary&gt;&lt;Authors_Primary&gt;Cressey,P.&lt;/Authors_Primary&gt;&lt;Authors_Primary&gt;Pirie,R.&lt;/Authors_Primary&gt;&lt;Date_Primary&gt;2012&lt;/Date_Primary&gt;&lt;Keywords&gt;FOODBORNE&lt;/Keywords&gt;&lt;Keywords&gt;DISEASE&lt;/Keywords&gt;&lt;Reprint&gt;In File&lt;/Reprint&gt;&lt;Authors_Secondary&gt;Ministry for Primary Industry New Zealand&lt;/Authors_Secondary&gt;&lt;Date_Secondary&gt;2013/4/11&lt;/Date_Secondary&gt;&lt;Web_URL&gt;&lt;u&gt;http://www.foodsafety.govt.nz/science-risk/human-health-surveillance/foodborne-disease-annual-reports.htm.&lt;/u&gt;&lt;/Web_URL&gt;&lt;ZZ_WorkformID&gt;24&lt;/ZZ_WorkformID&gt;&lt;/MDL&gt;&lt;/Cite&gt;&lt;/Refman&gt;</w:instrText>
      </w:r>
      <w:r w:rsidR="00EB528B">
        <w:rPr>
          <w:rFonts w:cs="Arial"/>
          <w:color w:val="000000"/>
          <w:szCs w:val="22"/>
        </w:rPr>
        <w:fldChar w:fldCharType="separate"/>
      </w:r>
      <w:r w:rsidR="00EB528B">
        <w:rPr>
          <w:rFonts w:cs="Arial"/>
          <w:noProof/>
          <w:color w:val="000000"/>
          <w:szCs w:val="22"/>
        </w:rPr>
        <w:t>(Lim et al. 2012)</w:t>
      </w:r>
      <w:r w:rsidR="00EB528B">
        <w:rPr>
          <w:rFonts w:cs="Arial"/>
          <w:color w:val="000000"/>
          <w:szCs w:val="22"/>
        </w:rPr>
        <w:fldChar w:fldCharType="end"/>
      </w:r>
      <w:r w:rsidRPr="0012650D">
        <w:rPr>
          <w:rFonts w:cs="Arial"/>
          <w:color w:val="000000"/>
          <w:szCs w:val="22"/>
        </w:rPr>
        <w:t>.</w:t>
      </w:r>
      <w:r w:rsidR="007B52D8">
        <w:rPr>
          <w:rFonts w:cs="Arial"/>
          <w:color w:val="000000"/>
          <w:szCs w:val="22"/>
        </w:rPr>
        <w:t xml:space="preserve"> This was a slight </w:t>
      </w:r>
      <w:r w:rsidR="00B17239" w:rsidRPr="0012650D">
        <w:rPr>
          <w:rFonts w:cs="Arial"/>
          <w:color w:val="000000"/>
          <w:szCs w:val="22"/>
        </w:rPr>
        <w:t xml:space="preserve">increase from the 2010 </w:t>
      </w:r>
      <w:r>
        <w:rPr>
          <w:rFonts w:cs="Arial"/>
          <w:color w:val="000000"/>
          <w:szCs w:val="22"/>
        </w:rPr>
        <w:t xml:space="preserve">case </w:t>
      </w:r>
      <w:r w:rsidR="00B17239" w:rsidRPr="0012650D">
        <w:rPr>
          <w:rFonts w:cs="Arial"/>
          <w:color w:val="000000"/>
          <w:szCs w:val="22"/>
        </w:rPr>
        <w:t xml:space="preserve">rate of 0.5 cases per 100,000 </w:t>
      </w:r>
      <w:proofErr w:type="gramStart"/>
      <w:r w:rsidR="00B17239" w:rsidRPr="0012650D">
        <w:rPr>
          <w:rFonts w:cs="Arial"/>
          <w:color w:val="000000"/>
          <w:szCs w:val="22"/>
        </w:rPr>
        <w:t>population</w:t>
      </w:r>
      <w:proofErr w:type="gramEnd"/>
      <w:r w:rsidR="00B17239" w:rsidRPr="0012650D">
        <w:rPr>
          <w:rFonts w:cs="Arial"/>
          <w:color w:val="000000"/>
          <w:szCs w:val="22"/>
        </w:rPr>
        <w:t xml:space="preserve">. </w:t>
      </w:r>
    </w:p>
    <w:p w:rsidR="0067667D" w:rsidRDefault="0067667D" w:rsidP="0067667D">
      <w:pPr>
        <w:rPr>
          <w:lang w:eastAsia="en-AU"/>
        </w:rPr>
      </w:pPr>
    </w:p>
    <w:p w:rsidR="00513006" w:rsidRPr="003821A5" w:rsidRDefault="00513006" w:rsidP="003821A5">
      <w:pPr>
        <w:pStyle w:val="Heading2"/>
      </w:pPr>
      <w:bookmarkStart w:id="7" w:name="_Toc370215861"/>
      <w:r w:rsidRPr="003821A5">
        <w:t>Types of foods</w:t>
      </w:r>
      <w:bookmarkEnd w:id="7"/>
      <w:r w:rsidR="00BC0C2A">
        <w:t xml:space="preserve"> associated with listeriosis</w:t>
      </w:r>
    </w:p>
    <w:p w:rsidR="004C0CED" w:rsidRDefault="00B27E57" w:rsidP="004C0CED">
      <w:pPr>
        <w:rPr>
          <w:rFonts w:cs="Arial"/>
          <w:color w:val="000000"/>
          <w:szCs w:val="22"/>
        </w:rPr>
      </w:pPr>
      <w:r>
        <w:rPr>
          <w:rFonts w:cs="Arial"/>
          <w:color w:val="000000"/>
          <w:szCs w:val="22"/>
        </w:rPr>
        <w:t xml:space="preserve">Foods associated with causing listeriosis have been overwhelmingly ready-to-eat </w:t>
      </w:r>
      <w:r w:rsidR="00847A7C">
        <w:rPr>
          <w:rFonts w:cs="Arial"/>
          <w:color w:val="000000"/>
          <w:szCs w:val="22"/>
        </w:rPr>
        <w:t xml:space="preserve">(RTE) </w:t>
      </w:r>
      <w:r>
        <w:rPr>
          <w:rFonts w:cs="Arial"/>
          <w:color w:val="000000"/>
          <w:szCs w:val="22"/>
        </w:rPr>
        <w:t xml:space="preserve">products that are typically held for extended periods at refrigerated temperatures, </w:t>
      </w:r>
      <w:r w:rsidR="003F0866">
        <w:rPr>
          <w:rFonts w:cs="Arial"/>
          <w:color w:val="000000"/>
          <w:szCs w:val="22"/>
        </w:rPr>
        <w:t>in</w:t>
      </w:r>
      <w:r>
        <w:rPr>
          <w:rFonts w:cs="Arial"/>
          <w:color w:val="000000"/>
          <w:szCs w:val="22"/>
        </w:rPr>
        <w:t xml:space="preserve"> which </w:t>
      </w:r>
      <w:r w:rsidRPr="002551F3">
        <w:rPr>
          <w:rFonts w:cs="Arial"/>
          <w:i/>
          <w:color w:val="000000"/>
          <w:szCs w:val="22"/>
        </w:rPr>
        <w:t>L.</w:t>
      </w:r>
      <w:r>
        <w:rPr>
          <w:rFonts w:cs="Arial"/>
          <w:i/>
          <w:color w:val="000000"/>
          <w:szCs w:val="22"/>
        </w:rPr>
        <w:t> </w:t>
      </w:r>
      <w:r w:rsidRPr="002551F3">
        <w:rPr>
          <w:rFonts w:cs="Arial"/>
          <w:i/>
          <w:color w:val="000000"/>
          <w:szCs w:val="22"/>
        </w:rPr>
        <w:t>monocytogenes</w:t>
      </w:r>
      <w:r>
        <w:rPr>
          <w:rFonts w:cs="Arial"/>
          <w:color w:val="000000"/>
          <w:szCs w:val="22"/>
        </w:rPr>
        <w:t xml:space="preserve"> can grow to levels that can present a risk to consumers</w:t>
      </w:r>
      <w:r w:rsidR="00EB528B">
        <w:rPr>
          <w:rFonts w:cs="Arial"/>
          <w:color w:val="000000"/>
          <w:szCs w:val="22"/>
        </w:rPr>
        <w:t xml:space="preserve"> </w:t>
      </w:r>
      <w:r w:rsidR="00EB528B">
        <w:rPr>
          <w:rFonts w:cs="Arial"/>
          <w:color w:val="000000"/>
          <w:szCs w:val="22"/>
        </w:rPr>
        <w:fldChar w:fldCharType="begin"/>
      </w:r>
      <w:r w:rsidR="00B64271">
        <w:rPr>
          <w:rFonts w:cs="Arial"/>
          <w:color w:val="000000"/>
          <w:szCs w:val="22"/>
        </w:rPr>
        <w:instrText xml:space="preserve"> ADDIN REFMGR.CITE &lt;Refman&gt;&lt;Cite&gt;&lt;Author&gt;Codex&lt;/Author&gt;&lt;Year&gt;2007&lt;/Year&gt;&lt;RecNum&gt;7921&lt;/RecNum&gt;&lt;IDText&gt;Guidelines on the Application of General Principals of Food Hygiene on the Control of Listeria monocytogenes in Foods (CAC/GL 61 - 2007)&lt;/IDText&gt;&lt;MDL Ref_Type="Report"&gt;&lt;Ref_Type&gt;Report&lt;/Ref_Type&gt;&lt;Ref_ID&gt;7921&lt;/Ref_ID&gt;&lt;Title_Primary&gt;Guidelines on the Application of General Principals of Food Hygiene on the Control of &lt;i&gt;Listeria monocytogenes&lt;/i&gt; in Foods (CAC/GL 61 - 2007)&lt;/Title_Primary&gt;&lt;Authors_Primary&gt;Codex&lt;/Authors_Primary&gt;&lt;Date_Primary&gt;2007&lt;/Date_Primary&gt;&lt;Keywords&gt;FOOD&lt;/Keywords&gt;&lt;Keywords&gt;Listeria&lt;/Keywords&gt;&lt;Keywords&gt;Listeria monocytogenes&lt;/Keywords&gt;&lt;Keywords&gt;LISTERIA-MONOCYTOGENES&lt;/Keywords&gt;&lt;Keywords&gt;MONOCYTOGENES&lt;/Keywords&gt;&lt;Keywords&gt;FOODS&lt;/Keywords&gt;&lt;Reprint&gt;Not in File&lt;/Reprint&gt;&lt;Pub_Place&gt;Geneva, Switzerland&lt;/Pub_Place&gt;&lt;Publisher&gt;Codex Alimentarius Commission&lt;/Publisher&gt;&lt;Date_Secondary&gt;2012/6/14&lt;/Date_Secondary&gt;&lt;ZZ_WorkformID&gt;24&lt;/ZZ_WorkformID&gt;&lt;/MDL&gt;&lt;/Cite&gt;&lt;Cite&gt;&lt;Author&gt;Health Canada&lt;/Author&gt;&lt;Year&gt;2011&lt;/Year&gt;&lt;RecNum&gt;4125&lt;/RecNum&gt;&lt;IDText&gt;Policy on Listeria monocytogenes in ready-to-eat foods&lt;/IDText&gt;&lt;MDL Ref_Type="Report"&gt;&lt;Ref_Type&gt;Report&lt;/Ref_Type&gt;&lt;Ref_ID&gt;4125&lt;/Ref_ID&gt;&lt;Title_Primary&gt;Policy on &lt;i&gt;Listeria monocytogenes&lt;/i&gt; in ready-to-eat foods&lt;/Title_Primary&gt;&lt;Authors_Primary&gt;Health Canada&lt;/Authors_Primary&gt;&lt;Date_Primary&gt;2011&lt;/Date_Primary&gt;&lt;Keywords&gt;Listeria&lt;/Keywords&gt;&lt;Keywords&gt;Listeria monocytogenes&lt;/Keywords&gt;&lt;Keywords&gt;LISTERIA-MONOCYTOGENES&lt;/Keywords&gt;&lt;Keywords&gt;MONOCYTOGENES&lt;/Keywords&gt;&lt;Keywords&gt;FOODS&lt;/Keywords&gt;&lt;Keywords&gt;FOOD&lt;/Keywords&gt;&lt;Reprint&gt;Not in File&lt;/Reprint&gt;&lt;Pub_Place&gt;Ottowa, Canada&lt;/Pub_Place&gt;&lt;Publisher&gt;Health Canada&lt;/Publisher&gt;&lt;Date_Secondary&gt;2012/6/14&lt;/Date_Secondary&gt;&lt;Web_URL&gt;&lt;u&gt;http://www.hc-sc.gc.ca/fn-an/legislation/pol/policy_listeria_monocytogenes_2011-eng.php&lt;/u&gt;&lt;/Web_URL&gt;&lt;ZZ_WorkformID&gt;24&lt;/ZZ_WorkformID&gt;&lt;/MDL&gt;&lt;/Cite&gt;&lt;/Refman&gt;</w:instrText>
      </w:r>
      <w:r w:rsidR="00EB528B">
        <w:rPr>
          <w:rFonts w:cs="Arial"/>
          <w:color w:val="000000"/>
          <w:szCs w:val="22"/>
        </w:rPr>
        <w:fldChar w:fldCharType="separate"/>
      </w:r>
      <w:r w:rsidR="00EB528B">
        <w:rPr>
          <w:rFonts w:cs="Arial"/>
          <w:noProof/>
          <w:color w:val="000000"/>
          <w:szCs w:val="22"/>
        </w:rPr>
        <w:t>(Codex 2007; Health Canada 2011)</w:t>
      </w:r>
      <w:r w:rsidR="00EB528B">
        <w:rPr>
          <w:rFonts w:cs="Arial"/>
          <w:color w:val="000000"/>
          <w:szCs w:val="22"/>
        </w:rPr>
        <w:fldChar w:fldCharType="end"/>
      </w:r>
      <w:r w:rsidR="004C0CED">
        <w:rPr>
          <w:rFonts w:cs="Arial"/>
          <w:color w:val="000000"/>
          <w:szCs w:val="22"/>
        </w:rPr>
        <w:t>.</w:t>
      </w:r>
    </w:p>
    <w:p w:rsidR="004C0CED" w:rsidRDefault="004C0CED" w:rsidP="004C0CED">
      <w:pPr>
        <w:rPr>
          <w:rFonts w:cs="Arial"/>
          <w:color w:val="000000"/>
          <w:szCs w:val="22"/>
        </w:rPr>
      </w:pPr>
    </w:p>
    <w:p w:rsidR="00B17239" w:rsidRDefault="00DB064F" w:rsidP="00CF68D9">
      <w:pPr>
        <w:rPr>
          <w:rFonts w:cs="Arial"/>
          <w:noProof/>
          <w:color w:val="000000"/>
          <w:szCs w:val="22"/>
        </w:rPr>
      </w:pPr>
      <w:r>
        <w:rPr>
          <w:rFonts w:cs="Arial"/>
          <w:color w:val="000000"/>
          <w:szCs w:val="22"/>
        </w:rPr>
        <w:t xml:space="preserve">Outbreaks of foodborne </w:t>
      </w:r>
      <w:r w:rsidR="00350AF2">
        <w:rPr>
          <w:rFonts w:cs="Arial"/>
          <w:color w:val="000000"/>
          <w:szCs w:val="22"/>
        </w:rPr>
        <w:t xml:space="preserve">listeriosis </w:t>
      </w:r>
      <w:r w:rsidR="00B17239" w:rsidRPr="0012650D">
        <w:rPr>
          <w:rFonts w:cs="Arial"/>
          <w:color w:val="000000"/>
          <w:szCs w:val="22"/>
        </w:rPr>
        <w:t xml:space="preserve">have </w:t>
      </w:r>
      <w:r w:rsidR="00B27E57">
        <w:rPr>
          <w:rFonts w:cs="Arial"/>
          <w:color w:val="000000"/>
          <w:szCs w:val="22"/>
        </w:rPr>
        <w:t>included those</w:t>
      </w:r>
      <w:r w:rsidR="00B17239" w:rsidRPr="0012650D">
        <w:rPr>
          <w:rFonts w:cs="Arial"/>
          <w:color w:val="000000"/>
          <w:szCs w:val="22"/>
        </w:rPr>
        <w:t xml:space="preserve"> associated with cheese, raw (unpasteurised) </w:t>
      </w:r>
      <w:r>
        <w:rPr>
          <w:rFonts w:cs="Arial"/>
          <w:color w:val="000000"/>
          <w:szCs w:val="22"/>
        </w:rPr>
        <w:t xml:space="preserve">or pasteurised </w:t>
      </w:r>
      <w:r w:rsidR="00B17239" w:rsidRPr="0012650D">
        <w:rPr>
          <w:rFonts w:cs="Arial"/>
          <w:color w:val="000000"/>
          <w:szCs w:val="22"/>
        </w:rPr>
        <w:t xml:space="preserve">milk, deli meats, salad, </w:t>
      </w:r>
      <w:r>
        <w:rPr>
          <w:rFonts w:cs="Arial"/>
          <w:color w:val="000000"/>
          <w:szCs w:val="22"/>
        </w:rPr>
        <w:t xml:space="preserve">pâté, </w:t>
      </w:r>
      <w:r w:rsidR="00B17239" w:rsidRPr="0012650D">
        <w:rPr>
          <w:rFonts w:cs="Arial"/>
          <w:color w:val="000000"/>
          <w:szCs w:val="22"/>
        </w:rPr>
        <w:t xml:space="preserve">fish and smoked fish, ice cream and hotdogs </w:t>
      </w:r>
      <w:r w:rsidR="00EB528B">
        <w:rPr>
          <w:rFonts w:cs="Arial"/>
          <w:color w:val="000000"/>
          <w:szCs w:val="22"/>
        </w:rPr>
        <w:fldChar w:fldCharType="begin"/>
      </w:r>
      <w:r w:rsidR="00B64271">
        <w:rPr>
          <w:rFonts w:cs="Arial"/>
          <w:color w:val="000000"/>
          <w:szCs w:val="22"/>
        </w:rPr>
        <w:instrText xml:space="preserve"> ADDIN REFMGR.CITE &lt;Refman&gt;&lt;Cite&gt;&lt;Author&gt;Montville&lt;/Author&gt;&lt;Year&gt;2005&lt;/Year&gt;&lt;RecNum&gt;7530&lt;/RecNum&gt;&lt;IDText&gt;Food microbiology: An introduction&lt;/IDText&gt;&lt;MDL Ref_Type="Book, Whole"&gt;&lt;Ref_Type&gt;Book, Whole&lt;/Ref_Type&gt;&lt;Ref_ID&gt;7530&lt;/Ref_ID&gt;&lt;Title_Primary&gt;Food microbiology: An introduction&lt;/Title_Primary&gt;&lt;Authors_Primary&gt;Montville,T.J.&lt;/Authors_Primary&gt;&lt;Authors_Primary&gt;Matthews,K.R.&lt;/Authors_Primary&gt;&lt;Date_Primary&gt;2005&lt;/Date_Primary&gt;&lt;Keywords&gt;FOOD&lt;/Keywords&gt;&lt;Keywords&gt;Food Microbiology&lt;/Keywords&gt;&lt;Keywords&gt;Listeria&lt;/Keywords&gt;&lt;Keywords&gt;Listeria monocytogenes&lt;/Keywords&gt;&lt;Keywords&gt;LISTERIA-MONOCYTOGENES&lt;/Keywords&gt;&lt;Keywords&gt;microbiology&lt;/Keywords&gt;&lt;Keywords&gt;MONOCYTOGENES&lt;/Keywords&gt;&lt;Reprint&gt;Not in File&lt;/Reprint&gt;&lt;Pub_Place&gt;Washington D.C.&lt;/Pub_Place&gt;&lt;Publisher&gt;ASM Press&lt;/Publisher&gt;&lt;ZZ_WorkformID&gt;2&lt;/ZZ_WorkformID&gt;&lt;/MDL&gt;&lt;/Cite&gt;&lt;Cite&gt;&lt;Author&gt;Swaminathan&lt;/Author&gt;&lt;Year&gt;2007&lt;/Year&gt;&lt;RecNum&gt;7218&lt;/RecNum&gt;&lt;IDText&gt;The epidemiology of human listeriosis&lt;/IDText&gt;&lt;MDL Ref_Type="Journal"&gt;&lt;Ref_Type&gt;Journal&lt;/Ref_Type&gt;&lt;Ref_ID&gt;7218&lt;/Ref_ID&gt;&lt;Title_Primary&gt;The epidemiology of human listeriosis&lt;/Title_Primary&gt;&lt;Authors_Primary&gt;Swaminathan,B.&lt;/Authors_Primary&gt;&lt;Authors_Primary&gt;Gerner-Smidt,P.&lt;/Authors_Primary&gt;&lt;Date_Primary&gt;2007&lt;/Date_Primary&gt;&lt;Keywords&gt;epidemiology&lt;/Keywords&gt;&lt;Keywords&gt;Human&lt;/Keywords&gt;&lt;Reprint&gt;Not in File&lt;/Reprint&gt;&lt;Start_Page&gt;1236&lt;/Start_Page&gt;&lt;End_Page&gt;1243&lt;/End_Page&gt;&lt;Periodical&gt;Microbes and Infection&lt;/Periodical&gt;&lt;Volume&gt;9&lt;/Volume&gt;&lt;Web_URL_Link1&gt;file://F:\Standards Management\OTHER MAJOR PROJECTS\W1049 - Hazard IDs\Working folder\References\Hazard IDs electonic documents\Swaminathan and Gerner-Smidt 2007.pdf&lt;/Web_URL_Link1&gt;&lt;ZZ_JournalFull&gt;&lt;f name="System"&gt;Microbes and Infection&lt;/f&gt;&lt;/ZZ_JournalFull&gt;&lt;ZZ_WorkformID&gt;1&lt;/ZZ_WorkformID&gt;&lt;/MDL&gt;&lt;/Cite&gt;&lt;/Refman&gt;</w:instrText>
      </w:r>
      <w:r w:rsidR="00EB528B">
        <w:rPr>
          <w:rFonts w:cs="Arial"/>
          <w:color w:val="000000"/>
          <w:szCs w:val="22"/>
        </w:rPr>
        <w:fldChar w:fldCharType="separate"/>
      </w:r>
      <w:r w:rsidR="00EB528B">
        <w:rPr>
          <w:rFonts w:cs="Arial"/>
          <w:noProof/>
          <w:color w:val="000000"/>
          <w:szCs w:val="22"/>
        </w:rPr>
        <w:t>(Montville and Matthews 2005; Swaminathan and Gerner-Smidt 2007)</w:t>
      </w:r>
      <w:r w:rsidR="00EB528B">
        <w:rPr>
          <w:rFonts w:cs="Arial"/>
          <w:color w:val="000000"/>
          <w:szCs w:val="22"/>
        </w:rPr>
        <w:fldChar w:fldCharType="end"/>
      </w:r>
      <w:r w:rsidR="00B17239">
        <w:rPr>
          <w:rFonts w:cs="Arial"/>
          <w:noProof/>
          <w:color w:val="000000"/>
          <w:szCs w:val="22"/>
        </w:rPr>
        <w:t>.</w:t>
      </w:r>
    </w:p>
    <w:p w:rsidR="00B17239" w:rsidRDefault="00B17239" w:rsidP="00CF68D9">
      <w:pPr>
        <w:rPr>
          <w:rFonts w:cs="Arial"/>
          <w:noProof/>
          <w:color w:val="000000"/>
          <w:szCs w:val="22"/>
        </w:rPr>
      </w:pPr>
    </w:p>
    <w:p w:rsidR="00B17239" w:rsidRPr="00C1168A" w:rsidRDefault="00B27E57" w:rsidP="007272CE">
      <w:pPr>
        <w:pStyle w:val="FSTableHeading"/>
        <w:tabs>
          <w:tab w:val="left" w:pos="1134"/>
        </w:tabs>
        <w:spacing w:before="120" w:after="120"/>
        <w:ind w:left="1134" w:hanging="1134"/>
        <w:jc w:val="left"/>
        <w:rPr>
          <w:rFonts w:ascii="Arial" w:hAnsi="Arial"/>
          <w:b w:val="0"/>
          <w:sz w:val="22"/>
          <w:szCs w:val="22"/>
        </w:rPr>
      </w:pPr>
      <w:r w:rsidRPr="007272CE">
        <w:rPr>
          <w:rFonts w:ascii="Arial" w:hAnsi="Arial"/>
          <w:i/>
          <w:sz w:val="22"/>
          <w:szCs w:val="22"/>
        </w:rPr>
        <w:t>Table 1</w:t>
      </w:r>
      <w:r w:rsidR="007272CE">
        <w:rPr>
          <w:rFonts w:ascii="Arial" w:hAnsi="Arial"/>
          <w:b w:val="0"/>
          <w:i/>
          <w:sz w:val="22"/>
          <w:szCs w:val="22"/>
        </w:rPr>
        <w:tab/>
      </w:r>
      <w:r w:rsidR="00B17239" w:rsidRPr="00C1168A">
        <w:rPr>
          <w:rFonts w:ascii="Arial" w:hAnsi="Arial"/>
          <w:b w:val="0"/>
          <w:sz w:val="22"/>
          <w:szCs w:val="22"/>
        </w:rPr>
        <w:t xml:space="preserve">Selected major foodborne outbreaks associated with </w:t>
      </w:r>
      <w:r w:rsidR="00B17239" w:rsidRPr="00C1168A">
        <w:rPr>
          <w:rFonts w:ascii="Arial" w:hAnsi="Arial"/>
          <w:b w:val="0"/>
          <w:i/>
          <w:sz w:val="22"/>
          <w:szCs w:val="22"/>
        </w:rPr>
        <w:t>L. monocytogenes</w:t>
      </w:r>
      <w:r w:rsidR="00B17239" w:rsidRPr="00C1168A">
        <w:rPr>
          <w:rFonts w:ascii="Arial" w:hAnsi="Arial"/>
          <w:b w:val="0"/>
          <w:sz w:val="22"/>
          <w:szCs w:val="22"/>
        </w:rPr>
        <w:t xml:space="preserve"> (&gt;50 cases and/or ≥1 fatality)</w:t>
      </w:r>
      <w:r w:rsidR="00415618" w:rsidRPr="00C1168A">
        <w:rPr>
          <w:rFonts w:ascii="Arial" w:hAnsi="Arial"/>
          <w:b w:val="0"/>
          <w:sz w:val="22"/>
          <w:szCs w:val="22"/>
        </w:rPr>
        <w:t xml:space="preserve"> (excerpt from Agents of Foodborne Illness (FSANZ,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072"/>
        <w:gridCol w:w="1072"/>
        <w:gridCol w:w="1408"/>
        <w:gridCol w:w="1148"/>
        <w:gridCol w:w="2457"/>
        <w:gridCol w:w="1408"/>
      </w:tblGrid>
      <w:tr w:rsidR="00513006" w:rsidRPr="00B17239" w:rsidTr="00773092">
        <w:trPr>
          <w:cantSplit/>
          <w:tblHeader/>
        </w:trPr>
        <w:tc>
          <w:tcPr>
            <w:tcW w:w="388"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Year</w:t>
            </w:r>
          </w:p>
        </w:tc>
        <w:tc>
          <w:tcPr>
            <w:tcW w:w="577"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Total no. cases (fatalities)</w:t>
            </w:r>
          </w:p>
        </w:tc>
        <w:tc>
          <w:tcPr>
            <w:tcW w:w="577"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No. perinatal cases (fatalities)</w:t>
            </w:r>
          </w:p>
        </w:tc>
        <w:tc>
          <w:tcPr>
            <w:tcW w:w="758"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Food</w:t>
            </w:r>
          </w:p>
        </w:tc>
        <w:tc>
          <w:tcPr>
            <w:tcW w:w="618"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Country</w:t>
            </w:r>
          </w:p>
        </w:tc>
        <w:tc>
          <w:tcPr>
            <w:tcW w:w="1322"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Comments</w:t>
            </w:r>
          </w:p>
        </w:tc>
        <w:tc>
          <w:tcPr>
            <w:tcW w:w="758" w:type="pct"/>
            <w:shd w:val="clear" w:color="auto" w:fill="008080"/>
          </w:tcPr>
          <w:p w:rsidR="00B17239" w:rsidRPr="003821A5" w:rsidRDefault="00B17239" w:rsidP="00B64271">
            <w:pPr>
              <w:spacing w:before="60" w:after="60"/>
              <w:jc w:val="center"/>
              <w:rPr>
                <w:rFonts w:cs="Arial"/>
                <w:b/>
                <w:color w:val="FFFFFF"/>
                <w:sz w:val="18"/>
                <w:szCs w:val="18"/>
                <w:lang w:eastAsia="en-GB"/>
              </w:rPr>
            </w:pPr>
            <w:r w:rsidRPr="003821A5">
              <w:rPr>
                <w:rFonts w:cs="Arial"/>
                <w:b/>
                <w:color w:val="FFFFFF"/>
                <w:sz w:val="18"/>
                <w:szCs w:val="18"/>
                <w:lang w:eastAsia="en-GB"/>
              </w:rPr>
              <w:t>Reference</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2011</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146 (31)</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7 (1)</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Cantaloupe</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US</w:t>
            </w:r>
          </w:p>
        </w:tc>
        <w:tc>
          <w:tcPr>
            <w:tcW w:w="1322" w:type="pct"/>
            <w:shd w:val="clear" w:color="auto" w:fill="auto"/>
          </w:tcPr>
          <w:p w:rsidR="00B17239" w:rsidRPr="003821A5" w:rsidRDefault="00B17239" w:rsidP="00B64271">
            <w:pPr>
              <w:rPr>
                <w:rFonts w:cs="Arial"/>
                <w:iCs/>
                <w:color w:val="000000"/>
                <w:sz w:val="18"/>
                <w:szCs w:val="18"/>
                <w:lang w:eastAsia="en-GB"/>
              </w:rPr>
            </w:pPr>
            <w:r w:rsidRPr="003821A5">
              <w:rPr>
                <w:rFonts w:cs="Arial"/>
                <w:i/>
                <w:iCs/>
                <w:color w:val="000000"/>
                <w:sz w:val="18"/>
                <w:szCs w:val="18"/>
                <w:lang w:eastAsia="en-GB"/>
              </w:rPr>
              <w:t xml:space="preserve">Listeria </w:t>
            </w:r>
            <w:r w:rsidRPr="003821A5">
              <w:rPr>
                <w:rFonts w:cs="Arial"/>
                <w:iCs/>
                <w:color w:val="000000"/>
                <w:sz w:val="18"/>
                <w:szCs w:val="18"/>
                <w:lang w:eastAsia="en-GB"/>
              </w:rPr>
              <w:t>isolated from cantaloupe and equipment at packing facility, contamination probably occurred in the packing facility</w:t>
            </w:r>
          </w:p>
        </w:tc>
        <w:tc>
          <w:tcPr>
            <w:tcW w:w="758" w:type="pct"/>
            <w:shd w:val="clear" w:color="auto" w:fill="auto"/>
          </w:tcPr>
          <w:p w:rsidR="00B17239" w:rsidRPr="003821A5" w:rsidRDefault="00B17239" w:rsidP="00B64271">
            <w:pPr>
              <w:rPr>
                <w:rFonts w:eastAsia="Calibri" w:cs="Arial"/>
                <w:color w:val="000000"/>
                <w:sz w:val="18"/>
                <w:szCs w:val="18"/>
                <w:lang w:eastAsia="en-GB"/>
              </w:rPr>
            </w:pPr>
            <w:r w:rsidRPr="003821A5">
              <w:rPr>
                <w:rFonts w:eastAsia="Calibri" w:cs="Arial"/>
                <w:noProof/>
                <w:color w:val="000000"/>
                <w:sz w:val="18"/>
                <w:szCs w:val="18"/>
                <w:lang w:eastAsia="en-GB"/>
              </w:rPr>
              <w:t>(CDC 2011; FDA 2011)</w:t>
            </w:r>
          </w:p>
        </w:tc>
      </w:tr>
      <w:tr w:rsidR="00513006" w:rsidRPr="00B17239" w:rsidTr="00773092">
        <w:trPr>
          <w:cantSplit/>
        </w:trPr>
        <w:tc>
          <w:tcPr>
            <w:tcW w:w="388" w:type="pct"/>
            <w:shd w:val="clear" w:color="auto" w:fill="auto"/>
          </w:tcPr>
          <w:p w:rsidR="00B17239" w:rsidRPr="003821A5" w:rsidRDefault="00B17239" w:rsidP="00B64271">
            <w:pPr>
              <w:jc w:val="center"/>
              <w:rPr>
                <w:rFonts w:eastAsia="Calibri" w:cs="Arial"/>
                <w:color w:val="000000"/>
                <w:sz w:val="18"/>
                <w:szCs w:val="18"/>
                <w:lang w:eastAsia="en-GB"/>
              </w:rPr>
            </w:pPr>
            <w:r w:rsidRPr="003821A5">
              <w:rPr>
                <w:rFonts w:cs="Arial"/>
                <w:color w:val="000000"/>
                <w:sz w:val="18"/>
                <w:szCs w:val="18"/>
                <w:lang w:eastAsia="en-GB"/>
              </w:rPr>
              <w:t>2009</w:t>
            </w:r>
          </w:p>
        </w:tc>
        <w:tc>
          <w:tcPr>
            <w:tcW w:w="577" w:type="pct"/>
            <w:shd w:val="clear" w:color="auto" w:fill="auto"/>
          </w:tcPr>
          <w:p w:rsidR="00B17239" w:rsidRPr="003821A5" w:rsidRDefault="00B17239" w:rsidP="00B64271">
            <w:pPr>
              <w:jc w:val="center"/>
              <w:rPr>
                <w:rFonts w:eastAsia="Calibri" w:cs="Arial"/>
                <w:color w:val="000000"/>
                <w:sz w:val="18"/>
                <w:szCs w:val="18"/>
                <w:lang w:eastAsia="en-GB"/>
              </w:rPr>
            </w:pPr>
            <w:r w:rsidRPr="003821A5">
              <w:rPr>
                <w:rFonts w:cs="Arial"/>
                <w:color w:val="000000"/>
                <w:sz w:val="18"/>
                <w:szCs w:val="18"/>
                <w:lang w:eastAsia="en-GB"/>
              </w:rPr>
              <w:t>36 (3)</w:t>
            </w:r>
          </w:p>
        </w:tc>
        <w:tc>
          <w:tcPr>
            <w:tcW w:w="577" w:type="pct"/>
            <w:shd w:val="clear" w:color="auto" w:fill="auto"/>
          </w:tcPr>
          <w:p w:rsidR="00B17239" w:rsidRPr="003821A5" w:rsidRDefault="00B17239" w:rsidP="00B64271">
            <w:pPr>
              <w:rPr>
                <w:rFonts w:eastAsia="Calibri" w:cs="Arial"/>
                <w:color w:val="000000"/>
                <w:sz w:val="18"/>
                <w:szCs w:val="18"/>
                <w:lang w:eastAsia="en-GB"/>
              </w:rPr>
            </w:pPr>
            <w:r w:rsidRPr="003821A5">
              <w:rPr>
                <w:rFonts w:cs="Arial"/>
                <w:color w:val="000000"/>
                <w:sz w:val="18"/>
                <w:szCs w:val="18"/>
                <w:lang w:eastAsia="en-GB"/>
              </w:rPr>
              <w:t>8 (3)</w:t>
            </w:r>
          </w:p>
        </w:tc>
        <w:tc>
          <w:tcPr>
            <w:tcW w:w="758" w:type="pct"/>
            <w:shd w:val="clear" w:color="auto" w:fill="auto"/>
          </w:tcPr>
          <w:p w:rsidR="00B17239" w:rsidRPr="003821A5" w:rsidRDefault="00B17239" w:rsidP="00B64271">
            <w:pPr>
              <w:rPr>
                <w:rFonts w:eastAsia="Calibri" w:cs="Arial"/>
                <w:color w:val="000000"/>
                <w:sz w:val="18"/>
                <w:szCs w:val="18"/>
                <w:lang w:eastAsia="en-GB"/>
              </w:rPr>
            </w:pPr>
            <w:r w:rsidRPr="003821A5">
              <w:rPr>
                <w:rFonts w:cs="Arial"/>
                <w:color w:val="000000"/>
                <w:sz w:val="18"/>
                <w:szCs w:val="18"/>
                <w:lang w:eastAsia="en-GB"/>
              </w:rPr>
              <w:t>Chicken wrap</w:t>
            </w:r>
          </w:p>
        </w:tc>
        <w:tc>
          <w:tcPr>
            <w:tcW w:w="618" w:type="pct"/>
            <w:shd w:val="clear" w:color="auto" w:fill="auto"/>
          </w:tcPr>
          <w:p w:rsidR="00B17239" w:rsidRPr="003821A5" w:rsidRDefault="00B17239" w:rsidP="00B64271">
            <w:pPr>
              <w:rPr>
                <w:rFonts w:eastAsia="Calibri" w:cs="Arial"/>
                <w:color w:val="000000"/>
                <w:sz w:val="18"/>
                <w:szCs w:val="18"/>
                <w:lang w:eastAsia="en-GB"/>
              </w:rPr>
            </w:pPr>
            <w:r w:rsidRPr="003821A5">
              <w:rPr>
                <w:rFonts w:cs="Arial"/>
                <w:color w:val="000000"/>
                <w:sz w:val="18"/>
                <w:szCs w:val="18"/>
                <w:lang w:eastAsia="en-GB"/>
              </w:rPr>
              <w:t>Australia</w:t>
            </w:r>
          </w:p>
        </w:tc>
        <w:tc>
          <w:tcPr>
            <w:tcW w:w="1322" w:type="pct"/>
            <w:shd w:val="clear" w:color="auto" w:fill="auto"/>
          </w:tcPr>
          <w:p w:rsidR="00B17239" w:rsidRPr="003821A5" w:rsidRDefault="00B17239" w:rsidP="00B64271">
            <w:pPr>
              <w:rPr>
                <w:rFonts w:eastAsia="Calibri" w:cs="Arial"/>
                <w:color w:val="000000"/>
                <w:sz w:val="18"/>
                <w:szCs w:val="18"/>
                <w:lang w:eastAsia="en-GB"/>
              </w:rPr>
            </w:pPr>
            <w:r w:rsidRPr="003821A5">
              <w:rPr>
                <w:rFonts w:cs="Arial"/>
                <w:i/>
                <w:iCs/>
                <w:color w:val="000000"/>
                <w:sz w:val="18"/>
                <w:szCs w:val="18"/>
                <w:lang w:eastAsia="en-GB"/>
              </w:rPr>
              <w:t>Listeria</w:t>
            </w:r>
            <w:r w:rsidRPr="003821A5">
              <w:rPr>
                <w:rFonts w:cs="Arial"/>
                <w:color w:val="000000"/>
                <w:sz w:val="18"/>
                <w:szCs w:val="18"/>
                <w:lang w:eastAsia="en-GB"/>
              </w:rPr>
              <w:t xml:space="preserve"> isolated from pre-packaged chicken wraps, deficiencies in the food safety program for production of chicken meat </w:t>
            </w:r>
          </w:p>
        </w:tc>
        <w:tc>
          <w:tcPr>
            <w:tcW w:w="758" w:type="pct"/>
            <w:shd w:val="clear" w:color="auto" w:fill="auto"/>
          </w:tcPr>
          <w:p w:rsidR="00B17239" w:rsidRPr="003821A5" w:rsidRDefault="00B17239" w:rsidP="00B64271">
            <w:pPr>
              <w:rPr>
                <w:rFonts w:eastAsia="Calibri" w:cs="Arial"/>
                <w:color w:val="000000"/>
                <w:sz w:val="18"/>
                <w:szCs w:val="18"/>
                <w:lang w:eastAsia="en-GB"/>
              </w:rPr>
            </w:pPr>
            <w:r w:rsidRPr="003821A5">
              <w:rPr>
                <w:rFonts w:eastAsia="Calibri" w:cs="Arial"/>
                <w:noProof/>
                <w:color w:val="000000"/>
                <w:sz w:val="18"/>
                <w:szCs w:val="18"/>
                <w:lang w:eastAsia="en-GB"/>
              </w:rPr>
              <w:t>(OzFoodNet 2010)</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2008</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57 (22)</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0</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Deli meats</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Canada</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i/>
                <w:color w:val="000000"/>
                <w:sz w:val="18"/>
                <w:szCs w:val="18"/>
                <w:lang w:eastAsia="en-GB"/>
              </w:rPr>
              <w:t>Listeria</w:t>
            </w:r>
            <w:r w:rsidRPr="003821A5">
              <w:rPr>
                <w:rFonts w:cs="Arial"/>
                <w:color w:val="000000"/>
                <w:sz w:val="18"/>
                <w:szCs w:val="18"/>
                <w:lang w:eastAsia="en-GB"/>
              </w:rPr>
              <w:t xml:space="preserve"> identified on plant equipment, company tried to correct problem with sanitation program; low sodium product</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(Government of Canada 2009)</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1998–1999</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108 (18)</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13 (4)</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Frankfurters</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US</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Contamination due to demolition of ceiling refrigeration unit in frankfurter hopper room</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(Mead et al. 2006)</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1997</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1566*</w:t>
            </w:r>
          </w:p>
          <w:p w:rsidR="00B17239" w:rsidRPr="003821A5" w:rsidRDefault="00B17239" w:rsidP="00B64271">
            <w:pPr>
              <w:jc w:val="center"/>
              <w:rPr>
                <w:rFonts w:cs="Arial"/>
                <w:color w:val="000000"/>
                <w:sz w:val="18"/>
                <w:szCs w:val="18"/>
                <w:lang w:eastAsia="en-GB"/>
              </w:rPr>
            </w:pP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0</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Corn and tuna salad</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Italy</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Possible cross-contamination from other untreated foods</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(Aureli et al. 2000)</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1992</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279 (92)</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92 (29)</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Jellied pork tongue</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France</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i/>
                <w:color w:val="000000"/>
                <w:sz w:val="18"/>
                <w:szCs w:val="18"/>
                <w:lang w:eastAsia="en-GB"/>
              </w:rPr>
              <w:t>Listeria</w:t>
            </w:r>
            <w:r w:rsidRPr="003821A5">
              <w:rPr>
                <w:rFonts w:cs="Arial"/>
                <w:color w:val="000000"/>
                <w:sz w:val="18"/>
                <w:szCs w:val="18"/>
                <w:lang w:eastAsia="en-GB"/>
              </w:rPr>
              <w:t xml:space="preserve"> identified at manufacturing facility</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(Norton and Braden 2007)</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1985</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142 (48)</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93 (30)</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Mexican-style soft cheese</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US</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Cheese was made from contaminated milk that was unpasteurised or inadequately pasteurised</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(Linnan et al. 1988)</w:t>
            </w:r>
          </w:p>
        </w:tc>
      </w:tr>
      <w:tr w:rsidR="00513006" w:rsidRPr="00B17239" w:rsidTr="00773092">
        <w:trPr>
          <w:cantSplit/>
        </w:trPr>
        <w:tc>
          <w:tcPr>
            <w:tcW w:w="388"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1981</w:t>
            </w:r>
          </w:p>
        </w:tc>
        <w:tc>
          <w:tcPr>
            <w:tcW w:w="577" w:type="pct"/>
            <w:shd w:val="clear" w:color="auto" w:fill="auto"/>
          </w:tcPr>
          <w:p w:rsidR="00B17239" w:rsidRPr="003821A5" w:rsidRDefault="00B17239" w:rsidP="00B64271">
            <w:pPr>
              <w:jc w:val="center"/>
              <w:rPr>
                <w:rFonts w:cs="Arial"/>
                <w:color w:val="000000"/>
                <w:sz w:val="18"/>
                <w:szCs w:val="18"/>
                <w:lang w:eastAsia="en-GB"/>
              </w:rPr>
            </w:pPr>
            <w:r w:rsidRPr="003821A5">
              <w:rPr>
                <w:rFonts w:cs="Arial"/>
                <w:color w:val="000000"/>
                <w:sz w:val="18"/>
                <w:szCs w:val="18"/>
                <w:lang w:eastAsia="en-GB"/>
              </w:rPr>
              <w:t>41 (18)</w:t>
            </w:r>
          </w:p>
        </w:tc>
        <w:tc>
          <w:tcPr>
            <w:tcW w:w="577"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34 (16)</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Coleslaw</w:t>
            </w:r>
          </w:p>
        </w:tc>
        <w:tc>
          <w:tcPr>
            <w:tcW w:w="618"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Canada</w:t>
            </w:r>
          </w:p>
        </w:tc>
        <w:tc>
          <w:tcPr>
            <w:tcW w:w="1322" w:type="pct"/>
            <w:shd w:val="clear" w:color="auto" w:fill="auto"/>
          </w:tcPr>
          <w:p w:rsidR="00B17239" w:rsidRPr="003821A5" w:rsidRDefault="00B17239" w:rsidP="00B64271">
            <w:pPr>
              <w:rPr>
                <w:rFonts w:cs="Arial"/>
                <w:color w:val="000000"/>
                <w:sz w:val="18"/>
                <w:szCs w:val="18"/>
                <w:lang w:eastAsia="en-GB"/>
              </w:rPr>
            </w:pPr>
            <w:r w:rsidRPr="003821A5">
              <w:rPr>
                <w:rFonts w:cs="Arial"/>
                <w:color w:val="000000"/>
                <w:sz w:val="18"/>
                <w:szCs w:val="18"/>
                <w:lang w:eastAsia="en-GB"/>
              </w:rPr>
              <w:t>Cabbage fertilised with manure from sheep with listeriosis</w:t>
            </w:r>
          </w:p>
        </w:tc>
        <w:tc>
          <w:tcPr>
            <w:tcW w:w="758" w:type="pct"/>
            <w:shd w:val="clear" w:color="auto" w:fill="auto"/>
          </w:tcPr>
          <w:p w:rsidR="00B17239" w:rsidRPr="003821A5" w:rsidRDefault="00B17239" w:rsidP="00B64271">
            <w:pPr>
              <w:rPr>
                <w:rFonts w:cs="Arial"/>
                <w:color w:val="000000"/>
                <w:sz w:val="18"/>
                <w:szCs w:val="18"/>
                <w:lang w:eastAsia="en-GB"/>
              </w:rPr>
            </w:pPr>
            <w:r w:rsidRPr="003821A5">
              <w:rPr>
                <w:rFonts w:cs="Arial"/>
                <w:noProof/>
                <w:color w:val="000000"/>
                <w:sz w:val="18"/>
                <w:szCs w:val="18"/>
                <w:lang w:eastAsia="en-GB"/>
              </w:rPr>
              <w:t>(Schlech et al. 1983)</w:t>
            </w:r>
          </w:p>
        </w:tc>
      </w:tr>
    </w:tbl>
    <w:p w:rsidR="00B17239" w:rsidRPr="003821A5" w:rsidRDefault="00B17239" w:rsidP="00CF68D9">
      <w:pPr>
        <w:rPr>
          <w:sz w:val="18"/>
          <w:szCs w:val="18"/>
          <w:lang w:eastAsia="en-AU"/>
        </w:rPr>
      </w:pPr>
    </w:p>
    <w:p w:rsidR="00CF68D9" w:rsidRPr="002B3EEA" w:rsidRDefault="00CF68D9" w:rsidP="00143C66">
      <w:pPr>
        <w:pStyle w:val="Heading1"/>
      </w:pPr>
      <w:bookmarkStart w:id="8" w:name="_Toc335810285"/>
      <w:bookmarkStart w:id="9" w:name="_Toc370215862"/>
      <w:r w:rsidRPr="002B3EEA">
        <w:t>International risk assessments</w:t>
      </w:r>
      <w:bookmarkEnd w:id="8"/>
      <w:bookmarkEnd w:id="9"/>
    </w:p>
    <w:p w:rsidR="00FD5E4A" w:rsidRDefault="00CF68D9" w:rsidP="00CF68D9">
      <w:r w:rsidRPr="002B3EEA">
        <w:t xml:space="preserve">Several extensive quantitative risk assessments have been undertaken to evaluate the relative risks of </w:t>
      </w:r>
      <w:r w:rsidRPr="002B3EEA">
        <w:rPr>
          <w:i/>
        </w:rPr>
        <w:t>L. monocytogenes</w:t>
      </w:r>
      <w:r w:rsidRPr="002B3EEA">
        <w:t xml:space="preserve"> contamination in different ready-to-eat foods as well as the factors that contribute to those risks</w:t>
      </w:r>
      <w:r w:rsidR="00BF3CC4">
        <w:t>, including</w:t>
      </w:r>
      <w:r w:rsidR="00FD5E4A">
        <w:t>:</w:t>
      </w:r>
    </w:p>
    <w:p w:rsidR="002846D1" w:rsidRDefault="002846D1" w:rsidP="00CF68D9"/>
    <w:p w:rsidR="00BF3CC4" w:rsidRDefault="00FD5E4A" w:rsidP="0021472C">
      <w:pPr>
        <w:pStyle w:val="ListParagraph"/>
        <w:numPr>
          <w:ilvl w:val="0"/>
          <w:numId w:val="14"/>
        </w:numPr>
        <w:ind w:left="567" w:hanging="567"/>
      </w:pPr>
      <w:r>
        <w:t>A comparative risk assessment of 23 categories of ready-to-eat foods conducted by the US Food and Drug Administration and the Food Safety and Inspection Service</w:t>
      </w:r>
      <w:r w:rsidR="00EB528B">
        <w:t xml:space="preserve"> </w:t>
      </w:r>
      <w:r w:rsidR="00573C7F">
        <w:fldChar w:fldCharType="begin"/>
      </w:r>
      <w:r w:rsidR="00B64271">
        <w:instrText xml:space="preserve"> ADDIN REFMGR.CITE &lt;Refman&gt;&lt;Cite&gt;&lt;Author&gt;FDA/FSIS&lt;/Author&gt;&lt;Year&gt;2003&lt;/Year&gt;&lt;RecNum&gt;1941&lt;/RecNum&gt;&lt;IDText&gt;Quantitative assessment of relative risk to public health from foodborne Listeria monocytogenes among selected categories of ready-to-eat foods&lt;/IDText&gt;&lt;MDL Ref_Type="Report"&gt;&lt;Ref_Type&gt;Report&lt;/Ref_Type&gt;&lt;Ref_ID&gt;1941&lt;/Ref_ID&gt;&lt;Title_Primary&gt;Quantitative assessment of relative risk to public health from foodborne &lt;i&gt;Listeria monocytogenes &lt;/i&gt;among selected categories of ready-to-eat foods&lt;/Title_Primary&gt;&lt;Authors_Primary&gt;FDA/FSIS&lt;/Authors_Primary&gt;&lt;Date_Primary&gt;2003&lt;/Date_Primary&gt;&lt;Keywords&gt;FOOD&lt;/Keywords&gt;&lt;Keywords&gt;FOODBORNE&lt;/Keywords&gt;&lt;Keywords&gt;FOODS&lt;/Keywords&gt;&lt;Keywords&gt;health&lt;/Keywords&gt;&lt;Keywords&gt;Listeria&lt;/Keywords&gt;&lt;Keywords&gt;Listeria monocytogenes&lt;/Keywords&gt;&lt;Keywords&gt;LISTERIA-MONOCYTOGENES&lt;/Keywords&gt;&lt;Keywords&gt;MONOCYTOGENES&lt;/Keywords&gt;&lt;Keywords&gt;Public Health&lt;/Keywords&gt;&lt;Keywords&gt;Risk&lt;/Keywords&gt;&lt;Reprint&gt;Not in File&lt;/Reprint&gt;&lt;Date_Secondary&gt;2012/6/14&lt;/Date_Secondary&gt;&lt;Web_URL&gt;&lt;u&gt;http://www.fda.gov/Food/FoodScienceResearch/RiskSafetyAssessment/ucm183966.htm&lt;/u&gt;&lt;/Web_URL&gt;&lt;Web_URL_Link1&gt;file://F:\Standards Management\OTHER MAJOR PROJECTS\W1049 - Hazard IDs\Working folder\References\Hazard IDs electonic documents\FDA USDA CDC 2003.pdf&lt;/Web_URL_Link1&gt;&lt;ZZ_WorkformID&gt;24&lt;/ZZ_WorkformID&gt;&lt;/MDL&gt;&lt;/Cite&gt;&lt;/Refman&gt;</w:instrText>
      </w:r>
      <w:r w:rsidR="00573C7F">
        <w:fldChar w:fldCharType="separate"/>
      </w:r>
      <w:r w:rsidR="00573C7F">
        <w:rPr>
          <w:noProof/>
        </w:rPr>
        <w:t>(FDA/FSIS 2003)</w:t>
      </w:r>
      <w:r w:rsidR="00573C7F">
        <w:fldChar w:fldCharType="end"/>
      </w:r>
    </w:p>
    <w:p w:rsidR="00BF3CC4" w:rsidRDefault="00BF3CC4" w:rsidP="00E06421">
      <w:pPr>
        <w:pStyle w:val="ListParagraph"/>
        <w:numPr>
          <w:ilvl w:val="0"/>
          <w:numId w:val="14"/>
        </w:numPr>
        <w:ind w:left="567" w:hanging="567"/>
      </w:pPr>
      <w:r>
        <w:t xml:space="preserve">A comparative risk assessment of four ready-to-eat foods documented by FAO/WHO </w:t>
      </w:r>
      <w:r w:rsidR="00725E2B" w:rsidRPr="002B3EEA">
        <w:t xml:space="preserve">Joint Expert Meeting on Risk Assessment (JEMRA) </w:t>
      </w:r>
      <w:r>
        <w:t xml:space="preserve">at the request of the Codex Committee on Food Hygiene </w:t>
      </w:r>
      <w:r w:rsidR="00EB528B">
        <w:fldChar w:fldCharType="begin"/>
      </w:r>
      <w:r w:rsidR="00B64271">
        <w:instrText xml:space="preserve"> ADDIN REFMGR.CITE &lt;Refman&gt;&lt;Cite&gt;&lt;Author&gt;WHO/FAO&lt;/Author&gt;&lt;Year&gt;2005&lt;/Year&gt;&lt;RecNum&gt;4122&lt;/RecNum&gt;&lt;IDText&gt;Risk assessment of Listeria monocytogenes in ready-to-eat foods&lt;/IDText&gt;&lt;MDL Ref_Type="Report"&gt;&lt;Ref_Type&gt;Report&lt;/Ref_Type&gt;&lt;Ref_ID&gt;4122&lt;/Ref_ID&gt;&lt;Title_Primary&gt;Risk assessment of &lt;i&gt;Listeria monocytogenes&lt;/i&gt; in ready-to-eat foods&lt;/Title_Primary&gt;&lt;Authors_Primary&gt;WHO/FAO&lt;/Authors_Primary&gt;&lt;Date_Primary&gt;2005&lt;/Date_Primary&gt;&lt;Keywords&gt;FOOD&lt;/Keywords&gt;&lt;Keywords&gt;FOODS&lt;/Keywords&gt;&lt;Keywords&gt;Listeria&lt;/Keywords&gt;&lt;Keywords&gt;Listeria monocytogenes&lt;/Keywords&gt;&lt;Keywords&gt;LISTERIA-MONOCYTOGENES&lt;/Keywords&gt;&lt;Keywords&gt;MONOCYTOGENES&lt;/Keywords&gt;&lt;Keywords&gt;Risk&lt;/Keywords&gt;&lt;Keywords&gt;Risk Assessment&lt;/Keywords&gt;&lt;Keywords&gt;RISK-ASSESSMENT&lt;/Keywords&gt;&lt;Reprint&gt;In File&lt;/Reprint&gt;&lt;Pub_Place&gt;Geneva&lt;/Pub_Place&gt;&lt;Publisher&gt;World Health Organization and Food and Agriculture Organization of the United Nations&lt;/Publisher&gt;&lt;Date_Secondary&gt;2012/6/14&lt;/Date_Secondary&gt;&lt;Web_URL&gt;&lt;u&gt;http://www.who.int/foodsafety/publications/micro/mra_listeria/en/index.html&lt;/u&gt;&lt;/Web_URL&gt;&lt;ZZ_WorkformID&gt;24&lt;/ZZ_WorkformID&gt;&lt;/MDL&gt;&lt;/Cite&gt;&lt;/Refman&gt;</w:instrText>
      </w:r>
      <w:r w:rsidR="00EB528B">
        <w:fldChar w:fldCharType="separate"/>
      </w:r>
      <w:r w:rsidR="00EB528B">
        <w:rPr>
          <w:noProof/>
        </w:rPr>
        <w:t>(WHO/FAO 2005)</w:t>
      </w:r>
      <w:r w:rsidR="00EB528B">
        <w:fldChar w:fldCharType="end"/>
      </w:r>
      <w:r>
        <w:t xml:space="preserve"> </w:t>
      </w:r>
    </w:p>
    <w:p w:rsidR="00BF3CC4" w:rsidRDefault="00BF3CC4" w:rsidP="0021472C"/>
    <w:p w:rsidR="00BF3CC4" w:rsidRDefault="00BF3CC4" w:rsidP="00E06421">
      <w:pPr>
        <w:pStyle w:val="ListParagraph"/>
        <w:numPr>
          <w:ilvl w:val="0"/>
          <w:numId w:val="14"/>
        </w:numPr>
        <w:ind w:left="567" w:hanging="567"/>
      </w:pPr>
      <w:r>
        <w:lastRenderedPageBreak/>
        <w:t>A product/process pathway analysis conducted by the US Food Safety and Inspection Service for processed meats, which examined the risk of product contamination from fo</w:t>
      </w:r>
      <w:r w:rsidR="00B27E57">
        <w:t>od contact surfaces</w:t>
      </w:r>
      <w:r w:rsidR="00773092">
        <w:t xml:space="preserve"> </w:t>
      </w:r>
      <w:r w:rsidR="00773092">
        <w:fldChar w:fldCharType="begin"/>
      </w:r>
      <w:r w:rsidR="00B64271">
        <w:instrText xml:space="preserve"> ADDIN REFMGR.CITE &lt;Refman&gt;&lt;Cite&gt;&lt;Author&gt;FSIS&lt;/Author&gt;&lt;Year&gt;2003&lt;/Year&gt;&lt;RecNum&gt;8089&lt;/RecNum&gt;&lt;IDText&gt;Risk Assessment for Listeria monocytogenes in Deli Meats&lt;/IDText&gt;&lt;MDL Ref_Type="Report"&gt;&lt;Ref_Type&gt;Report&lt;/Ref_Type&gt;&lt;Ref_ID&gt;8089&lt;/Ref_ID&gt;&lt;Title_Primary&gt;Risk Assessment for &lt;i&gt;Listeria monocytogenes&lt;/i&gt; in Deli Meats&lt;/Title_Primary&gt;&lt;Authors_Primary&gt;FSIS&lt;/Authors_Primary&gt;&lt;Date_Primary&gt;2003&lt;/Date_Primary&gt;&lt;Keywords&gt;Risk&lt;/Keywords&gt;&lt;Keywords&gt;Risk Assessment&lt;/Keywords&gt;&lt;Keywords&gt;RISK-ASSESSMENT&lt;/Keywords&gt;&lt;Keywords&gt;Listeria&lt;/Keywords&gt;&lt;Keywords&gt;Listeria monocytogenes&lt;/Keywords&gt;&lt;Keywords&gt;LISTERIA-MONOCYTOGENES&lt;/Keywords&gt;&lt;Keywords&gt;MONOCYTOGENES&lt;/Keywords&gt;&lt;Reprint&gt;In File&lt;/Reprint&gt;&lt;Web_URL&gt;&lt;u&gt;http://www.fsis.usda.gov/OPPDE/rdad/FRPubs/97-013F/ListeriaReport.pdf&lt;/u&gt;&lt;/Web_URL&gt;&lt;ZZ_WorkformID&gt;24&lt;/ZZ_WorkformID&gt;&lt;/MDL&gt;&lt;/Cite&gt;&lt;/Refman&gt;</w:instrText>
      </w:r>
      <w:r w:rsidR="00773092">
        <w:fldChar w:fldCharType="separate"/>
      </w:r>
      <w:r w:rsidR="00773092">
        <w:rPr>
          <w:noProof/>
        </w:rPr>
        <w:t>(FSIS 2003)</w:t>
      </w:r>
      <w:r w:rsidR="00773092">
        <w:fldChar w:fldCharType="end"/>
      </w:r>
      <w:r w:rsidR="00B27E57">
        <w:t>.</w:t>
      </w:r>
    </w:p>
    <w:p w:rsidR="00CF68D9" w:rsidRPr="002B3EEA" w:rsidRDefault="00CF68D9" w:rsidP="00CF68D9">
      <w:r w:rsidRPr="002B3EEA">
        <w:t xml:space="preserve"> </w:t>
      </w:r>
    </w:p>
    <w:p w:rsidR="00CF68D9" w:rsidRDefault="00725E2B" w:rsidP="00CF68D9">
      <w:r>
        <w:t>From these risk assessments, f</w:t>
      </w:r>
      <w:r w:rsidR="006F7BEF">
        <w:t>ive key factors were identified as strongly contributing to the risk of listeriosis associated with RTE foods:</w:t>
      </w:r>
    </w:p>
    <w:p w:rsidR="004119B9" w:rsidRDefault="004119B9" w:rsidP="00CF68D9"/>
    <w:p w:rsidR="006F7BEF" w:rsidRDefault="006F7BEF" w:rsidP="00E06421">
      <w:pPr>
        <w:pStyle w:val="ListParagraph"/>
        <w:numPr>
          <w:ilvl w:val="0"/>
          <w:numId w:val="15"/>
        </w:numPr>
        <w:ind w:left="567" w:hanging="567"/>
      </w:pPr>
      <w:r>
        <w:t>The amount and frequency of consumption</w:t>
      </w:r>
      <w:r w:rsidR="00725E2B">
        <w:t xml:space="preserve"> of a food</w:t>
      </w:r>
      <w:r>
        <w:t xml:space="preserve"> </w:t>
      </w:r>
    </w:p>
    <w:p w:rsidR="006F7BEF" w:rsidRDefault="006F7BEF" w:rsidP="00E06421">
      <w:pPr>
        <w:pStyle w:val="ListParagraph"/>
        <w:numPr>
          <w:ilvl w:val="0"/>
          <w:numId w:val="15"/>
        </w:numPr>
        <w:ind w:left="567" w:hanging="567"/>
      </w:pPr>
      <w:r>
        <w:t>Frequency and extent of contamination</w:t>
      </w:r>
      <w:r w:rsidR="00725E2B">
        <w:t xml:space="preserve"> of a food with </w:t>
      </w:r>
      <w:r w:rsidR="00725E2B" w:rsidRPr="00E06421">
        <w:rPr>
          <w:i/>
        </w:rPr>
        <w:t>L. monocytogenes</w:t>
      </w:r>
      <w:r>
        <w:t xml:space="preserve"> </w:t>
      </w:r>
    </w:p>
    <w:p w:rsidR="006F7BEF" w:rsidRDefault="006F7BEF" w:rsidP="00E06421">
      <w:pPr>
        <w:pStyle w:val="ListParagraph"/>
        <w:numPr>
          <w:ilvl w:val="0"/>
          <w:numId w:val="15"/>
        </w:numPr>
        <w:ind w:left="567" w:hanging="567"/>
      </w:pPr>
      <w:r>
        <w:t xml:space="preserve">Ability of the food to support the growth of </w:t>
      </w:r>
      <w:r w:rsidRPr="00E06421">
        <w:rPr>
          <w:i/>
        </w:rPr>
        <w:t>L. monocytogenes</w:t>
      </w:r>
    </w:p>
    <w:p w:rsidR="006F7BEF" w:rsidRDefault="006F7BEF" w:rsidP="00E06421">
      <w:pPr>
        <w:pStyle w:val="ListParagraph"/>
        <w:numPr>
          <w:ilvl w:val="0"/>
          <w:numId w:val="15"/>
        </w:numPr>
        <w:ind w:left="567" w:hanging="567"/>
      </w:pPr>
      <w:r>
        <w:t>Temperature of refrigerated/chilled food storage</w:t>
      </w:r>
    </w:p>
    <w:p w:rsidR="006F7BEF" w:rsidRDefault="006F7BEF" w:rsidP="00E06421">
      <w:pPr>
        <w:pStyle w:val="ListParagraph"/>
        <w:numPr>
          <w:ilvl w:val="0"/>
          <w:numId w:val="15"/>
        </w:numPr>
        <w:ind w:left="567" w:hanging="567"/>
      </w:pPr>
      <w:r>
        <w:t>Duration of refrigerated/chilled storage</w:t>
      </w:r>
    </w:p>
    <w:p w:rsidR="006F7BEF" w:rsidRDefault="006F7BEF" w:rsidP="00CF68D9"/>
    <w:p w:rsidR="00EA0805" w:rsidRDefault="00370D0D" w:rsidP="00EA0805">
      <w:pPr>
        <w:rPr>
          <w:szCs w:val="22"/>
        </w:rPr>
      </w:pPr>
      <w:r w:rsidRPr="003B2B56">
        <w:t xml:space="preserve">More recently, </w:t>
      </w:r>
      <w:r w:rsidR="00C07FDF" w:rsidRPr="003B2B56">
        <w:t>authorities in the United States conducted a</w:t>
      </w:r>
      <w:r w:rsidR="00B64271" w:rsidRPr="003B2B56">
        <w:t xml:space="preserve"> quantitative risk assessment </w:t>
      </w:r>
      <w:r w:rsidR="00E74FDA" w:rsidRPr="003B2B56">
        <w:rPr>
          <w:szCs w:val="22"/>
        </w:rPr>
        <w:t>of  the risk of listeriosis posed by consumption of ready-to-eat (RTE) foods commonly prepared and sold in delicatessens in retail food stores and how that risk may be impacted by changes in practice</w:t>
      </w:r>
      <w:r w:rsidR="00B64271" w:rsidRPr="003B2B56">
        <w:rPr>
          <w:szCs w:val="22"/>
        </w:rPr>
        <w:t xml:space="preserve"> </w:t>
      </w:r>
      <w:r w:rsidR="00B64271" w:rsidRPr="003B2B56">
        <w:rPr>
          <w:szCs w:val="22"/>
        </w:rPr>
        <w:fldChar w:fldCharType="begin"/>
      </w:r>
      <w:r w:rsidR="00B64271" w:rsidRPr="003B2B56">
        <w:rPr>
          <w:szCs w:val="22"/>
        </w:rPr>
        <w:instrText xml:space="preserve"> ADDIN REFMGR.CITE &lt;Refman&gt;&lt;Cite&gt;&lt;Author&gt;USDA&lt;/Author&gt;&lt;Year&gt;2013&lt;/Year&gt;&lt;RecNum&gt;8090&lt;/RecNum&gt;&lt;IDText&gt;Interagency Risk Assessment: Listeria monocytogenes in Retail Delicatessens.  Interpretive Summary&lt;/IDText&gt;&lt;MDL Ref_Type="Report"&gt;&lt;Ref_Type&gt;Report&lt;/Ref_Type&gt;&lt;Ref_ID&gt;8090&lt;/Ref_ID&gt;&lt;Title_Primary&gt;Interagency Risk Assessment: &lt;i&gt;Listeria monocytogenes&lt;/i&gt; in Retail Delicatessens.  Interpretive Summary&lt;/Title_Primary&gt;&lt;Authors_Primary&gt;USDA&lt;/Authors_Primary&gt;&lt;Date_Primary&gt;2013&lt;/Date_Primary&gt;&lt;Keywords&gt;Risk&lt;/Keywords&gt;&lt;Keywords&gt;Risk Assessment&lt;/Keywords&gt;&lt;Keywords&gt;RISK-ASSESSMENT&lt;/Keywords&gt;&lt;Keywords&gt;Listeria&lt;/Keywords&gt;&lt;Keywords&gt;Listeria monocytogenes&lt;/Keywords&gt;&lt;Keywords&gt;LISTERIA-MONOCYTOGENES&lt;/Keywords&gt;&lt;Keywords&gt;MONOCYTOGENES&lt;/Keywords&gt;&lt;Reprint&gt;In File&lt;/Reprint&gt;&lt;Web_URL&gt;&lt;u&gt;http://www.fda.gov/downloads/Food/FoodScienceResearch/RiskSafetyAssessment/UCM370243.pdf&lt;/u&gt;&lt;/Web_URL&gt;&lt;ZZ_WorkformID&gt;24&lt;/ZZ_WorkformID&gt;&lt;/MDL&gt;&lt;/Cite&gt;&lt;/Refman&gt;</w:instrText>
      </w:r>
      <w:r w:rsidR="00B64271" w:rsidRPr="003B2B56">
        <w:rPr>
          <w:szCs w:val="22"/>
        </w:rPr>
        <w:fldChar w:fldCharType="separate"/>
      </w:r>
      <w:r w:rsidR="00B64271" w:rsidRPr="003B2B56">
        <w:rPr>
          <w:noProof/>
          <w:szCs w:val="22"/>
        </w:rPr>
        <w:t>(USDA 2013)</w:t>
      </w:r>
      <w:r w:rsidR="00B64271" w:rsidRPr="003B2B56">
        <w:rPr>
          <w:szCs w:val="22"/>
        </w:rPr>
        <w:fldChar w:fldCharType="end"/>
      </w:r>
      <w:r w:rsidR="00B64271" w:rsidRPr="003B2B56">
        <w:rPr>
          <w:szCs w:val="22"/>
        </w:rPr>
        <w:t>.</w:t>
      </w:r>
      <w:r w:rsidR="00C07FDF" w:rsidRPr="003B2B56">
        <w:rPr>
          <w:szCs w:val="22"/>
        </w:rPr>
        <w:t xml:space="preserve"> One of the key finding</w:t>
      </w:r>
      <w:r w:rsidR="006E1764">
        <w:rPr>
          <w:szCs w:val="22"/>
        </w:rPr>
        <w:t>s</w:t>
      </w:r>
      <w:r w:rsidR="00EA0805" w:rsidRPr="003B2B56">
        <w:rPr>
          <w:szCs w:val="22"/>
        </w:rPr>
        <w:t xml:space="preserve"> of this assessment</w:t>
      </w:r>
      <w:r w:rsidR="00C07FDF" w:rsidRPr="003B2B56">
        <w:rPr>
          <w:szCs w:val="22"/>
        </w:rPr>
        <w:t xml:space="preserve"> </w:t>
      </w:r>
      <w:r w:rsidR="00EA0805" w:rsidRPr="003B2B56">
        <w:rPr>
          <w:szCs w:val="22"/>
        </w:rPr>
        <w:t>supports previous risk</w:t>
      </w:r>
      <w:r w:rsidR="00EA0805">
        <w:rPr>
          <w:szCs w:val="22"/>
        </w:rPr>
        <w:t xml:space="preserve"> assessment findings that controlling growth and levels and frequency of contamination dramatically reduces the risk of listeriosis. Control of growth by employing practices (including use of growth inhibitors) that prevented bacterial growth and strict temperature control during refrigerated storage </w:t>
      </w:r>
      <w:proofErr w:type="gramStart"/>
      <w:r w:rsidR="00EA0805">
        <w:rPr>
          <w:szCs w:val="22"/>
        </w:rPr>
        <w:t>were</w:t>
      </w:r>
      <w:proofErr w:type="gramEnd"/>
      <w:r w:rsidR="00EA0805">
        <w:rPr>
          <w:szCs w:val="22"/>
        </w:rPr>
        <w:t xml:space="preserve"> identified as key measures.</w:t>
      </w:r>
    </w:p>
    <w:p w:rsidR="00EA0805" w:rsidRDefault="00EA0805" w:rsidP="00EA0805">
      <w:pPr>
        <w:rPr>
          <w:szCs w:val="22"/>
        </w:rPr>
      </w:pPr>
    </w:p>
    <w:p w:rsidR="00BC0C2A" w:rsidRDefault="00BC0C2A" w:rsidP="00BC0C2A">
      <w:pPr>
        <w:pStyle w:val="Heading2"/>
      </w:pPr>
      <w:r>
        <w:t>JEMRA risk assessment</w:t>
      </w:r>
    </w:p>
    <w:p w:rsidR="00B40B62" w:rsidRDefault="00B40B62" w:rsidP="00CF68D9">
      <w:r>
        <w:t xml:space="preserve">The JEMRA risk assessment was undertaken </w:t>
      </w:r>
      <w:r w:rsidR="003D13C8">
        <w:t xml:space="preserve">to support </w:t>
      </w:r>
      <w:r w:rsidR="004A4B8F">
        <w:t xml:space="preserve">development of </w:t>
      </w:r>
      <w:r w:rsidR="003D13C8">
        <w:t>CCFH guideline</w:t>
      </w:r>
      <w:r w:rsidR="004A4B8F">
        <w:t>s</w:t>
      </w:r>
      <w:r>
        <w:t xml:space="preserve"> for control of </w:t>
      </w:r>
      <w:r w:rsidRPr="004A4B8F">
        <w:rPr>
          <w:i/>
        </w:rPr>
        <w:t>L. monocytogenes</w:t>
      </w:r>
      <w:r>
        <w:t xml:space="preserve"> in foods</w:t>
      </w:r>
      <w:r w:rsidR="004A4B8F">
        <w:t xml:space="preserve"> and specifically addressed three questions</w:t>
      </w:r>
      <w:r>
        <w:t>:</w:t>
      </w:r>
    </w:p>
    <w:p w:rsidR="00B40B62" w:rsidRDefault="00B40B62" w:rsidP="004A4B8F">
      <w:pPr>
        <w:pStyle w:val="ListParagraph"/>
        <w:numPr>
          <w:ilvl w:val="0"/>
          <w:numId w:val="18"/>
        </w:numPr>
        <w:ind w:left="567" w:hanging="567"/>
      </w:pPr>
      <w:r>
        <w:t xml:space="preserve">Estimate the risk of serious illness from </w:t>
      </w:r>
      <w:r w:rsidRPr="00B40B62">
        <w:rPr>
          <w:i/>
        </w:rPr>
        <w:t>L. monocytogenes</w:t>
      </w:r>
      <w:r>
        <w:t xml:space="preserve"> in food when the number of organisms ranges from absence in 25 grams to 1000 cfu/g, or does not exceed specified levels at the point of consumption.</w:t>
      </w:r>
    </w:p>
    <w:p w:rsidR="00B40B62" w:rsidRDefault="00B40B62" w:rsidP="004A4B8F">
      <w:pPr>
        <w:pStyle w:val="ListParagraph"/>
        <w:numPr>
          <w:ilvl w:val="0"/>
          <w:numId w:val="18"/>
        </w:numPr>
        <w:ind w:left="567" w:hanging="567"/>
      </w:pPr>
      <w:r>
        <w:t>Estimate the risk of serious illness for consumers in a different susceptible population groups relative to the general population</w:t>
      </w:r>
    </w:p>
    <w:p w:rsidR="003D13C8" w:rsidRDefault="00B40B62" w:rsidP="004A4B8F">
      <w:pPr>
        <w:pStyle w:val="ListParagraph"/>
        <w:numPr>
          <w:ilvl w:val="0"/>
          <w:numId w:val="18"/>
        </w:numPr>
        <w:ind w:left="567" w:hanging="567"/>
      </w:pPr>
      <w:r>
        <w:t xml:space="preserve">Estimate the risk of serious illness from </w:t>
      </w:r>
      <w:r w:rsidRPr="004A4B8F">
        <w:rPr>
          <w:i/>
        </w:rPr>
        <w:t>L. monocytogenes</w:t>
      </w:r>
      <w:r>
        <w:t xml:space="preserve"> in foods that support its growth and foods that do not support its growth at specific storage and shelf-life conditions</w:t>
      </w:r>
    </w:p>
    <w:p w:rsidR="004A4B8F" w:rsidRDefault="004A4B8F" w:rsidP="004A4B8F">
      <w:pPr>
        <w:ind w:left="567"/>
      </w:pPr>
    </w:p>
    <w:p w:rsidR="00CF68D9" w:rsidRPr="002B3EEA" w:rsidRDefault="004A4B8F" w:rsidP="00CF68D9">
      <w:r>
        <w:t xml:space="preserve">A quantitative approach was taken and mathematical modelling employed to estimate the risks per serving and risk to a population in a year from selected foods. Emphasis was placed on </w:t>
      </w:r>
      <w:r w:rsidR="003D13C8">
        <w:t xml:space="preserve">four </w:t>
      </w:r>
      <w:r w:rsidR="00CF68D9" w:rsidRPr="002B3EEA">
        <w:t>RTE foods in order to provide examples of how different factors interact to affect the risk of acquiring listeriosis. These were:</w:t>
      </w:r>
    </w:p>
    <w:p w:rsidR="00CF68D9" w:rsidRPr="002B3EEA" w:rsidRDefault="00CF68D9" w:rsidP="00CF68D9">
      <w:pPr>
        <w:pStyle w:val="ListParagraph"/>
        <w:numPr>
          <w:ilvl w:val="0"/>
          <w:numId w:val="5"/>
        </w:numPr>
        <w:ind w:left="567" w:hanging="567"/>
      </w:pPr>
      <w:r w:rsidRPr="002B3EEA">
        <w:t xml:space="preserve">foods that are commonly consumed, have very low frequencies and levels of contamination with </w:t>
      </w:r>
      <w:r w:rsidRPr="002B3EEA">
        <w:rPr>
          <w:i/>
        </w:rPr>
        <w:t>L. monocytogenes</w:t>
      </w:r>
      <w:r w:rsidRPr="002B3EEA">
        <w:t xml:space="preserve">  and allow for growth of the organism during storage (</w:t>
      </w:r>
      <w:r w:rsidR="005C41A4">
        <w:t xml:space="preserve">e.g. </w:t>
      </w:r>
      <w:r w:rsidRPr="002B3EEA">
        <w:t>pasteurised milk)</w:t>
      </w:r>
    </w:p>
    <w:p w:rsidR="00CF68D9" w:rsidRPr="002B3EEA" w:rsidRDefault="00CF68D9" w:rsidP="00CF68D9">
      <w:pPr>
        <w:pStyle w:val="ListParagraph"/>
        <w:ind w:left="567" w:hanging="567"/>
      </w:pPr>
    </w:p>
    <w:p w:rsidR="00CF68D9" w:rsidRPr="002B3EEA" w:rsidRDefault="00CF68D9" w:rsidP="00CF68D9">
      <w:pPr>
        <w:pStyle w:val="ListParagraph"/>
        <w:numPr>
          <w:ilvl w:val="0"/>
          <w:numId w:val="5"/>
        </w:numPr>
        <w:ind w:left="567" w:hanging="567"/>
      </w:pPr>
      <w:r w:rsidRPr="002B3EEA">
        <w:t xml:space="preserve">foods that are commonly consumed, have very low frequencies and levels of contamination with </w:t>
      </w:r>
      <w:r w:rsidRPr="002B3EEA">
        <w:rPr>
          <w:i/>
        </w:rPr>
        <w:t>L. monocytogenes</w:t>
      </w:r>
      <w:r w:rsidRPr="002B3EEA">
        <w:t xml:space="preserve">  but do not allow for growth of the organism during storage (e.g. frozen ice-cream)</w:t>
      </w:r>
    </w:p>
    <w:p w:rsidR="00CF68D9" w:rsidRPr="002B3EEA" w:rsidRDefault="00CF68D9" w:rsidP="00CF68D9">
      <w:pPr>
        <w:pStyle w:val="ListParagraph"/>
        <w:ind w:left="567" w:hanging="567"/>
      </w:pPr>
    </w:p>
    <w:p w:rsidR="00CF68D9" w:rsidRPr="002B3EEA" w:rsidRDefault="00CF68D9" w:rsidP="00CF68D9">
      <w:pPr>
        <w:pStyle w:val="ListParagraph"/>
        <w:numPr>
          <w:ilvl w:val="0"/>
          <w:numId w:val="5"/>
        </w:numPr>
        <w:ind w:left="567" w:hanging="567"/>
      </w:pPr>
      <w:r w:rsidRPr="002B3EEA">
        <w:t xml:space="preserve">foods that are often contaminated with </w:t>
      </w:r>
      <w:r w:rsidRPr="002B3EEA">
        <w:rPr>
          <w:i/>
        </w:rPr>
        <w:t>L. monocytogenes</w:t>
      </w:r>
      <w:r w:rsidRPr="002B3EEA">
        <w:t>, are produced without any lethal processing step, but their final composition prevents growth of the organism during storage (e.g. fermented meat products)</w:t>
      </w:r>
    </w:p>
    <w:p w:rsidR="00CF68D9" w:rsidRPr="002B3EEA" w:rsidRDefault="00CF68D9" w:rsidP="00CF68D9">
      <w:pPr>
        <w:pStyle w:val="ListParagraph"/>
        <w:ind w:left="567" w:hanging="567"/>
      </w:pPr>
    </w:p>
    <w:p w:rsidR="00CF68D9" w:rsidRPr="002B3EEA" w:rsidRDefault="00CF68D9" w:rsidP="00CF68D9">
      <w:pPr>
        <w:pStyle w:val="ListParagraph"/>
        <w:numPr>
          <w:ilvl w:val="0"/>
          <w:numId w:val="5"/>
        </w:numPr>
        <w:ind w:left="567" w:hanging="567"/>
      </w:pPr>
      <w:proofErr w:type="gramStart"/>
      <w:r w:rsidRPr="002B3EEA">
        <w:t>foods</w:t>
      </w:r>
      <w:proofErr w:type="gramEnd"/>
      <w:r w:rsidRPr="002B3EEA">
        <w:t xml:space="preserve"> that are often contaminated with </w:t>
      </w:r>
      <w:r w:rsidRPr="002B3EEA">
        <w:rPr>
          <w:i/>
        </w:rPr>
        <w:t>L. monocytogenes</w:t>
      </w:r>
      <w:r w:rsidRPr="002B3EEA">
        <w:t>, are produced without any lethal processing step, and their final composition allow for growth of the organism during storage (e.g. cold-smoked fish).</w:t>
      </w:r>
    </w:p>
    <w:p w:rsidR="00CF68D9" w:rsidRPr="002B3EEA" w:rsidRDefault="00CF68D9" w:rsidP="00CF68D9"/>
    <w:p w:rsidR="00FD5E4A" w:rsidRPr="002B3EEA" w:rsidRDefault="00FD5E4A" w:rsidP="00E06421">
      <w:pPr>
        <w:pStyle w:val="Heading3"/>
      </w:pPr>
      <w:r w:rsidRPr="002B3EEA">
        <w:t>Comparison of different microbiological criteria</w:t>
      </w:r>
    </w:p>
    <w:p w:rsidR="006734F8" w:rsidRDefault="00FD5E4A" w:rsidP="00FD5E4A">
      <w:r w:rsidRPr="002B3EEA">
        <w:t>JEMRA considered the impact of different criteria on the predicted number of cases of listeriosis</w:t>
      </w:r>
      <w:r w:rsidR="00E17B6A">
        <w:t xml:space="preserve"> considering the frequency and extent of contamination encountered in RTE foods</w:t>
      </w:r>
      <w:r w:rsidRPr="002B3EEA">
        <w:t xml:space="preserve">. </w:t>
      </w:r>
      <w:r w:rsidR="006734F8">
        <w:t xml:space="preserve">Six </w:t>
      </w:r>
      <w:r w:rsidR="00E17B6A">
        <w:t>criteria</w:t>
      </w:r>
      <w:r w:rsidR="006734F8">
        <w:t xml:space="preserve"> were eva</w:t>
      </w:r>
      <w:r w:rsidR="00E17B6A">
        <w:t>luated: 0</w:t>
      </w:r>
      <w:r w:rsidR="006734F8">
        <w:t>.04</w:t>
      </w:r>
      <w:r w:rsidR="00E17B6A">
        <w:t xml:space="preserve"> </w:t>
      </w:r>
      <w:r w:rsidR="009B5A1C">
        <w:t>(</w:t>
      </w:r>
      <w:r w:rsidR="00E17B6A" w:rsidRPr="002B3EEA">
        <w:t>equivalent to ‘not detected’ in five 25</w:t>
      </w:r>
      <w:r w:rsidR="00E17B6A">
        <w:t> </w:t>
      </w:r>
      <w:r w:rsidR="00E17B6A" w:rsidRPr="002B3EEA">
        <w:t>g samples</w:t>
      </w:r>
      <w:r w:rsidR="009B5A1C">
        <w:t>)</w:t>
      </w:r>
      <w:r w:rsidR="006734F8">
        <w:t>, 0.1, 1, 10, 100 and 1000 cfu/g (Table 2).</w:t>
      </w:r>
    </w:p>
    <w:p w:rsidR="006734F8" w:rsidRDefault="006734F8" w:rsidP="00FD5E4A"/>
    <w:p w:rsidR="006734F8" w:rsidRDefault="006734F8" w:rsidP="00874896">
      <w:pPr>
        <w:tabs>
          <w:tab w:val="left" w:pos="1134"/>
        </w:tabs>
        <w:spacing w:after="120"/>
        <w:ind w:left="1134" w:hanging="1134"/>
        <w:rPr>
          <w:b/>
          <w:i/>
          <w:szCs w:val="22"/>
        </w:rPr>
      </w:pPr>
      <w:r w:rsidRPr="00E17B6A">
        <w:rPr>
          <w:b/>
          <w:i/>
          <w:szCs w:val="22"/>
        </w:rPr>
        <w:t>Table 2:</w:t>
      </w:r>
      <w:r>
        <w:rPr>
          <w:i/>
          <w:szCs w:val="22"/>
        </w:rPr>
        <w:tab/>
        <w:t xml:space="preserve">Predicted annual number of listeriosis cases in the </w:t>
      </w:r>
      <w:r w:rsidR="0006549E">
        <w:rPr>
          <w:i/>
          <w:szCs w:val="22"/>
        </w:rPr>
        <w:t xml:space="preserve">modelled </w:t>
      </w:r>
      <w:r>
        <w:rPr>
          <w:i/>
          <w:szCs w:val="22"/>
        </w:rPr>
        <w:t>susceptible population when the level of L. monocytogenes was assumed not to exceed a specified maximum value and an assumed distribution in the food (taken from Table 5.3 of WHO/FAO 2005)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321"/>
        <w:gridCol w:w="2322"/>
        <w:gridCol w:w="2322"/>
      </w:tblGrid>
      <w:tr w:rsidR="006734F8" w:rsidRPr="00874896" w:rsidTr="00874896">
        <w:tc>
          <w:tcPr>
            <w:tcW w:w="2321" w:type="dxa"/>
            <w:tcBorders>
              <w:top w:val="single" w:sz="4" w:space="0" w:color="auto"/>
              <w:bottom w:val="single" w:sz="4" w:space="0" w:color="auto"/>
            </w:tcBorders>
          </w:tcPr>
          <w:p w:rsidR="006734F8" w:rsidRPr="00874896" w:rsidRDefault="006734F8" w:rsidP="00FD5E4A">
            <w:pPr>
              <w:rPr>
                <w:b/>
                <w:sz w:val="20"/>
                <w:szCs w:val="20"/>
              </w:rPr>
            </w:pPr>
            <w:r w:rsidRPr="00874896">
              <w:rPr>
                <w:b/>
                <w:sz w:val="20"/>
                <w:szCs w:val="20"/>
              </w:rPr>
              <w:t>Level (cfu/g)</w:t>
            </w:r>
          </w:p>
        </w:tc>
        <w:tc>
          <w:tcPr>
            <w:tcW w:w="2321" w:type="dxa"/>
            <w:tcBorders>
              <w:top w:val="single" w:sz="4" w:space="0" w:color="auto"/>
              <w:bottom w:val="single" w:sz="4" w:space="0" w:color="auto"/>
            </w:tcBorders>
          </w:tcPr>
          <w:p w:rsidR="006734F8" w:rsidRPr="00874896" w:rsidRDefault="006734F8" w:rsidP="00FD5E4A">
            <w:pPr>
              <w:rPr>
                <w:b/>
                <w:sz w:val="20"/>
                <w:szCs w:val="20"/>
              </w:rPr>
            </w:pPr>
            <w:r w:rsidRPr="00874896">
              <w:rPr>
                <w:b/>
                <w:sz w:val="20"/>
                <w:szCs w:val="20"/>
              </w:rPr>
              <w:t>Maximum dose</w:t>
            </w:r>
            <w:r w:rsidRPr="00874896">
              <w:rPr>
                <w:b/>
                <w:sz w:val="20"/>
                <w:szCs w:val="20"/>
                <w:vertAlign w:val="superscript"/>
              </w:rPr>
              <w:t>(1)</w:t>
            </w:r>
            <w:r w:rsidRPr="00874896">
              <w:rPr>
                <w:b/>
                <w:sz w:val="20"/>
                <w:szCs w:val="20"/>
              </w:rPr>
              <w:t xml:space="preserve"> (cfu)</w:t>
            </w:r>
          </w:p>
        </w:tc>
        <w:tc>
          <w:tcPr>
            <w:tcW w:w="2322" w:type="dxa"/>
            <w:tcBorders>
              <w:top w:val="single" w:sz="4" w:space="0" w:color="auto"/>
              <w:bottom w:val="single" w:sz="4" w:space="0" w:color="auto"/>
            </w:tcBorders>
          </w:tcPr>
          <w:p w:rsidR="006734F8" w:rsidRPr="00874896" w:rsidRDefault="006734F8" w:rsidP="00FD5E4A">
            <w:pPr>
              <w:rPr>
                <w:b/>
                <w:sz w:val="20"/>
                <w:szCs w:val="20"/>
              </w:rPr>
            </w:pPr>
            <w:r w:rsidRPr="00874896">
              <w:rPr>
                <w:b/>
                <w:sz w:val="20"/>
                <w:szCs w:val="20"/>
              </w:rPr>
              <w:t>Percentage of servings when maximum level</w:t>
            </w:r>
            <w:r w:rsidRPr="00874896">
              <w:rPr>
                <w:b/>
                <w:sz w:val="20"/>
                <w:szCs w:val="20"/>
                <w:vertAlign w:val="superscript"/>
              </w:rPr>
              <w:t>(2)</w:t>
            </w:r>
          </w:p>
        </w:tc>
        <w:tc>
          <w:tcPr>
            <w:tcW w:w="2322" w:type="dxa"/>
            <w:tcBorders>
              <w:top w:val="single" w:sz="4" w:space="0" w:color="auto"/>
              <w:bottom w:val="single" w:sz="4" w:space="0" w:color="auto"/>
            </w:tcBorders>
          </w:tcPr>
          <w:p w:rsidR="006734F8" w:rsidRPr="00874896" w:rsidRDefault="006734F8" w:rsidP="00E17B6A">
            <w:pPr>
              <w:rPr>
                <w:b/>
                <w:sz w:val="20"/>
                <w:szCs w:val="20"/>
              </w:rPr>
            </w:pPr>
            <w:r w:rsidRPr="00874896">
              <w:rPr>
                <w:b/>
                <w:sz w:val="20"/>
                <w:szCs w:val="20"/>
              </w:rPr>
              <w:t>Estimated number of listeriosis cases per year</w:t>
            </w:r>
            <w:r w:rsidRPr="00874896">
              <w:rPr>
                <w:b/>
                <w:sz w:val="20"/>
                <w:szCs w:val="20"/>
                <w:vertAlign w:val="superscript"/>
              </w:rPr>
              <w:t>(3)</w:t>
            </w:r>
          </w:p>
        </w:tc>
      </w:tr>
      <w:tr w:rsidR="006734F8" w:rsidRPr="00874896" w:rsidTr="00874896">
        <w:tc>
          <w:tcPr>
            <w:tcW w:w="2321" w:type="dxa"/>
            <w:tcBorders>
              <w:top w:val="single" w:sz="4" w:space="0" w:color="auto"/>
            </w:tcBorders>
          </w:tcPr>
          <w:p w:rsidR="006734F8" w:rsidRPr="00874896" w:rsidRDefault="00E17B6A" w:rsidP="00FD5E4A">
            <w:pPr>
              <w:rPr>
                <w:sz w:val="20"/>
                <w:szCs w:val="20"/>
              </w:rPr>
            </w:pPr>
            <w:r w:rsidRPr="00874896">
              <w:rPr>
                <w:sz w:val="20"/>
                <w:szCs w:val="20"/>
              </w:rPr>
              <w:t>0.04</w:t>
            </w:r>
          </w:p>
        </w:tc>
        <w:tc>
          <w:tcPr>
            <w:tcW w:w="2321" w:type="dxa"/>
            <w:tcBorders>
              <w:top w:val="single" w:sz="4" w:space="0" w:color="auto"/>
            </w:tcBorders>
          </w:tcPr>
          <w:p w:rsidR="006734F8" w:rsidRPr="00874896" w:rsidRDefault="00E17B6A" w:rsidP="00FD5E4A">
            <w:pPr>
              <w:rPr>
                <w:sz w:val="20"/>
                <w:szCs w:val="20"/>
              </w:rPr>
            </w:pPr>
            <w:r w:rsidRPr="00874896">
              <w:rPr>
                <w:sz w:val="20"/>
                <w:szCs w:val="20"/>
              </w:rPr>
              <w:t>1</w:t>
            </w:r>
          </w:p>
        </w:tc>
        <w:tc>
          <w:tcPr>
            <w:tcW w:w="2322" w:type="dxa"/>
            <w:tcBorders>
              <w:top w:val="single" w:sz="4" w:space="0" w:color="auto"/>
            </w:tcBorders>
          </w:tcPr>
          <w:p w:rsidR="006734F8" w:rsidRPr="00874896" w:rsidRDefault="00E17B6A" w:rsidP="00FD5E4A">
            <w:pPr>
              <w:rPr>
                <w:sz w:val="20"/>
                <w:szCs w:val="20"/>
              </w:rPr>
            </w:pPr>
            <w:r w:rsidRPr="00874896">
              <w:rPr>
                <w:sz w:val="20"/>
                <w:szCs w:val="20"/>
              </w:rPr>
              <w:t>100</w:t>
            </w:r>
          </w:p>
        </w:tc>
        <w:tc>
          <w:tcPr>
            <w:tcW w:w="2322" w:type="dxa"/>
            <w:tcBorders>
              <w:top w:val="single" w:sz="4" w:space="0" w:color="auto"/>
            </w:tcBorders>
          </w:tcPr>
          <w:p w:rsidR="006734F8" w:rsidRPr="00874896" w:rsidRDefault="00E17B6A" w:rsidP="00FD5E4A">
            <w:pPr>
              <w:rPr>
                <w:sz w:val="20"/>
                <w:szCs w:val="20"/>
              </w:rPr>
            </w:pPr>
            <w:r w:rsidRPr="00874896">
              <w:rPr>
                <w:sz w:val="20"/>
                <w:szCs w:val="20"/>
              </w:rPr>
              <w:t>0.5</w:t>
            </w:r>
          </w:p>
        </w:tc>
      </w:tr>
      <w:tr w:rsidR="006734F8" w:rsidRPr="00874896" w:rsidTr="00874896">
        <w:tc>
          <w:tcPr>
            <w:tcW w:w="2321" w:type="dxa"/>
          </w:tcPr>
          <w:p w:rsidR="006734F8" w:rsidRPr="00874896" w:rsidRDefault="00E17B6A" w:rsidP="00FD5E4A">
            <w:pPr>
              <w:rPr>
                <w:sz w:val="20"/>
                <w:szCs w:val="20"/>
              </w:rPr>
            </w:pPr>
            <w:r w:rsidRPr="00874896">
              <w:rPr>
                <w:sz w:val="20"/>
                <w:szCs w:val="20"/>
              </w:rPr>
              <w:t>0.1</w:t>
            </w:r>
          </w:p>
        </w:tc>
        <w:tc>
          <w:tcPr>
            <w:tcW w:w="2321" w:type="dxa"/>
          </w:tcPr>
          <w:p w:rsidR="006734F8" w:rsidRPr="00874896" w:rsidRDefault="00E17B6A" w:rsidP="00FD5E4A">
            <w:pPr>
              <w:rPr>
                <w:sz w:val="20"/>
                <w:szCs w:val="20"/>
              </w:rPr>
            </w:pPr>
            <w:r w:rsidRPr="00874896">
              <w:rPr>
                <w:sz w:val="20"/>
                <w:szCs w:val="20"/>
              </w:rPr>
              <w:t>3</w:t>
            </w:r>
          </w:p>
        </w:tc>
        <w:tc>
          <w:tcPr>
            <w:tcW w:w="2322" w:type="dxa"/>
          </w:tcPr>
          <w:p w:rsidR="006734F8" w:rsidRPr="00874896" w:rsidRDefault="00E17B6A" w:rsidP="00FD5E4A">
            <w:pPr>
              <w:rPr>
                <w:sz w:val="20"/>
                <w:szCs w:val="20"/>
              </w:rPr>
            </w:pPr>
            <w:r w:rsidRPr="00874896">
              <w:rPr>
                <w:sz w:val="20"/>
                <w:szCs w:val="20"/>
              </w:rPr>
              <w:t>3.6</w:t>
            </w:r>
          </w:p>
        </w:tc>
        <w:tc>
          <w:tcPr>
            <w:tcW w:w="2322" w:type="dxa"/>
          </w:tcPr>
          <w:p w:rsidR="006734F8" w:rsidRPr="00874896" w:rsidRDefault="00E17B6A" w:rsidP="00FD5E4A">
            <w:pPr>
              <w:rPr>
                <w:sz w:val="20"/>
                <w:szCs w:val="20"/>
              </w:rPr>
            </w:pPr>
            <w:r w:rsidRPr="00874896">
              <w:rPr>
                <w:sz w:val="20"/>
                <w:szCs w:val="20"/>
              </w:rPr>
              <w:t>0.5</w:t>
            </w:r>
          </w:p>
        </w:tc>
      </w:tr>
      <w:tr w:rsidR="006734F8" w:rsidRPr="00874896" w:rsidTr="00874896">
        <w:tc>
          <w:tcPr>
            <w:tcW w:w="2321" w:type="dxa"/>
          </w:tcPr>
          <w:p w:rsidR="006734F8" w:rsidRPr="00874896" w:rsidRDefault="00E17B6A" w:rsidP="00FD5E4A">
            <w:pPr>
              <w:rPr>
                <w:sz w:val="20"/>
                <w:szCs w:val="20"/>
              </w:rPr>
            </w:pPr>
            <w:r w:rsidRPr="00874896">
              <w:rPr>
                <w:sz w:val="20"/>
                <w:szCs w:val="20"/>
              </w:rPr>
              <w:t>1</w:t>
            </w:r>
          </w:p>
        </w:tc>
        <w:tc>
          <w:tcPr>
            <w:tcW w:w="2321" w:type="dxa"/>
          </w:tcPr>
          <w:p w:rsidR="006734F8" w:rsidRPr="00874896" w:rsidRDefault="00E17B6A" w:rsidP="00FD5E4A">
            <w:pPr>
              <w:rPr>
                <w:sz w:val="20"/>
                <w:szCs w:val="20"/>
              </w:rPr>
            </w:pPr>
            <w:r w:rsidRPr="00874896">
              <w:rPr>
                <w:sz w:val="20"/>
                <w:szCs w:val="20"/>
              </w:rPr>
              <w:t>32</w:t>
            </w:r>
          </w:p>
        </w:tc>
        <w:tc>
          <w:tcPr>
            <w:tcW w:w="2322" w:type="dxa"/>
          </w:tcPr>
          <w:p w:rsidR="006734F8" w:rsidRPr="00874896" w:rsidRDefault="00E17B6A" w:rsidP="00FD5E4A">
            <w:pPr>
              <w:rPr>
                <w:sz w:val="20"/>
                <w:szCs w:val="20"/>
              </w:rPr>
            </w:pPr>
            <w:r w:rsidRPr="00874896">
              <w:rPr>
                <w:sz w:val="20"/>
                <w:szCs w:val="20"/>
              </w:rPr>
              <w:t>1.7</w:t>
            </w:r>
          </w:p>
        </w:tc>
        <w:tc>
          <w:tcPr>
            <w:tcW w:w="2322" w:type="dxa"/>
          </w:tcPr>
          <w:p w:rsidR="006734F8" w:rsidRPr="00874896" w:rsidRDefault="00E17B6A" w:rsidP="00FD5E4A">
            <w:pPr>
              <w:rPr>
                <w:sz w:val="20"/>
                <w:szCs w:val="20"/>
              </w:rPr>
            </w:pPr>
            <w:r w:rsidRPr="00874896">
              <w:rPr>
                <w:sz w:val="20"/>
                <w:szCs w:val="20"/>
              </w:rPr>
              <w:t>0.7</w:t>
            </w:r>
          </w:p>
        </w:tc>
      </w:tr>
      <w:tr w:rsidR="006734F8" w:rsidRPr="00874896" w:rsidTr="00874896">
        <w:tc>
          <w:tcPr>
            <w:tcW w:w="2321" w:type="dxa"/>
          </w:tcPr>
          <w:p w:rsidR="006734F8" w:rsidRPr="00874896" w:rsidRDefault="00E17B6A" w:rsidP="00FD5E4A">
            <w:pPr>
              <w:rPr>
                <w:sz w:val="20"/>
                <w:szCs w:val="20"/>
              </w:rPr>
            </w:pPr>
            <w:r w:rsidRPr="00874896">
              <w:rPr>
                <w:sz w:val="20"/>
                <w:szCs w:val="20"/>
              </w:rPr>
              <w:t>10</w:t>
            </w:r>
          </w:p>
        </w:tc>
        <w:tc>
          <w:tcPr>
            <w:tcW w:w="2321" w:type="dxa"/>
          </w:tcPr>
          <w:p w:rsidR="006734F8" w:rsidRPr="00874896" w:rsidRDefault="00E17B6A" w:rsidP="00FD5E4A">
            <w:pPr>
              <w:rPr>
                <w:sz w:val="20"/>
                <w:szCs w:val="20"/>
              </w:rPr>
            </w:pPr>
            <w:r w:rsidRPr="00874896">
              <w:rPr>
                <w:sz w:val="20"/>
                <w:szCs w:val="20"/>
              </w:rPr>
              <w:t>316</w:t>
            </w:r>
          </w:p>
        </w:tc>
        <w:tc>
          <w:tcPr>
            <w:tcW w:w="2322" w:type="dxa"/>
          </w:tcPr>
          <w:p w:rsidR="006734F8" w:rsidRPr="00874896" w:rsidRDefault="00E17B6A" w:rsidP="00FD5E4A">
            <w:pPr>
              <w:rPr>
                <w:sz w:val="20"/>
                <w:szCs w:val="20"/>
              </w:rPr>
            </w:pPr>
            <w:r w:rsidRPr="00874896">
              <w:rPr>
                <w:sz w:val="20"/>
                <w:szCs w:val="20"/>
              </w:rPr>
              <w:t>0.8</w:t>
            </w:r>
          </w:p>
        </w:tc>
        <w:tc>
          <w:tcPr>
            <w:tcW w:w="2322" w:type="dxa"/>
          </w:tcPr>
          <w:p w:rsidR="006734F8" w:rsidRPr="00874896" w:rsidRDefault="00E17B6A" w:rsidP="00FD5E4A">
            <w:pPr>
              <w:rPr>
                <w:sz w:val="20"/>
                <w:szCs w:val="20"/>
              </w:rPr>
            </w:pPr>
            <w:r w:rsidRPr="00874896">
              <w:rPr>
                <w:sz w:val="20"/>
                <w:szCs w:val="20"/>
              </w:rPr>
              <w:t>1.6</w:t>
            </w:r>
          </w:p>
        </w:tc>
      </w:tr>
      <w:tr w:rsidR="006734F8" w:rsidRPr="00874896" w:rsidTr="00874896">
        <w:tc>
          <w:tcPr>
            <w:tcW w:w="2321" w:type="dxa"/>
          </w:tcPr>
          <w:p w:rsidR="006734F8" w:rsidRPr="00874896" w:rsidRDefault="00E17B6A" w:rsidP="00FD5E4A">
            <w:pPr>
              <w:rPr>
                <w:sz w:val="20"/>
                <w:szCs w:val="20"/>
              </w:rPr>
            </w:pPr>
            <w:r w:rsidRPr="00874896">
              <w:rPr>
                <w:sz w:val="20"/>
                <w:szCs w:val="20"/>
              </w:rPr>
              <w:t>100</w:t>
            </w:r>
          </w:p>
        </w:tc>
        <w:tc>
          <w:tcPr>
            <w:tcW w:w="2321" w:type="dxa"/>
          </w:tcPr>
          <w:p w:rsidR="006734F8" w:rsidRPr="00874896" w:rsidRDefault="00E17B6A" w:rsidP="00FD5E4A">
            <w:pPr>
              <w:rPr>
                <w:sz w:val="20"/>
                <w:szCs w:val="20"/>
              </w:rPr>
            </w:pPr>
            <w:r w:rsidRPr="00874896">
              <w:rPr>
                <w:sz w:val="20"/>
                <w:szCs w:val="20"/>
              </w:rPr>
              <w:t>3160</w:t>
            </w:r>
          </w:p>
        </w:tc>
        <w:tc>
          <w:tcPr>
            <w:tcW w:w="2322" w:type="dxa"/>
          </w:tcPr>
          <w:p w:rsidR="006734F8" w:rsidRPr="00874896" w:rsidRDefault="00E17B6A" w:rsidP="00FD5E4A">
            <w:pPr>
              <w:rPr>
                <w:sz w:val="20"/>
                <w:szCs w:val="20"/>
              </w:rPr>
            </w:pPr>
            <w:r w:rsidRPr="00874896">
              <w:rPr>
                <w:sz w:val="20"/>
                <w:szCs w:val="20"/>
              </w:rPr>
              <w:t>0.4</w:t>
            </w:r>
          </w:p>
        </w:tc>
        <w:tc>
          <w:tcPr>
            <w:tcW w:w="2322" w:type="dxa"/>
          </w:tcPr>
          <w:p w:rsidR="006734F8" w:rsidRPr="00874896" w:rsidRDefault="00E17B6A" w:rsidP="00FD5E4A">
            <w:pPr>
              <w:rPr>
                <w:sz w:val="20"/>
                <w:szCs w:val="20"/>
              </w:rPr>
            </w:pPr>
            <w:r w:rsidRPr="00874896">
              <w:rPr>
                <w:sz w:val="20"/>
                <w:szCs w:val="20"/>
              </w:rPr>
              <w:t>5.7</w:t>
            </w:r>
          </w:p>
        </w:tc>
      </w:tr>
      <w:tr w:rsidR="006734F8" w:rsidRPr="00874896" w:rsidTr="00874896">
        <w:tc>
          <w:tcPr>
            <w:tcW w:w="2321" w:type="dxa"/>
            <w:tcBorders>
              <w:bottom w:val="single" w:sz="4" w:space="0" w:color="auto"/>
            </w:tcBorders>
          </w:tcPr>
          <w:p w:rsidR="006734F8" w:rsidRPr="00874896" w:rsidRDefault="00E17B6A" w:rsidP="00FD5E4A">
            <w:pPr>
              <w:rPr>
                <w:sz w:val="20"/>
                <w:szCs w:val="20"/>
              </w:rPr>
            </w:pPr>
            <w:r w:rsidRPr="00874896">
              <w:rPr>
                <w:sz w:val="20"/>
                <w:szCs w:val="20"/>
              </w:rPr>
              <w:t>1000</w:t>
            </w:r>
          </w:p>
        </w:tc>
        <w:tc>
          <w:tcPr>
            <w:tcW w:w="2321" w:type="dxa"/>
            <w:tcBorders>
              <w:bottom w:val="single" w:sz="4" w:space="0" w:color="auto"/>
            </w:tcBorders>
          </w:tcPr>
          <w:p w:rsidR="006734F8" w:rsidRPr="00874896" w:rsidRDefault="00E17B6A" w:rsidP="00FD5E4A">
            <w:pPr>
              <w:rPr>
                <w:sz w:val="20"/>
                <w:szCs w:val="20"/>
              </w:rPr>
            </w:pPr>
            <w:r w:rsidRPr="00874896">
              <w:rPr>
                <w:sz w:val="20"/>
                <w:szCs w:val="20"/>
              </w:rPr>
              <w:t>31600</w:t>
            </w:r>
          </w:p>
        </w:tc>
        <w:tc>
          <w:tcPr>
            <w:tcW w:w="2322" w:type="dxa"/>
            <w:tcBorders>
              <w:bottom w:val="single" w:sz="4" w:space="0" w:color="auto"/>
            </w:tcBorders>
          </w:tcPr>
          <w:p w:rsidR="006734F8" w:rsidRPr="00874896" w:rsidRDefault="00E17B6A" w:rsidP="00FD5E4A">
            <w:pPr>
              <w:rPr>
                <w:sz w:val="20"/>
                <w:szCs w:val="20"/>
              </w:rPr>
            </w:pPr>
            <w:r w:rsidRPr="00874896">
              <w:rPr>
                <w:sz w:val="20"/>
                <w:szCs w:val="20"/>
              </w:rPr>
              <w:t>0.2</w:t>
            </w:r>
          </w:p>
        </w:tc>
        <w:tc>
          <w:tcPr>
            <w:tcW w:w="2322" w:type="dxa"/>
            <w:tcBorders>
              <w:bottom w:val="single" w:sz="4" w:space="0" w:color="auto"/>
            </w:tcBorders>
          </w:tcPr>
          <w:p w:rsidR="006734F8" w:rsidRPr="00874896" w:rsidRDefault="00E17B6A" w:rsidP="00FD5E4A">
            <w:pPr>
              <w:rPr>
                <w:sz w:val="20"/>
                <w:szCs w:val="20"/>
              </w:rPr>
            </w:pPr>
            <w:r w:rsidRPr="00874896">
              <w:rPr>
                <w:sz w:val="20"/>
                <w:szCs w:val="20"/>
              </w:rPr>
              <w:t>25.4</w:t>
            </w:r>
          </w:p>
        </w:tc>
      </w:tr>
    </w:tbl>
    <w:p w:rsidR="006734F8" w:rsidRPr="00E17B6A" w:rsidRDefault="00E17B6A" w:rsidP="00FD5E4A">
      <w:pPr>
        <w:rPr>
          <w:sz w:val="18"/>
          <w:szCs w:val="18"/>
        </w:rPr>
      </w:pPr>
      <w:r>
        <w:rPr>
          <w:sz w:val="18"/>
          <w:szCs w:val="18"/>
        </w:rPr>
        <w:t>NOTES</w:t>
      </w:r>
      <w:r w:rsidRPr="00E17B6A">
        <w:rPr>
          <w:sz w:val="18"/>
          <w:szCs w:val="18"/>
        </w:rPr>
        <w:t xml:space="preserve">: (1) Serving size of 31.6g.  (2) Number of servings in the highest </w:t>
      </w:r>
      <w:r w:rsidRPr="00E17B6A">
        <w:rPr>
          <w:i/>
          <w:sz w:val="18"/>
          <w:szCs w:val="18"/>
        </w:rPr>
        <w:t>L. monocytogenes</w:t>
      </w:r>
      <w:r w:rsidRPr="00E17B6A">
        <w:rPr>
          <w:sz w:val="18"/>
          <w:szCs w:val="18"/>
        </w:rPr>
        <w:t xml:space="preserve"> level assumed divided by 6.41 x 10</w:t>
      </w:r>
      <w:r w:rsidRPr="00E17B6A">
        <w:rPr>
          <w:sz w:val="18"/>
          <w:szCs w:val="18"/>
          <w:vertAlign w:val="superscript"/>
        </w:rPr>
        <w:t>10</w:t>
      </w:r>
      <w:r w:rsidRPr="00E17B6A">
        <w:rPr>
          <w:sz w:val="18"/>
          <w:szCs w:val="18"/>
        </w:rPr>
        <w:t xml:space="preserve"> times 100. (3) Levels of </w:t>
      </w:r>
      <w:r w:rsidRPr="00E17B6A">
        <w:rPr>
          <w:i/>
          <w:sz w:val="18"/>
          <w:szCs w:val="18"/>
        </w:rPr>
        <w:t>L. monocytogenes</w:t>
      </w:r>
      <w:r w:rsidRPr="00E17B6A">
        <w:rPr>
          <w:sz w:val="18"/>
          <w:szCs w:val="18"/>
        </w:rPr>
        <w:t xml:space="preserve"> per serving used to calculate predicted number of cases based on the overall distribution from the FDA/FSIS risk assessment (2001) – a total of 6.41 x 10</w:t>
      </w:r>
      <w:r w:rsidRPr="00E17B6A">
        <w:rPr>
          <w:sz w:val="18"/>
          <w:szCs w:val="18"/>
          <w:vertAlign w:val="superscript"/>
        </w:rPr>
        <w:t>10</w:t>
      </w:r>
      <w:r w:rsidRPr="00E17B6A">
        <w:rPr>
          <w:sz w:val="18"/>
          <w:szCs w:val="18"/>
        </w:rPr>
        <w:t xml:space="preserve"> servings per year was assumed.</w:t>
      </w:r>
    </w:p>
    <w:p w:rsidR="006734F8" w:rsidRDefault="006734F8" w:rsidP="00FD5E4A"/>
    <w:p w:rsidR="00C76B65" w:rsidRDefault="00FD5E4A" w:rsidP="00C76B65">
      <w:r w:rsidRPr="002B3EEA">
        <w:t>A</w:t>
      </w:r>
      <w:r w:rsidR="00EE3E51">
        <w:t>t an assumed</w:t>
      </w:r>
      <w:r w:rsidRPr="002B3EEA">
        <w:t xml:space="preserve"> 100% compliance, </w:t>
      </w:r>
      <w:r w:rsidR="00CA1121">
        <w:t>the number of</w:t>
      </w:r>
      <w:r w:rsidR="00CA1121" w:rsidRPr="002B3EEA">
        <w:t xml:space="preserve"> </w:t>
      </w:r>
      <w:r w:rsidRPr="002B3EEA">
        <w:t>predicted</w:t>
      </w:r>
      <w:r w:rsidR="000F5548">
        <w:t xml:space="preserve"> cases for </w:t>
      </w:r>
      <w:r w:rsidR="00EE3E51">
        <w:t>both the</w:t>
      </w:r>
      <w:r w:rsidR="00E17B6A">
        <w:t xml:space="preserve"> 0.04 and</w:t>
      </w:r>
      <w:r w:rsidR="000F5548">
        <w:t xml:space="preserve"> 100 cfu/g</w:t>
      </w:r>
      <w:r w:rsidR="00C76B65">
        <w:t xml:space="preserve"> </w:t>
      </w:r>
      <w:r w:rsidR="00EE3E51">
        <w:t>criteria</w:t>
      </w:r>
      <w:r w:rsidR="00E17B6A">
        <w:t xml:space="preserve"> were</w:t>
      </w:r>
      <w:r w:rsidR="00CA1121">
        <w:t xml:space="preserve"> low</w:t>
      </w:r>
      <w:r w:rsidRPr="002B3EEA">
        <w:t xml:space="preserve">. </w:t>
      </w:r>
      <w:r w:rsidR="00EE3E51">
        <w:t>R</w:t>
      </w:r>
      <w:r w:rsidR="00C76B65">
        <w:t>esults demonstrated where either the frequency of contamination (percentage of contaminated servings) or the extent of contamination (</w:t>
      </w:r>
      <w:r w:rsidR="00C76B65" w:rsidRPr="00C76B65">
        <w:rPr>
          <w:i/>
        </w:rPr>
        <w:t>L. monocytogenes</w:t>
      </w:r>
      <w:r w:rsidR="00C76B65">
        <w:t xml:space="preserve"> levels in a contaminated food) increases, </w:t>
      </w:r>
      <w:r w:rsidR="00EE3E51">
        <w:t>proportionally</w:t>
      </w:r>
      <w:r w:rsidR="00C76B65">
        <w:t xml:space="preserve"> so does the risk and the predicted number of cases.  For example, an increase in levels from 1 cfu/</w:t>
      </w:r>
      <w:r w:rsidR="00874896">
        <w:t>g</w:t>
      </w:r>
      <w:r w:rsidR="00C76B65">
        <w:t xml:space="preserve"> to100 cfu/</w:t>
      </w:r>
      <w:r w:rsidR="00874896">
        <w:t xml:space="preserve">g increased risk of listeriosis by 10-fold and a 1000-fold increase when levels were increased to 1000 cfu/g </w:t>
      </w:r>
      <w:r w:rsidR="00C76B65">
        <w:t>(assuming a fixed serving size)</w:t>
      </w:r>
      <w:r w:rsidR="00874896">
        <w:t>.</w:t>
      </w:r>
      <w:r w:rsidR="00C76B65">
        <w:t xml:space="preserve">  </w:t>
      </w:r>
    </w:p>
    <w:p w:rsidR="00F219A5" w:rsidRDefault="00F219A5" w:rsidP="00FD5E4A"/>
    <w:p w:rsidR="00FD5E4A" w:rsidRPr="002B3EEA" w:rsidRDefault="00FD5E4A" w:rsidP="00FD5E4A">
      <w:r w:rsidRPr="002B3EEA">
        <w:t xml:space="preserve">However, the JEMRA model </w:t>
      </w:r>
      <w:r w:rsidR="00F219A5">
        <w:t xml:space="preserve">also </w:t>
      </w:r>
      <w:r w:rsidRPr="002B3EEA">
        <w:t>demonstrated that the predicted risk of illness was more strongly driven by the defect rate (i.e. the percentage of servings that exceed the specified limit), rather than the numeric value of the criterion. For example, when defect rates were &gt;0.000</w:t>
      </w:r>
      <w:r w:rsidR="00F219A5">
        <w:t>1</w:t>
      </w:r>
      <w:r w:rsidRPr="002B3EEA">
        <w:t xml:space="preserve">1% (i.e. greater than 1 defective unit per 1,000,000) the difference in the predicted number of cases between the two limits was minimal (see Table </w:t>
      </w:r>
      <w:r w:rsidR="006734F8">
        <w:t>3</w:t>
      </w:r>
      <w:r w:rsidRPr="002B3EEA">
        <w:t>).</w:t>
      </w:r>
      <w:r w:rsidR="00F219A5">
        <w:t xml:space="preserve"> Additionally, the model also demonstrated the concept that a less stringent microbiological limit could lead to an improvement in public health if the new criterion led to improved compliance rates (ie: </w:t>
      </w:r>
      <w:r w:rsidR="0044680C">
        <w:t xml:space="preserve">an estimated </w:t>
      </w:r>
      <w:r w:rsidR="00F219A5">
        <w:t xml:space="preserve">2133 cases </w:t>
      </w:r>
      <w:r w:rsidR="0044680C">
        <w:t>for a</w:t>
      </w:r>
      <w:r w:rsidR="00F219A5">
        <w:t xml:space="preserve"> </w:t>
      </w:r>
      <w:r w:rsidR="0044680C">
        <w:t xml:space="preserve">limit of 0.04 cfu/g limit with a </w:t>
      </w:r>
      <w:r w:rsidR="00F219A5">
        <w:t>0.018% defect rate, compared to 124 cases</w:t>
      </w:r>
      <w:r w:rsidR="0044680C">
        <w:t xml:space="preserve"> for 0.001% defect rate and 100 cfu/g limit.</w:t>
      </w:r>
      <w:r w:rsidR="00F219A5">
        <w:t xml:space="preserve"> </w:t>
      </w:r>
    </w:p>
    <w:p w:rsidR="00FD5E4A" w:rsidRPr="002B3EEA" w:rsidRDefault="00FD5E4A" w:rsidP="00FD5E4A"/>
    <w:p w:rsidR="00FD5E4A" w:rsidRPr="002B3EEA" w:rsidRDefault="00FD5E4A" w:rsidP="00FD5E4A">
      <w:r w:rsidRPr="002B3EEA">
        <w:t>This emphasises the importance of having control measures that reduce the frequency of contamination and prevent occurrence of high levels at consumption.</w:t>
      </w:r>
    </w:p>
    <w:p w:rsidR="00FD5E4A" w:rsidRPr="002B3EEA" w:rsidRDefault="00FD5E4A" w:rsidP="00FD5E4A"/>
    <w:p w:rsidR="009B5A1C" w:rsidRDefault="009B5A1C">
      <w:pPr>
        <w:widowControl/>
        <w:rPr>
          <w:rFonts w:cs="Arial"/>
          <w:b/>
          <w:i/>
          <w:szCs w:val="22"/>
        </w:rPr>
      </w:pPr>
      <w:r>
        <w:rPr>
          <w:i/>
          <w:szCs w:val="22"/>
        </w:rPr>
        <w:br w:type="page"/>
      </w:r>
    </w:p>
    <w:p w:rsidR="00FD5E4A" w:rsidRPr="003F0866" w:rsidRDefault="00FD5E4A" w:rsidP="003F0866">
      <w:pPr>
        <w:pStyle w:val="FSTableHeading"/>
        <w:tabs>
          <w:tab w:val="left" w:pos="1134"/>
        </w:tabs>
        <w:spacing w:before="120" w:after="120"/>
        <w:ind w:left="1134" w:hanging="1134"/>
        <w:jc w:val="left"/>
        <w:rPr>
          <w:rFonts w:ascii="Arial" w:hAnsi="Arial"/>
          <w:b w:val="0"/>
          <w:i/>
          <w:sz w:val="22"/>
          <w:szCs w:val="22"/>
        </w:rPr>
      </w:pPr>
      <w:r w:rsidRPr="003F0866">
        <w:rPr>
          <w:rFonts w:ascii="Arial" w:hAnsi="Arial"/>
          <w:i/>
          <w:sz w:val="22"/>
          <w:szCs w:val="22"/>
        </w:rPr>
        <w:lastRenderedPageBreak/>
        <w:t xml:space="preserve">Table </w:t>
      </w:r>
      <w:r w:rsidR="006734F8">
        <w:rPr>
          <w:rFonts w:ascii="Arial" w:hAnsi="Arial"/>
          <w:i/>
          <w:sz w:val="22"/>
          <w:szCs w:val="22"/>
        </w:rPr>
        <w:t>3</w:t>
      </w:r>
      <w:r w:rsidRPr="003F0866">
        <w:rPr>
          <w:rFonts w:ascii="Arial" w:hAnsi="Arial"/>
          <w:i/>
          <w:sz w:val="22"/>
          <w:szCs w:val="22"/>
        </w:rPr>
        <w:t>:</w:t>
      </w:r>
      <w:r w:rsidR="003F0866">
        <w:rPr>
          <w:rFonts w:ascii="Arial" w:hAnsi="Arial"/>
          <w:b w:val="0"/>
          <w:i/>
          <w:sz w:val="22"/>
          <w:szCs w:val="22"/>
        </w:rPr>
        <w:tab/>
      </w:r>
      <w:r w:rsidRPr="003F0866">
        <w:rPr>
          <w:rFonts w:ascii="Arial" w:hAnsi="Arial"/>
          <w:b w:val="0"/>
          <w:i/>
          <w:sz w:val="22"/>
          <w:szCs w:val="22"/>
        </w:rPr>
        <w:t xml:space="preserve">Hypothetical "what if" scenario demonstrating the effect of defect rate on the number of 'predicted cases' of foodborne listeriosis </w:t>
      </w:r>
      <w:r w:rsidRPr="003F0866">
        <w:rPr>
          <w:rFonts w:ascii="Arial" w:hAnsi="Arial"/>
          <w:b w:val="0"/>
          <w:i/>
          <w:sz w:val="22"/>
          <w:szCs w:val="22"/>
        </w:rPr>
        <w:fldChar w:fldCharType="begin"/>
      </w:r>
      <w:r w:rsidR="00B64271">
        <w:rPr>
          <w:rFonts w:ascii="Arial" w:hAnsi="Arial"/>
          <w:b w:val="0"/>
          <w:i/>
          <w:sz w:val="22"/>
          <w:szCs w:val="22"/>
        </w:rPr>
        <w:instrText xml:space="preserve"> ADDIN REFMGR.CITE &lt;Refman&gt;&lt;Cite&gt;&lt;Author&gt;WHO/FAO&lt;/Author&gt;&lt;Year&gt;2005&lt;/Year&gt;&lt;RecNum&gt;4122&lt;/RecNum&gt;&lt;IDText&gt;Risk assessment of Listeria monocytogenes in ready-to-eat foods&lt;/IDText&gt;&lt;Prefix&gt;taken from Table 5.4 of &lt;/Prefix&gt;&lt;MDL Ref_Type="Report"&gt;&lt;Ref_Type&gt;Report&lt;/Ref_Type&gt;&lt;Ref_ID&gt;4122&lt;/Ref_ID&gt;&lt;Title_Primary&gt;Risk assessment of &lt;i&gt;Listeria monocytogenes&lt;/i&gt; in ready-to-eat foods&lt;/Title_Primary&gt;&lt;Authors_Primary&gt;WHO/FAO&lt;/Authors_Primary&gt;&lt;Date_Primary&gt;2005&lt;/Date_Primary&gt;&lt;Keywords&gt;FOOD&lt;/Keywords&gt;&lt;Keywords&gt;FOODS&lt;/Keywords&gt;&lt;Keywords&gt;Listeria&lt;/Keywords&gt;&lt;Keywords&gt;Listeria monocytogenes&lt;/Keywords&gt;&lt;Keywords&gt;LISTERIA-MONOCYTOGENES&lt;/Keywords&gt;&lt;Keywords&gt;MONOCYTOGENES&lt;/Keywords&gt;&lt;Keywords&gt;Risk&lt;/Keywords&gt;&lt;Keywords&gt;Risk Assessment&lt;/Keywords&gt;&lt;Keywords&gt;RISK-ASSESSMENT&lt;/Keywords&gt;&lt;Reprint&gt;In File&lt;/Reprint&gt;&lt;Pub_Place&gt;Geneva&lt;/Pub_Place&gt;&lt;Publisher&gt;World Health Organization and Food and Agriculture Organization of the United Nations&lt;/Publisher&gt;&lt;Date_Secondary&gt;2012/6/14&lt;/Date_Secondary&gt;&lt;Web_URL&gt;&lt;u&gt;http://www.who.int/foodsafety/publications/micro/mra_listeria/en/index.html&lt;/u&gt;&lt;/Web_URL&gt;&lt;ZZ_WorkformID&gt;24&lt;/ZZ_WorkformID&gt;&lt;/MDL&gt;&lt;/Cite&gt;&lt;/Refman&gt;</w:instrText>
      </w:r>
      <w:r w:rsidRPr="003F0866">
        <w:rPr>
          <w:rFonts w:ascii="Arial" w:hAnsi="Arial"/>
          <w:b w:val="0"/>
          <w:i/>
          <w:sz w:val="22"/>
          <w:szCs w:val="22"/>
        </w:rPr>
        <w:fldChar w:fldCharType="separate"/>
      </w:r>
      <w:r w:rsidRPr="003F0866">
        <w:rPr>
          <w:rFonts w:ascii="Arial" w:hAnsi="Arial"/>
          <w:b w:val="0"/>
          <w:i/>
          <w:noProof/>
          <w:sz w:val="22"/>
          <w:szCs w:val="22"/>
        </w:rPr>
        <w:t>(taken from Table 5.4 of WHO/FAO 2005)</w:t>
      </w:r>
      <w:r w:rsidRPr="003F0866">
        <w:rPr>
          <w:rFonts w:ascii="Arial" w:hAnsi="Arial"/>
          <w:b w:val="0"/>
          <w:i/>
          <w:sz w:val="22"/>
          <w:szCs w:val="22"/>
        </w:rPr>
        <w:fldChar w:fldCharType="end"/>
      </w:r>
      <w:r w:rsidRPr="003F0866">
        <w:rPr>
          <w:rFonts w:ascii="Arial" w:hAnsi="Arial"/>
          <w:b w:val="0"/>
          <w: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4 Hypothetica &quot;what if&quot; scenario demonstrating the effect of defect rate on the number of 'predicted cases' of foodborne listeriosis"/>
      </w:tblPr>
      <w:tblGrid>
        <w:gridCol w:w="2802"/>
        <w:gridCol w:w="2976"/>
        <w:gridCol w:w="3119"/>
      </w:tblGrid>
      <w:tr w:rsidR="00FD5E4A" w:rsidRPr="003F0866" w:rsidTr="00B64271">
        <w:tc>
          <w:tcPr>
            <w:tcW w:w="2802" w:type="dxa"/>
            <w:vMerge w:val="restart"/>
            <w:tcBorders>
              <w:top w:val="single" w:sz="4" w:space="0" w:color="auto"/>
              <w:bottom w:val="single" w:sz="4" w:space="0" w:color="auto"/>
            </w:tcBorders>
          </w:tcPr>
          <w:p w:rsidR="00FD5E4A" w:rsidRPr="003F0866" w:rsidRDefault="00FD5E4A" w:rsidP="00B64271">
            <w:pPr>
              <w:rPr>
                <w:b/>
                <w:sz w:val="20"/>
                <w:szCs w:val="20"/>
              </w:rPr>
            </w:pPr>
            <w:r w:rsidRPr="003F0866">
              <w:rPr>
                <w:b/>
                <w:sz w:val="20"/>
                <w:szCs w:val="20"/>
              </w:rPr>
              <w:t>Assumed percentage of “defective ‘” servings</w:t>
            </w:r>
            <w:r w:rsidRPr="003F0866">
              <w:rPr>
                <w:b/>
                <w:sz w:val="20"/>
                <w:szCs w:val="20"/>
                <w:vertAlign w:val="superscript"/>
              </w:rPr>
              <w:t>(1)</w:t>
            </w:r>
          </w:p>
        </w:tc>
        <w:tc>
          <w:tcPr>
            <w:tcW w:w="6095" w:type="dxa"/>
            <w:gridSpan w:val="2"/>
            <w:tcBorders>
              <w:top w:val="single" w:sz="4" w:space="0" w:color="auto"/>
            </w:tcBorders>
          </w:tcPr>
          <w:p w:rsidR="00FD5E4A" w:rsidRPr="003F0866" w:rsidRDefault="00FD5E4A" w:rsidP="00B64271">
            <w:pPr>
              <w:jc w:val="center"/>
              <w:rPr>
                <w:b/>
                <w:sz w:val="20"/>
                <w:szCs w:val="20"/>
              </w:rPr>
            </w:pPr>
            <w:r w:rsidRPr="003F0866">
              <w:rPr>
                <w:b/>
                <w:sz w:val="20"/>
                <w:szCs w:val="20"/>
              </w:rPr>
              <w:t xml:space="preserve">Predicted number of listeriosis cases </w:t>
            </w:r>
            <w:r w:rsidRPr="003F0866">
              <w:rPr>
                <w:b/>
                <w:sz w:val="20"/>
                <w:szCs w:val="20"/>
                <w:vertAlign w:val="superscript"/>
              </w:rPr>
              <w:t>(2)</w:t>
            </w:r>
          </w:p>
        </w:tc>
      </w:tr>
      <w:tr w:rsidR="00FD5E4A" w:rsidRPr="003F0866" w:rsidTr="00B64271">
        <w:tc>
          <w:tcPr>
            <w:tcW w:w="2802" w:type="dxa"/>
            <w:vMerge/>
            <w:tcBorders>
              <w:bottom w:val="single" w:sz="4" w:space="0" w:color="auto"/>
            </w:tcBorders>
          </w:tcPr>
          <w:p w:rsidR="00FD5E4A" w:rsidRPr="003F0866" w:rsidRDefault="00FD5E4A" w:rsidP="00B64271">
            <w:pPr>
              <w:rPr>
                <w:sz w:val="20"/>
                <w:szCs w:val="20"/>
              </w:rPr>
            </w:pPr>
          </w:p>
        </w:tc>
        <w:tc>
          <w:tcPr>
            <w:tcW w:w="2976" w:type="dxa"/>
            <w:tcBorders>
              <w:bottom w:val="single" w:sz="4" w:space="0" w:color="auto"/>
            </w:tcBorders>
          </w:tcPr>
          <w:p w:rsidR="00FD5E4A" w:rsidRPr="003F0866" w:rsidRDefault="00FD5E4A" w:rsidP="00B64271">
            <w:pPr>
              <w:rPr>
                <w:b/>
                <w:sz w:val="20"/>
                <w:szCs w:val="20"/>
              </w:rPr>
            </w:pPr>
            <w:r w:rsidRPr="003F0866">
              <w:rPr>
                <w:b/>
                <w:sz w:val="20"/>
                <w:szCs w:val="20"/>
              </w:rPr>
              <w:t>Initial standard of 0.04 CFU/g</w:t>
            </w:r>
          </w:p>
        </w:tc>
        <w:tc>
          <w:tcPr>
            <w:tcW w:w="3119" w:type="dxa"/>
            <w:tcBorders>
              <w:bottom w:val="single" w:sz="4" w:space="0" w:color="auto"/>
            </w:tcBorders>
          </w:tcPr>
          <w:p w:rsidR="00FD5E4A" w:rsidRPr="003F0866" w:rsidRDefault="00FD5E4A" w:rsidP="00B64271">
            <w:pPr>
              <w:rPr>
                <w:b/>
                <w:sz w:val="20"/>
                <w:szCs w:val="20"/>
              </w:rPr>
            </w:pPr>
            <w:r w:rsidRPr="003F0866">
              <w:rPr>
                <w:b/>
                <w:sz w:val="20"/>
                <w:szCs w:val="20"/>
              </w:rPr>
              <w:t>Initial standard of 100 CFU/g</w:t>
            </w:r>
          </w:p>
        </w:tc>
      </w:tr>
      <w:tr w:rsidR="00FD5E4A" w:rsidRPr="003F0866" w:rsidTr="00B64271">
        <w:tc>
          <w:tcPr>
            <w:tcW w:w="2802" w:type="dxa"/>
            <w:tcBorders>
              <w:top w:val="single" w:sz="4" w:space="0" w:color="auto"/>
            </w:tcBorders>
          </w:tcPr>
          <w:p w:rsidR="00FD5E4A" w:rsidRPr="003F0866" w:rsidRDefault="00FD5E4A" w:rsidP="00B64271">
            <w:pPr>
              <w:rPr>
                <w:sz w:val="20"/>
                <w:szCs w:val="20"/>
              </w:rPr>
            </w:pPr>
            <w:r w:rsidRPr="003F0866">
              <w:rPr>
                <w:sz w:val="20"/>
                <w:szCs w:val="20"/>
              </w:rPr>
              <w:t>0</w:t>
            </w:r>
          </w:p>
        </w:tc>
        <w:tc>
          <w:tcPr>
            <w:tcW w:w="2976" w:type="dxa"/>
            <w:tcBorders>
              <w:top w:val="single" w:sz="4" w:space="0" w:color="auto"/>
            </w:tcBorders>
          </w:tcPr>
          <w:p w:rsidR="00FD5E4A" w:rsidRPr="003F0866" w:rsidRDefault="00FD5E4A" w:rsidP="00B64271">
            <w:pPr>
              <w:rPr>
                <w:sz w:val="20"/>
                <w:szCs w:val="20"/>
              </w:rPr>
            </w:pPr>
            <w:r w:rsidRPr="003F0866">
              <w:rPr>
                <w:sz w:val="20"/>
                <w:szCs w:val="20"/>
              </w:rPr>
              <w:t>0.5</w:t>
            </w:r>
          </w:p>
        </w:tc>
        <w:tc>
          <w:tcPr>
            <w:tcW w:w="3119" w:type="dxa"/>
            <w:tcBorders>
              <w:top w:val="single" w:sz="4" w:space="0" w:color="auto"/>
            </w:tcBorders>
          </w:tcPr>
          <w:p w:rsidR="00FD5E4A" w:rsidRPr="003F0866" w:rsidRDefault="00FD5E4A" w:rsidP="00B64271">
            <w:pPr>
              <w:rPr>
                <w:sz w:val="20"/>
                <w:szCs w:val="20"/>
              </w:rPr>
            </w:pPr>
            <w:r w:rsidRPr="003F0866">
              <w:rPr>
                <w:sz w:val="20"/>
                <w:szCs w:val="20"/>
              </w:rPr>
              <w:t>5.7</w:t>
            </w:r>
          </w:p>
        </w:tc>
      </w:tr>
      <w:tr w:rsidR="00FD5E4A" w:rsidRPr="003F0866" w:rsidTr="00B64271">
        <w:tc>
          <w:tcPr>
            <w:tcW w:w="2802" w:type="dxa"/>
          </w:tcPr>
          <w:p w:rsidR="00FD5E4A" w:rsidRPr="003F0866" w:rsidRDefault="00FD5E4A" w:rsidP="00B64271">
            <w:pPr>
              <w:rPr>
                <w:sz w:val="20"/>
                <w:szCs w:val="20"/>
              </w:rPr>
            </w:pPr>
            <w:r w:rsidRPr="003F0866">
              <w:rPr>
                <w:sz w:val="20"/>
                <w:szCs w:val="20"/>
              </w:rPr>
              <w:t>0.00001</w:t>
            </w:r>
          </w:p>
        </w:tc>
        <w:tc>
          <w:tcPr>
            <w:tcW w:w="2976" w:type="dxa"/>
          </w:tcPr>
          <w:p w:rsidR="00FD5E4A" w:rsidRPr="003F0866" w:rsidRDefault="00FD5E4A" w:rsidP="00B64271">
            <w:pPr>
              <w:rPr>
                <w:sz w:val="20"/>
                <w:szCs w:val="20"/>
              </w:rPr>
            </w:pPr>
            <w:r w:rsidRPr="003F0866">
              <w:rPr>
                <w:sz w:val="20"/>
                <w:szCs w:val="20"/>
              </w:rPr>
              <w:t>1.7</w:t>
            </w:r>
          </w:p>
        </w:tc>
        <w:tc>
          <w:tcPr>
            <w:tcW w:w="3119" w:type="dxa"/>
          </w:tcPr>
          <w:p w:rsidR="00FD5E4A" w:rsidRPr="003F0866" w:rsidRDefault="00FD5E4A" w:rsidP="00B64271">
            <w:pPr>
              <w:rPr>
                <w:sz w:val="20"/>
                <w:szCs w:val="20"/>
              </w:rPr>
            </w:pPr>
            <w:r w:rsidRPr="003F0866">
              <w:rPr>
                <w:sz w:val="20"/>
                <w:szCs w:val="20"/>
              </w:rPr>
              <w:t>6.9</w:t>
            </w:r>
          </w:p>
        </w:tc>
      </w:tr>
      <w:tr w:rsidR="00FD5E4A" w:rsidRPr="003F0866" w:rsidTr="00B64271">
        <w:tc>
          <w:tcPr>
            <w:tcW w:w="2802" w:type="dxa"/>
          </w:tcPr>
          <w:p w:rsidR="00FD5E4A" w:rsidRPr="003F0866" w:rsidRDefault="00FD5E4A" w:rsidP="00B64271">
            <w:pPr>
              <w:rPr>
                <w:sz w:val="20"/>
                <w:szCs w:val="20"/>
              </w:rPr>
            </w:pPr>
            <w:r w:rsidRPr="003F0866">
              <w:rPr>
                <w:sz w:val="20"/>
                <w:szCs w:val="20"/>
              </w:rPr>
              <w:t>0.00011</w:t>
            </w:r>
          </w:p>
        </w:tc>
        <w:tc>
          <w:tcPr>
            <w:tcW w:w="2976" w:type="dxa"/>
          </w:tcPr>
          <w:p w:rsidR="00FD5E4A" w:rsidRPr="003F0866" w:rsidRDefault="00FD5E4A" w:rsidP="00B64271">
            <w:pPr>
              <w:rPr>
                <w:sz w:val="20"/>
                <w:szCs w:val="20"/>
              </w:rPr>
            </w:pPr>
            <w:r w:rsidRPr="003F0866">
              <w:rPr>
                <w:sz w:val="20"/>
                <w:szCs w:val="20"/>
              </w:rPr>
              <w:t>12.3</w:t>
            </w:r>
          </w:p>
        </w:tc>
        <w:tc>
          <w:tcPr>
            <w:tcW w:w="3119" w:type="dxa"/>
          </w:tcPr>
          <w:p w:rsidR="00FD5E4A" w:rsidRPr="003F0866" w:rsidRDefault="00FD5E4A" w:rsidP="00B64271">
            <w:pPr>
              <w:rPr>
                <w:sz w:val="20"/>
                <w:szCs w:val="20"/>
              </w:rPr>
            </w:pPr>
            <w:r w:rsidRPr="003F0866">
              <w:rPr>
                <w:sz w:val="20"/>
                <w:szCs w:val="20"/>
              </w:rPr>
              <w:t>17.4</w:t>
            </w:r>
          </w:p>
        </w:tc>
      </w:tr>
      <w:tr w:rsidR="00FD5E4A" w:rsidRPr="003F0866" w:rsidTr="00B64271">
        <w:tc>
          <w:tcPr>
            <w:tcW w:w="2802" w:type="dxa"/>
          </w:tcPr>
          <w:p w:rsidR="00FD5E4A" w:rsidRPr="003F0866" w:rsidRDefault="00FD5E4A" w:rsidP="00B64271">
            <w:pPr>
              <w:rPr>
                <w:sz w:val="20"/>
                <w:szCs w:val="20"/>
              </w:rPr>
            </w:pPr>
            <w:r w:rsidRPr="003F0866">
              <w:rPr>
                <w:sz w:val="20"/>
                <w:szCs w:val="20"/>
              </w:rPr>
              <w:t>0.001</w:t>
            </w:r>
          </w:p>
        </w:tc>
        <w:tc>
          <w:tcPr>
            <w:tcW w:w="2976" w:type="dxa"/>
          </w:tcPr>
          <w:p w:rsidR="00FD5E4A" w:rsidRPr="003F0866" w:rsidRDefault="00FD5E4A" w:rsidP="00B64271">
            <w:pPr>
              <w:rPr>
                <w:sz w:val="20"/>
                <w:szCs w:val="20"/>
              </w:rPr>
            </w:pPr>
            <w:r w:rsidRPr="003F0866">
              <w:rPr>
                <w:sz w:val="20"/>
                <w:szCs w:val="20"/>
              </w:rPr>
              <w:t>119</w:t>
            </w:r>
          </w:p>
        </w:tc>
        <w:tc>
          <w:tcPr>
            <w:tcW w:w="3119" w:type="dxa"/>
          </w:tcPr>
          <w:p w:rsidR="00FD5E4A" w:rsidRPr="003F0866" w:rsidRDefault="00FD5E4A" w:rsidP="00B64271">
            <w:pPr>
              <w:rPr>
                <w:sz w:val="20"/>
                <w:szCs w:val="20"/>
              </w:rPr>
            </w:pPr>
            <w:r w:rsidRPr="003F0866">
              <w:rPr>
                <w:sz w:val="20"/>
                <w:szCs w:val="20"/>
              </w:rPr>
              <w:t>124</w:t>
            </w:r>
          </w:p>
        </w:tc>
      </w:tr>
      <w:tr w:rsidR="00FD5E4A" w:rsidRPr="003F0866" w:rsidTr="00B64271">
        <w:tc>
          <w:tcPr>
            <w:tcW w:w="2802" w:type="dxa"/>
          </w:tcPr>
          <w:p w:rsidR="00FD5E4A" w:rsidRPr="003F0866" w:rsidRDefault="00FD5E4A" w:rsidP="00B64271">
            <w:pPr>
              <w:rPr>
                <w:sz w:val="20"/>
                <w:szCs w:val="20"/>
              </w:rPr>
            </w:pPr>
            <w:r w:rsidRPr="003F0866">
              <w:rPr>
                <w:sz w:val="20"/>
                <w:szCs w:val="20"/>
              </w:rPr>
              <w:t>0.01</w:t>
            </w:r>
          </w:p>
        </w:tc>
        <w:tc>
          <w:tcPr>
            <w:tcW w:w="2976" w:type="dxa"/>
          </w:tcPr>
          <w:p w:rsidR="00FD5E4A" w:rsidRPr="003F0866" w:rsidRDefault="00FD5E4A" w:rsidP="00B64271">
            <w:pPr>
              <w:rPr>
                <w:sz w:val="20"/>
                <w:szCs w:val="20"/>
              </w:rPr>
            </w:pPr>
            <w:r w:rsidRPr="003F0866">
              <w:rPr>
                <w:sz w:val="20"/>
                <w:szCs w:val="20"/>
              </w:rPr>
              <w:t>1185</w:t>
            </w:r>
          </w:p>
        </w:tc>
        <w:tc>
          <w:tcPr>
            <w:tcW w:w="3119" w:type="dxa"/>
          </w:tcPr>
          <w:p w:rsidR="00FD5E4A" w:rsidRPr="003F0866" w:rsidRDefault="00FD5E4A" w:rsidP="00B64271">
            <w:pPr>
              <w:rPr>
                <w:sz w:val="20"/>
                <w:szCs w:val="20"/>
              </w:rPr>
            </w:pPr>
            <w:r w:rsidRPr="003F0866">
              <w:rPr>
                <w:sz w:val="20"/>
                <w:szCs w:val="20"/>
              </w:rPr>
              <w:t>1191</w:t>
            </w:r>
          </w:p>
        </w:tc>
      </w:tr>
      <w:tr w:rsidR="00FD5E4A" w:rsidRPr="003F0866" w:rsidTr="00B64271">
        <w:tc>
          <w:tcPr>
            <w:tcW w:w="2802" w:type="dxa"/>
          </w:tcPr>
          <w:p w:rsidR="00FD5E4A" w:rsidRPr="003F0866" w:rsidRDefault="00FD5E4A" w:rsidP="00B64271">
            <w:pPr>
              <w:rPr>
                <w:sz w:val="20"/>
                <w:szCs w:val="20"/>
              </w:rPr>
            </w:pPr>
            <w:r w:rsidRPr="003F0866">
              <w:rPr>
                <w:sz w:val="20"/>
                <w:szCs w:val="20"/>
              </w:rPr>
              <w:t>0.018</w:t>
            </w:r>
          </w:p>
        </w:tc>
        <w:tc>
          <w:tcPr>
            <w:tcW w:w="2976" w:type="dxa"/>
          </w:tcPr>
          <w:p w:rsidR="00FD5E4A" w:rsidRPr="003F0866" w:rsidRDefault="00FD5E4A" w:rsidP="00B64271">
            <w:pPr>
              <w:rPr>
                <w:sz w:val="20"/>
                <w:szCs w:val="20"/>
              </w:rPr>
            </w:pPr>
            <w:r w:rsidRPr="003F0866">
              <w:rPr>
                <w:sz w:val="20"/>
                <w:szCs w:val="20"/>
              </w:rPr>
              <w:t>2133</w:t>
            </w:r>
          </w:p>
        </w:tc>
        <w:tc>
          <w:tcPr>
            <w:tcW w:w="3119" w:type="dxa"/>
          </w:tcPr>
          <w:p w:rsidR="00FD5E4A" w:rsidRPr="003F0866" w:rsidRDefault="00FD5E4A" w:rsidP="00B64271">
            <w:pPr>
              <w:rPr>
                <w:sz w:val="20"/>
                <w:szCs w:val="20"/>
              </w:rPr>
            </w:pPr>
            <w:r w:rsidRPr="003F0866">
              <w:rPr>
                <w:sz w:val="20"/>
                <w:szCs w:val="20"/>
              </w:rPr>
              <w:t>2133</w:t>
            </w:r>
          </w:p>
        </w:tc>
      </w:tr>
      <w:tr w:rsidR="00FD5E4A" w:rsidRPr="003F0866" w:rsidTr="00B64271">
        <w:tc>
          <w:tcPr>
            <w:tcW w:w="2802" w:type="dxa"/>
          </w:tcPr>
          <w:p w:rsidR="00FD5E4A" w:rsidRPr="003F0866" w:rsidRDefault="00FD5E4A" w:rsidP="00B64271">
            <w:pPr>
              <w:rPr>
                <w:sz w:val="20"/>
                <w:szCs w:val="20"/>
              </w:rPr>
            </w:pPr>
            <w:r w:rsidRPr="003F0866">
              <w:rPr>
                <w:sz w:val="20"/>
                <w:szCs w:val="20"/>
              </w:rPr>
              <w:t>0.1</w:t>
            </w:r>
          </w:p>
        </w:tc>
        <w:tc>
          <w:tcPr>
            <w:tcW w:w="2976" w:type="dxa"/>
          </w:tcPr>
          <w:p w:rsidR="00FD5E4A" w:rsidRPr="003F0866" w:rsidRDefault="00FD5E4A" w:rsidP="00B64271">
            <w:pPr>
              <w:rPr>
                <w:sz w:val="20"/>
                <w:szCs w:val="20"/>
              </w:rPr>
            </w:pPr>
            <w:r w:rsidRPr="003F0866">
              <w:rPr>
                <w:sz w:val="20"/>
                <w:szCs w:val="20"/>
              </w:rPr>
              <w:t>11837</w:t>
            </w:r>
          </w:p>
        </w:tc>
        <w:tc>
          <w:tcPr>
            <w:tcW w:w="3119" w:type="dxa"/>
          </w:tcPr>
          <w:p w:rsidR="00FD5E4A" w:rsidRPr="003F0866" w:rsidRDefault="00FD5E4A" w:rsidP="00B64271">
            <w:pPr>
              <w:rPr>
                <w:sz w:val="20"/>
                <w:szCs w:val="20"/>
              </w:rPr>
            </w:pPr>
            <w:r w:rsidRPr="003F0866">
              <w:rPr>
                <w:sz w:val="20"/>
                <w:szCs w:val="20"/>
              </w:rPr>
              <w:t>11848</w:t>
            </w:r>
          </w:p>
        </w:tc>
      </w:tr>
      <w:tr w:rsidR="00FD5E4A" w:rsidRPr="003F0866" w:rsidTr="00B64271">
        <w:tc>
          <w:tcPr>
            <w:tcW w:w="2802" w:type="dxa"/>
            <w:tcBorders>
              <w:bottom w:val="single" w:sz="4" w:space="0" w:color="auto"/>
            </w:tcBorders>
          </w:tcPr>
          <w:p w:rsidR="00FD5E4A" w:rsidRPr="003F0866" w:rsidRDefault="00FD5E4A" w:rsidP="00B64271">
            <w:pPr>
              <w:rPr>
                <w:sz w:val="20"/>
                <w:szCs w:val="20"/>
              </w:rPr>
            </w:pPr>
            <w:r w:rsidRPr="003F0866">
              <w:rPr>
                <w:sz w:val="20"/>
                <w:szCs w:val="20"/>
              </w:rPr>
              <w:t>1</w:t>
            </w:r>
          </w:p>
        </w:tc>
        <w:tc>
          <w:tcPr>
            <w:tcW w:w="2976" w:type="dxa"/>
            <w:tcBorders>
              <w:bottom w:val="single" w:sz="4" w:space="0" w:color="auto"/>
            </w:tcBorders>
          </w:tcPr>
          <w:p w:rsidR="00FD5E4A" w:rsidRPr="003F0866" w:rsidRDefault="00FD5E4A" w:rsidP="00B64271">
            <w:pPr>
              <w:rPr>
                <w:sz w:val="20"/>
                <w:szCs w:val="20"/>
              </w:rPr>
            </w:pPr>
            <w:r w:rsidRPr="003F0866">
              <w:rPr>
                <w:sz w:val="20"/>
                <w:szCs w:val="20"/>
              </w:rPr>
              <w:t>117300</w:t>
            </w:r>
          </w:p>
        </w:tc>
        <w:tc>
          <w:tcPr>
            <w:tcW w:w="3119" w:type="dxa"/>
            <w:tcBorders>
              <w:bottom w:val="single" w:sz="4" w:space="0" w:color="auto"/>
            </w:tcBorders>
          </w:tcPr>
          <w:p w:rsidR="00FD5E4A" w:rsidRPr="003F0866" w:rsidRDefault="00FD5E4A" w:rsidP="00B64271">
            <w:pPr>
              <w:rPr>
                <w:sz w:val="20"/>
                <w:szCs w:val="20"/>
              </w:rPr>
            </w:pPr>
            <w:r w:rsidRPr="003F0866">
              <w:rPr>
                <w:sz w:val="20"/>
                <w:szCs w:val="20"/>
              </w:rPr>
              <w:t>117363</w:t>
            </w:r>
          </w:p>
        </w:tc>
      </w:tr>
    </w:tbl>
    <w:p w:rsidR="00FD5E4A" w:rsidRPr="002B3EEA" w:rsidRDefault="00FD5E4A" w:rsidP="00FD5E4A">
      <w:pPr>
        <w:rPr>
          <w:sz w:val="18"/>
          <w:szCs w:val="18"/>
        </w:rPr>
      </w:pPr>
      <w:r w:rsidRPr="002B3EEA">
        <w:rPr>
          <w:sz w:val="18"/>
          <w:szCs w:val="18"/>
        </w:rPr>
        <w:t>NOTES: (1) For the purpose of the scenario, all defective servings were assumed to contain 10</w:t>
      </w:r>
      <w:r w:rsidRPr="002B3EEA">
        <w:rPr>
          <w:sz w:val="18"/>
          <w:szCs w:val="18"/>
          <w:vertAlign w:val="superscript"/>
        </w:rPr>
        <w:t>8</w:t>
      </w:r>
      <w:r w:rsidRPr="002B3EEA">
        <w:rPr>
          <w:sz w:val="18"/>
          <w:szCs w:val="18"/>
        </w:rPr>
        <w:t xml:space="preserve"> CFU/g. </w:t>
      </w:r>
    </w:p>
    <w:p w:rsidR="00FD5E4A" w:rsidRDefault="00FD5E4A" w:rsidP="00FD5E4A">
      <w:pPr>
        <w:rPr>
          <w:sz w:val="18"/>
          <w:szCs w:val="18"/>
        </w:rPr>
      </w:pPr>
      <w:r w:rsidRPr="002B3EEA">
        <w:rPr>
          <w:sz w:val="18"/>
          <w:szCs w:val="18"/>
        </w:rPr>
        <w:t xml:space="preserve">(2) </w:t>
      </w:r>
      <w:proofErr w:type="gramStart"/>
      <w:r w:rsidRPr="002B3EEA">
        <w:rPr>
          <w:sz w:val="18"/>
          <w:szCs w:val="18"/>
        </w:rPr>
        <w:t>for</w:t>
      </w:r>
      <w:proofErr w:type="gramEnd"/>
      <w:r w:rsidRPr="002B3EEA">
        <w:rPr>
          <w:sz w:val="18"/>
          <w:szCs w:val="18"/>
        </w:rPr>
        <w:t xml:space="preserve"> the purposes of this scenario, an r- value of 5.85 X10-</w:t>
      </w:r>
      <w:r w:rsidRPr="002B3EEA">
        <w:rPr>
          <w:sz w:val="18"/>
          <w:szCs w:val="18"/>
          <w:vertAlign w:val="superscript"/>
        </w:rPr>
        <w:t>12</w:t>
      </w:r>
      <w:r w:rsidRPr="002B3EEA">
        <w:rPr>
          <w:sz w:val="18"/>
          <w:szCs w:val="18"/>
        </w:rPr>
        <w:t xml:space="preserve"> was employed and a standard serving size of 31.8</w:t>
      </w:r>
      <w:r>
        <w:rPr>
          <w:sz w:val="18"/>
          <w:szCs w:val="18"/>
        </w:rPr>
        <w:t xml:space="preserve"> </w:t>
      </w:r>
      <w:r w:rsidRPr="002B3EEA">
        <w:rPr>
          <w:sz w:val="18"/>
          <w:szCs w:val="18"/>
        </w:rPr>
        <w:t>g was assumed. In the case of 100 CFU/g calculations, the defective servings were assumed to be proportionately distributed according to the number of servings within each cell concentration bin.</w:t>
      </w:r>
    </w:p>
    <w:p w:rsidR="003F0866" w:rsidRDefault="003F0866" w:rsidP="00FD5E4A">
      <w:pPr>
        <w:rPr>
          <w:sz w:val="18"/>
          <w:szCs w:val="18"/>
        </w:rPr>
      </w:pPr>
    </w:p>
    <w:p w:rsidR="00C555FD" w:rsidRDefault="00C555FD" w:rsidP="00225F9D">
      <w:pPr>
        <w:pStyle w:val="Heading3"/>
      </w:pPr>
      <w:r>
        <w:t>Growth in foods</w:t>
      </w:r>
    </w:p>
    <w:p w:rsidR="00C8502C" w:rsidRDefault="0058649F" w:rsidP="00225F9D">
      <w:r>
        <w:t xml:space="preserve">An estimate of the risk of listeriosis from foods that do or do not support the growth of </w:t>
      </w:r>
      <w:r w:rsidRPr="00225F9D">
        <w:rPr>
          <w:i/>
        </w:rPr>
        <w:t>L.</w:t>
      </w:r>
      <w:r>
        <w:rPr>
          <w:i/>
        </w:rPr>
        <w:t> </w:t>
      </w:r>
      <w:r w:rsidRPr="00225F9D">
        <w:rPr>
          <w:i/>
        </w:rPr>
        <w:t>monocytogenes</w:t>
      </w:r>
      <w:r>
        <w:t xml:space="preserve"> at specific storage and shelf-life conditions was also investigated in the JEMRA risk assessment. </w:t>
      </w:r>
      <w:r w:rsidR="00C8502C" w:rsidRPr="00896CE9">
        <w:t>The extent to which growth occur</w:t>
      </w:r>
      <w:r w:rsidR="00C8502C">
        <w:t>red</w:t>
      </w:r>
      <w:r w:rsidR="00C8502C" w:rsidRPr="00896CE9">
        <w:t xml:space="preserve"> was dependent on the characteristics of the food and the conditions and duration of refrigerated storage</w:t>
      </w:r>
      <w:r w:rsidR="00C8502C">
        <w:t xml:space="preserve">. </w:t>
      </w:r>
    </w:p>
    <w:p w:rsidR="00C8502C" w:rsidRDefault="00C8502C" w:rsidP="00225F9D"/>
    <w:p w:rsidR="00C555FD" w:rsidRDefault="00C8502C" w:rsidP="00225F9D">
      <w:r>
        <w:t>Comparisons of the predicted risk per million servings between milk and ice cream and cold-smoked fish and fermented meat products, indicated the ability of a product to support growth within its shelf-life substantially increased the risk of listeriosis (Table 4).</w:t>
      </w:r>
    </w:p>
    <w:p w:rsidR="00C555FD" w:rsidRDefault="00C555FD" w:rsidP="00FD5E4A"/>
    <w:p w:rsidR="00C8502C" w:rsidRPr="003F0866" w:rsidRDefault="00C8502C" w:rsidP="00C8502C">
      <w:pPr>
        <w:pStyle w:val="FSTableHeading"/>
        <w:tabs>
          <w:tab w:val="left" w:pos="1134"/>
        </w:tabs>
        <w:spacing w:before="120" w:after="120"/>
        <w:ind w:left="1134" w:hanging="1134"/>
        <w:jc w:val="left"/>
        <w:rPr>
          <w:rFonts w:ascii="Arial" w:hAnsi="Arial"/>
          <w:b w:val="0"/>
          <w:i/>
          <w:sz w:val="22"/>
          <w:szCs w:val="22"/>
        </w:rPr>
      </w:pPr>
      <w:r w:rsidRPr="003F0866">
        <w:rPr>
          <w:rFonts w:ascii="Arial" w:hAnsi="Arial"/>
          <w:i/>
          <w:sz w:val="22"/>
          <w:szCs w:val="22"/>
        </w:rPr>
        <w:t xml:space="preserve">Table </w:t>
      </w:r>
      <w:r>
        <w:rPr>
          <w:rFonts w:ascii="Arial" w:hAnsi="Arial"/>
          <w:i/>
          <w:sz w:val="22"/>
          <w:szCs w:val="22"/>
        </w:rPr>
        <w:t>4</w:t>
      </w:r>
      <w:r w:rsidRPr="003F0866">
        <w:rPr>
          <w:rFonts w:ascii="Arial" w:hAnsi="Arial"/>
          <w:i/>
          <w:sz w:val="22"/>
          <w:szCs w:val="22"/>
        </w:rPr>
        <w:t>:</w:t>
      </w:r>
      <w:r>
        <w:rPr>
          <w:rFonts w:ascii="Arial" w:hAnsi="Arial"/>
          <w:b w:val="0"/>
          <w:i/>
          <w:sz w:val="22"/>
          <w:szCs w:val="22"/>
        </w:rPr>
        <w:tab/>
        <w:t xml:space="preserve">Estimated risks of listeriosis per 100,000 population and per million servings for the four selected foods </w:t>
      </w:r>
      <w:r w:rsidRPr="003F0866">
        <w:rPr>
          <w:rFonts w:ascii="Arial" w:hAnsi="Arial"/>
          <w:b w:val="0"/>
          <w:i/>
          <w:sz w:val="22"/>
          <w:szCs w:val="22"/>
        </w:rPr>
        <w:fldChar w:fldCharType="begin"/>
      </w:r>
      <w:r>
        <w:rPr>
          <w:rFonts w:ascii="Arial" w:hAnsi="Arial"/>
          <w:b w:val="0"/>
          <w:i/>
          <w:sz w:val="22"/>
          <w:szCs w:val="22"/>
        </w:rPr>
        <w:instrText xml:space="preserve"> ADDIN REFMGR.CITE &lt;Refman&gt;&lt;Cite&gt;&lt;Author&gt;WHO/FAO&lt;/Author&gt;&lt;Year&gt;2005&lt;/Year&gt;&lt;RecNum&gt;4122&lt;/RecNum&gt;&lt;IDText&gt;Risk assessment of Listeria monocytogenes in ready-to-eat foods&lt;/IDText&gt;&lt;Prefix&gt;taken from Table 5.4 of &lt;/Prefix&gt;&lt;MDL Ref_Type="Report"&gt;&lt;Ref_Type&gt;Report&lt;/Ref_Type&gt;&lt;Ref_ID&gt;4122&lt;/Ref_ID&gt;&lt;Title_Primary&gt;Risk assessment of &lt;i&gt;Listeria monocytogenes&lt;/i&gt; in ready-to-eat foods&lt;/Title_Primary&gt;&lt;Authors_Primary&gt;WHO/FAO&lt;/Authors_Primary&gt;&lt;Date_Primary&gt;2005&lt;/Date_Primary&gt;&lt;Keywords&gt;FOOD&lt;/Keywords&gt;&lt;Keywords&gt;FOODS&lt;/Keywords&gt;&lt;Keywords&gt;Listeria&lt;/Keywords&gt;&lt;Keywords&gt;Listeria monocytogenes&lt;/Keywords&gt;&lt;Keywords&gt;LISTERIA-MONOCYTOGENES&lt;/Keywords&gt;&lt;Keywords&gt;MONOCYTOGENES&lt;/Keywords&gt;&lt;Keywords&gt;Risk&lt;/Keywords&gt;&lt;Keywords&gt;Risk Assessment&lt;/Keywords&gt;&lt;Keywords&gt;RISK-ASSESSMENT&lt;/Keywords&gt;&lt;Reprint&gt;In File&lt;/Reprint&gt;&lt;Pub_Place&gt;Geneva&lt;/Pub_Place&gt;&lt;Publisher&gt;World Health Organization and Food and Agriculture Organization of the United Nations&lt;/Publisher&gt;&lt;Date_Secondary&gt;2012/6/14&lt;/Date_Secondary&gt;&lt;Web_URL&gt;&lt;u&gt;http://www.who.int/foodsafety/publications/micro/mra_listeria/en/index.html&lt;/u&gt;&lt;/Web_URL&gt;&lt;ZZ_WorkformID&gt;24&lt;/ZZ_WorkformID&gt;&lt;/MDL&gt;&lt;/Cite&gt;&lt;/Refman&gt;</w:instrText>
      </w:r>
      <w:r w:rsidRPr="003F0866">
        <w:rPr>
          <w:rFonts w:ascii="Arial" w:hAnsi="Arial"/>
          <w:b w:val="0"/>
          <w:i/>
          <w:sz w:val="22"/>
          <w:szCs w:val="22"/>
        </w:rPr>
        <w:fldChar w:fldCharType="separate"/>
      </w:r>
      <w:r w:rsidRPr="003F0866">
        <w:rPr>
          <w:rFonts w:ascii="Arial" w:hAnsi="Arial"/>
          <w:b w:val="0"/>
          <w:i/>
          <w:noProof/>
          <w:sz w:val="22"/>
          <w:szCs w:val="22"/>
        </w:rPr>
        <w:t xml:space="preserve">(taken from Table </w:t>
      </w:r>
      <w:r>
        <w:rPr>
          <w:rFonts w:ascii="Arial" w:hAnsi="Arial"/>
          <w:b w:val="0"/>
          <w:i/>
          <w:noProof/>
          <w:sz w:val="22"/>
          <w:szCs w:val="22"/>
        </w:rPr>
        <w:t>4.34</w:t>
      </w:r>
      <w:r w:rsidRPr="003F0866">
        <w:rPr>
          <w:rFonts w:ascii="Arial" w:hAnsi="Arial"/>
          <w:b w:val="0"/>
          <w:i/>
          <w:noProof/>
          <w:sz w:val="22"/>
          <w:szCs w:val="22"/>
        </w:rPr>
        <w:t xml:space="preserve"> of WHO/FAO 2005)</w:t>
      </w:r>
      <w:r w:rsidRPr="003F0866">
        <w:rPr>
          <w:rFonts w:ascii="Arial" w:hAnsi="Arial"/>
          <w:b w:val="0"/>
          <w:i/>
          <w:sz w:val="22"/>
          <w:szCs w:val="22"/>
        </w:rPr>
        <w:fldChar w:fldCharType="end"/>
      </w:r>
      <w:r w:rsidRPr="003F0866">
        <w:rPr>
          <w:rFonts w:ascii="Arial" w:hAnsi="Arial"/>
          <w:b w:val="0"/>
          <w: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4 Hypothetica &quot;what if&quot; scenario demonstrating the effect of defect rate on the number of 'predicted cases' of foodborne listeriosis"/>
      </w:tblPr>
      <w:tblGrid>
        <w:gridCol w:w="2802"/>
        <w:gridCol w:w="2976"/>
        <w:gridCol w:w="3119"/>
      </w:tblGrid>
      <w:tr w:rsidR="00BB6D40" w:rsidRPr="003F0866" w:rsidTr="00C07FDF">
        <w:tc>
          <w:tcPr>
            <w:tcW w:w="2802" w:type="dxa"/>
            <w:tcBorders>
              <w:top w:val="single" w:sz="4" w:space="0" w:color="auto"/>
              <w:bottom w:val="single" w:sz="4" w:space="0" w:color="auto"/>
            </w:tcBorders>
          </w:tcPr>
          <w:p w:rsidR="00BB6D40" w:rsidRPr="003F0866" w:rsidRDefault="00BB6D40" w:rsidP="004C68EE">
            <w:pPr>
              <w:rPr>
                <w:sz w:val="20"/>
                <w:szCs w:val="20"/>
              </w:rPr>
            </w:pPr>
            <w:r>
              <w:rPr>
                <w:b/>
                <w:sz w:val="20"/>
                <w:szCs w:val="20"/>
              </w:rPr>
              <w:t>Food</w:t>
            </w:r>
          </w:p>
        </w:tc>
        <w:tc>
          <w:tcPr>
            <w:tcW w:w="2976" w:type="dxa"/>
            <w:tcBorders>
              <w:top w:val="single" w:sz="4" w:space="0" w:color="auto"/>
              <w:bottom w:val="single" w:sz="4" w:space="0" w:color="auto"/>
            </w:tcBorders>
          </w:tcPr>
          <w:p w:rsidR="00BB6D40" w:rsidRPr="003F0866" w:rsidRDefault="00BB6D40" w:rsidP="00225F9D">
            <w:pPr>
              <w:jc w:val="center"/>
              <w:rPr>
                <w:b/>
                <w:sz w:val="20"/>
                <w:szCs w:val="20"/>
              </w:rPr>
            </w:pPr>
            <w:r>
              <w:rPr>
                <w:b/>
                <w:sz w:val="20"/>
                <w:szCs w:val="20"/>
              </w:rPr>
              <w:t>Cases of listeriosis per 100,000 population</w:t>
            </w:r>
          </w:p>
        </w:tc>
        <w:tc>
          <w:tcPr>
            <w:tcW w:w="3119" w:type="dxa"/>
            <w:tcBorders>
              <w:top w:val="single" w:sz="4" w:space="0" w:color="auto"/>
              <w:bottom w:val="single" w:sz="4" w:space="0" w:color="auto"/>
            </w:tcBorders>
          </w:tcPr>
          <w:p w:rsidR="00BB6D40" w:rsidRPr="003F0866" w:rsidRDefault="00BB6D40" w:rsidP="00225F9D">
            <w:pPr>
              <w:jc w:val="center"/>
              <w:rPr>
                <w:b/>
                <w:sz w:val="20"/>
                <w:szCs w:val="20"/>
              </w:rPr>
            </w:pPr>
            <w:r>
              <w:rPr>
                <w:b/>
                <w:sz w:val="20"/>
                <w:szCs w:val="20"/>
              </w:rPr>
              <w:t>Cases of listeriosis per 1 million servings</w:t>
            </w:r>
          </w:p>
        </w:tc>
      </w:tr>
      <w:tr w:rsidR="00C8502C" w:rsidRPr="003F0866" w:rsidTr="004C68EE">
        <w:tc>
          <w:tcPr>
            <w:tcW w:w="2802" w:type="dxa"/>
            <w:tcBorders>
              <w:top w:val="single" w:sz="4" w:space="0" w:color="auto"/>
            </w:tcBorders>
          </w:tcPr>
          <w:p w:rsidR="00C8502C" w:rsidRPr="003F0866" w:rsidRDefault="00BB6D40" w:rsidP="004C68EE">
            <w:pPr>
              <w:rPr>
                <w:sz w:val="20"/>
                <w:szCs w:val="20"/>
              </w:rPr>
            </w:pPr>
            <w:r>
              <w:rPr>
                <w:sz w:val="20"/>
                <w:szCs w:val="20"/>
              </w:rPr>
              <w:t>Milk</w:t>
            </w:r>
          </w:p>
        </w:tc>
        <w:tc>
          <w:tcPr>
            <w:tcW w:w="2976" w:type="dxa"/>
            <w:tcBorders>
              <w:top w:val="single" w:sz="4" w:space="0" w:color="auto"/>
            </w:tcBorders>
          </w:tcPr>
          <w:p w:rsidR="00C8502C" w:rsidRPr="003F0866" w:rsidRDefault="00BB6D40" w:rsidP="00225F9D">
            <w:pPr>
              <w:jc w:val="center"/>
              <w:rPr>
                <w:sz w:val="20"/>
                <w:szCs w:val="20"/>
              </w:rPr>
            </w:pPr>
            <w:r>
              <w:rPr>
                <w:sz w:val="20"/>
                <w:szCs w:val="20"/>
              </w:rPr>
              <w:t>0.091</w:t>
            </w:r>
          </w:p>
        </w:tc>
        <w:tc>
          <w:tcPr>
            <w:tcW w:w="3119" w:type="dxa"/>
            <w:tcBorders>
              <w:top w:val="single" w:sz="4" w:space="0" w:color="auto"/>
            </w:tcBorders>
          </w:tcPr>
          <w:p w:rsidR="00C8502C" w:rsidRPr="003F0866" w:rsidRDefault="00BB6D40" w:rsidP="00225F9D">
            <w:pPr>
              <w:jc w:val="center"/>
              <w:rPr>
                <w:sz w:val="20"/>
                <w:szCs w:val="20"/>
              </w:rPr>
            </w:pPr>
            <w:r>
              <w:rPr>
                <w:sz w:val="20"/>
                <w:szCs w:val="20"/>
              </w:rPr>
              <w:t>0.005</w:t>
            </w:r>
          </w:p>
        </w:tc>
      </w:tr>
      <w:tr w:rsidR="00C8502C" w:rsidRPr="003F0866" w:rsidTr="004C68EE">
        <w:tc>
          <w:tcPr>
            <w:tcW w:w="2802" w:type="dxa"/>
          </w:tcPr>
          <w:p w:rsidR="00C8502C" w:rsidRPr="003F0866" w:rsidRDefault="00BB6D40" w:rsidP="004C68EE">
            <w:pPr>
              <w:rPr>
                <w:sz w:val="20"/>
                <w:szCs w:val="20"/>
              </w:rPr>
            </w:pPr>
            <w:r>
              <w:rPr>
                <w:sz w:val="20"/>
                <w:szCs w:val="20"/>
              </w:rPr>
              <w:t>Ice Cream</w:t>
            </w:r>
          </w:p>
        </w:tc>
        <w:tc>
          <w:tcPr>
            <w:tcW w:w="2976" w:type="dxa"/>
          </w:tcPr>
          <w:p w:rsidR="00C8502C" w:rsidRPr="003F0866" w:rsidRDefault="00BB6D40" w:rsidP="00225F9D">
            <w:pPr>
              <w:jc w:val="center"/>
              <w:rPr>
                <w:sz w:val="20"/>
                <w:szCs w:val="20"/>
              </w:rPr>
            </w:pPr>
            <w:r>
              <w:rPr>
                <w:sz w:val="20"/>
                <w:szCs w:val="20"/>
              </w:rPr>
              <w:t>0.00012</w:t>
            </w:r>
          </w:p>
        </w:tc>
        <w:tc>
          <w:tcPr>
            <w:tcW w:w="3119" w:type="dxa"/>
          </w:tcPr>
          <w:p w:rsidR="00C8502C" w:rsidRPr="003F0866" w:rsidRDefault="00BB6D40" w:rsidP="00225F9D">
            <w:pPr>
              <w:jc w:val="center"/>
              <w:rPr>
                <w:sz w:val="20"/>
                <w:szCs w:val="20"/>
              </w:rPr>
            </w:pPr>
            <w:r>
              <w:rPr>
                <w:sz w:val="20"/>
                <w:szCs w:val="20"/>
              </w:rPr>
              <w:t>0.000014</w:t>
            </w:r>
          </w:p>
        </w:tc>
      </w:tr>
      <w:tr w:rsidR="00BB6D40" w:rsidRPr="003F0866" w:rsidTr="004C68EE">
        <w:tc>
          <w:tcPr>
            <w:tcW w:w="2802" w:type="dxa"/>
          </w:tcPr>
          <w:p w:rsidR="00BB6D40" w:rsidRDefault="00BB6D40" w:rsidP="004C68EE">
            <w:pPr>
              <w:rPr>
                <w:sz w:val="20"/>
                <w:szCs w:val="20"/>
              </w:rPr>
            </w:pPr>
          </w:p>
        </w:tc>
        <w:tc>
          <w:tcPr>
            <w:tcW w:w="2976" w:type="dxa"/>
          </w:tcPr>
          <w:p w:rsidR="00BB6D40" w:rsidRDefault="00BB6D40" w:rsidP="00BB6D40">
            <w:pPr>
              <w:jc w:val="center"/>
              <w:rPr>
                <w:sz w:val="20"/>
                <w:szCs w:val="20"/>
              </w:rPr>
            </w:pPr>
          </w:p>
        </w:tc>
        <w:tc>
          <w:tcPr>
            <w:tcW w:w="3119" w:type="dxa"/>
          </w:tcPr>
          <w:p w:rsidR="00BB6D40" w:rsidRDefault="00BB6D40" w:rsidP="00BB6D40">
            <w:pPr>
              <w:jc w:val="center"/>
              <w:rPr>
                <w:sz w:val="20"/>
                <w:szCs w:val="20"/>
              </w:rPr>
            </w:pPr>
          </w:p>
        </w:tc>
      </w:tr>
      <w:tr w:rsidR="00C8502C" w:rsidRPr="003F0866" w:rsidTr="004C68EE">
        <w:tc>
          <w:tcPr>
            <w:tcW w:w="2802" w:type="dxa"/>
          </w:tcPr>
          <w:p w:rsidR="00C8502C" w:rsidRPr="003F0866" w:rsidRDefault="00BB6D40" w:rsidP="004C68EE">
            <w:pPr>
              <w:rPr>
                <w:sz w:val="20"/>
                <w:szCs w:val="20"/>
              </w:rPr>
            </w:pPr>
            <w:r>
              <w:rPr>
                <w:sz w:val="20"/>
                <w:szCs w:val="20"/>
              </w:rPr>
              <w:t>Cold-Smoked Fish</w:t>
            </w:r>
          </w:p>
        </w:tc>
        <w:tc>
          <w:tcPr>
            <w:tcW w:w="2976" w:type="dxa"/>
          </w:tcPr>
          <w:p w:rsidR="00C8502C" w:rsidRPr="003F0866" w:rsidRDefault="00BB6D40" w:rsidP="00225F9D">
            <w:pPr>
              <w:jc w:val="center"/>
              <w:rPr>
                <w:sz w:val="20"/>
                <w:szCs w:val="20"/>
              </w:rPr>
            </w:pPr>
            <w:r>
              <w:rPr>
                <w:sz w:val="20"/>
                <w:szCs w:val="20"/>
              </w:rPr>
              <w:t>0.016</w:t>
            </w:r>
          </w:p>
        </w:tc>
        <w:tc>
          <w:tcPr>
            <w:tcW w:w="3119" w:type="dxa"/>
          </w:tcPr>
          <w:p w:rsidR="00C8502C" w:rsidRPr="003F0866" w:rsidRDefault="00BB6D40" w:rsidP="00225F9D">
            <w:pPr>
              <w:jc w:val="center"/>
              <w:rPr>
                <w:sz w:val="20"/>
                <w:szCs w:val="20"/>
              </w:rPr>
            </w:pPr>
            <w:r>
              <w:rPr>
                <w:sz w:val="20"/>
                <w:szCs w:val="20"/>
              </w:rPr>
              <w:t>0.053</w:t>
            </w:r>
          </w:p>
        </w:tc>
      </w:tr>
      <w:tr w:rsidR="00C8502C" w:rsidRPr="003F0866" w:rsidTr="004C68EE">
        <w:tc>
          <w:tcPr>
            <w:tcW w:w="2802" w:type="dxa"/>
            <w:tcBorders>
              <w:bottom w:val="single" w:sz="4" w:space="0" w:color="auto"/>
            </w:tcBorders>
          </w:tcPr>
          <w:p w:rsidR="00C8502C" w:rsidRPr="003F0866" w:rsidRDefault="00BB6D40" w:rsidP="004C68EE">
            <w:pPr>
              <w:rPr>
                <w:sz w:val="20"/>
                <w:szCs w:val="20"/>
              </w:rPr>
            </w:pPr>
            <w:r>
              <w:rPr>
                <w:sz w:val="20"/>
                <w:szCs w:val="20"/>
              </w:rPr>
              <w:t>Fermented Meat Products</w:t>
            </w:r>
          </w:p>
        </w:tc>
        <w:tc>
          <w:tcPr>
            <w:tcW w:w="2976" w:type="dxa"/>
            <w:tcBorders>
              <w:bottom w:val="single" w:sz="4" w:space="0" w:color="auto"/>
            </w:tcBorders>
          </w:tcPr>
          <w:p w:rsidR="00C8502C" w:rsidRPr="003F0866" w:rsidRDefault="00BB6D40" w:rsidP="00225F9D">
            <w:pPr>
              <w:jc w:val="center"/>
              <w:rPr>
                <w:sz w:val="20"/>
                <w:szCs w:val="20"/>
              </w:rPr>
            </w:pPr>
            <w:r>
              <w:rPr>
                <w:sz w:val="20"/>
                <w:szCs w:val="20"/>
              </w:rPr>
              <w:t>0.0000055</w:t>
            </w:r>
          </w:p>
        </w:tc>
        <w:tc>
          <w:tcPr>
            <w:tcW w:w="3119" w:type="dxa"/>
            <w:tcBorders>
              <w:bottom w:val="single" w:sz="4" w:space="0" w:color="auto"/>
            </w:tcBorders>
          </w:tcPr>
          <w:p w:rsidR="00C8502C" w:rsidRPr="003F0866" w:rsidRDefault="00BB6D40" w:rsidP="00225F9D">
            <w:pPr>
              <w:jc w:val="center"/>
              <w:rPr>
                <w:sz w:val="20"/>
                <w:szCs w:val="20"/>
              </w:rPr>
            </w:pPr>
            <w:r>
              <w:rPr>
                <w:sz w:val="20"/>
                <w:szCs w:val="20"/>
              </w:rPr>
              <w:t>0.0000021</w:t>
            </w:r>
          </w:p>
        </w:tc>
      </w:tr>
    </w:tbl>
    <w:p w:rsidR="00C8502C" w:rsidRDefault="00C8502C" w:rsidP="00FD5E4A"/>
    <w:p w:rsidR="00C555FD" w:rsidRDefault="00E74FDA" w:rsidP="00225F9D">
      <w:pPr>
        <w:pStyle w:val="Heading3"/>
      </w:pPr>
      <w:r>
        <w:t>S</w:t>
      </w:r>
      <w:r w:rsidR="00B73A51">
        <w:t>ummary</w:t>
      </w:r>
    </w:p>
    <w:p w:rsidR="00C555FD" w:rsidRPr="002B3EEA" w:rsidRDefault="00C555FD" w:rsidP="00C555FD">
      <w:r w:rsidRPr="002B3EEA">
        <w:t xml:space="preserve">An overall conclusion of the JEMRA risk assessment was that nearly all cases of listeriosis result from the consumption of high numbers of the pathogen. The greatest risk associated with RTE foods is therefore the small portion of products with high contamination levels of </w:t>
      </w:r>
      <w:r w:rsidRPr="002B3EEA">
        <w:br/>
      </w:r>
      <w:r w:rsidRPr="002B3EEA">
        <w:rPr>
          <w:i/>
        </w:rPr>
        <w:t>L. monocytogenes.</w:t>
      </w:r>
      <w:r w:rsidRPr="002B3EEA">
        <w:t xml:space="preserve"> </w:t>
      </w:r>
    </w:p>
    <w:p w:rsidR="00C555FD" w:rsidRDefault="00C555FD" w:rsidP="00C555FD"/>
    <w:p w:rsidR="00C555FD" w:rsidRPr="002B3EEA" w:rsidRDefault="00C555FD" w:rsidP="00C555FD">
      <w:pPr>
        <w:widowControl/>
        <w:ind w:right="-330"/>
      </w:pPr>
      <w:r w:rsidRPr="00225F9D">
        <w:t xml:space="preserve">It was also demonstrated that the potential for growth of </w:t>
      </w:r>
      <w:r w:rsidRPr="00225F9D">
        <w:rPr>
          <w:i/>
        </w:rPr>
        <w:t>L. monocytogenes</w:t>
      </w:r>
      <w:r w:rsidRPr="00225F9D">
        <w:t xml:space="preserve"> strongly influences the subsequent risk of listeriosis.</w:t>
      </w:r>
      <w:r w:rsidRPr="002B3EEA">
        <w:t xml:space="preserve"> </w:t>
      </w:r>
    </w:p>
    <w:p w:rsidR="00C555FD" w:rsidRPr="002B3EEA" w:rsidRDefault="00C555FD" w:rsidP="00C555FD">
      <w:pPr>
        <w:widowControl/>
      </w:pPr>
    </w:p>
    <w:p w:rsidR="00C555FD" w:rsidRDefault="00C555FD" w:rsidP="00C555FD">
      <w:pPr>
        <w:widowControl/>
        <w:ind w:right="-330"/>
      </w:pPr>
      <w:r w:rsidRPr="002B3EEA">
        <w:t>For the RTE foods selected in the model, their ability to support the growth of</w:t>
      </w:r>
      <w:r>
        <w:t xml:space="preserve"> </w:t>
      </w:r>
      <w:r w:rsidRPr="002B3EEA">
        <w:rPr>
          <w:i/>
        </w:rPr>
        <w:t>L. monocytogenes</w:t>
      </w:r>
      <w:r w:rsidRPr="002B3EEA">
        <w:t xml:space="preserve"> led to an increase in the risk of listeriosis of 100- to 1000-fold on a per-serving basis.</w:t>
      </w:r>
    </w:p>
    <w:p w:rsidR="00C555FD" w:rsidRPr="00225F9D" w:rsidRDefault="00C555FD" w:rsidP="00FD5E4A"/>
    <w:p w:rsidR="00FD5E4A" w:rsidRDefault="00725E2B" w:rsidP="00143C66">
      <w:pPr>
        <w:pStyle w:val="Heading1"/>
      </w:pPr>
      <w:r>
        <w:lastRenderedPageBreak/>
        <w:t>Microbiological Criteria</w:t>
      </w:r>
    </w:p>
    <w:p w:rsidR="001B0829" w:rsidRDefault="008B5C8E" w:rsidP="00E06421">
      <w:r>
        <w:t>T</w:t>
      </w:r>
      <w:r w:rsidR="00725E2B" w:rsidRPr="002B3EEA">
        <w:t>he Codex Committee on Food Hygiene (CCFH) develop</w:t>
      </w:r>
      <w:r>
        <w:t>ed</w:t>
      </w:r>
      <w:r w:rsidR="00725E2B" w:rsidRPr="002B3EEA">
        <w:t xml:space="preserve"> microbiological criteria to accompany the </w:t>
      </w:r>
      <w:r w:rsidR="00725E2B" w:rsidRPr="002B3EEA">
        <w:rPr>
          <w:i/>
        </w:rPr>
        <w:t xml:space="preserve">Guidelines on the Application of General Principles of Food Hygiene to the Control of </w:t>
      </w:r>
      <w:r w:rsidR="00725E2B" w:rsidRPr="002B3EEA">
        <w:t>Listeria monocytogenes</w:t>
      </w:r>
      <w:r w:rsidR="00725E2B" w:rsidRPr="002B3EEA">
        <w:rPr>
          <w:i/>
        </w:rPr>
        <w:t xml:space="preserve"> in Foods</w:t>
      </w:r>
      <w:r w:rsidR="00725E2B" w:rsidRPr="002B3EEA">
        <w:t xml:space="preserve"> (CAC/GL 61 – 2007).</w:t>
      </w:r>
      <w:r>
        <w:t xml:space="preserve"> </w:t>
      </w:r>
      <w:r w:rsidR="001B0829">
        <w:t xml:space="preserve">Criteria </w:t>
      </w:r>
      <w:r w:rsidR="000C1FDE">
        <w:t>were established</w:t>
      </w:r>
      <w:r>
        <w:t xml:space="preserve"> based on </w:t>
      </w:r>
      <w:r w:rsidR="001B0829">
        <w:t>evidence from</w:t>
      </w:r>
      <w:r>
        <w:t xml:space="preserve"> risk assessments </w:t>
      </w:r>
      <w:r w:rsidR="001B0829">
        <w:t>indicating</w:t>
      </w:r>
      <w:r>
        <w:t xml:space="preserve"> food can be categorised according to the likelihood of </w:t>
      </w:r>
      <w:r w:rsidRPr="008B5C8E">
        <w:rPr>
          <w:i/>
        </w:rPr>
        <w:t>L. monocytogenes</w:t>
      </w:r>
      <w:r>
        <w:t xml:space="preserve"> being present and its ability to grow in the food. </w:t>
      </w:r>
      <w:r w:rsidR="00BB6D40">
        <w:t>For f</w:t>
      </w:r>
      <w:r w:rsidR="001B0829">
        <w:t xml:space="preserve">oods in which growth of </w:t>
      </w:r>
      <w:r w:rsidR="001B0829" w:rsidRPr="00E06421">
        <w:rPr>
          <w:i/>
        </w:rPr>
        <w:t>L. monocytogenes</w:t>
      </w:r>
      <w:r w:rsidR="001B0829">
        <w:t xml:space="preserve"> will not occur</w:t>
      </w:r>
      <w:r w:rsidR="00BB6D40">
        <w:t>, CCFH established</w:t>
      </w:r>
      <w:r w:rsidR="001B0829">
        <w:t xml:space="preserve"> a criterion of &lt;100 cfu/g, while foods in which growth of </w:t>
      </w:r>
      <w:r w:rsidR="001B0829" w:rsidRPr="00E06421">
        <w:rPr>
          <w:i/>
        </w:rPr>
        <w:t>L. monocytogenes</w:t>
      </w:r>
      <w:r w:rsidR="001B0829">
        <w:t xml:space="preserve"> can occur have a limit of not detected in 25 grams</w:t>
      </w:r>
      <w:r w:rsidR="00773092">
        <w:t xml:space="preserve"> (refer Attachment A</w:t>
      </w:r>
      <w:r w:rsidR="00A71289">
        <w:t>)</w:t>
      </w:r>
      <w:r w:rsidR="001B0829">
        <w:t>.</w:t>
      </w:r>
    </w:p>
    <w:p w:rsidR="00725E2B" w:rsidRDefault="00725E2B" w:rsidP="00CF68D9"/>
    <w:p w:rsidR="001B0829" w:rsidRPr="002B3EEA" w:rsidRDefault="000C1FDE" w:rsidP="00CF68D9">
      <w:r>
        <w:t>Similar microbiological</w:t>
      </w:r>
      <w:r w:rsidR="001B0829">
        <w:t xml:space="preserve"> criteria </w:t>
      </w:r>
      <w:r w:rsidRPr="00E06421">
        <w:t>have been</w:t>
      </w:r>
      <w:r w:rsidRPr="000C1FDE">
        <w:t xml:space="preserve"> adopted</w:t>
      </w:r>
      <w:r>
        <w:t xml:space="preserve"> internationally, including Canada and the EU</w:t>
      </w:r>
      <w:r w:rsidR="00EB528B">
        <w:t xml:space="preserve"> </w:t>
      </w:r>
      <w:r w:rsidR="00EB528B">
        <w:fldChar w:fldCharType="begin"/>
      </w:r>
      <w:r w:rsidR="00B64271">
        <w:instrText xml:space="preserve"> ADDIN REFMGR.CITE &lt;Refman&gt;&lt;Cite&gt;&lt;Author&gt;European Communities&lt;/Author&gt;&lt;Year&gt;2007&lt;/Year&gt;&lt;RecNum&gt;7923&lt;/RecNum&gt;&lt;IDText&gt;Commission regulations (EC) No. 1441/2007 of 5 December 2007 amending Regulation (EC) No 2073/2005 on microbiological criteria for foodstuffs&lt;/IDText&gt;&lt;MDL Ref_Type="Journal"&gt;&lt;Ref_Type&gt;Journal&lt;/Ref_Type&gt;&lt;Ref_ID&gt;7923&lt;/Ref_ID&gt;&lt;Title_Primary&gt;Commission regulations (EC) No. 1441/2007 of 5 December 2007 amending Regulation (EC) No 2073/2005 on microbiological criteria for foodstuffs&lt;/Title_Primary&gt;&lt;Authors_Primary&gt;European Communities&lt;/Authors_Primary&gt;&lt;Date_Primary&gt;2007&lt;/Date_Primary&gt;&lt;Reprint&gt;In File&lt;/Reprint&gt;&lt;Periodical&gt;Official Journal of the European Union&lt;/Periodical&gt;&lt;Volume&gt;L322/12&lt;/Volume&gt;&lt;ZZ_JournalFull&gt;&lt;f name="System"&gt;Official Journal of the European Union&lt;/f&gt;&lt;/ZZ_JournalFull&gt;&lt;ZZ_WorkformID&gt;1&lt;/ZZ_WorkformID&gt;&lt;/MDL&gt;&lt;/Cite&gt;&lt;Cite&gt;&lt;Author&gt;Health Canada&lt;/Author&gt;&lt;Year&gt;2011&lt;/Year&gt;&lt;RecNum&gt;4125&lt;/RecNum&gt;&lt;IDText&gt;Policy on Listeria monocytogenes in ready-to-eat foods&lt;/IDText&gt;&lt;MDL Ref_Type="Report"&gt;&lt;Ref_Type&gt;Report&lt;/Ref_Type&gt;&lt;Ref_ID&gt;4125&lt;/Ref_ID&gt;&lt;Title_Primary&gt;Policy on &lt;i&gt;Listeria monocytogenes&lt;/i&gt; in ready-to-eat foods&lt;/Title_Primary&gt;&lt;Authors_Primary&gt;Health Canada&lt;/Authors_Primary&gt;&lt;Date_Primary&gt;2011&lt;/Date_Primary&gt;&lt;Keywords&gt;Listeria&lt;/Keywords&gt;&lt;Keywords&gt;Listeria monocytogenes&lt;/Keywords&gt;&lt;Keywords&gt;LISTERIA-MONOCYTOGENES&lt;/Keywords&gt;&lt;Keywords&gt;MONOCYTOGENES&lt;/Keywords&gt;&lt;Keywords&gt;FOODS&lt;/Keywords&gt;&lt;Keywords&gt;FOOD&lt;/Keywords&gt;&lt;Reprint&gt;Not in File&lt;/Reprint&gt;&lt;Pub_Place&gt;Ottowa, Canada&lt;/Pub_Place&gt;&lt;Publisher&gt;Health Canada&lt;/Publisher&gt;&lt;Date_Secondary&gt;2012/6/14&lt;/Date_Secondary&gt;&lt;Web_URL&gt;&lt;u&gt;http://www.hc-sc.gc.ca/fn-an/legislation/pol/policy_listeria_monocytogenes_2011-eng.php&lt;/u&gt;&lt;/Web_URL&gt;&lt;ZZ_WorkformID&gt;24&lt;/ZZ_WorkformID&gt;&lt;/MDL&gt;&lt;/Cite&gt;&lt;/Refman&gt;</w:instrText>
      </w:r>
      <w:r w:rsidR="00EB528B">
        <w:fldChar w:fldCharType="separate"/>
      </w:r>
      <w:r w:rsidR="00EB528B">
        <w:rPr>
          <w:noProof/>
        </w:rPr>
        <w:t>(European Communities 2007; Health Canada 2011)</w:t>
      </w:r>
      <w:r w:rsidR="00EB528B">
        <w:fldChar w:fldCharType="end"/>
      </w:r>
      <w:r>
        <w:t xml:space="preserve">. </w:t>
      </w:r>
    </w:p>
    <w:p w:rsidR="00513006" w:rsidRPr="002B3EEA" w:rsidRDefault="00725E2B" w:rsidP="00143C66">
      <w:pPr>
        <w:pStyle w:val="Heading1"/>
      </w:pPr>
      <w:r>
        <w:t>Conclusion</w:t>
      </w:r>
    </w:p>
    <w:p w:rsidR="0041151E" w:rsidRDefault="00512D80" w:rsidP="00EB528B">
      <w:r w:rsidRPr="002B3EEA">
        <w:t xml:space="preserve">Exposure to high levels of </w:t>
      </w:r>
      <w:r w:rsidRPr="002B3EEA">
        <w:rPr>
          <w:i/>
        </w:rPr>
        <w:t>L. monocytogenes</w:t>
      </w:r>
      <w:r w:rsidRPr="002B3EEA">
        <w:t xml:space="preserve"> in food can cause serious illness in certain high-risk populations. </w:t>
      </w:r>
      <w:r w:rsidR="0041151E">
        <w:t xml:space="preserve">In </w:t>
      </w:r>
      <w:r>
        <w:t>many instances,</w:t>
      </w:r>
      <w:r w:rsidR="0041151E">
        <w:t xml:space="preserve"> where foods </w:t>
      </w:r>
      <w:r>
        <w:t>associated with outbreaks have been available for testing,</w:t>
      </w:r>
      <w:r w:rsidR="0041151E">
        <w:t xml:space="preserve"> levels of </w:t>
      </w:r>
      <w:r w:rsidR="0041151E" w:rsidRPr="00512D80">
        <w:rPr>
          <w:i/>
        </w:rPr>
        <w:t>L. monocytogenes</w:t>
      </w:r>
      <w:r w:rsidR="0041151E">
        <w:t xml:space="preserve"> detected </w:t>
      </w:r>
      <w:r>
        <w:t xml:space="preserve">are often </w:t>
      </w:r>
      <w:r w:rsidR="00EB528B">
        <w:t>high</w:t>
      </w:r>
      <w:r>
        <w:t>. Foods containing low levels (</w:t>
      </w:r>
      <w:r w:rsidR="009B5A1C">
        <w:t xml:space="preserve">i.e. </w:t>
      </w:r>
      <w:r>
        <w:t>&lt;10</w:t>
      </w:r>
      <w:r w:rsidR="00EB528B">
        <w:t>0 cfu/g) pose very little risk</w:t>
      </w:r>
      <w:r w:rsidR="00573C7F">
        <w:t xml:space="preserve"> </w:t>
      </w:r>
      <w:r w:rsidR="00573C7F">
        <w:fldChar w:fldCharType="begin">
          <w:fldData xml:space="preserve">PFJlZm1hbj48Q2l0ZT48QXV0aG9yPkNoZW48L0F1dGhvcj48WWVhcj4yMDAzPC9ZZWFyPjxSZWNO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</w:fldData>
        </w:fldChar>
      </w:r>
      <w:r w:rsidR="00B64271">
        <w:instrText xml:space="preserve"> ADDIN REFMGR.CITE </w:instrText>
      </w:r>
      <w:r w:rsidR="00B64271">
        <w:fldChar w:fldCharType="begin">
          <w:fldData xml:space="preserve">PFJlZm1hbj48Q2l0ZT48QXV0aG9yPkNoZW48L0F1dGhvcj48WWVhcj4yMDAzPC9ZZWFyPjxSZWNO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</w:fldData>
        </w:fldChar>
      </w:r>
      <w:r w:rsidR="00B64271">
        <w:instrText xml:space="preserve"> ADDIN EN.CITE.DATA </w:instrText>
      </w:r>
      <w:r w:rsidR="00B64271">
        <w:fldChar w:fldCharType="end"/>
      </w:r>
      <w:r w:rsidR="00573C7F">
        <w:fldChar w:fldCharType="separate"/>
      </w:r>
      <w:r w:rsidR="00573C7F">
        <w:rPr>
          <w:noProof/>
        </w:rPr>
        <w:t>(European Commission Health and Consumer Protection Directorate-General 1999; Chen et al. 2003; WHO/FAO 2005)</w:t>
      </w:r>
      <w:r w:rsidR="00573C7F">
        <w:fldChar w:fldCharType="end"/>
      </w:r>
      <w:r w:rsidR="00277F60">
        <w:t xml:space="preserve">. </w:t>
      </w:r>
    </w:p>
    <w:p w:rsidR="0041151E" w:rsidRDefault="0041151E" w:rsidP="00CF68D9"/>
    <w:p w:rsidR="00512D80" w:rsidRDefault="00CF68D9" w:rsidP="00512D80">
      <w:r w:rsidRPr="002B3EEA">
        <w:t>Control measures that prevent the occurrences of high levels of contamination at consumption are expected to have the greatest impact on reducing rates of listeriosis.</w:t>
      </w:r>
      <w:r w:rsidR="00512D80" w:rsidRPr="00512D80">
        <w:t xml:space="preserve"> </w:t>
      </w:r>
    </w:p>
    <w:p w:rsidR="00512D80" w:rsidRDefault="00512D80" w:rsidP="00512D80"/>
    <w:p w:rsidR="00CF68D9" w:rsidRDefault="00512D80" w:rsidP="00CF68D9">
      <w:r w:rsidRPr="002B3EEA">
        <w:t xml:space="preserve">International risk assessments demonstrate that the risk of illness is strongly influenced by the ability of the food to support the growth of </w:t>
      </w:r>
      <w:r w:rsidRPr="002B3EEA">
        <w:rPr>
          <w:i/>
        </w:rPr>
        <w:t>L. monocytogenes</w:t>
      </w:r>
      <w:r w:rsidRPr="002B3EEA">
        <w:t xml:space="preserve"> to high levels. </w:t>
      </w:r>
      <w:r w:rsidR="009924F6">
        <w:t>Codex m</w:t>
      </w:r>
      <w:r w:rsidR="00725E2B">
        <w:t xml:space="preserve">icrobiological criteria for </w:t>
      </w:r>
      <w:r w:rsidR="00725E2B" w:rsidRPr="009924F6">
        <w:rPr>
          <w:i/>
        </w:rPr>
        <w:t>L</w:t>
      </w:r>
      <w:r w:rsidR="000C1FDE" w:rsidRPr="009924F6">
        <w:rPr>
          <w:i/>
        </w:rPr>
        <w:t>.</w:t>
      </w:r>
      <w:r w:rsidR="00725E2B" w:rsidRPr="009924F6">
        <w:rPr>
          <w:i/>
        </w:rPr>
        <w:t xml:space="preserve"> monocytogenes</w:t>
      </w:r>
      <w:r w:rsidR="00725E2B">
        <w:t xml:space="preserve"> in RTE foods</w:t>
      </w:r>
      <w:r w:rsidR="00BB6D40" w:rsidRPr="00BB6D40">
        <w:t xml:space="preserve"> </w:t>
      </w:r>
      <w:r w:rsidR="00BB6D40">
        <w:t>of &lt;100 cfu/g,</w:t>
      </w:r>
      <w:r w:rsidR="009924F6">
        <w:t xml:space="preserve"> </w:t>
      </w:r>
      <w:r w:rsidR="008B5C8E">
        <w:t>based on whether growth can occur</w:t>
      </w:r>
      <w:r w:rsidR="009924F6">
        <w:t xml:space="preserve"> in a food,</w:t>
      </w:r>
      <w:r w:rsidR="00BB6D40">
        <w:t xml:space="preserve"> </w:t>
      </w:r>
      <w:r w:rsidR="009924F6">
        <w:t>has been adopted by international authorities including Canada and the European Commission.</w:t>
      </w:r>
    </w:p>
    <w:p w:rsidR="00CF68D9" w:rsidRDefault="00CF68D9" w:rsidP="00CF68D9"/>
    <w:p w:rsidR="00725E2B" w:rsidRDefault="00725E2B" w:rsidP="00BC0C2A">
      <w:pPr>
        <w:pStyle w:val="Heading2"/>
        <w:numPr>
          <w:ilvl w:val="0"/>
          <w:numId w:val="0"/>
        </w:numPr>
        <w:ind w:left="576" w:hanging="576"/>
      </w:pPr>
      <w:r>
        <w:t>References</w:t>
      </w:r>
    </w:p>
    <w:p w:rsidR="00B64271" w:rsidRPr="00225F9D" w:rsidRDefault="00AD7364" w:rsidP="00B64271">
      <w:pPr>
        <w:jc w:val="center"/>
        <w:rPr>
          <w:rFonts w:cs="Arial"/>
          <w:noProof/>
          <w:lang w:eastAsia="en-AU" w:bidi="ar-SA"/>
        </w:rPr>
      </w:pPr>
      <w:r>
        <w:rPr>
          <w:lang w:eastAsia="en-AU" w:bidi="ar-SA"/>
        </w:rPr>
        <w:fldChar w:fldCharType="begin"/>
      </w:r>
      <w:r>
        <w:rPr>
          <w:lang w:eastAsia="en-AU" w:bidi="ar-SA"/>
        </w:rPr>
        <w:instrText xml:space="preserve"> ADDIN REFMGR.REFLIST </w:instrText>
      </w:r>
      <w:r>
        <w:rPr>
          <w:lang w:eastAsia="en-AU" w:bidi="ar-SA"/>
        </w:rPr>
        <w:fldChar w:fldCharType="separate"/>
      </w:r>
    </w:p>
    <w:p w:rsidR="00B64271" w:rsidRDefault="00B64271" w:rsidP="00225F9D">
      <w:pPr>
        <w:tabs>
          <w:tab w:val="left" w:pos="0"/>
        </w:tabs>
        <w:spacing w:after="240"/>
        <w:rPr>
          <w:rFonts w:cs="Arial"/>
          <w:noProof/>
          <w:lang w:eastAsia="en-AU" w:bidi="ar-SA"/>
        </w:rPr>
      </w:pPr>
      <w:r>
        <w:rPr>
          <w:rFonts w:cs="Arial"/>
          <w:noProof/>
          <w:lang w:eastAsia="en-AU" w:bidi="ar-SA"/>
        </w:rPr>
        <w:t xml:space="preserve">Chen Y, Ross WH, Scott VN, Gombas DE (2003) </w:t>
      </w:r>
      <w:r w:rsidRPr="00225F9D">
        <w:rPr>
          <w:rFonts w:cs="Arial"/>
          <w:i/>
          <w:noProof/>
          <w:lang w:eastAsia="en-AU" w:bidi="ar-SA"/>
        </w:rPr>
        <w:t>Listeria monocytogenes</w:t>
      </w:r>
      <w:r>
        <w:rPr>
          <w:rFonts w:cs="Arial"/>
          <w:noProof/>
          <w:lang w:eastAsia="en-AU" w:bidi="ar-SA"/>
        </w:rPr>
        <w:t>.  Low levels equal low risk. Journal of Food Protection 66:570–577</w:t>
      </w:r>
    </w:p>
    <w:p w:rsidR="00B64271" w:rsidRDefault="00B64271" w:rsidP="00B64271">
      <w:pPr>
        <w:tabs>
          <w:tab w:val="left" w:pos="0"/>
        </w:tabs>
        <w:rPr>
          <w:rFonts w:cs="Arial"/>
          <w:noProof/>
          <w:lang w:eastAsia="en-AU" w:bidi="ar-SA"/>
        </w:rPr>
      </w:pPr>
      <w:r>
        <w:rPr>
          <w:rFonts w:cs="Arial"/>
          <w:noProof/>
          <w:lang w:eastAsia="en-AU" w:bidi="ar-SA"/>
        </w:rPr>
        <w:t xml:space="preserve">Codex (2007) Guidelines on the Application of General Principals of Food Hygiene on the Control of </w:t>
      </w:r>
      <w:r w:rsidRPr="00225F9D">
        <w:rPr>
          <w:rFonts w:cs="Arial"/>
          <w:i/>
          <w:noProof/>
          <w:lang w:eastAsia="en-AU" w:bidi="ar-SA"/>
        </w:rPr>
        <w:t>Listeria monocytogenes</w:t>
      </w:r>
      <w:r>
        <w:rPr>
          <w:rFonts w:cs="Arial"/>
          <w:noProof/>
          <w:lang w:eastAsia="en-AU" w:bidi="ar-SA"/>
        </w:rPr>
        <w:t xml:space="preserve"> in Foods (CAC/GL 61 - 2007). Codex Alimentarius Commission, Geneva, Switzerland.</w:t>
      </w:r>
    </w:p>
    <w:p w:rsidR="00857B28" w:rsidRDefault="00857B28" w:rsidP="00B64271">
      <w:pPr>
        <w:tabs>
          <w:tab w:val="left" w:pos="0"/>
        </w:tabs>
        <w:rPr>
          <w:rFonts w:cs="Arial"/>
          <w:noProof/>
          <w:lang w:eastAsia="en-AU" w:bidi="ar-SA"/>
        </w:rPr>
      </w:pPr>
    </w:p>
    <w:p w:rsidR="00B64271" w:rsidRDefault="00B64271" w:rsidP="00B64271">
      <w:pPr>
        <w:tabs>
          <w:tab w:val="left" w:pos="0"/>
        </w:tabs>
        <w:rPr>
          <w:rFonts w:cs="Arial"/>
          <w:noProof/>
          <w:lang w:eastAsia="en-AU" w:bidi="ar-SA"/>
        </w:rPr>
      </w:pPr>
      <w:r>
        <w:rPr>
          <w:rFonts w:cs="Arial"/>
          <w:noProof/>
          <w:lang w:eastAsia="en-AU" w:bidi="ar-SA"/>
        </w:rPr>
        <w:t xml:space="preserve">European Commission Health and Consumer Protection Directorate-General (1999) Opinion of the scientific committee on veterinary measures relating to public health on </w:t>
      </w:r>
      <w:r w:rsidRPr="00225F9D">
        <w:rPr>
          <w:rFonts w:cs="Arial"/>
          <w:i/>
          <w:noProof/>
          <w:lang w:eastAsia="en-AU" w:bidi="ar-SA"/>
        </w:rPr>
        <w:t>Listeria monocytogenes</w:t>
      </w:r>
      <w:r>
        <w:rPr>
          <w:rFonts w:cs="Arial"/>
          <w:noProof/>
          <w:lang w:eastAsia="en-AU" w:bidi="ar-SA"/>
        </w:rPr>
        <w:t>.</w:t>
      </w:r>
    </w:p>
    <w:p w:rsidR="00857B28" w:rsidRDefault="00857B28" w:rsidP="00B64271">
      <w:pPr>
        <w:tabs>
          <w:tab w:val="left" w:pos="0"/>
        </w:tabs>
        <w:rPr>
          <w:rFonts w:cs="Arial"/>
          <w:noProof/>
          <w:lang w:eastAsia="en-AU" w:bidi="ar-SA"/>
        </w:rPr>
      </w:pPr>
    </w:p>
    <w:p w:rsidR="00B64271" w:rsidRDefault="00B64271" w:rsidP="00225F9D">
      <w:pPr>
        <w:tabs>
          <w:tab w:val="left" w:pos="0"/>
        </w:tabs>
        <w:spacing w:after="240"/>
        <w:rPr>
          <w:rFonts w:cs="Arial"/>
          <w:noProof/>
          <w:lang w:eastAsia="en-AU" w:bidi="ar-SA"/>
        </w:rPr>
      </w:pPr>
      <w:r>
        <w:rPr>
          <w:rFonts w:cs="Arial"/>
          <w:noProof/>
          <w:lang w:eastAsia="en-AU" w:bidi="ar-SA"/>
        </w:rPr>
        <w:t>European Communities (2007) Commission regulations (EC) No. 1441/2007 of 5 December 2007 amending Regulation (EC) No 2073/2005 on microbiological criteria for foodstuffs. Official Journal of the European Union L322/12</w:t>
      </w:r>
    </w:p>
    <w:p w:rsidR="00B64271" w:rsidRDefault="00B64271" w:rsidP="00225F9D">
      <w:pPr>
        <w:tabs>
          <w:tab w:val="left" w:pos="0"/>
        </w:tabs>
        <w:spacing w:after="240"/>
        <w:rPr>
          <w:rFonts w:cs="Arial"/>
          <w:noProof/>
          <w:lang w:eastAsia="en-AU" w:bidi="ar-SA"/>
        </w:rPr>
      </w:pPr>
      <w:r>
        <w:rPr>
          <w:rFonts w:cs="Arial"/>
          <w:noProof/>
          <w:lang w:eastAsia="en-AU" w:bidi="ar-SA"/>
        </w:rPr>
        <w:t xml:space="preserve">FAO/WHO (2001) Risk Characterisation of </w:t>
      </w:r>
      <w:r w:rsidRPr="00225F9D">
        <w:rPr>
          <w:rFonts w:cs="Arial"/>
          <w:i/>
          <w:noProof/>
          <w:lang w:eastAsia="en-AU" w:bidi="ar-SA"/>
        </w:rPr>
        <w:t xml:space="preserve">Salmonella </w:t>
      </w:r>
      <w:r>
        <w:rPr>
          <w:rFonts w:cs="Arial"/>
          <w:noProof/>
          <w:lang w:eastAsia="en-AU" w:bidi="ar-SA"/>
        </w:rPr>
        <w:t xml:space="preserve">spp. in eggs and broiler chickens and </w:t>
      </w:r>
      <w:r w:rsidRPr="00225F9D">
        <w:rPr>
          <w:rFonts w:cs="Arial"/>
          <w:i/>
          <w:noProof/>
          <w:lang w:eastAsia="en-AU" w:bidi="ar-SA"/>
        </w:rPr>
        <w:t>L. monocytogenes</w:t>
      </w:r>
      <w:r>
        <w:rPr>
          <w:rFonts w:cs="Arial"/>
          <w:noProof/>
          <w:lang w:eastAsia="en-AU" w:bidi="ar-SA"/>
        </w:rPr>
        <w:t xml:space="preserve"> in ready-to-eat foods. Food and Nutrition Paper 72.</w:t>
      </w:r>
    </w:p>
    <w:p w:rsidR="00B64271" w:rsidRDefault="00B64271" w:rsidP="00B64271">
      <w:pPr>
        <w:tabs>
          <w:tab w:val="left" w:pos="0"/>
        </w:tabs>
        <w:rPr>
          <w:rFonts w:cs="Arial"/>
          <w:noProof/>
          <w:lang w:eastAsia="en-AU" w:bidi="ar-SA"/>
        </w:rPr>
      </w:pPr>
      <w:r>
        <w:rPr>
          <w:rFonts w:cs="Arial"/>
          <w:noProof/>
          <w:lang w:eastAsia="en-AU" w:bidi="ar-SA"/>
        </w:rPr>
        <w:t xml:space="preserve">FDA/FSIS (2003) Quantitative assessment of relative risk to public health from foodborne </w:t>
      </w:r>
      <w:r w:rsidRPr="00225F9D">
        <w:rPr>
          <w:rFonts w:cs="Arial"/>
          <w:i/>
          <w:noProof/>
          <w:lang w:eastAsia="en-AU" w:bidi="ar-SA"/>
        </w:rPr>
        <w:t xml:space="preserve">Listeria monocytogenes </w:t>
      </w:r>
      <w:r>
        <w:rPr>
          <w:rFonts w:cs="Arial"/>
          <w:noProof/>
          <w:lang w:eastAsia="en-AU" w:bidi="ar-SA"/>
        </w:rPr>
        <w:t>among selected categories of ready-to-eat foods.</w:t>
      </w:r>
    </w:p>
    <w:p w:rsidR="00857B28" w:rsidRDefault="00857B28" w:rsidP="00B64271">
      <w:pPr>
        <w:tabs>
          <w:tab w:val="left" w:pos="0"/>
        </w:tabs>
        <w:rPr>
          <w:rFonts w:cs="Arial"/>
          <w:noProof/>
          <w:lang w:eastAsia="en-AU" w:bidi="ar-SA"/>
        </w:rPr>
      </w:pPr>
    </w:p>
    <w:p w:rsidR="00B64271" w:rsidRDefault="00B64271" w:rsidP="00B64271">
      <w:pPr>
        <w:tabs>
          <w:tab w:val="left" w:pos="0"/>
        </w:tabs>
        <w:rPr>
          <w:rFonts w:cs="Arial"/>
          <w:noProof/>
          <w:lang w:eastAsia="en-AU" w:bidi="ar-SA"/>
        </w:rPr>
      </w:pPr>
      <w:r>
        <w:rPr>
          <w:rFonts w:cs="Arial"/>
          <w:noProof/>
          <w:lang w:eastAsia="en-AU" w:bidi="ar-SA"/>
        </w:rPr>
        <w:t>FSANZ (2013) Agents of foodborne illness. Food Standards Australia New Zealand, Barton, ACT, Australia.</w:t>
      </w:r>
    </w:p>
    <w:p w:rsidR="00857B28" w:rsidRDefault="00857B28" w:rsidP="00B64271">
      <w:pPr>
        <w:tabs>
          <w:tab w:val="left" w:pos="0"/>
        </w:tabs>
        <w:rPr>
          <w:rFonts w:cs="Arial"/>
          <w:noProof/>
          <w:lang w:eastAsia="en-AU" w:bidi="ar-SA"/>
        </w:rPr>
      </w:pPr>
    </w:p>
    <w:p w:rsidR="00B64271" w:rsidRDefault="00B64271" w:rsidP="00B64271">
      <w:pPr>
        <w:tabs>
          <w:tab w:val="left" w:pos="0"/>
        </w:tabs>
        <w:rPr>
          <w:rFonts w:cs="Arial"/>
          <w:noProof/>
          <w:lang w:eastAsia="en-AU" w:bidi="ar-SA"/>
        </w:rPr>
      </w:pPr>
      <w:r>
        <w:rPr>
          <w:rFonts w:cs="Arial"/>
          <w:noProof/>
          <w:lang w:eastAsia="en-AU" w:bidi="ar-SA"/>
        </w:rPr>
        <w:t xml:space="preserve">FSIS (2003) Risk Assessment for </w:t>
      </w:r>
      <w:r w:rsidRPr="00225F9D">
        <w:rPr>
          <w:rFonts w:cs="Arial"/>
          <w:i/>
          <w:noProof/>
          <w:lang w:eastAsia="en-AU" w:bidi="ar-SA"/>
        </w:rPr>
        <w:t>Listeria monocytogenes</w:t>
      </w:r>
      <w:r>
        <w:rPr>
          <w:rFonts w:cs="Arial"/>
          <w:noProof/>
          <w:lang w:eastAsia="en-AU" w:bidi="ar-SA"/>
        </w:rPr>
        <w:t xml:space="preserve"> in Deli Meats.</w:t>
      </w:r>
    </w:p>
    <w:p w:rsidR="00857B28" w:rsidRDefault="00857B28" w:rsidP="00B64271">
      <w:pPr>
        <w:tabs>
          <w:tab w:val="left" w:pos="0"/>
        </w:tabs>
        <w:rPr>
          <w:rFonts w:cs="Arial"/>
          <w:noProof/>
          <w:u w:val="single"/>
          <w:lang w:eastAsia="en-AU" w:bidi="ar-SA"/>
        </w:rPr>
      </w:pPr>
    </w:p>
    <w:p w:rsidR="00B64271" w:rsidRDefault="00B64271" w:rsidP="00B64271">
      <w:pPr>
        <w:tabs>
          <w:tab w:val="left" w:pos="0"/>
        </w:tabs>
        <w:rPr>
          <w:rFonts w:cs="Arial"/>
          <w:noProof/>
          <w:lang w:eastAsia="en-AU" w:bidi="ar-SA"/>
        </w:rPr>
      </w:pPr>
      <w:r>
        <w:rPr>
          <w:rFonts w:cs="Arial"/>
          <w:noProof/>
          <w:lang w:eastAsia="en-AU" w:bidi="ar-SA"/>
        </w:rPr>
        <w:t xml:space="preserve">Health Canada (2011) Policy on </w:t>
      </w:r>
      <w:r w:rsidRPr="00225F9D">
        <w:rPr>
          <w:rFonts w:cs="Arial"/>
          <w:i/>
          <w:noProof/>
          <w:lang w:eastAsia="en-AU" w:bidi="ar-SA"/>
        </w:rPr>
        <w:t>Listeria monocytogenes</w:t>
      </w:r>
      <w:r>
        <w:rPr>
          <w:rFonts w:cs="Arial"/>
          <w:noProof/>
          <w:lang w:eastAsia="en-AU" w:bidi="ar-SA"/>
        </w:rPr>
        <w:t xml:space="preserve"> in ready-to-eat foods. Health Canada, Ottowa, Canada.</w:t>
      </w:r>
    </w:p>
    <w:p w:rsidR="00857B28" w:rsidRDefault="00857B28" w:rsidP="00B64271">
      <w:pPr>
        <w:tabs>
          <w:tab w:val="left" w:pos="0"/>
        </w:tabs>
        <w:rPr>
          <w:rFonts w:cs="Arial"/>
          <w:noProof/>
          <w:u w:val="single"/>
          <w:lang w:eastAsia="en-AU" w:bidi="ar-SA"/>
        </w:rPr>
      </w:pPr>
    </w:p>
    <w:p w:rsidR="00B64271" w:rsidRDefault="00B64271" w:rsidP="00B64271">
      <w:pPr>
        <w:tabs>
          <w:tab w:val="left" w:pos="0"/>
        </w:tabs>
        <w:rPr>
          <w:rFonts w:cs="Arial"/>
          <w:noProof/>
          <w:lang w:eastAsia="en-AU" w:bidi="ar-SA"/>
        </w:rPr>
      </w:pPr>
      <w:r>
        <w:rPr>
          <w:rFonts w:cs="Arial"/>
          <w:noProof/>
          <w:lang w:eastAsia="en-AU" w:bidi="ar-SA"/>
        </w:rPr>
        <w:t>Lim E, Lopez L, Borman A, Cressey P, Pirie R (2012) Annual report concerning foodborne disease in New Zealand 2011.</w:t>
      </w:r>
    </w:p>
    <w:p w:rsidR="00857B28" w:rsidRDefault="00857B28" w:rsidP="00225F9D">
      <w:pPr>
        <w:tabs>
          <w:tab w:val="left" w:pos="0"/>
        </w:tabs>
        <w:spacing w:after="240"/>
        <w:rPr>
          <w:rFonts w:cs="Arial"/>
          <w:noProof/>
          <w:u w:val="single"/>
          <w:lang w:eastAsia="en-AU" w:bidi="ar-SA"/>
        </w:rPr>
      </w:pPr>
    </w:p>
    <w:p w:rsidR="00B64271" w:rsidRDefault="00B64271" w:rsidP="00225F9D">
      <w:pPr>
        <w:tabs>
          <w:tab w:val="left" w:pos="0"/>
        </w:tabs>
        <w:spacing w:after="240"/>
        <w:rPr>
          <w:rFonts w:cs="Arial"/>
          <w:noProof/>
          <w:lang w:eastAsia="en-AU" w:bidi="ar-SA"/>
        </w:rPr>
      </w:pPr>
      <w:r>
        <w:rPr>
          <w:rFonts w:cs="Arial"/>
          <w:noProof/>
          <w:lang w:eastAsia="en-AU" w:bidi="ar-SA"/>
        </w:rPr>
        <w:t>Montville TJ, Matthews KR (2005) Food microbiology: An introduction.  ASM Press, Washington D.C.</w:t>
      </w:r>
    </w:p>
    <w:p w:rsidR="00B64271" w:rsidRDefault="00B64271" w:rsidP="00B64271">
      <w:pPr>
        <w:tabs>
          <w:tab w:val="left" w:pos="0"/>
        </w:tabs>
        <w:rPr>
          <w:rFonts w:cs="Arial"/>
          <w:noProof/>
          <w:lang w:eastAsia="en-AU" w:bidi="ar-SA"/>
        </w:rPr>
      </w:pPr>
      <w:r>
        <w:rPr>
          <w:rFonts w:cs="Arial"/>
          <w:noProof/>
          <w:lang w:eastAsia="en-AU" w:bidi="ar-SA"/>
        </w:rPr>
        <w:t>NNDSS (2013) Number of notifications of Listeriosis, Australia, 2013.</w:t>
      </w:r>
    </w:p>
    <w:p w:rsidR="00B64271" w:rsidRDefault="006D6EA1" w:rsidP="00225F9D">
      <w:pPr>
        <w:tabs>
          <w:tab w:val="left" w:pos="0"/>
        </w:tabs>
        <w:spacing w:after="240"/>
        <w:rPr>
          <w:rFonts w:cs="Arial"/>
          <w:noProof/>
          <w:lang w:eastAsia="en-AU" w:bidi="ar-SA"/>
        </w:rPr>
      </w:pPr>
      <w:hyperlink r:id="rId10" w:history="1">
        <w:r w:rsidR="00B64271" w:rsidRPr="00225F9D">
          <w:rPr>
            <w:rStyle w:val="Hyperlink"/>
            <w:rFonts w:cs="Arial"/>
            <w:noProof/>
            <w:lang w:eastAsia="en-AU" w:bidi="ar-SA"/>
          </w:rPr>
          <w:t>http://www9.health.gov.au/cda/source/rpt_3.cfm</w:t>
        </w:r>
      </w:hyperlink>
      <w:r w:rsidR="00B64271">
        <w:rPr>
          <w:rFonts w:cs="Arial"/>
          <w:noProof/>
          <w:lang w:eastAsia="en-AU" w:bidi="ar-SA"/>
        </w:rPr>
        <w:t>. Accessed 29 October 2013</w:t>
      </w:r>
    </w:p>
    <w:p w:rsidR="00B64271" w:rsidRDefault="00B64271" w:rsidP="00225F9D">
      <w:pPr>
        <w:tabs>
          <w:tab w:val="left" w:pos="0"/>
        </w:tabs>
        <w:spacing w:after="240"/>
        <w:rPr>
          <w:rFonts w:cs="Arial"/>
          <w:noProof/>
          <w:lang w:eastAsia="en-AU" w:bidi="ar-SA"/>
        </w:rPr>
      </w:pPr>
      <w:r>
        <w:rPr>
          <w:rFonts w:cs="Arial"/>
          <w:noProof/>
          <w:lang w:eastAsia="en-AU" w:bidi="ar-SA"/>
        </w:rPr>
        <w:t>OzFoodNet (2010) Monitoring the incidence and causes of diseases potentially transmitted by food in Australia: Annual report of the OzFoodNet Network, 2009. Communicable Diseases Intelligence 34(4):396–426</w:t>
      </w:r>
    </w:p>
    <w:p w:rsidR="00B64271" w:rsidRDefault="00B64271" w:rsidP="00225F9D">
      <w:pPr>
        <w:tabs>
          <w:tab w:val="left" w:pos="0"/>
        </w:tabs>
        <w:spacing w:after="240"/>
        <w:rPr>
          <w:rFonts w:cs="Arial"/>
          <w:noProof/>
          <w:lang w:eastAsia="en-AU" w:bidi="ar-SA"/>
        </w:rPr>
      </w:pPr>
      <w:r>
        <w:rPr>
          <w:rFonts w:cs="Arial"/>
          <w:noProof/>
          <w:lang w:eastAsia="en-AU" w:bidi="ar-SA"/>
        </w:rPr>
        <w:t>OzFoodNet (2012) Monitoring the incidence and causes of diseases potentially transmitted by food in Australia: Annual report of the OzFoodNet Network, 2010. Communicable Diseases Intelligence 36(3):E213–E241</w:t>
      </w:r>
    </w:p>
    <w:p w:rsidR="00B64271" w:rsidRDefault="00B64271" w:rsidP="00225F9D">
      <w:pPr>
        <w:tabs>
          <w:tab w:val="left" w:pos="0"/>
        </w:tabs>
        <w:spacing w:after="240"/>
        <w:rPr>
          <w:rFonts w:cs="Arial"/>
          <w:noProof/>
          <w:lang w:eastAsia="en-AU" w:bidi="ar-SA"/>
        </w:rPr>
      </w:pPr>
      <w:r>
        <w:rPr>
          <w:rFonts w:cs="Arial"/>
          <w:noProof/>
          <w:lang w:eastAsia="en-AU" w:bidi="ar-SA"/>
        </w:rPr>
        <w:t>Swaminathan B, Gerner-Smidt P (2007) The epidemiology of human listeriosis. Microbes and Infection 9:1236–1243</w:t>
      </w:r>
    </w:p>
    <w:p w:rsidR="00B64271" w:rsidRDefault="00B64271" w:rsidP="00B64271">
      <w:pPr>
        <w:tabs>
          <w:tab w:val="left" w:pos="0"/>
        </w:tabs>
        <w:rPr>
          <w:rFonts w:cs="Arial"/>
          <w:noProof/>
          <w:lang w:eastAsia="en-AU" w:bidi="ar-SA"/>
        </w:rPr>
      </w:pPr>
      <w:r>
        <w:rPr>
          <w:rFonts w:cs="Arial"/>
          <w:noProof/>
          <w:lang w:eastAsia="en-AU" w:bidi="ar-SA"/>
        </w:rPr>
        <w:t xml:space="preserve">USDA (2013) Interagency Risk Assessment: </w:t>
      </w:r>
      <w:r w:rsidRPr="00225F9D">
        <w:rPr>
          <w:rFonts w:cs="Arial"/>
          <w:i/>
          <w:noProof/>
          <w:lang w:eastAsia="en-AU" w:bidi="ar-SA"/>
        </w:rPr>
        <w:t>Listeria monocytogenes</w:t>
      </w:r>
      <w:r>
        <w:rPr>
          <w:rFonts w:cs="Arial"/>
          <w:noProof/>
          <w:lang w:eastAsia="en-AU" w:bidi="ar-SA"/>
        </w:rPr>
        <w:t xml:space="preserve"> in Retail Delicatessens.  Interpretive Summary.</w:t>
      </w:r>
    </w:p>
    <w:p w:rsidR="00857B28" w:rsidRDefault="00857B28" w:rsidP="00B64271">
      <w:pPr>
        <w:tabs>
          <w:tab w:val="left" w:pos="0"/>
        </w:tabs>
        <w:rPr>
          <w:rFonts w:cs="Arial"/>
          <w:noProof/>
          <w:lang w:eastAsia="en-AU" w:bidi="ar-SA"/>
        </w:rPr>
      </w:pPr>
    </w:p>
    <w:p w:rsidR="00B64271" w:rsidRDefault="00B64271" w:rsidP="00B64271">
      <w:pPr>
        <w:tabs>
          <w:tab w:val="left" w:pos="0"/>
        </w:tabs>
        <w:rPr>
          <w:rFonts w:cs="Arial"/>
          <w:noProof/>
          <w:lang w:eastAsia="en-AU" w:bidi="ar-SA"/>
        </w:rPr>
      </w:pPr>
      <w:r>
        <w:rPr>
          <w:rFonts w:cs="Arial"/>
          <w:noProof/>
          <w:lang w:eastAsia="en-AU" w:bidi="ar-SA"/>
        </w:rPr>
        <w:t xml:space="preserve">WHO/FAO (2005) Risk assessment of </w:t>
      </w:r>
      <w:r w:rsidRPr="00225F9D">
        <w:rPr>
          <w:rFonts w:cs="Arial"/>
          <w:i/>
          <w:noProof/>
          <w:lang w:eastAsia="en-AU" w:bidi="ar-SA"/>
        </w:rPr>
        <w:t>Listeria monocytogenes</w:t>
      </w:r>
      <w:r>
        <w:rPr>
          <w:rFonts w:cs="Arial"/>
          <w:noProof/>
          <w:lang w:eastAsia="en-AU" w:bidi="ar-SA"/>
        </w:rPr>
        <w:t xml:space="preserve"> in ready-to-eat foods. World Health Organization and Food and Agriculture Organization of the United Nations, Geneva.</w:t>
      </w:r>
    </w:p>
    <w:p w:rsidR="00B64271" w:rsidRDefault="00B64271" w:rsidP="00225F9D">
      <w:pPr>
        <w:tabs>
          <w:tab w:val="left" w:pos="0"/>
        </w:tabs>
        <w:rPr>
          <w:rFonts w:cs="Arial"/>
          <w:noProof/>
          <w:lang w:eastAsia="en-AU" w:bidi="ar-SA"/>
        </w:rPr>
      </w:pPr>
    </w:p>
    <w:p w:rsidR="00573C7F" w:rsidRDefault="00AD7364" w:rsidP="00880E5F">
      <w:pPr>
        <w:rPr>
          <w:lang w:eastAsia="en-AU" w:bidi="ar-SA"/>
        </w:rPr>
      </w:pPr>
      <w:r>
        <w:rPr>
          <w:lang w:eastAsia="en-AU" w:bidi="ar-SA"/>
        </w:rPr>
        <w:fldChar w:fldCharType="end"/>
      </w:r>
    </w:p>
    <w:p w:rsidR="00573C7F" w:rsidRDefault="00573C7F">
      <w:pPr>
        <w:widowControl/>
        <w:rPr>
          <w:lang w:eastAsia="en-AU" w:bidi="ar-SA"/>
        </w:rPr>
      </w:pPr>
      <w:r>
        <w:rPr>
          <w:lang w:eastAsia="en-AU" w:bidi="ar-SA"/>
        </w:rPr>
        <w:br w:type="page"/>
      </w:r>
    </w:p>
    <w:p w:rsidR="00573C7F" w:rsidRPr="00773092" w:rsidRDefault="00573C7F" w:rsidP="00573C7F">
      <w:pPr>
        <w:widowControl/>
        <w:jc w:val="right"/>
        <w:rPr>
          <w:b/>
          <w:sz w:val="28"/>
          <w:szCs w:val="28"/>
        </w:rPr>
      </w:pPr>
      <w:r w:rsidRPr="00773092">
        <w:rPr>
          <w:b/>
          <w:sz w:val="28"/>
          <w:szCs w:val="28"/>
        </w:rPr>
        <w:lastRenderedPageBreak/>
        <w:t>A</w:t>
      </w:r>
      <w:r>
        <w:rPr>
          <w:b/>
          <w:sz w:val="28"/>
          <w:szCs w:val="28"/>
        </w:rPr>
        <w:t>ttachment A</w:t>
      </w:r>
    </w:p>
    <w:p w:rsidR="00573C7F" w:rsidRDefault="00573C7F" w:rsidP="00573C7F">
      <w:pPr>
        <w:widowControl/>
      </w:pPr>
    </w:p>
    <w:p w:rsidR="00573C7F" w:rsidRPr="00773092" w:rsidRDefault="00885F55" w:rsidP="00573C7F">
      <w:pPr>
        <w:widowControl/>
        <w:rPr>
          <w:b/>
          <w:sz w:val="24"/>
        </w:rPr>
      </w:pPr>
      <w:r w:rsidRPr="00773092">
        <w:rPr>
          <w:b/>
          <w:sz w:val="24"/>
        </w:rPr>
        <w:t>Excerpt</w:t>
      </w:r>
      <w:r w:rsidR="00573C7F" w:rsidRPr="00773092">
        <w:rPr>
          <w:b/>
          <w:sz w:val="24"/>
        </w:rPr>
        <w:t xml:space="preserve"> of Annex II: Microbiological criteria for </w:t>
      </w:r>
      <w:r w:rsidR="00573C7F">
        <w:rPr>
          <w:b/>
          <w:i/>
          <w:sz w:val="24"/>
        </w:rPr>
        <w:t>Listeria m</w:t>
      </w:r>
      <w:r w:rsidR="00573C7F" w:rsidRPr="00773092">
        <w:rPr>
          <w:b/>
          <w:i/>
          <w:sz w:val="24"/>
        </w:rPr>
        <w:t>onocytogenes</w:t>
      </w:r>
      <w:r w:rsidR="00573C7F" w:rsidRPr="00773092">
        <w:rPr>
          <w:b/>
          <w:sz w:val="24"/>
        </w:rPr>
        <w:t xml:space="preserve"> in ready-to-eat foods to </w:t>
      </w:r>
      <w:r w:rsidR="00573C7F" w:rsidRPr="00773092">
        <w:rPr>
          <w:b/>
          <w:i/>
          <w:sz w:val="24"/>
        </w:rPr>
        <w:t>Guidelines on the Application of General Principles of Food Hygiene to the Control of Listeria Monocytogenes in Foods, (CAC/GL 61-2007)</w:t>
      </w:r>
    </w:p>
    <w:p w:rsidR="00573C7F" w:rsidRDefault="00573C7F" w:rsidP="00573C7F">
      <w:pPr>
        <w:widowControl/>
      </w:pPr>
    </w:p>
    <w:p w:rsidR="00573C7F" w:rsidRDefault="00573C7F" w:rsidP="00573C7F">
      <w:pPr>
        <w:widowControl/>
      </w:pPr>
    </w:p>
    <w:p w:rsidR="00573C7F" w:rsidRDefault="00573C7F" w:rsidP="00573C7F">
      <w:pPr>
        <w:widowControl/>
      </w:pPr>
    </w:p>
    <w:p w:rsidR="00573C7F" w:rsidRPr="006B1DBE" w:rsidRDefault="00573C7F" w:rsidP="00573C7F">
      <w:pPr>
        <w:spacing w:after="120"/>
        <w:ind w:right="-329"/>
        <w:rPr>
          <w:rFonts w:cs="Arial"/>
          <w:b/>
          <w:sz w:val="20"/>
          <w:szCs w:val="20"/>
          <w:lang w:eastAsia="en-AU"/>
        </w:rPr>
      </w:pPr>
      <w:r w:rsidRPr="006B1DBE">
        <w:rPr>
          <w:rFonts w:cs="Arial"/>
          <w:b/>
          <w:sz w:val="20"/>
          <w:szCs w:val="20"/>
          <w:lang w:eastAsia="en-AU"/>
        </w:rPr>
        <w:t>Microbiological criteri</w:t>
      </w:r>
      <w:r>
        <w:rPr>
          <w:rFonts w:cs="Arial"/>
          <w:b/>
          <w:sz w:val="20"/>
          <w:szCs w:val="20"/>
          <w:lang w:eastAsia="en-AU"/>
        </w:rPr>
        <w:t>on</w:t>
      </w:r>
      <w:r w:rsidRPr="006B1DBE">
        <w:rPr>
          <w:rFonts w:cs="Arial"/>
          <w:b/>
          <w:sz w:val="20"/>
          <w:szCs w:val="20"/>
          <w:lang w:eastAsia="en-AU"/>
        </w:rPr>
        <w:t xml:space="preserve"> for ready-to-eat foods in which growth of </w:t>
      </w:r>
      <w:r w:rsidRPr="006B1DBE">
        <w:rPr>
          <w:rFonts w:cs="Arial"/>
          <w:b/>
          <w:i/>
          <w:sz w:val="20"/>
          <w:szCs w:val="20"/>
          <w:lang w:eastAsia="en-AU"/>
        </w:rPr>
        <w:t>L. monocytogenes</w:t>
      </w:r>
      <w:r w:rsidRPr="006B1DBE">
        <w:rPr>
          <w:rFonts w:cs="Arial"/>
          <w:b/>
          <w:sz w:val="20"/>
          <w:szCs w:val="20"/>
          <w:lang w:eastAsia="en-AU"/>
        </w:rPr>
        <w:t xml:space="preserve"> will not occur</w:t>
      </w:r>
    </w:p>
    <w:tbl>
      <w:tblPr>
        <w:tblStyle w:val="TableGrid"/>
        <w:tblW w:w="9214" w:type="dxa"/>
        <w:tblInd w:w="108" w:type="dxa"/>
        <w:tblLayout w:type="fixed"/>
        <w:tblLook w:val="01E0" w:firstRow="1" w:lastRow="1" w:firstColumn="1" w:lastColumn="1" w:noHBand="0" w:noVBand="0"/>
      </w:tblPr>
      <w:tblGrid>
        <w:gridCol w:w="2977"/>
        <w:gridCol w:w="1843"/>
        <w:gridCol w:w="850"/>
        <w:gridCol w:w="851"/>
        <w:gridCol w:w="1417"/>
        <w:gridCol w:w="1276"/>
      </w:tblGrid>
      <w:tr w:rsidR="00573C7F" w:rsidRPr="002B3EEA" w:rsidTr="00B64271">
        <w:tc>
          <w:tcPr>
            <w:tcW w:w="2977" w:type="dxa"/>
          </w:tcPr>
          <w:p w:rsidR="00573C7F" w:rsidRPr="00CE6295" w:rsidRDefault="00573C7F" w:rsidP="00B64271">
            <w:pPr>
              <w:spacing w:before="120" w:after="120"/>
              <w:rPr>
                <w:rFonts w:cs="Arial"/>
                <w:b/>
                <w:sz w:val="20"/>
                <w:szCs w:val="20"/>
              </w:rPr>
            </w:pPr>
            <w:r w:rsidRPr="00CE6295">
              <w:rPr>
                <w:rFonts w:cs="Arial"/>
                <w:b/>
                <w:sz w:val="20"/>
                <w:szCs w:val="20"/>
              </w:rPr>
              <w:t>Point of application</w:t>
            </w:r>
          </w:p>
        </w:tc>
        <w:tc>
          <w:tcPr>
            <w:tcW w:w="1843" w:type="dxa"/>
          </w:tcPr>
          <w:p w:rsidR="00573C7F" w:rsidRPr="00CE6295" w:rsidRDefault="00573C7F" w:rsidP="00B64271">
            <w:pPr>
              <w:spacing w:before="120" w:after="120"/>
              <w:rPr>
                <w:rFonts w:cs="Arial"/>
                <w:b/>
                <w:sz w:val="20"/>
                <w:szCs w:val="20"/>
              </w:rPr>
            </w:pPr>
            <w:r w:rsidRPr="00CE6295">
              <w:rPr>
                <w:rFonts w:cs="Arial"/>
                <w:b/>
                <w:sz w:val="20"/>
                <w:szCs w:val="20"/>
              </w:rPr>
              <w:t>Microorganism</w:t>
            </w:r>
          </w:p>
        </w:tc>
        <w:tc>
          <w:tcPr>
            <w:tcW w:w="850" w:type="dxa"/>
          </w:tcPr>
          <w:p w:rsidR="00573C7F" w:rsidRPr="00CE6295" w:rsidRDefault="00573C7F" w:rsidP="00B64271">
            <w:pPr>
              <w:spacing w:before="120" w:after="120"/>
              <w:rPr>
                <w:rFonts w:cs="Arial"/>
                <w:b/>
                <w:sz w:val="20"/>
                <w:szCs w:val="20"/>
              </w:rPr>
            </w:pPr>
            <w:r w:rsidRPr="00CE6295">
              <w:rPr>
                <w:rFonts w:cs="Arial"/>
                <w:b/>
                <w:sz w:val="20"/>
                <w:szCs w:val="20"/>
              </w:rPr>
              <w:t>n</w:t>
            </w:r>
          </w:p>
        </w:tc>
        <w:tc>
          <w:tcPr>
            <w:tcW w:w="851" w:type="dxa"/>
          </w:tcPr>
          <w:p w:rsidR="00573C7F" w:rsidRPr="00CE6295" w:rsidRDefault="00573C7F" w:rsidP="00B64271">
            <w:pPr>
              <w:spacing w:before="120" w:after="120"/>
              <w:rPr>
                <w:rFonts w:cs="Arial"/>
                <w:b/>
                <w:sz w:val="20"/>
                <w:szCs w:val="20"/>
              </w:rPr>
            </w:pPr>
            <w:r w:rsidRPr="00CE6295">
              <w:rPr>
                <w:rFonts w:cs="Arial"/>
                <w:b/>
                <w:sz w:val="20"/>
                <w:szCs w:val="20"/>
              </w:rPr>
              <w:t>c</w:t>
            </w:r>
          </w:p>
        </w:tc>
        <w:tc>
          <w:tcPr>
            <w:tcW w:w="1417" w:type="dxa"/>
          </w:tcPr>
          <w:p w:rsidR="00573C7F" w:rsidRPr="00CE6295" w:rsidRDefault="00573C7F" w:rsidP="00B64271">
            <w:pPr>
              <w:spacing w:before="120" w:after="120"/>
              <w:rPr>
                <w:rFonts w:cs="Arial"/>
                <w:b/>
                <w:sz w:val="20"/>
                <w:szCs w:val="20"/>
              </w:rPr>
            </w:pPr>
            <w:r w:rsidRPr="00CE6295">
              <w:rPr>
                <w:rFonts w:cs="Arial"/>
                <w:b/>
                <w:sz w:val="20"/>
                <w:szCs w:val="20"/>
              </w:rPr>
              <w:t>m</w:t>
            </w:r>
          </w:p>
        </w:tc>
        <w:tc>
          <w:tcPr>
            <w:tcW w:w="1276" w:type="dxa"/>
          </w:tcPr>
          <w:p w:rsidR="00573C7F" w:rsidRPr="00CE6295" w:rsidRDefault="00573C7F" w:rsidP="00B64271">
            <w:pPr>
              <w:spacing w:before="120" w:after="120"/>
              <w:rPr>
                <w:rFonts w:cs="Arial"/>
                <w:b/>
                <w:sz w:val="20"/>
                <w:szCs w:val="20"/>
              </w:rPr>
            </w:pPr>
            <w:r w:rsidRPr="00CE6295">
              <w:rPr>
                <w:rFonts w:cs="Arial"/>
                <w:b/>
                <w:sz w:val="20"/>
                <w:szCs w:val="20"/>
              </w:rPr>
              <w:t>Class Plan</w:t>
            </w:r>
          </w:p>
        </w:tc>
      </w:tr>
      <w:tr w:rsidR="00573C7F" w:rsidRPr="002B3EEA" w:rsidTr="00B64271">
        <w:tc>
          <w:tcPr>
            <w:tcW w:w="2977" w:type="dxa"/>
          </w:tcPr>
          <w:p w:rsidR="00573C7F" w:rsidRPr="00CE6295" w:rsidRDefault="00573C7F" w:rsidP="00B64271">
            <w:pPr>
              <w:spacing w:before="120"/>
              <w:rPr>
                <w:rFonts w:cs="Arial"/>
                <w:sz w:val="20"/>
                <w:szCs w:val="20"/>
              </w:rPr>
            </w:pPr>
            <w:r w:rsidRPr="00CE6295">
              <w:rPr>
                <w:rFonts w:cs="Arial"/>
                <w:sz w:val="20"/>
                <w:szCs w:val="20"/>
              </w:rPr>
              <w:t>Ready-to-eat food</w:t>
            </w:r>
            <w:r>
              <w:rPr>
                <w:rFonts w:cs="Arial"/>
                <w:sz w:val="20"/>
                <w:szCs w:val="20"/>
              </w:rPr>
              <w:t>s</w:t>
            </w:r>
            <w:r w:rsidRPr="00CE6295">
              <w:rPr>
                <w:rFonts w:cs="Arial"/>
                <w:sz w:val="20"/>
                <w:szCs w:val="20"/>
              </w:rPr>
              <w:t xml:space="preserve"> from the end of manufacture </w:t>
            </w:r>
            <w:r>
              <w:rPr>
                <w:rFonts w:cs="Arial"/>
                <w:sz w:val="20"/>
                <w:szCs w:val="20"/>
              </w:rPr>
              <w:t xml:space="preserve">or port of entry (for imported foods), </w:t>
            </w:r>
            <w:r w:rsidRPr="00CE6295">
              <w:rPr>
                <w:rFonts w:cs="Arial"/>
                <w:sz w:val="20"/>
                <w:szCs w:val="20"/>
              </w:rPr>
              <w:t>to the point of sale.</w:t>
            </w:r>
          </w:p>
        </w:tc>
        <w:tc>
          <w:tcPr>
            <w:tcW w:w="1843" w:type="dxa"/>
          </w:tcPr>
          <w:p w:rsidR="00573C7F" w:rsidRPr="00CE6295" w:rsidRDefault="00573C7F" w:rsidP="00B64271">
            <w:pPr>
              <w:spacing w:before="120"/>
              <w:rPr>
                <w:rFonts w:cs="Arial"/>
                <w:i/>
                <w:sz w:val="20"/>
                <w:szCs w:val="20"/>
              </w:rPr>
            </w:pPr>
            <w:r w:rsidRPr="00CE6295">
              <w:rPr>
                <w:rFonts w:cs="Arial"/>
                <w:i/>
                <w:sz w:val="20"/>
                <w:szCs w:val="20"/>
              </w:rPr>
              <w:t>Listeria monocytogenes</w:t>
            </w:r>
          </w:p>
        </w:tc>
        <w:tc>
          <w:tcPr>
            <w:tcW w:w="850" w:type="dxa"/>
          </w:tcPr>
          <w:p w:rsidR="00573C7F" w:rsidRPr="00CE6295" w:rsidRDefault="00573C7F" w:rsidP="00B64271">
            <w:pPr>
              <w:spacing w:before="120"/>
              <w:rPr>
                <w:rFonts w:cs="Arial"/>
                <w:sz w:val="20"/>
                <w:szCs w:val="20"/>
              </w:rPr>
            </w:pPr>
            <w:r w:rsidRPr="00CE6295">
              <w:rPr>
                <w:rFonts w:cs="Arial"/>
                <w:sz w:val="20"/>
                <w:szCs w:val="20"/>
              </w:rPr>
              <w:t>5</w:t>
            </w:r>
            <w:r w:rsidRPr="00773092">
              <w:rPr>
                <w:rFonts w:cs="Arial"/>
                <w:sz w:val="20"/>
                <w:szCs w:val="20"/>
                <w:vertAlign w:val="superscript"/>
              </w:rPr>
              <w:t>a</w:t>
            </w:r>
          </w:p>
        </w:tc>
        <w:tc>
          <w:tcPr>
            <w:tcW w:w="851" w:type="dxa"/>
          </w:tcPr>
          <w:p w:rsidR="00573C7F" w:rsidRPr="00CE6295" w:rsidRDefault="00573C7F" w:rsidP="00B64271">
            <w:pPr>
              <w:spacing w:before="120"/>
              <w:rPr>
                <w:rFonts w:cs="Arial"/>
                <w:sz w:val="20"/>
                <w:szCs w:val="20"/>
              </w:rPr>
            </w:pPr>
            <w:r w:rsidRPr="00CE6295">
              <w:rPr>
                <w:rFonts w:cs="Arial"/>
                <w:sz w:val="20"/>
                <w:szCs w:val="20"/>
              </w:rPr>
              <w:t>0</w:t>
            </w:r>
          </w:p>
        </w:tc>
        <w:tc>
          <w:tcPr>
            <w:tcW w:w="1417" w:type="dxa"/>
          </w:tcPr>
          <w:p w:rsidR="00573C7F" w:rsidRPr="00CE6295" w:rsidRDefault="00573C7F" w:rsidP="00B64271">
            <w:pPr>
              <w:spacing w:before="120"/>
              <w:rPr>
                <w:rFonts w:cs="Arial"/>
                <w:sz w:val="20"/>
                <w:szCs w:val="20"/>
              </w:rPr>
            </w:pPr>
            <w:r w:rsidRPr="00CE6295">
              <w:rPr>
                <w:rFonts w:cs="Arial"/>
                <w:sz w:val="20"/>
                <w:szCs w:val="20"/>
              </w:rPr>
              <w:t>100 cfu/</w:t>
            </w:r>
            <w:proofErr w:type="spellStart"/>
            <w:r w:rsidRPr="00CE6295">
              <w:rPr>
                <w:rFonts w:cs="Arial"/>
                <w:sz w:val="20"/>
                <w:szCs w:val="20"/>
              </w:rPr>
              <w:t>g</w:t>
            </w:r>
            <w:r w:rsidRPr="00773092">
              <w:rPr>
                <w:rFonts w:cs="Arial"/>
                <w:sz w:val="20"/>
                <w:szCs w:val="20"/>
                <w:vertAlign w:val="superscript"/>
              </w:rPr>
              <w:t>b</w:t>
            </w:r>
            <w:proofErr w:type="spellEnd"/>
          </w:p>
        </w:tc>
        <w:tc>
          <w:tcPr>
            <w:tcW w:w="1276" w:type="dxa"/>
          </w:tcPr>
          <w:p w:rsidR="00573C7F" w:rsidRPr="00CE6295" w:rsidRDefault="00573C7F" w:rsidP="00B64271">
            <w:pPr>
              <w:spacing w:before="120"/>
              <w:rPr>
                <w:rFonts w:cs="Arial"/>
                <w:sz w:val="20"/>
                <w:szCs w:val="20"/>
              </w:rPr>
            </w:pPr>
            <w:r w:rsidRPr="00CE6295">
              <w:rPr>
                <w:rFonts w:cs="Arial"/>
                <w:sz w:val="20"/>
                <w:szCs w:val="20"/>
              </w:rPr>
              <w:t>2</w:t>
            </w:r>
            <w:r w:rsidRPr="00773092">
              <w:rPr>
                <w:rFonts w:cs="Arial"/>
                <w:sz w:val="20"/>
                <w:szCs w:val="20"/>
                <w:vertAlign w:val="superscript"/>
              </w:rPr>
              <w:t>c</w:t>
            </w:r>
          </w:p>
        </w:tc>
      </w:tr>
    </w:tbl>
    <w:p w:rsidR="00573C7F" w:rsidRDefault="00573C7F" w:rsidP="00573C7F">
      <w:pPr>
        <w:widowControl/>
        <w:rPr>
          <w:rFonts w:cs="Arial"/>
          <w:lang w:eastAsia="en-AU"/>
        </w:rPr>
      </w:pPr>
    </w:p>
    <w:p w:rsidR="00573C7F" w:rsidRPr="00773092" w:rsidRDefault="00573C7F" w:rsidP="00573C7F">
      <w:pPr>
        <w:widowControl/>
        <w:rPr>
          <w:rFonts w:cs="Arial"/>
          <w:lang w:eastAsia="en-AU"/>
        </w:rPr>
      </w:pPr>
    </w:p>
    <w:p w:rsidR="00573C7F" w:rsidRPr="006B1DBE" w:rsidRDefault="00573C7F" w:rsidP="00573C7F">
      <w:pPr>
        <w:spacing w:after="120"/>
        <w:ind w:right="-329"/>
        <w:rPr>
          <w:rFonts w:cs="Arial"/>
          <w:b/>
          <w:sz w:val="20"/>
          <w:szCs w:val="20"/>
          <w:lang w:eastAsia="en-AU"/>
        </w:rPr>
      </w:pPr>
      <w:r w:rsidRPr="006B1DBE">
        <w:rPr>
          <w:rFonts w:cs="Arial"/>
          <w:b/>
          <w:sz w:val="20"/>
          <w:szCs w:val="20"/>
          <w:lang w:eastAsia="en-AU"/>
        </w:rPr>
        <w:t xml:space="preserve">Microbiological criteria for ready-to-eat foods in which growth of </w:t>
      </w:r>
      <w:r w:rsidRPr="004E27C9">
        <w:rPr>
          <w:rFonts w:cs="Arial"/>
          <w:b/>
          <w:i/>
          <w:sz w:val="20"/>
          <w:szCs w:val="20"/>
          <w:lang w:eastAsia="en-AU"/>
        </w:rPr>
        <w:t>L. monocytogenes</w:t>
      </w:r>
      <w:r w:rsidRPr="006B1DBE">
        <w:rPr>
          <w:rFonts w:cs="Arial"/>
          <w:b/>
          <w:sz w:val="20"/>
          <w:szCs w:val="20"/>
          <w:lang w:eastAsia="en-AU"/>
        </w:rPr>
        <w:t xml:space="preserve"> can occur</w:t>
      </w:r>
    </w:p>
    <w:tbl>
      <w:tblPr>
        <w:tblStyle w:val="TableGrid"/>
        <w:tblW w:w="9214" w:type="dxa"/>
        <w:tblInd w:w="108" w:type="dxa"/>
        <w:tblLayout w:type="fixed"/>
        <w:tblLook w:val="01E0" w:firstRow="1" w:lastRow="1" w:firstColumn="1" w:lastColumn="1" w:noHBand="0" w:noVBand="0"/>
      </w:tblPr>
      <w:tblGrid>
        <w:gridCol w:w="2977"/>
        <w:gridCol w:w="1843"/>
        <w:gridCol w:w="850"/>
        <w:gridCol w:w="851"/>
        <w:gridCol w:w="1417"/>
        <w:gridCol w:w="1276"/>
      </w:tblGrid>
      <w:tr w:rsidR="00573C7F" w:rsidRPr="002B3EEA" w:rsidTr="00B64271">
        <w:tc>
          <w:tcPr>
            <w:tcW w:w="2977" w:type="dxa"/>
          </w:tcPr>
          <w:p w:rsidR="00573C7F" w:rsidRPr="00CE6295" w:rsidRDefault="00573C7F" w:rsidP="00B64271">
            <w:pPr>
              <w:spacing w:before="120" w:after="120"/>
              <w:rPr>
                <w:rFonts w:cs="Arial"/>
                <w:b/>
                <w:sz w:val="20"/>
                <w:szCs w:val="20"/>
              </w:rPr>
            </w:pPr>
            <w:r w:rsidRPr="00CE6295">
              <w:rPr>
                <w:rFonts w:cs="Arial"/>
                <w:b/>
                <w:sz w:val="20"/>
                <w:szCs w:val="20"/>
              </w:rPr>
              <w:t>Point of application</w:t>
            </w:r>
          </w:p>
        </w:tc>
        <w:tc>
          <w:tcPr>
            <w:tcW w:w="1843" w:type="dxa"/>
          </w:tcPr>
          <w:p w:rsidR="00573C7F" w:rsidRPr="00CE6295" w:rsidRDefault="00573C7F" w:rsidP="00B64271">
            <w:pPr>
              <w:spacing w:before="120" w:after="120"/>
              <w:rPr>
                <w:rFonts w:cs="Arial"/>
                <w:b/>
                <w:sz w:val="20"/>
                <w:szCs w:val="20"/>
              </w:rPr>
            </w:pPr>
            <w:r w:rsidRPr="00CE6295">
              <w:rPr>
                <w:rFonts w:cs="Arial"/>
                <w:b/>
                <w:sz w:val="20"/>
                <w:szCs w:val="20"/>
              </w:rPr>
              <w:t>Microorganism</w:t>
            </w:r>
          </w:p>
        </w:tc>
        <w:tc>
          <w:tcPr>
            <w:tcW w:w="850" w:type="dxa"/>
          </w:tcPr>
          <w:p w:rsidR="00573C7F" w:rsidRPr="00CE6295" w:rsidRDefault="00573C7F" w:rsidP="00B64271">
            <w:pPr>
              <w:spacing w:before="120" w:after="120"/>
              <w:rPr>
                <w:rFonts w:cs="Arial"/>
                <w:b/>
                <w:sz w:val="20"/>
                <w:szCs w:val="20"/>
              </w:rPr>
            </w:pPr>
            <w:r w:rsidRPr="00CE6295">
              <w:rPr>
                <w:rFonts w:cs="Arial"/>
                <w:b/>
                <w:sz w:val="20"/>
                <w:szCs w:val="20"/>
              </w:rPr>
              <w:t>n</w:t>
            </w:r>
          </w:p>
        </w:tc>
        <w:tc>
          <w:tcPr>
            <w:tcW w:w="851" w:type="dxa"/>
          </w:tcPr>
          <w:p w:rsidR="00573C7F" w:rsidRPr="00CE6295" w:rsidRDefault="00573C7F" w:rsidP="00B64271">
            <w:pPr>
              <w:spacing w:before="120" w:after="120"/>
              <w:rPr>
                <w:rFonts w:cs="Arial"/>
                <w:b/>
                <w:sz w:val="20"/>
                <w:szCs w:val="20"/>
              </w:rPr>
            </w:pPr>
            <w:r w:rsidRPr="00CE6295">
              <w:rPr>
                <w:rFonts w:cs="Arial"/>
                <w:b/>
                <w:sz w:val="20"/>
                <w:szCs w:val="20"/>
              </w:rPr>
              <w:t>c</w:t>
            </w:r>
          </w:p>
        </w:tc>
        <w:tc>
          <w:tcPr>
            <w:tcW w:w="1417" w:type="dxa"/>
          </w:tcPr>
          <w:p w:rsidR="00573C7F" w:rsidRPr="00CE6295" w:rsidRDefault="00573C7F" w:rsidP="00B64271">
            <w:pPr>
              <w:spacing w:before="120" w:after="120"/>
              <w:rPr>
                <w:rFonts w:cs="Arial"/>
                <w:b/>
                <w:sz w:val="20"/>
                <w:szCs w:val="20"/>
              </w:rPr>
            </w:pPr>
            <w:r w:rsidRPr="00CE6295">
              <w:rPr>
                <w:rFonts w:cs="Arial"/>
                <w:b/>
                <w:sz w:val="20"/>
                <w:szCs w:val="20"/>
              </w:rPr>
              <w:t>m</w:t>
            </w:r>
          </w:p>
        </w:tc>
        <w:tc>
          <w:tcPr>
            <w:tcW w:w="1276" w:type="dxa"/>
          </w:tcPr>
          <w:p w:rsidR="00573C7F" w:rsidRPr="00CE6295" w:rsidRDefault="00573C7F" w:rsidP="00B64271">
            <w:pPr>
              <w:spacing w:before="120" w:after="120"/>
              <w:rPr>
                <w:rFonts w:cs="Arial"/>
                <w:b/>
                <w:sz w:val="20"/>
                <w:szCs w:val="20"/>
              </w:rPr>
            </w:pPr>
            <w:r w:rsidRPr="00CE6295">
              <w:rPr>
                <w:rFonts w:cs="Arial"/>
                <w:b/>
                <w:sz w:val="20"/>
                <w:szCs w:val="20"/>
              </w:rPr>
              <w:t>Class Plan</w:t>
            </w:r>
          </w:p>
        </w:tc>
      </w:tr>
      <w:tr w:rsidR="00573C7F" w:rsidRPr="002B3EEA" w:rsidTr="00B64271">
        <w:tc>
          <w:tcPr>
            <w:tcW w:w="2977" w:type="dxa"/>
          </w:tcPr>
          <w:p w:rsidR="00573C7F" w:rsidRPr="00CE6295" w:rsidRDefault="00573C7F" w:rsidP="00B64271">
            <w:pPr>
              <w:spacing w:before="120"/>
              <w:rPr>
                <w:rFonts w:cs="Arial"/>
                <w:sz w:val="20"/>
                <w:szCs w:val="20"/>
              </w:rPr>
            </w:pPr>
            <w:r w:rsidRPr="00CE6295">
              <w:rPr>
                <w:rFonts w:cs="Arial"/>
                <w:sz w:val="20"/>
                <w:szCs w:val="20"/>
              </w:rPr>
              <w:t>Ready-to-eat food</w:t>
            </w:r>
            <w:r>
              <w:rPr>
                <w:rFonts w:cs="Arial"/>
                <w:sz w:val="20"/>
                <w:szCs w:val="20"/>
              </w:rPr>
              <w:t>s</w:t>
            </w:r>
            <w:r w:rsidRPr="00CE6295">
              <w:rPr>
                <w:rFonts w:cs="Arial"/>
                <w:sz w:val="20"/>
                <w:szCs w:val="20"/>
              </w:rPr>
              <w:t xml:space="preserve"> from the end of manufacture </w:t>
            </w:r>
            <w:r>
              <w:rPr>
                <w:rFonts w:cs="Arial"/>
                <w:sz w:val="20"/>
                <w:szCs w:val="20"/>
              </w:rPr>
              <w:t xml:space="preserve">or port of entry (for imported foods), </w:t>
            </w:r>
            <w:r w:rsidRPr="00CE6295">
              <w:rPr>
                <w:rFonts w:cs="Arial"/>
                <w:sz w:val="20"/>
                <w:szCs w:val="20"/>
              </w:rPr>
              <w:t>to the point of sale.</w:t>
            </w:r>
          </w:p>
        </w:tc>
        <w:tc>
          <w:tcPr>
            <w:tcW w:w="1843" w:type="dxa"/>
          </w:tcPr>
          <w:p w:rsidR="00573C7F" w:rsidRPr="00CE6295" w:rsidRDefault="00573C7F" w:rsidP="00B64271">
            <w:pPr>
              <w:spacing w:before="120"/>
              <w:rPr>
                <w:rFonts w:cs="Arial"/>
                <w:i/>
                <w:sz w:val="20"/>
                <w:szCs w:val="20"/>
              </w:rPr>
            </w:pPr>
            <w:r w:rsidRPr="00CE6295">
              <w:rPr>
                <w:rFonts w:cs="Arial"/>
                <w:i/>
                <w:sz w:val="20"/>
                <w:szCs w:val="20"/>
              </w:rPr>
              <w:t>Listeria monocytogenes</w:t>
            </w:r>
          </w:p>
        </w:tc>
        <w:tc>
          <w:tcPr>
            <w:tcW w:w="850" w:type="dxa"/>
          </w:tcPr>
          <w:p w:rsidR="00573C7F" w:rsidRPr="00CE6295" w:rsidRDefault="00573C7F" w:rsidP="00B64271">
            <w:pPr>
              <w:spacing w:before="120"/>
              <w:rPr>
                <w:rFonts w:cs="Arial"/>
                <w:sz w:val="20"/>
                <w:szCs w:val="20"/>
              </w:rPr>
            </w:pPr>
            <w:r w:rsidRPr="00CE6295">
              <w:rPr>
                <w:rFonts w:cs="Arial"/>
                <w:sz w:val="20"/>
                <w:szCs w:val="20"/>
              </w:rPr>
              <w:t>5</w:t>
            </w:r>
            <w:r w:rsidRPr="004E27C9">
              <w:rPr>
                <w:rFonts w:cs="Arial"/>
                <w:sz w:val="20"/>
                <w:szCs w:val="20"/>
                <w:vertAlign w:val="superscript"/>
              </w:rPr>
              <w:t>a</w:t>
            </w:r>
          </w:p>
        </w:tc>
        <w:tc>
          <w:tcPr>
            <w:tcW w:w="851" w:type="dxa"/>
          </w:tcPr>
          <w:p w:rsidR="00573C7F" w:rsidRPr="00CE6295" w:rsidRDefault="00573C7F" w:rsidP="00B64271">
            <w:pPr>
              <w:spacing w:before="120"/>
              <w:rPr>
                <w:rFonts w:cs="Arial"/>
                <w:sz w:val="20"/>
                <w:szCs w:val="20"/>
              </w:rPr>
            </w:pPr>
            <w:r w:rsidRPr="00CE6295">
              <w:rPr>
                <w:rFonts w:cs="Arial"/>
                <w:sz w:val="20"/>
                <w:szCs w:val="20"/>
              </w:rPr>
              <w:t>0</w:t>
            </w:r>
          </w:p>
        </w:tc>
        <w:tc>
          <w:tcPr>
            <w:tcW w:w="1417" w:type="dxa"/>
          </w:tcPr>
          <w:p w:rsidR="00573C7F" w:rsidRPr="00CE6295" w:rsidRDefault="00573C7F" w:rsidP="00B64271">
            <w:pPr>
              <w:spacing w:before="120"/>
              <w:rPr>
                <w:rFonts w:cs="Arial"/>
                <w:sz w:val="20"/>
                <w:szCs w:val="20"/>
              </w:rPr>
            </w:pPr>
            <w:r w:rsidRPr="00CE6295">
              <w:rPr>
                <w:rFonts w:cs="Arial"/>
                <w:sz w:val="20"/>
                <w:szCs w:val="20"/>
              </w:rPr>
              <w:t>Absence in 25</w:t>
            </w:r>
            <w:r>
              <w:rPr>
                <w:rFonts w:cs="Arial"/>
                <w:sz w:val="20"/>
                <w:szCs w:val="20"/>
              </w:rPr>
              <w:t xml:space="preserve"> </w:t>
            </w:r>
            <w:r w:rsidRPr="00CE6295">
              <w:rPr>
                <w:rFonts w:cs="Arial"/>
                <w:sz w:val="20"/>
                <w:szCs w:val="20"/>
              </w:rPr>
              <w:t>g (&lt;0.04 cfu/g)</w:t>
            </w:r>
            <w:r w:rsidRPr="004E27C9">
              <w:rPr>
                <w:rFonts w:cs="Arial"/>
                <w:sz w:val="20"/>
                <w:szCs w:val="20"/>
                <w:vertAlign w:val="superscript"/>
              </w:rPr>
              <w:t>b</w:t>
            </w:r>
          </w:p>
        </w:tc>
        <w:tc>
          <w:tcPr>
            <w:tcW w:w="1276" w:type="dxa"/>
          </w:tcPr>
          <w:p w:rsidR="00573C7F" w:rsidRPr="00CE6295" w:rsidRDefault="00573C7F" w:rsidP="00B64271">
            <w:pPr>
              <w:spacing w:before="120"/>
              <w:rPr>
                <w:rFonts w:cs="Arial"/>
                <w:sz w:val="20"/>
                <w:szCs w:val="20"/>
              </w:rPr>
            </w:pPr>
            <w:r w:rsidRPr="00CE6295">
              <w:rPr>
                <w:rFonts w:cs="Arial"/>
                <w:sz w:val="20"/>
                <w:szCs w:val="20"/>
              </w:rPr>
              <w:t>2</w:t>
            </w:r>
            <w:r w:rsidRPr="004E27C9">
              <w:rPr>
                <w:rFonts w:cs="Arial"/>
                <w:sz w:val="20"/>
                <w:szCs w:val="20"/>
                <w:vertAlign w:val="superscript"/>
              </w:rPr>
              <w:t>c</w:t>
            </w:r>
          </w:p>
        </w:tc>
      </w:tr>
    </w:tbl>
    <w:p w:rsidR="00573C7F" w:rsidRPr="002B3EEA" w:rsidRDefault="00573C7F" w:rsidP="00573C7F"/>
    <w:p w:rsidR="00573C7F" w:rsidRPr="00773092" w:rsidRDefault="00573C7F" w:rsidP="00573C7F">
      <w:pPr>
        <w:widowControl/>
        <w:rPr>
          <w:rFonts w:cs="Arial"/>
          <w:lang w:eastAsia="en-AU"/>
        </w:rPr>
      </w:pPr>
    </w:p>
    <w:p w:rsidR="00573C7F" w:rsidRPr="004E27C9" w:rsidRDefault="00573C7F" w:rsidP="00573C7F">
      <w:pPr>
        <w:widowControl/>
        <w:ind w:left="284"/>
        <w:rPr>
          <w:rFonts w:cs="Arial"/>
          <w:sz w:val="18"/>
          <w:szCs w:val="18"/>
          <w:lang w:eastAsia="en-AU"/>
        </w:rPr>
      </w:pPr>
      <w:proofErr w:type="gramStart"/>
      <w:r w:rsidRPr="004E27C9">
        <w:rPr>
          <w:rFonts w:cs="Arial"/>
          <w:sz w:val="18"/>
          <w:szCs w:val="18"/>
          <w:vertAlign w:val="superscript"/>
          <w:lang w:eastAsia="en-AU"/>
        </w:rPr>
        <w:t>a</w:t>
      </w:r>
      <w:proofErr w:type="gramEnd"/>
      <w:r>
        <w:rPr>
          <w:rFonts w:cs="Arial"/>
          <w:sz w:val="18"/>
          <w:szCs w:val="18"/>
          <w:vertAlign w:val="superscript"/>
          <w:lang w:eastAsia="en-AU"/>
        </w:rPr>
        <w:t xml:space="preserve"> </w:t>
      </w:r>
      <w:r w:rsidRPr="004E27C9">
        <w:rPr>
          <w:rFonts w:cs="Arial"/>
          <w:sz w:val="18"/>
          <w:szCs w:val="18"/>
          <w:lang w:eastAsia="en-AU"/>
        </w:rPr>
        <w:t>National governments should provide or support the provision of guidance on how samples should be collected and handles, and the degree to which compositing of samples can be employed.</w:t>
      </w:r>
    </w:p>
    <w:p w:rsidR="00573C7F" w:rsidRPr="004E27C9" w:rsidRDefault="00573C7F" w:rsidP="00573C7F">
      <w:pPr>
        <w:widowControl/>
        <w:ind w:left="284"/>
        <w:rPr>
          <w:rFonts w:cs="Arial"/>
          <w:sz w:val="18"/>
          <w:szCs w:val="18"/>
          <w:lang w:eastAsia="en-AU"/>
        </w:rPr>
      </w:pPr>
    </w:p>
    <w:p w:rsidR="00573C7F" w:rsidRDefault="00573C7F" w:rsidP="00573C7F">
      <w:pPr>
        <w:widowControl/>
        <w:ind w:left="284"/>
        <w:rPr>
          <w:rFonts w:cs="Arial"/>
          <w:sz w:val="18"/>
          <w:szCs w:val="18"/>
          <w:lang w:eastAsia="en-AU"/>
        </w:rPr>
      </w:pPr>
      <w:proofErr w:type="gramStart"/>
      <w:r w:rsidRPr="004E27C9">
        <w:rPr>
          <w:rFonts w:cs="Arial"/>
          <w:sz w:val="18"/>
          <w:szCs w:val="18"/>
          <w:vertAlign w:val="superscript"/>
          <w:lang w:eastAsia="en-AU"/>
        </w:rPr>
        <w:t>b</w:t>
      </w:r>
      <w:proofErr w:type="gramEnd"/>
      <w:r w:rsidRPr="004E27C9">
        <w:rPr>
          <w:rFonts w:cs="Arial"/>
          <w:sz w:val="18"/>
          <w:szCs w:val="18"/>
          <w:lang w:eastAsia="en-AU"/>
        </w:rPr>
        <w:t xml:space="preserve"> </w:t>
      </w:r>
      <w:r>
        <w:rPr>
          <w:rFonts w:cs="Arial"/>
          <w:sz w:val="18"/>
          <w:szCs w:val="18"/>
          <w:lang w:eastAsia="en-AU"/>
        </w:rPr>
        <w:t xml:space="preserve">Enumeration method (&lt;100 cfu/g) </w:t>
      </w:r>
      <w:r w:rsidRPr="004E27C9">
        <w:rPr>
          <w:rFonts w:cs="Arial"/>
          <w:sz w:val="18"/>
          <w:szCs w:val="18"/>
          <w:lang w:eastAsia="en-AU"/>
        </w:rPr>
        <w:t>is based on the use of the ISO 11290-2 method</w:t>
      </w:r>
      <w:r>
        <w:rPr>
          <w:rFonts w:cs="Arial"/>
          <w:sz w:val="18"/>
          <w:szCs w:val="18"/>
          <w:lang w:eastAsia="en-AU"/>
        </w:rPr>
        <w:t xml:space="preserve">. </w:t>
      </w:r>
    </w:p>
    <w:p w:rsidR="00573C7F" w:rsidRPr="004E27C9" w:rsidRDefault="00573C7F" w:rsidP="00573C7F">
      <w:pPr>
        <w:widowControl/>
        <w:ind w:left="284"/>
        <w:rPr>
          <w:rFonts w:cs="Arial"/>
          <w:sz w:val="18"/>
          <w:szCs w:val="18"/>
          <w:lang w:eastAsia="en-AU"/>
        </w:rPr>
      </w:pPr>
      <w:r>
        <w:rPr>
          <w:rFonts w:cs="Arial"/>
          <w:sz w:val="18"/>
          <w:szCs w:val="18"/>
          <w:lang w:eastAsia="en-AU"/>
        </w:rPr>
        <w:t>Detection method (absence in a 25 g) is based on the use of ISO 11290-1 method</w:t>
      </w:r>
    </w:p>
    <w:p w:rsidR="00573C7F" w:rsidRPr="004E27C9" w:rsidRDefault="00573C7F" w:rsidP="00573C7F">
      <w:pPr>
        <w:widowControl/>
        <w:ind w:left="284"/>
        <w:rPr>
          <w:rFonts w:cs="Arial"/>
          <w:sz w:val="18"/>
          <w:szCs w:val="18"/>
          <w:lang w:eastAsia="en-AU"/>
        </w:rPr>
      </w:pPr>
    </w:p>
    <w:p w:rsidR="00573C7F" w:rsidRPr="004E27C9" w:rsidRDefault="00573C7F" w:rsidP="00573C7F">
      <w:pPr>
        <w:widowControl/>
        <w:ind w:left="284"/>
        <w:rPr>
          <w:rFonts w:cs="Arial"/>
          <w:sz w:val="18"/>
          <w:szCs w:val="18"/>
          <w:lang w:eastAsia="en-AU"/>
        </w:rPr>
      </w:pPr>
      <w:r w:rsidRPr="004E27C9">
        <w:rPr>
          <w:rFonts w:cs="Arial"/>
          <w:sz w:val="18"/>
          <w:szCs w:val="18"/>
          <w:lang w:eastAsia="en-AU"/>
        </w:rPr>
        <w:t>Other methods that provide equivalent sensitivity, reproducibility, and reliability can be employed if they have been appropriately validated (eg. based on ISO 16140).</w:t>
      </w:r>
    </w:p>
    <w:p w:rsidR="00573C7F" w:rsidRPr="004E27C9" w:rsidRDefault="00573C7F" w:rsidP="00573C7F">
      <w:pPr>
        <w:widowControl/>
        <w:ind w:left="284"/>
        <w:rPr>
          <w:rFonts w:cs="Arial"/>
          <w:sz w:val="18"/>
          <w:szCs w:val="18"/>
          <w:lang w:eastAsia="en-AU"/>
        </w:rPr>
      </w:pPr>
    </w:p>
    <w:p w:rsidR="00573C7F" w:rsidRPr="004E27C9" w:rsidRDefault="00573C7F" w:rsidP="00573C7F">
      <w:pPr>
        <w:widowControl/>
        <w:ind w:left="284"/>
        <w:rPr>
          <w:rFonts w:cs="Arial"/>
          <w:sz w:val="18"/>
          <w:szCs w:val="18"/>
          <w:lang w:eastAsia="en-AU"/>
        </w:rPr>
      </w:pPr>
      <w:r w:rsidRPr="004E27C9">
        <w:rPr>
          <w:rFonts w:cs="Arial"/>
          <w:sz w:val="18"/>
          <w:szCs w:val="18"/>
          <w:vertAlign w:val="superscript"/>
          <w:lang w:eastAsia="en-AU"/>
        </w:rPr>
        <w:t>c</w:t>
      </w:r>
      <w:r>
        <w:rPr>
          <w:rFonts w:cs="Arial"/>
          <w:sz w:val="18"/>
          <w:szCs w:val="18"/>
          <w:lang w:eastAsia="en-AU"/>
        </w:rPr>
        <w:t xml:space="preserve"> </w:t>
      </w:r>
      <w:r w:rsidRPr="004E27C9">
        <w:rPr>
          <w:rFonts w:cs="Arial"/>
          <w:sz w:val="18"/>
          <w:szCs w:val="18"/>
          <w:lang w:eastAsia="en-AU"/>
        </w:rPr>
        <w:t xml:space="preserve">Assuming a log normal distribution, this sampling plan would provide 95% confidence that ta lot of food containing a geometric mean concentration of </w:t>
      </w:r>
      <w:r>
        <w:rPr>
          <w:rFonts w:cs="Arial"/>
          <w:sz w:val="18"/>
          <w:szCs w:val="18"/>
          <w:lang w:eastAsia="en-AU"/>
        </w:rPr>
        <w:t xml:space="preserve">0.023 cfu/g or </w:t>
      </w:r>
      <w:r w:rsidRPr="004E27C9">
        <w:rPr>
          <w:rFonts w:cs="Arial"/>
          <w:sz w:val="18"/>
          <w:szCs w:val="18"/>
          <w:lang w:eastAsia="en-AU"/>
        </w:rPr>
        <w:t xml:space="preserve">93.3 cfu/g </w:t>
      </w:r>
      <w:r>
        <w:rPr>
          <w:rFonts w:cs="Arial"/>
          <w:sz w:val="18"/>
          <w:szCs w:val="18"/>
          <w:lang w:eastAsia="en-AU"/>
        </w:rPr>
        <w:t xml:space="preserve">(absence in 25g or &lt;100 cfu/g criterion respectively) </w:t>
      </w:r>
      <w:r w:rsidRPr="004E27C9">
        <w:rPr>
          <w:rFonts w:cs="Arial"/>
          <w:sz w:val="18"/>
          <w:szCs w:val="18"/>
          <w:lang w:eastAsia="en-AU"/>
        </w:rPr>
        <w:t>and an analytical standard deviation of 0.25 log cfu/g would be detected and rejected based on any of the five samples exceed</w:t>
      </w:r>
      <w:r>
        <w:rPr>
          <w:rFonts w:cs="Arial"/>
          <w:sz w:val="18"/>
          <w:szCs w:val="18"/>
          <w:lang w:eastAsia="en-AU"/>
        </w:rPr>
        <w:t xml:space="preserve"> the criterion.</w:t>
      </w:r>
      <w:r w:rsidRPr="004E27C9">
        <w:rPr>
          <w:rFonts w:cs="Arial"/>
          <w:sz w:val="18"/>
          <w:szCs w:val="18"/>
          <w:lang w:eastAsia="en-AU"/>
        </w:rPr>
        <w:t xml:space="preserve"> Such a lot may consist of 55% of the samples being below</w:t>
      </w:r>
      <w:r>
        <w:rPr>
          <w:rFonts w:cs="Arial"/>
          <w:sz w:val="18"/>
          <w:szCs w:val="18"/>
          <w:lang w:eastAsia="en-AU"/>
        </w:rPr>
        <w:t xml:space="preserve"> the criterion</w:t>
      </w:r>
      <w:r w:rsidRPr="004E27C9">
        <w:rPr>
          <w:rFonts w:cs="Arial"/>
          <w:sz w:val="18"/>
          <w:szCs w:val="18"/>
          <w:lang w:eastAsia="en-AU"/>
        </w:rPr>
        <w:t xml:space="preserve"> and up to 45% of the samples being above </w:t>
      </w:r>
      <w:r>
        <w:rPr>
          <w:rFonts w:cs="Arial"/>
          <w:sz w:val="18"/>
          <w:szCs w:val="18"/>
          <w:lang w:eastAsia="en-AU"/>
        </w:rPr>
        <w:t>the criterion.</w:t>
      </w:r>
      <w:r w:rsidRPr="004E27C9">
        <w:rPr>
          <w:rFonts w:cs="Arial"/>
          <w:sz w:val="18"/>
          <w:szCs w:val="18"/>
          <w:lang w:eastAsia="en-AU"/>
        </w:rPr>
        <w:t xml:space="preserve"> </w:t>
      </w:r>
    </w:p>
    <w:p w:rsidR="00573C7F" w:rsidRPr="004E27C9" w:rsidRDefault="00573C7F" w:rsidP="00573C7F">
      <w:pPr>
        <w:widowControl/>
        <w:ind w:left="284"/>
        <w:rPr>
          <w:rFonts w:cs="Arial"/>
          <w:sz w:val="18"/>
          <w:szCs w:val="18"/>
          <w:lang w:eastAsia="en-AU"/>
        </w:rPr>
      </w:pPr>
    </w:p>
    <w:p w:rsidR="00573C7F" w:rsidRPr="004E27C9" w:rsidRDefault="00573C7F" w:rsidP="00573C7F">
      <w:pPr>
        <w:widowControl/>
        <w:ind w:left="284"/>
        <w:rPr>
          <w:rFonts w:cs="Arial"/>
          <w:sz w:val="18"/>
          <w:szCs w:val="18"/>
          <w:lang w:eastAsia="en-AU"/>
        </w:rPr>
      </w:pPr>
      <w:r w:rsidRPr="004E27C9">
        <w:rPr>
          <w:rFonts w:cs="Arial"/>
          <w:sz w:val="18"/>
          <w:szCs w:val="18"/>
          <w:lang w:eastAsia="en-AU"/>
        </w:rPr>
        <w:t>The typical actions to be taken where there is a failure to meet the above criteri</w:t>
      </w:r>
      <w:r>
        <w:rPr>
          <w:rFonts w:cs="Arial"/>
          <w:sz w:val="18"/>
          <w:szCs w:val="18"/>
          <w:lang w:eastAsia="en-AU"/>
        </w:rPr>
        <w:t>a</w:t>
      </w:r>
      <w:r w:rsidRPr="004E27C9">
        <w:rPr>
          <w:rFonts w:cs="Arial"/>
          <w:sz w:val="18"/>
          <w:szCs w:val="18"/>
          <w:lang w:eastAsia="en-AU"/>
        </w:rPr>
        <w:t xml:space="preserve"> would be to (1) prevent the affected lot from being released for human consumption, (2) recall the product if it has been released for human consumption, and/or (3) determine and correct the root cause of the failure.</w:t>
      </w:r>
    </w:p>
    <w:p w:rsidR="00573C7F" w:rsidRPr="00773092" w:rsidRDefault="00573C7F" w:rsidP="00573C7F">
      <w:pPr>
        <w:widowControl/>
        <w:rPr>
          <w:rFonts w:cs="Arial"/>
          <w:lang w:eastAsia="en-AU"/>
        </w:rPr>
      </w:pPr>
    </w:p>
    <w:p w:rsidR="00573C7F" w:rsidRDefault="00573C7F" w:rsidP="00573C7F">
      <w:pPr>
        <w:widowControl/>
      </w:pPr>
    </w:p>
    <w:p w:rsidR="004B016E" w:rsidRPr="00880E5F" w:rsidRDefault="004B016E" w:rsidP="00880E5F">
      <w:pPr>
        <w:rPr>
          <w:lang w:eastAsia="en-AU" w:bidi="ar-SA"/>
        </w:rPr>
      </w:pPr>
    </w:p>
    <w:sectPr w:rsidR="004B016E" w:rsidRPr="00880E5F" w:rsidSect="00053C87">
      <w:footerReference w:type="even" r:id="rId11"/>
      <w:footerReference w:type="default" r:id="rId12"/>
      <w:headerReference w:type="first" r:id="rId13"/>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271" w:rsidRDefault="00B64271">
      <w:r>
        <w:separator/>
      </w:r>
    </w:p>
  </w:endnote>
  <w:endnote w:type="continuationSeparator" w:id="0">
    <w:p w:rsidR="00B64271" w:rsidRDefault="00B6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71" w:rsidRDefault="00B6427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4271" w:rsidRDefault="00B642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71" w:rsidRDefault="00B6427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6EA1">
      <w:rPr>
        <w:rStyle w:val="PageNumber"/>
        <w:noProof/>
      </w:rPr>
      <w:t>9</w:t>
    </w:r>
    <w:r>
      <w:rPr>
        <w:rStyle w:val="PageNumber"/>
      </w:rPr>
      <w:fldChar w:fldCharType="end"/>
    </w:r>
  </w:p>
  <w:p w:rsidR="00B64271" w:rsidRDefault="00B64271" w:rsidP="00143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271" w:rsidRDefault="00B64271">
      <w:r>
        <w:separator/>
      </w:r>
    </w:p>
  </w:footnote>
  <w:footnote w:type="continuationSeparator" w:id="0">
    <w:p w:rsidR="00B64271" w:rsidRDefault="00B64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71" w:rsidRDefault="00B6427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F013F0"/>
    <w:multiLevelType w:val="hybridMultilevel"/>
    <w:tmpl w:val="3390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CCD28E8"/>
    <w:multiLevelType w:val="multilevel"/>
    <w:tmpl w:val="796223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9425E7"/>
    <w:multiLevelType w:val="hybridMultilevel"/>
    <w:tmpl w:val="A2ECB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4E636FE1"/>
    <w:multiLevelType w:val="hybridMultilevel"/>
    <w:tmpl w:val="9C06F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336F21"/>
    <w:multiLevelType w:val="hybridMultilevel"/>
    <w:tmpl w:val="4AEEFF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755AD1"/>
    <w:multiLevelType w:val="hybridMultilevel"/>
    <w:tmpl w:val="271A9C0E"/>
    <w:lvl w:ilvl="0" w:tplc="2BBC14BC">
      <w:start w:val="1"/>
      <w:numFmt w:val="bullet"/>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0">
    <w:nsid w:val="73734482"/>
    <w:multiLevelType w:val="hybridMultilevel"/>
    <w:tmpl w:val="F8A8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3"/>
  </w:num>
  <w:num w:numId="11">
    <w:abstractNumId w:val="3"/>
  </w:num>
  <w:num w:numId="12">
    <w:abstractNumId w:val="3"/>
  </w:num>
  <w:num w:numId="13">
    <w:abstractNumId w:val="9"/>
  </w:num>
  <w:num w:numId="14">
    <w:abstractNumId w:val="7"/>
  </w:num>
  <w:num w:numId="15">
    <w:abstractNumId w:val="10"/>
  </w:num>
  <w:num w:numId="16">
    <w:abstractNumId w:val="3"/>
  </w:num>
  <w:num w:numId="17">
    <w:abstractNumId w:val="3"/>
  </w:num>
  <w:num w:numId="18">
    <w:abstractNumId w:val="5"/>
  </w:num>
  <w:num w:numId="19">
    <w:abstractNumId w:val="3"/>
  </w:num>
  <w:num w:numId="20">
    <w:abstractNumId w:val="3"/>
  </w:num>
  <w:num w:numId="2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listeria references&lt;/item&gt;&lt;/Libraries&gt;&lt;/ENLibraries&gt;"/>
  </w:docVars>
  <w:rsids>
    <w:rsidRoot w:val="005F7342"/>
    <w:rsid w:val="00001CF2"/>
    <w:rsid w:val="0000247B"/>
    <w:rsid w:val="0000469B"/>
    <w:rsid w:val="00035FF3"/>
    <w:rsid w:val="00051021"/>
    <w:rsid w:val="00051ED9"/>
    <w:rsid w:val="00053C87"/>
    <w:rsid w:val="0005566E"/>
    <w:rsid w:val="00057181"/>
    <w:rsid w:val="0006473A"/>
    <w:rsid w:val="00064B2D"/>
    <w:rsid w:val="00064D74"/>
    <w:rsid w:val="00065315"/>
    <w:rsid w:val="0006549E"/>
    <w:rsid w:val="00065F1F"/>
    <w:rsid w:val="000720B0"/>
    <w:rsid w:val="00076D33"/>
    <w:rsid w:val="00082CA1"/>
    <w:rsid w:val="00092CDA"/>
    <w:rsid w:val="000A27E9"/>
    <w:rsid w:val="000A3D8B"/>
    <w:rsid w:val="000A5DF8"/>
    <w:rsid w:val="000B6AF2"/>
    <w:rsid w:val="000C1FDE"/>
    <w:rsid w:val="000D6FD4"/>
    <w:rsid w:val="000E0AE4"/>
    <w:rsid w:val="000E3AF1"/>
    <w:rsid w:val="000E3DBC"/>
    <w:rsid w:val="000F5548"/>
    <w:rsid w:val="0011330F"/>
    <w:rsid w:val="00113CE3"/>
    <w:rsid w:val="00117522"/>
    <w:rsid w:val="00143C66"/>
    <w:rsid w:val="001542D8"/>
    <w:rsid w:val="001653F3"/>
    <w:rsid w:val="00180C41"/>
    <w:rsid w:val="00182C4C"/>
    <w:rsid w:val="00197D8D"/>
    <w:rsid w:val="001A1A75"/>
    <w:rsid w:val="001A5977"/>
    <w:rsid w:val="001A7E9A"/>
    <w:rsid w:val="001B0829"/>
    <w:rsid w:val="001B3DC7"/>
    <w:rsid w:val="001C27A3"/>
    <w:rsid w:val="001C28DC"/>
    <w:rsid w:val="001C5295"/>
    <w:rsid w:val="001E09FA"/>
    <w:rsid w:val="00203540"/>
    <w:rsid w:val="0021472C"/>
    <w:rsid w:val="0021612B"/>
    <w:rsid w:val="0022083A"/>
    <w:rsid w:val="00221D07"/>
    <w:rsid w:val="00225F9D"/>
    <w:rsid w:val="002273DF"/>
    <w:rsid w:val="00227E4A"/>
    <w:rsid w:val="0024582E"/>
    <w:rsid w:val="00245C56"/>
    <w:rsid w:val="002547EF"/>
    <w:rsid w:val="002551F3"/>
    <w:rsid w:val="00256D65"/>
    <w:rsid w:val="00271F00"/>
    <w:rsid w:val="00273A80"/>
    <w:rsid w:val="00277F60"/>
    <w:rsid w:val="002846D1"/>
    <w:rsid w:val="0029204E"/>
    <w:rsid w:val="0029631C"/>
    <w:rsid w:val="00297E2F"/>
    <w:rsid w:val="002A0194"/>
    <w:rsid w:val="002A5F8B"/>
    <w:rsid w:val="002A7F6C"/>
    <w:rsid w:val="002B2C12"/>
    <w:rsid w:val="002D4021"/>
    <w:rsid w:val="002D6809"/>
    <w:rsid w:val="002F1E5A"/>
    <w:rsid w:val="002F6488"/>
    <w:rsid w:val="00320839"/>
    <w:rsid w:val="003213F9"/>
    <w:rsid w:val="00323DBF"/>
    <w:rsid w:val="003309A8"/>
    <w:rsid w:val="00332B12"/>
    <w:rsid w:val="00350AF2"/>
    <w:rsid w:val="00351B07"/>
    <w:rsid w:val="00352CF2"/>
    <w:rsid w:val="00360249"/>
    <w:rsid w:val="00364841"/>
    <w:rsid w:val="00370D0D"/>
    <w:rsid w:val="00371B29"/>
    <w:rsid w:val="0037656B"/>
    <w:rsid w:val="003821A5"/>
    <w:rsid w:val="00391769"/>
    <w:rsid w:val="003953E1"/>
    <w:rsid w:val="003956B3"/>
    <w:rsid w:val="003A68BE"/>
    <w:rsid w:val="003B1805"/>
    <w:rsid w:val="003B2B56"/>
    <w:rsid w:val="003B3C9D"/>
    <w:rsid w:val="003B78E0"/>
    <w:rsid w:val="003C4969"/>
    <w:rsid w:val="003D13C8"/>
    <w:rsid w:val="003E41D5"/>
    <w:rsid w:val="003E46BA"/>
    <w:rsid w:val="003E7D22"/>
    <w:rsid w:val="003F0866"/>
    <w:rsid w:val="003F74C1"/>
    <w:rsid w:val="00405B1A"/>
    <w:rsid w:val="00405BC8"/>
    <w:rsid w:val="00410C76"/>
    <w:rsid w:val="0041151E"/>
    <w:rsid w:val="00411907"/>
    <w:rsid w:val="004119B9"/>
    <w:rsid w:val="00413CA8"/>
    <w:rsid w:val="00415618"/>
    <w:rsid w:val="00415D45"/>
    <w:rsid w:val="00417EE3"/>
    <w:rsid w:val="004207EB"/>
    <w:rsid w:val="00437276"/>
    <w:rsid w:val="004432FE"/>
    <w:rsid w:val="0044680C"/>
    <w:rsid w:val="00456B54"/>
    <w:rsid w:val="00464643"/>
    <w:rsid w:val="00486793"/>
    <w:rsid w:val="004A2037"/>
    <w:rsid w:val="004A47C8"/>
    <w:rsid w:val="004A4B8F"/>
    <w:rsid w:val="004B016E"/>
    <w:rsid w:val="004C0CED"/>
    <w:rsid w:val="004C2431"/>
    <w:rsid w:val="004C2CE7"/>
    <w:rsid w:val="004D4B6D"/>
    <w:rsid w:val="004E27C9"/>
    <w:rsid w:val="004F0D83"/>
    <w:rsid w:val="004F4F98"/>
    <w:rsid w:val="004F69F6"/>
    <w:rsid w:val="004F79AC"/>
    <w:rsid w:val="00501092"/>
    <w:rsid w:val="005017CF"/>
    <w:rsid w:val="00512D80"/>
    <w:rsid w:val="00513006"/>
    <w:rsid w:val="005207D8"/>
    <w:rsid w:val="005325CB"/>
    <w:rsid w:val="0053464E"/>
    <w:rsid w:val="00541E3D"/>
    <w:rsid w:val="00562917"/>
    <w:rsid w:val="00573C7F"/>
    <w:rsid w:val="00586228"/>
    <w:rsid w:val="0058649F"/>
    <w:rsid w:val="005A1D97"/>
    <w:rsid w:val="005B6AF4"/>
    <w:rsid w:val="005B7A73"/>
    <w:rsid w:val="005C04CB"/>
    <w:rsid w:val="005C41A4"/>
    <w:rsid w:val="005D16AD"/>
    <w:rsid w:val="005D72E1"/>
    <w:rsid w:val="005E6E16"/>
    <w:rsid w:val="005F3F13"/>
    <w:rsid w:val="005F400E"/>
    <w:rsid w:val="005F7342"/>
    <w:rsid w:val="00603A08"/>
    <w:rsid w:val="00610A3C"/>
    <w:rsid w:val="00627F48"/>
    <w:rsid w:val="00630C23"/>
    <w:rsid w:val="006460AB"/>
    <w:rsid w:val="00663FCF"/>
    <w:rsid w:val="006652A2"/>
    <w:rsid w:val="006734F8"/>
    <w:rsid w:val="0067667D"/>
    <w:rsid w:val="00690206"/>
    <w:rsid w:val="006937FF"/>
    <w:rsid w:val="006A24A0"/>
    <w:rsid w:val="006A48A7"/>
    <w:rsid w:val="006B4BA1"/>
    <w:rsid w:val="006B518B"/>
    <w:rsid w:val="006B5EBE"/>
    <w:rsid w:val="006C3774"/>
    <w:rsid w:val="006C492C"/>
    <w:rsid w:val="006C5CF5"/>
    <w:rsid w:val="006D6EA1"/>
    <w:rsid w:val="006E1764"/>
    <w:rsid w:val="006F4A82"/>
    <w:rsid w:val="006F7BEF"/>
    <w:rsid w:val="0070373B"/>
    <w:rsid w:val="00724FA4"/>
    <w:rsid w:val="00725E2B"/>
    <w:rsid w:val="007272CE"/>
    <w:rsid w:val="00730800"/>
    <w:rsid w:val="00742F59"/>
    <w:rsid w:val="007602AA"/>
    <w:rsid w:val="007652EF"/>
    <w:rsid w:val="00772BDC"/>
    <w:rsid w:val="00773092"/>
    <w:rsid w:val="00780792"/>
    <w:rsid w:val="007A44B4"/>
    <w:rsid w:val="007A7D3D"/>
    <w:rsid w:val="007B225D"/>
    <w:rsid w:val="007B52D8"/>
    <w:rsid w:val="007C174F"/>
    <w:rsid w:val="007C1C64"/>
    <w:rsid w:val="007D03EA"/>
    <w:rsid w:val="007E48BC"/>
    <w:rsid w:val="007E4B91"/>
    <w:rsid w:val="007E79F7"/>
    <w:rsid w:val="007F3630"/>
    <w:rsid w:val="00806EDC"/>
    <w:rsid w:val="00807559"/>
    <w:rsid w:val="00811DBB"/>
    <w:rsid w:val="0082497F"/>
    <w:rsid w:val="008450BC"/>
    <w:rsid w:val="00847A7C"/>
    <w:rsid w:val="0085334B"/>
    <w:rsid w:val="00857B28"/>
    <w:rsid w:val="008632F3"/>
    <w:rsid w:val="00870214"/>
    <w:rsid w:val="00874896"/>
    <w:rsid w:val="00880E5F"/>
    <w:rsid w:val="00885C51"/>
    <w:rsid w:val="00885EB0"/>
    <w:rsid w:val="00885F55"/>
    <w:rsid w:val="00891F4B"/>
    <w:rsid w:val="0089264A"/>
    <w:rsid w:val="00896B85"/>
    <w:rsid w:val="008A22BE"/>
    <w:rsid w:val="008B5C8E"/>
    <w:rsid w:val="008C1B36"/>
    <w:rsid w:val="008D06C6"/>
    <w:rsid w:val="008D2385"/>
    <w:rsid w:val="008E6250"/>
    <w:rsid w:val="00902AF6"/>
    <w:rsid w:val="00920249"/>
    <w:rsid w:val="00924C80"/>
    <w:rsid w:val="00932F14"/>
    <w:rsid w:val="00940209"/>
    <w:rsid w:val="0094247F"/>
    <w:rsid w:val="00942D60"/>
    <w:rsid w:val="0095294B"/>
    <w:rsid w:val="0096523B"/>
    <w:rsid w:val="00966EE3"/>
    <w:rsid w:val="00972D06"/>
    <w:rsid w:val="009924F6"/>
    <w:rsid w:val="009A391C"/>
    <w:rsid w:val="009A50F2"/>
    <w:rsid w:val="009B5A1C"/>
    <w:rsid w:val="009E0A61"/>
    <w:rsid w:val="009E3010"/>
    <w:rsid w:val="009F007E"/>
    <w:rsid w:val="009F7065"/>
    <w:rsid w:val="00A4175D"/>
    <w:rsid w:val="00A56DC7"/>
    <w:rsid w:val="00A71289"/>
    <w:rsid w:val="00A74FD1"/>
    <w:rsid w:val="00A84A58"/>
    <w:rsid w:val="00AA0E4C"/>
    <w:rsid w:val="00AD7364"/>
    <w:rsid w:val="00AF06FC"/>
    <w:rsid w:val="00AF3391"/>
    <w:rsid w:val="00AF387F"/>
    <w:rsid w:val="00B00E7F"/>
    <w:rsid w:val="00B12F1E"/>
    <w:rsid w:val="00B17239"/>
    <w:rsid w:val="00B173DA"/>
    <w:rsid w:val="00B21DCC"/>
    <w:rsid w:val="00B25F37"/>
    <w:rsid w:val="00B27E57"/>
    <w:rsid w:val="00B37BF0"/>
    <w:rsid w:val="00B40B62"/>
    <w:rsid w:val="00B44422"/>
    <w:rsid w:val="00B46EA0"/>
    <w:rsid w:val="00B64271"/>
    <w:rsid w:val="00B731D3"/>
    <w:rsid w:val="00B73A51"/>
    <w:rsid w:val="00B839A3"/>
    <w:rsid w:val="00B902BD"/>
    <w:rsid w:val="00BA2372"/>
    <w:rsid w:val="00BA24E2"/>
    <w:rsid w:val="00BB4B78"/>
    <w:rsid w:val="00BB6D40"/>
    <w:rsid w:val="00BC0C2A"/>
    <w:rsid w:val="00BC20E7"/>
    <w:rsid w:val="00BD2A39"/>
    <w:rsid w:val="00BD2E80"/>
    <w:rsid w:val="00BD7CD9"/>
    <w:rsid w:val="00BE11B8"/>
    <w:rsid w:val="00BF3CC4"/>
    <w:rsid w:val="00BF7FF0"/>
    <w:rsid w:val="00C057F4"/>
    <w:rsid w:val="00C07FDF"/>
    <w:rsid w:val="00C1168A"/>
    <w:rsid w:val="00C12502"/>
    <w:rsid w:val="00C36578"/>
    <w:rsid w:val="00C40AA5"/>
    <w:rsid w:val="00C46F70"/>
    <w:rsid w:val="00C476D0"/>
    <w:rsid w:val="00C555FD"/>
    <w:rsid w:val="00C61AC1"/>
    <w:rsid w:val="00C76B65"/>
    <w:rsid w:val="00C836E3"/>
    <w:rsid w:val="00C8502C"/>
    <w:rsid w:val="00C86577"/>
    <w:rsid w:val="00C92E07"/>
    <w:rsid w:val="00C96868"/>
    <w:rsid w:val="00CA0416"/>
    <w:rsid w:val="00CA1121"/>
    <w:rsid w:val="00CC560B"/>
    <w:rsid w:val="00CC75E2"/>
    <w:rsid w:val="00CD24E8"/>
    <w:rsid w:val="00CD46EB"/>
    <w:rsid w:val="00CD7EBF"/>
    <w:rsid w:val="00CF4AAB"/>
    <w:rsid w:val="00CF68D9"/>
    <w:rsid w:val="00D056F1"/>
    <w:rsid w:val="00D11171"/>
    <w:rsid w:val="00D22F3C"/>
    <w:rsid w:val="00D23DB6"/>
    <w:rsid w:val="00D43FE6"/>
    <w:rsid w:val="00D51A95"/>
    <w:rsid w:val="00D60568"/>
    <w:rsid w:val="00D70C7A"/>
    <w:rsid w:val="00D81D38"/>
    <w:rsid w:val="00DA10A8"/>
    <w:rsid w:val="00DB00CA"/>
    <w:rsid w:val="00DB064F"/>
    <w:rsid w:val="00DB07DD"/>
    <w:rsid w:val="00DB1E08"/>
    <w:rsid w:val="00DB2973"/>
    <w:rsid w:val="00DC1B56"/>
    <w:rsid w:val="00DC2129"/>
    <w:rsid w:val="00DC6570"/>
    <w:rsid w:val="00DD3C5E"/>
    <w:rsid w:val="00DF25C3"/>
    <w:rsid w:val="00E04062"/>
    <w:rsid w:val="00E063C6"/>
    <w:rsid w:val="00E06421"/>
    <w:rsid w:val="00E066BA"/>
    <w:rsid w:val="00E17B6A"/>
    <w:rsid w:val="00E2003B"/>
    <w:rsid w:val="00E203C2"/>
    <w:rsid w:val="00E279D8"/>
    <w:rsid w:val="00E319B1"/>
    <w:rsid w:val="00E44E0D"/>
    <w:rsid w:val="00E5492F"/>
    <w:rsid w:val="00E62DEF"/>
    <w:rsid w:val="00E70A86"/>
    <w:rsid w:val="00E74FDA"/>
    <w:rsid w:val="00E777EC"/>
    <w:rsid w:val="00E80FCD"/>
    <w:rsid w:val="00E83E3F"/>
    <w:rsid w:val="00EA0805"/>
    <w:rsid w:val="00EA7F2F"/>
    <w:rsid w:val="00EB528B"/>
    <w:rsid w:val="00EB735C"/>
    <w:rsid w:val="00EC00DE"/>
    <w:rsid w:val="00EC30E1"/>
    <w:rsid w:val="00ED172A"/>
    <w:rsid w:val="00EE3E51"/>
    <w:rsid w:val="00F11F6C"/>
    <w:rsid w:val="00F14BEC"/>
    <w:rsid w:val="00F20A7F"/>
    <w:rsid w:val="00F219A5"/>
    <w:rsid w:val="00F225C5"/>
    <w:rsid w:val="00F2587A"/>
    <w:rsid w:val="00F3715D"/>
    <w:rsid w:val="00F420C8"/>
    <w:rsid w:val="00F42A4C"/>
    <w:rsid w:val="00F604DE"/>
    <w:rsid w:val="00FB7512"/>
    <w:rsid w:val="00FD5E4A"/>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numPr>
        <w:numId w:val="6"/>
      </w:numPr>
      <w:spacing w:before="240" w:after="240"/>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CF68D9"/>
    <w:pPr>
      <w:keepNext/>
      <w:numPr>
        <w:ilvl w:val="1"/>
        <w:numId w:val="6"/>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CF68D9"/>
    <w:pPr>
      <w:keepNext/>
      <w:numPr>
        <w:ilvl w:val="2"/>
        <w:numId w:val="6"/>
      </w:numPr>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6"/>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numPr>
        <w:ilvl w:val="4"/>
        <w:numId w:val="6"/>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6"/>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6"/>
      </w:numPr>
      <w:spacing w:before="240" w:after="60"/>
      <w:outlineLvl w:val="6"/>
    </w:pPr>
  </w:style>
  <w:style w:type="paragraph" w:styleId="Heading8">
    <w:name w:val="heading 8"/>
    <w:basedOn w:val="Normal"/>
    <w:next w:val="Normal"/>
    <w:link w:val="Heading8Char"/>
    <w:uiPriority w:val="9"/>
    <w:unhideWhenUsed/>
    <w:rsid w:val="00B731D3"/>
    <w:pPr>
      <w:numPr>
        <w:ilvl w:val="7"/>
        <w:numId w:val="6"/>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CF68D9"/>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CF68D9"/>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0E3AF1"/>
    <w:pPr>
      <w:tabs>
        <w:tab w:val="left" w:pos="440"/>
        <w:tab w:val="right" w:leader="dot" w:pos="9016"/>
      </w:tabs>
      <w:spacing w:before="120" w:after="120"/>
      <w:ind w:left="426" w:hanging="426"/>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99"/>
    <w:qFormat/>
    <w:rsid w:val="00CF68D9"/>
    <w:pPr>
      <w:widowControl/>
      <w:ind w:left="720"/>
      <w:contextualSpacing/>
    </w:pPr>
    <w:rPr>
      <w:rFonts w:eastAsiaTheme="minorHAnsi" w:cstheme="minorBidi"/>
      <w:szCs w:val="22"/>
      <w:lang w:bidi="ar-SA"/>
    </w:rPr>
  </w:style>
  <w:style w:type="paragraph" w:customStyle="1" w:styleId="Default">
    <w:name w:val="Default"/>
    <w:rsid w:val="00C07FDF"/>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numPr>
        <w:numId w:val="6"/>
      </w:numPr>
      <w:spacing w:before="240" w:after="240"/>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CF68D9"/>
    <w:pPr>
      <w:keepNext/>
      <w:numPr>
        <w:ilvl w:val="1"/>
        <w:numId w:val="6"/>
      </w:numPr>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CF68D9"/>
    <w:pPr>
      <w:keepNext/>
      <w:numPr>
        <w:ilvl w:val="2"/>
        <w:numId w:val="6"/>
      </w:numPr>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6"/>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numPr>
        <w:ilvl w:val="4"/>
        <w:numId w:val="6"/>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6"/>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6"/>
      </w:numPr>
      <w:spacing w:before="240" w:after="60"/>
      <w:outlineLvl w:val="6"/>
    </w:pPr>
  </w:style>
  <w:style w:type="paragraph" w:styleId="Heading8">
    <w:name w:val="heading 8"/>
    <w:basedOn w:val="Normal"/>
    <w:next w:val="Normal"/>
    <w:link w:val="Heading8Char"/>
    <w:uiPriority w:val="9"/>
    <w:unhideWhenUsed/>
    <w:rsid w:val="00B731D3"/>
    <w:pPr>
      <w:numPr>
        <w:ilvl w:val="7"/>
        <w:numId w:val="6"/>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CF68D9"/>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CF68D9"/>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0E3AF1"/>
    <w:pPr>
      <w:tabs>
        <w:tab w:val="left" w:pos="440"/>
        <w:tab w:val="right" w:leader="dot" w:pos="9016"/>
      </w:tabs>
      <w:spacing w:before="120" w:after="120"/>
      <w:ind w:left="426" w:hanging="426"/>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2"/>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3"/>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styleId="ListParagraph">
    <w:name w:val="List Paragraph"/>
    <w:basedOn w:val="Normal"/>
    <w:uiPriority w:val="99"/>
    <w:qFormat/>
    <w:rsid w:val="00CF68D9"/>
    <w:pPr>
      <w:widowControl/>
      <w:ind w:left="720"/>
      <w:contextualSpacing/>
    </w:pPr>
    <w:rPr>
      <w:rFonts w:eastAsiaTheme="minorHAnsi" w:cstheme="minorBidi"/>
      <w:szCs w:val="22"/>
      <w:lang w:bidi="ar-SA"/>
    </w:rPr>
  </w:style>
  <w:style w:type="paragraph" w:customStyle="1" w:styleId="Default">
    <w:name w:val="Default"/>
    <w:rsid w:val="00C07FD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9.health.gov.au/cda/source/rpt_3.cfm" TargetMode="External"/><Relationship Id="rId4" Type="http://schemas.openxmlformats.org/officeDocument/2006/relationships/settings" Target="settings.xml"/><Relationship Id="rId9" Type="http://schemas.openxmlformats.org/officeDocument/2006/relationships/hyperlink" Target="http://www.foodstandards.gov.au/publications/Pages/agentsoffoodborneill515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03E5B3-6232-4826-BEF1-BFF6C4526F90}"/>
</file>

<file path=customXml/itemProps2.xml><?xml version="1.0" encoding="utf-8"?>
<ds:datastoreItem xmlns:ds="http://schemas.openxmlformats.org/officeDocument/2006/customXml" ds:itemID="{C81E6E21-D78F-4716-A465-A0559B4B12C4}"/>
</file>

<file path=customXml/itemProps3.xml><?xml version="1.0" encoding="utf-8"?>
<ds:datastoreItem xmlns:ds="http://schemas.openxmlformats.org/officeDocument/2006/customXml" ds:itemID="{2FADF346-7B4D-437E-9637-4EF831AB8EF7}"/>
</file>

<file path=docProps/app.xml><?xml version="1.0" encoding="utf-8"?>
<Properties xmlns="http://schemas.openxmlformats.org/officeDocument/2006/extended-properties" xmlns:vt="http://schemas.openxmlformats.org/officeDocument/2006/docPropsVTypes">
  <Template>Normal</Template>
  <TotalTime>0</TotalTime>
  <Pages>9</Pages>
  <Words>3239</Words>
  <Characters>34582</Characters>
  <Application>Microsoft Office Word</Application>
  <DocSecurity>0</DocSecurity>
  <Lines>288</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37746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P1017-ListeriaMicro-2CFS-SD2</dc:title>
  <dc:creator/>
  <cp:lastModifiedBy/>
  <cp:revision>1</cp:revision>
  <dcterms:created xsi:type="dcterms:W3CDTF">2013-11-07T00:01:00Z</dcterms:created>
  <dcterms:modified xsi:type="dcterms:W3CDTF">2013-11-07T03:35:00Z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