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bookmarkStart w:id="0" w:name="_GoBack"/>
      <w:bookmarkEnd w:id="0"/>
      <w:r>
        <w:rPr>
          <w:rFonts w:cs="Arial"/>
          <w:noProof/>
          <w:lang w:eastAsia="en-GB" w:bidi="ar-SA"/>
        </w:rPr>
        <w:drawing>
          <wp:inline distT="0" distB="0" distL="0" distR="0" wp14:anchorId="29FDEB54" wp14:editId="0D39ACAB">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A31543" w:rsidRDefault="00A671E6" w:rsidP="00A671E6"/>
    <w:p w:rsidR="00A31543" w:rsidRPr="00A31543" w:rsidRDefault="00A31543" w:rsidP="00A31543">
      <w:pPr>
        <w:rPr>
          <w:b/>
          <w:sz w:val="28"/>
          <w:szCs w:val="28"/>
        </w:rPr>
      </w:pPr>
      <w:r w:rsidRPr="00A31543">
        <w:rPr>
          <w:b/>
          <w:sz w:val="28"/>
          <w:szCs w:val="28"/>
        </w:rPr>
        <w:t>27 May 2014</w:t>
      </w:r>
    </w:p>
    <w:p w:rsidR="00A31543" w:rsidRPr="00A31543" w:rsidRDefault="00A31543" w:rsidP="00A31543">
      <w:pPr>
        <w:rPr>
          <w:b/>
          <w:sz w:val="28"/>
          <w:szCs w:val="28"/>
        </w:rPr>
      </w:pPr>
      <w:r w:rsidRPr="00A31543">
        <w:rPr>
          <w:b/>
          <w:sz w:val="28"/>
          <w:szCs w:val="28"/>
        </w:rPr>
        <w:t>[09–14]</w:t>
      </w:r>
    </w:p>
    <w:p w:rsidR="00A671E6" w:rsidRPr="00A31543" w:rsidRDefault="00A671E6" w:rsidP="00A671E6"/>
    <w:p w:rsidR="0012388D" w:rsidRPr="00A31543" w:rsidRDefault="00B425AA" w:rsidP="00B425AA">
      <w:pPr>
        <w:pStyle w:val="FSTitle"/>
      </w:pPr>
      <w:r w:rsidRPr="00A31543">
        <w:t>A</w:t>
      </w:r>
      <w:r w:rsidR="00DD265C" w:rsidRPr="00A31543">
        <w:t>pproval</w:t>
      </w:r>
      <w:r w:rsidRPr="00A31543">
        <w:t xml:space="preserve"> R</w:t>
      </w:r>
      <w:r w:rsidR="00DD265C" w:rsidRPr="00A31543">
        <w:t>eport</w:t>
      </w:r>
      <w:r w:rsidRPr="00A31543">
        <w:t xml:space="preserve"> –</w:t>
      </w:r>
      <w:r w:rsidR="00A741EA" w:rsidRPr="00A31543">
        <w:t xml:space="preserve"> </w:t>
      </w:r>
      <w:r w:rsidR="00CA5734" w:rsidRPr="00A31543">
        <w:t>P</w:t>
      </w:r>
      <w:r w:rsidR="00DD265C" w:rsidRPr="00A31543">
        <w:t>roposal</w:t>
      </w:r>
      <w:r w:rsidR="00CA5734" w:rsidRPr="00A31543">
        <w:t xml:space="preserve"> P</w:t>
      </w:r>
      <w:r w:rsidR="00C13220" w:rsidRPr="00A31543">
        <w:t>1017</w:t>
      </w:r>
    </w:p>
    <w:p w:rsidR="003A7B84" w:rsidRPr="00A31543" w:rsidRDefault="003A7B84" w:rsidP="00A671E6"/>
    <w:p w:rsidR="00C13220" w:rsidRPr="00A31543" w:rsidRDefault="00C13220" w:rsidP="00C13220">
      <w:pPr>
        <w:pStyle w:val="FSTitle"/>
        <w:rPr>
          <w:b/>
        </w:rPr>
      </w:pPr>
      <w:r w:rsidRPr="00A31543">
        <w:t xml:space="preserve">Criteria for </w:t>
      </w:r>
      <w:r w:rsidRPr="00A31543">
        <w:rPr>
          <w:i/>
        </w:rPr>
        <w:t>Listeria monocytogenes</w:t>
      </w:r>
      <w:r w:rsidRPr="00A31543">
        <w:t xml:space="preserve"> – Microbiological Limits for Foods </w:t>
      </w:r>
    </w:p>
    <w:p w:rsidR="003A7B84" w:rsidRPr="00A31543" w:rsidRDefault="003A7B84" w:rsidP="00871116">
      <w:pPr>
        <w:pBdr>
          <w:bottom w:val="single" w:sz="12" w:space="1" w:color="auto"/>
        </w:pBdr>
        <w:tabs>
          <w:tab w:val="left" w:pos="1140"/>
        </w:tabs>
        <w:rPr>
          <w:rFonts w:cs="Arial"/>
          <w:bCs/>
        </w:rPr>
      </w:pPr>
    </w:p>
    <w:p w:rsidR="003A7B84" w:rsidRPr="00A31543" w:rsidRDefault="003A7B84" w:rsidP="003A7B84"/>
    <w:p w:rsidR="008F6AFA" w:rsidRPr="00A31543" w:rsidRDefault="008F6AFA" w:rsidP="008F6AFA">
      <w:r w:rsidRPr="00A31543">
        <w:t xml:space="preserve">Food Standards Australia New Zealand (FSANZ) has assessed a proposal prepared by FSANZ to revise Standard 1.6.1 with regards to criteria for </w:t>
      </w:r>
      <w:r w:rsidRPr="00A31543">
        <w:rPr>
          <w:i/>
        </w:rPr>
        <w:t>Listeria monocytogenes</w:t>
      </w:r>
      <w:r w:rsidRPr="00A31543">
        <w:t xml:space="preserve"> limits in ready-to-eat foods.</w:t>
      </w:r>
    </w:p>
    <w:p w:rsidR="00C13220" w:rsidRPr="00A31543" w:rsidRDefault="00C13220" w:rsidP="00CA5734"/>
    <w:p w:rsidR="00081B0A" w:rsidRPr="00A31543" w:rsidRDefault="00081B0A" w:rsidP="00CA5734">
      <w:r w:rsidRPr="00A31543">
        <w:t xml:space="preserve">On </w:t>
      </w:r>
      <w:r w:rsidR="00A741EA" w:rsidRPr="00A31543">
        <w:t xml:space="preserve">8 </w:t>
      </w:r>
      <w:r w:rsidR="00336890" w:rsidRPr="00A31543">
        <w:t>November</w:t>
      </w:r>
      <w:r w:rsidR="00A741EA" w:rsidRPr="00A31543">
        <w:t xml:space="preserve"> 2013</w:t>
      </w:r>
      <w:r w:rsidR="003A7B84" w:rsidRPr="00A31543">
        <w:t>,</w:t>
      </w:r>
      <w:r w:rsidRPr="00A31543">
        <w:t xml:space="preserve"> FSANZ sought </w:t>
      </w:r>
      <w:r w:rsidR="003A7B84" w:rsidRPr="00A31543">
        <w:t xml:space="preserve">submissions </w:t>
      </w:r>
      <w:r w:rsidR="00A671E6" w:rsidRPr="00A31543">
        <w:t xml:space="preserve">on </w:t>
      </w:r>
      <w:r w:rsidR="00F526BD" w:rsidRPr="00A31543">
        <w:t xml:space="preserve">a draft </w:t>
      </w:r>
      <w:r w:rsidR="00E30092" w:rsidRPr="00A31543">
        <w:t>variation</w:t>
      </w:r>
      <w:r w:rsidR="00E04D91" w:rsidRPr="00A31543">
        <w:t xml:space="preserve"> to Standards 1.1.1, 1.6.1, 3.2.2 and 4.2.5</w:t>
      </w:r>
      <w:r w:rsidR="00E30092" w:rsidRPr="00A31543">
        <w:t xml:space="preserve"> </w:t>
      </w:r>
      <w:r w:rsidR="009A5944" w:rsidRPr="00A31543">
        <w:t>and published</w:t>
      </w:r>
      <w:r w:rsidR="003A7B84" w:rsidRPr="00A31543">
        <w:t xml:space="preserve"> </w:t>
      </w:r>
      <w:r w:rsidR="00EC21DF" w:rsidRPr="00A31543">
        <w:t xml:space="preserve">associated </w:t>
      </w:r>
      <w:r w:rsidR="009A5944" w:rsidRPr="00A31543">
        <w:t>reports</w:t>
      </w:r>
      <w:r w:rsidRPr="00A31543">
        <w:t>.</w:t>
      </w:r>
      <w:r w:rsidR="00F526BD" w:rsidRPr="00A31543">
        <w:t xml:space="preserve"> FSANZ received </w:t>
      </w:r>
      <w:r w:rsidR="00E76157" w:rsidRPr="00A31543">
        <w:t>20</w:t>
      </w:r>
      <w:r w:rsidR="00505ADB" w:rsidRPr="00A31543">
        <w:t xml:space="preserve"> </w:t>
      </w:r>
      <w:r w:rsidR="00F526BD" w:rsidRPr="00A31543">
        <w:t>submissions.</w:t>
      </w:r>
    </w:p>
    <w:p w:rsidR="00CA5734" w:rsidRPr="00A31543" w:rsidRDefault="00CA5734" w:rsidP="00CA5734"/>
    <w:p w:rsidR="00A31543" w:rsidRPr="00A31543" w:rsidRDefault="00081B0A" w:rsidP="00CA5734">
      <w:r w:rsidRPr="00A31543">
        <w:t xml:space="preserve">FSANZ approved the draft </w:t>
      </w:r>
      <w:r w:rsidR="00E30092" w:rsidRPr="00A31543">
        <w:t xml:space="preserve">variation </w:t>
      </w:r>
      <w:r w:rsidR="0012388D" w:rsidRPr="00A31543">
        <w:t xml:space="preserve">on </w:t>
      </w:r>
      <w:r w:rsidR="00A31543" w:rsidRPr="00A31543">
        <w:t>14 May 2014</w:t>
      </w:r>
      <w:r w:rsidRPr="00A31543">
        <w:t xml:space="preserve">. </w:t>
      </w:r>
      <w:r w:rsidR="003A7B84" w:rsidRPr="00A31543">
        <w:t xml:space="preserve">The </w:t>
      </w:r>
      <w:r w:rsidR="00861C13" w:rsidRPr="00A31543">
        <w:rPr>
          <w:rFonts w:cs="Arial"/>
        </w:rPr>
        <w:t>COAG Legislative and Governance Forum on Food Regulation</w:t>
      </w:r>
      <w:r w:rsidR="00861C13" w:rsidRPr="00A31543">
        <w:rPr>
          <w:rStyle w:val="FootnoteReference"/>
          <w:rFonts w:cs="Arial"/>
        </w:rPr>
        <w:footnoteReference w:id="1"/>
      </w:r>
      <w:r w:rsidR="00861C13" w:rsidRPr="00A31543">
        <w:rPr>
          <w:rFonts w:cs="Arial"/>
        </w:rPr>
        <w:t xml:space="preserve"> (F</w:t>
      </w:r>
      <w:r w:rsidR="00014E34" w:rsidRPr="00A31543">
        <w:rPr>
          <w:rFonts w:cs="Arial"/>
        </w:rPr>
        <w:t>orum</w:t>
      </w:r>
      <w:r w:rsidR="00861C13" w:rsidRPr="00A31543">
        <w:rPr>
          <w:rFonts w:cs="Arial"/>
        </w:rPr>
        <w:t>)</w:t>
      </w:r>
      <w:r w:rsidR="003A7B84" w:rsidRPr="00A31543">
        <w:t xml:space="preserve"> was notified of FSANZ’s decision on </w:t>
      </w:r>
    </w:p>
    <w:p w:rsidR="00081B0A" w:rsidRPr="00A31543" w:rsidRDefault="00A31543" w:rsidP="00CA5734">
      <w:r w:rsidRPr="00A31543">
        <w:t>26 May 2014</w:t>
      </w:r>
      <w:r w:rsidR="003A7B84" w:rsidRPr="00A31543">
        <w:t>.</w:t>
      </w:r>
    </w:p>
    <w:p w:rsidR="00CA5734" w:rsidRDefault="00CA5734" w:rsidP="00CA5734"/>
    <w:p w:rsidR="00081B0A" w:rsidRPr="0052582B" w:rsidRDefault="003A7B84" w:rsidP="00CA5734">
      <w:r w:rsidRPr="0052582B">
        <w:t>This R</w:t>
      </w:r>
      <w:r w:rsidR="00B425AA" w:rsidRPr="0052582B">
        <w:t xml:space="preserve">eport is provided pursuant to </w:t>
      </w:r>
      <w:r w:rsidR="009A2699" w:rsidRPr="0052582B">
        <w:t>paragraph</w:t>
      </w:r>
      <w:r w:rsidR="00081B0A" w:rsidRPr="0052582B">
        <w:t xml:space="preserve"> </w:t>
      </w:r>
      <w:r w:rsidR="00F33470" w:rsidRPr="0052582B">
        <w:t>63(1)(b)</w:t>
      </w:r>
      <w:r w:rsidR="00081B0A" w:rsidRPr="0052582B">
        <w:t xml:space="preserve"> of the </w:t>
      </w:r>
      <w:r w:rsidR="00081B0A" w:rsidRPr="0052582B">
        <w:rPr>
          <w:i/>
        </w:rPr>
        <w:t>Food Standards Australia New Zealand Act 1991</w:t>
      </w:r>
      <w:r w:rsidR="00081B0A" w:rsidRPr="0052582B">
        <w:t xml:space="preserve"> (the FSANZ Act).</w:t>
      </w:r>
    </w:p>
    <w:p w:rsidR="00F526BD" w:rsidRPr="0052582B" w:rsidRDefault="00F526BD" w:rsidP="00A671E6"/>
    <w:p w:rsidR="00EB6590" w:rsidRDefault="00EB6590" w:rsidP="00F526BD"/>
    <w:p w:rsidR="00A671E6" w:rsidRDefault="00A671E6" w:rsidP="00CC5468">
      <w:pPr>
        <w:sectPr w:rsidR="00A671E6" w:rsidSect="00E63CFD">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CE59AA" w:rsidRDefault="00CE59AA" w:rsidP="00CE59AA">
      <w:pPr>
        <w:rPr>
          <w:rFonts w:cs="Arial"/>
        </w:rPr>
      </w:pPr>
    </w:p>
    <w:p w:rsidR="00537E94" w:rsidRPr="00537E94"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A31543">
        <w:rPr>
          <w:rFonts w:ascii="Arial" w:hAnsi="Arial" w:cs="Arial"/>
          <w:b w:val="0"/>
          <w:bCs w:val="0"/>
          <w:caps w:val="0"/>
          <w:smallCaps/>
          <w:sz w:val="22"/>
          <w:szCs w:val="22"/>
        </w:rPr>
        <w:fldChar w:fldCharType="begin"/>
      </w:r>
      <w:r w:rsidRPr="00A31543">
        <w:rPr>
          <w:rFonts w:ascii="Arial" w:hAnsi="Arial" w:cs="Arial"/>
          <w:sz w:val="22"/>
          <w:szCs w:val="22"/>
        </w:rPr>
        <w:instrText xml:space="preserve"> TOC \h \z \t "Heading 1,1,Heading 2,2,Heading 3,3" </w:instrText>
      </w:r>
      <w:r w:rsidRPr="00A31543">
        <w:rPr>
          <w:rFonts w:ascii="Arial" w:hAnsi="Arial" w:cs="Arial"/>
          <w:b w:val="0"/>
          <w:bCs w:val="0"/>
          <w:caps w:val="0"/>
          <w:smallCaps/>
          <w:sz w:val="22"/>
          <w:szCs w:val="22"/>
        </w:rPr>
        <w:fldChar w:fldCharType="separate"/>
      </w:r>
      <w:hyperlink w:anchor="_Toc387927817" w:history="1">
        <w:r w:rsidR="00537E94" w:rsidRPr="00537E94">
          <w:rPr>
            <w:rStyle w:val="Hyperlink"/>
            <w:rFonts w:ascii="Arial" w:hAnsi="Arial" w:cs="Arial"/>
            <w:noProof/>
          </w:rPr>
          <w:t>Executive summary</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_Toc387927817 \h </w:instrText>
        </w:r>
        <w:r w:rsidR="00537E94" w:rsidRPr="00537E94">
          <w:rPr>
            <w:rFonts w:ascii="Arial" w:hAnsi="Arial" w:cs="Arial"/>
            <w:noProof/>
            <w:webHidden/>
          </w:rPr>
        </w:r>
        <w:r w:rsidR="00537E94" w:rsidRPr="00537E94">
          <w:rPr>
            <w:rFonts w:ascii="Arial" w:hAnsi="Arial" w:cs="Arial"/>
            <w:noProof/>
            <w:webHidden/>
          </w:rPr>
          <w:fldChar w:fldCharType="separate"/>
        </w:r>
        <w:r w:rsidR="00236B55">
          <w:rPr>
            <w:rFonts w:ascii="Arial" w:hAnsi="Arial" w:cs="Arial"/>
            <w:noProof/>
            <w:webHidden/>
          </w:rPr>
          <w:t>2</w:t>
        </w:r>
        <w:r w:rsidR="00537E94" w:rsidRPr="00537E94">
          <w:rPr>
            <w:rFonts w:ascii="Arial" w:hAnsi="Arial" w:cs="Arial"/>
            <w:noProof/>
            <w:webHidden/>
          </w:rPr>
          <w:fldChar w:fldCharType="end"/>
        </w:r>
      </w:hyperlink>
    </w:p>
    <w:p w:rsidR="00537E94" w:rsidRPr="00537E94" w:rsidRDefault="00236B5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87927818" w:history="1">
        <w:r w:rsidR="00537E94" w:rsidRPr="00537E94">
          <w:rPr>
            <w:rStyle w:val="Hyperlink"/>
            <w:rFonts w:ascii="Arial" w:hAnsi="Arial" w:cs="Arial"/>
            <w:noProof/>
          </w:rPr>
          <w:t>1</w:t>
        </w:r>
        <w:r w:rsidR="00537E94" w:rsidRPr="00537E94">
          <w:rPr>
            <w:rFonts w:ascii="Arial" w:eastAsiaTheme="minorEastAsia" w:hAnsi="Arial" w:cs="Arial"/>
            <w:b w:val="0"/>
            <w:bCs w:val="0"/>
            <w:caps w:val="0"/>
            <w:noProof/>
            <w:sz w:val="22"/>
            <w:szCs w:val="22"/>
            <w:lang w:eastAsia="en-GB" w:bidi="ar-SA"/>
          </w:rPr>
          <w:tab/>
        </w:r>
        <w:r w:rsidR="00537E94" w:rsidRPr="00537E94">
          <w:rPr>
            <w:rStyle w:val="Hyperlink"/>
            <w:rFonts w:ascii="Arial" w:hAnsi="Arial" w:cs="Arial"/>
            <w:noProof/>
          </w:rPr>
          <w:t>Introduction</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_Toc387927818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3</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19" w:history="1">
        <w:r w:rsidR="00537E94" w:rsidRPr="00537E94">
          <w:rPr>
            <w:rStyle w:val="Hyperlink"/>
            <w:rFonts w:ascii="Arial" w:hAnsi="Arial" w:cs="Arial"/>
            <w:noProof/>
          </w:rPr>
          <w:t>1.1</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rPr>
          <w:t>The Proposal</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_Toc387927819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3</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20" w:history="1">
        <w:r w:rsidR="00537E94" w:rsidRPr="00537E94">
          <w:rPr>
            <w:rStyle w:val="Hyperlink"/>
            <w:rFonts w:ascii="Arial" w:hAnsi="Arial" w:cs="Arial"/>
            <w:noProof/>
          </w:rPr>
          <w:t>1.2</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rPr>
          <w:t>The current Standard</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_Toc387927820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3</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21" w:history="1">
        <w:r w:rsidR="00537E94" w:rsidRPr="00537E94">
          <w:rPr>
            <w:rStyle w:val="Hyperlink"/>
            <w:rFonts w:ascii="Arial" w:hAnsi="Arial" w:cs="Arial"/>
            <w:noProof/>
            <w:u w:color="FFFF00"/>
          </w:rPr>
          <w:t>1.3</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u w:color="FFFF00"/>
          </w:rPr>
          <w:t xml:space="preserve">Reasons for </w:t>
        </w:r>
        <w:r w:rsidR="00537E94" w:rsidRPr="00537E94">
          <w:rPr>
            <w:rStyle w:val="Hyperlink"/>
            <w:rFonts w:ascii="Arial" w:hAnsi="Arial" w:cs="Arial"/>
            <w:noProof/>
          </w:rPr>
          <w:t>preparing Proposal</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_Toc387927821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3</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22" w:history="1">
        <w:r w:rsidR="00537E94" w:rsidRPr="00537E94">
          <w:rPr>
            <w:rStyle w:val="Hyperlink"/>
            <w:rFonts w:ascii="Arial" w:hAnsi="Arial" w:cs="Arial"/>
            <w:noProof/>
          </w:rPr>
          <w:t>1.4</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rPr>
          <w:t>Procedure for assessment</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_Toc387927822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4</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23" w:history="1">
        <w:r w:rsidR="00537E94" w:rsidRPr="00537E94">
          <w:rPr>
            <w:rStyle w:val="Hyperlink"/>
            <w:rFonts w:ascii="Arial" w:hAnsi="Arial" w:cs="Arial"/>
            <w:noProof/>
          </w:rPr>
          <w:t>1.5</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rPr>
          <w:t>Decision</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_Toc387927823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4</w:t>
        </w:r>
        <w:r w:rsidR="00537E94" w:rsidRPr="00537E94">
          <w:rPr>
            <w:rFonts w:ascii="Arial" w:hAnsi="Arial" w:cs="Arial"/>
            <w:noProof/>
            <w:webHidden/>
          </w:rPr>
          <w:fldChar w:fldCharType="end"/>
        </w:r>
      </w:hyperlink>
    </w:p>
    <w:p w:rsidR="00537E94" w:rsidRPr="00537E94" w:rsidRDefault="00236B5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87927824" w:history="1">
        <w:r w:rsidR="00537E94" w:rsidRPr="00537E94">
          <w:rPr>
            <w:rStyle w:val="Hyperlink"/>
            <w:rFonts w:ascii="Arial" w:hAnsi="Arial" w:cs="Arial"/>
            <w:noProof/>
          </w:rPr>
          <w:t>2</w:t>
        </w:r>
        <w:r w:rsidR="00537E94" w:rsidRPr="00537E94">
          <w:rPr>
            <w:rFonts w:ascii="Arial" w:eastAsiaTheme="minorEastAsia" w:hAnsi="Arial" w:cs="Arial"/>
            <w:b w:val="0"/>
            <w:bCs w:val="0"/>
            <w:caps w:val="0"/>
            <w:noProof/>
            <w:sz w:val="22"/>
            <w:szCs w:val="22"/>
            <w:lang w:eastAsia="en-GB" w:bidi="ar-SA"/>
          </w:rPr>
          <w:tab/>
        </w:r>
        <w:r w:rsidR="00537E94" w:rsidRPr="00537E94">
          <w:rPr>
            <w:rStyle w:val="Hyperlink"/>
            <w:rFonts w:ascii="Arial" w:hAnsi="Arial" w:cs="Arial"/>
            <w:noProof/>
          </w:rPr>
          <w:t xml:space="preserve">Summary </w:t>
        </w:r>
        <w:r w:rsidR="00537E94" w:rsidRPr="00537E94">
          <w:rPr>
            <w:rStyle w:val="Hyperlink"/>
            <w:rFonts w:ascii="Arial" w:hAnsi="Arial" w:cs="Arial"/>
            <w:noProof/>
            <w:u w:color="FFFF00"/>
          </w:rPr>
          <w:t>of</w:t>
        </w:r>
        <w:r w:rsidR="00537E94" w:rsidRPr="00537E94">
          <w:rPr>
            <w:rStyle w:val="Hyperlink"/>
            <w:rFonts w:ascii="Arial" w:hAnsi="Arial" w:cs="Arial"/>
            <w:noProof/>
          </w:rPr>
          <w:t xml:space="preserve"> the findings</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_Toc387927824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4</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25" w:history="1">
        <w:r w:rsidR="00537E94" w:rsidRPr="00537E94">
          <w:rPr>
            <w:rStyle w:val="Hyperlink"/>
            <w:rFonts w:ascii="Arial" w:hAnsi="Arial" w:cs="Arial"/>
            <w:noProof/>
          </w:rPr>
          <w:t>2.1</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rPr>
          <w:t>Summary of issues raised in submissions</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_Toc387927825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4</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26" w:history="1">
        <w:r w:rsidR="00537E94" w:rsidRPr="00537E94">
          <w:rPr>
            <w:rStyle w:val="Hyperlink"/>
            <w:rFonts w:ascii="Arial" w:hAnsi="Arial" w:cs="Arial"/>
            <w:noProof/>
          </w:rPr>
          <w:t>2.2</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rPr>
          <w:t>Risk assessment</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_Toc387927826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11</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27" w:history="1">
        <w:r w:rsidR="00537E94" w:rsidRPr="00537E94">
          <w:rPr>
            <w:rStyle w:val="Hyperlink"/>
            <w:rFonts w:ascii="Arial" w:hAnsi="Arial" w:cs="Arial"/>
            <w:noProof/>
          </w:rPr>
          <w:t>2.3</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rPr>
          <w:t>Risk management</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_Toc387927827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11</w:t>
        </w:r>
        <w:r w:rsidR="00537E94" w:rsidRPr="00537E94">
          <w:rPr>
            <w:rFonts w:ascii="Arial" w:hAnsi="Arial" w:cs="Arial"/>
            <w:noProof/>
            <w:webHidden/>
          </w:rPr>
          <w:fldChar w:fldCharType="end"/>
        </w:r>
      </w:hyperlink>
    </w:p>
    <w:p w:rsidR="00537E94" w:rsidRPr="00537E94" w:rsidRDefault="00236B55">
      <w:pPr>
        <w:pStyle w:val="TOC3"/>
        <w:tabs>
          <w:tab w:val="right" w:leader="dot" w:pos="9060"/>
        </w:tabs>
        <w:rPr>
          <w:rFonts w:ascii="Arial" w:eastAsiaTheme="minorEastAsia" w:hAnsi="Arial" w:cs="Arial"/>
          <w:i w:val="0"/>
          <w:iCs w:val="0"/>
          <w:noProof/>
          <w:sz w:val="22"/>
          <w:szCs w:val="22"/>
          <w:lang w:eastAsia="en-GB" w:bidi="ar-SA"/>
        </w:rPr>
      </w:pPr>
      <w:hyperlink w:anchor="_Toc387927828" w:history="1">
        <w:r w:rsidR="00537E94" w:rsidRPr="00537E94">
          <w:rPr>
            <w:rStyle w:val="Hyperlink"/>
            <w:rFonts w:ascii="Arial" w:hAnsi="Arial" w:cs="Arial"/>
            <w:noProof/>
          </w:rPr>
          <w:t>2.3.1 Guidance document</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_Toc387927828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12</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29" w:history="1">
        <w:r w:rsidR="00537E94" w:rsidRPr="00537E94">
          <w:rPr>
            <w:rStyle w:val="Hyperlink"/>
            <w:rFonts w:ascii="Arial" w:hAnsi="Arial" w:cs="Arial"/>
            <w:noProof/>
          </w:rPr>
          <w:t>2.4</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rPr>
          <w:t>Risk communication</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_Toc387927829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12</w:t>
        </w:r>
        <w:r w:rsidR="00537E94" w:rsidRPr="00537E94">
          <w:rPr>
            <w:rFonts w:ascii="Arial" w:hAnsi="Arial" w:cs="Arial"/>
            <w:noProof/>
            <w:webHidden/>
          </w:rPr>
          <w:fldChar w:fldCharType="end"/>
        </w:r>
      </w:hyperlink>
    </w:p>
    <w:p w:rsidR="00537E94" w:rsidRPr="00537E94" w:rsidRDefault="00236B5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87927830" w:history="1">
        <w:r w:rsidR="00537E94" w:rsidRPr="00537E94">
          <w:rPr>
            <w:rStyle w:val="Hyperlink"/>
            <w:rFonts w:ascii="Arial" w:hAnsi="Arial" w:cs="Arial"/>
            <w:noProof/>
          </w:rPr>
          <w:t>2.4.1</w:t>
        </w:r>
        <w:r w:rsidR="00537E94" w:rsidRPr="00537E94">
          <w:rPr>
            <w:rFonts w:ascii="Arial" w:eastAsiaTheme="minorEastAsia" w:hAnsi="Arial" w:cs="Arial"/>
            <w:i w:val="0"/>
            <w:iCs w:val="0"/>
            <w:noProof/>
            <w:sz w:val="22"/>
            <w:szCs w:val="22"/>
            <w:lang w:eastAsia="en-GB" w:bidi="ar-SA"/>
          </w:rPr>
          <w:tab/>
        </w:r>
        <w:r w:rsidR="00537E94" w:rsidRPr="00537E94">
          <w:rPr>
            <w:rStyle w:val="Hyperlink"/>
            <w:rFonts w:ascii="Arial" w:hAnsi="Arial" w:cs="Arial"/>
            <w:noProof/>
          </w:rPr>
          <w:t>Consultation</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_Toc387927830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12</w:t>
        </w:r>
        <w:r w:rsidR="00537E94" w:rsidRPr="00537E94">
          <w:rPr>
            <w:rFonts w:ascii="Arial" w:hAnsi="Arial" w:cs="Arial"/>
            <w:noProof/>
            <w:webHidden/>
          </w:rPr>
          <w:fldChar w:fldCharType="end"/>
        </w:r>
      </w:hyperlink>
    </w:p>
    <w:p w:rsidR="00537E94" w:rsidRPr="00537E94" w:rsidRDefault="00236B5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87927831" w:history="1">
        <w:r w:rsidR="00537E94" w:rsidRPr="00537E94">
          <w:rPr>
            <w:rStyle w:val="Hyperlink"/>
            <w:rFonts w:ascii="Arial" w:hAnsi="Arial" w:cs="Arial"/>
            <w:noProof/>
          </w:rPr>
          <w:t>2.4.3</w:t>
        </w:r>
        <w:r w:rsidR="00537E94" w:rsidRPr="00537E94">
          <w:rPr>
            <w:rFonts w:ascii="Arial" w:eastAsiaTheme="minorEastAsia" w:hAnsi="Arial" w:cs="Arial"/>
            <w:i w:val="0"/>
            <w:iCs w:val="0"/>
            <w:noProof/>
            <w:sz w:val="22"/>
            <w:szCs w:val="22"/>
            <w:lang w:eastAsia="en-GB" w:bidi="ar-SA"/>
          </w:rPr>
          <w:tab/>
        </w:r>
        <w:r w:rsidR="00537E94" w:rsidRPr="00537E94">
          <w:rPr>
            <w:rStyle w:val="Hyperlink"/>
            <w:rFonts w:ascii="Arial" w:hAnsi="Arial" w:cs="Arial"/>
            <w:noProof/>
          </w:rPr>
          <w:t>World Trade Organization (WTO)</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_Toc387927831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13</w:t>
        </w:r>
        <w:r w:rsidR="00537E94" w:rsidRPr="00537E94">
          <w:rPr>
            <w:rFonts w:ascii="Arial" w:hAnsi="Arial" w:cs="Arial"/>
            <w:noProof/>
            <w:webHidden/>
          </w:rPr>
          <w:fldChar w:fldCharType="end"/>
        </w:r>
      </w:hyperlink>
    </w:p>
    <w:p w:rsidR="00537E94" w:rsidRPr="00537E94" w:rsidRDefault="00236B55">
      <w:pPr>
        <w:pStyle w:val="TOC2"/>
        <w:tabs>
          <w:tab w:val="left" w:pos="880"/>
          <w:tab w:val="right" w:leader="dot" w:pos="9060"/>
        </w:tabs>
        <w:rPr>
          <w:rFonts w:ascii="Arial" w:eastAsiaTheme="minorEastAsia" w:hAnsi="Arial" w:cs="Arial"/>
          <w:smallCaps w:val="0"/>
          <w:noProof/>
          <w:sz w:val="22"/>
          <w:szCs w:val="22"/>
          <w:lang w:eastAsia="en-GB" w:bidi="ar-SA"/>
        </w:rPr>
      </w:pPr>
      <w:hyperlink w:anchor="_Toc387927832" w:history="1">
        <w:r w:rsidR="00537E94" w:rsidRPr="00537E94">
          <w:rPr>
            <w:rStyle w:val="Hyperlink"/>
            <w:rFonts w:ascii="Arial" w:hAnsi="Arial" w:cs="Arial"/>
            <w:noProof/>
          </w:rPr>
          <w:t>2.5</w:t>
        </w:r>
        <w:r w:rsidR="00537E94" w:rsidRPr="00537E94">
          <w:rPr>
            <w:rFonts w:ascii="Arial" w:eastAsiaTheme="minorEastAsia" w:hAnsi="Arial" w:cs="Arial"/>
            <w:smallCaps w:val="0"/>
            <w:noProof/>
            <w:sz w:val="22"/>
            <w:szCs w:val="22"/>
            <w:lang w:eastAsia="en-GB" w:bidi="ar-SA"/>
          </w:rPr>
          <w:tab/>
        </w:r>
        <w:r w:rsidR="00537E94" w:rsidRPr="00537E94">
          <w:rPr>
            <w:rStyle w:val="Hyperlink"/>
            <w:rFonts w:ascii="Arial" w:hAnsi="Arial" w:cs="Arial"/>
            <w:noProof/>
          </w:rPr>
          <w:t>FSANZ Act assessment requirements</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_Toc387927832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13</w:t>
        </w:r>
        <w:r w:rsidR="00537E94" w:rsidRPr="00537E94">
          <w:rPr>
            <w:rFonts w:ascii="Arial" w:hAnsi="Arial" w:cs="Arial"/>
            <w:noProof/>
            <w:webHidden/>
          </w:rPr>
          <w:fldChar w:fldCharType="end"/>
        </w:r>
      </w:hyperlink>
    </w:p>
    <w:p w:rsidR="00537E94" w:rsidRPr="00537E94" w:rsidRDefault="00236B5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87927833" w:history="1">
        <w:r w:rsidR="00537E94" w:rsidRPr="00537E94">
          <w:rPr>
            <w:rStyle w:val="Hyperlink"/>
            <w:rFonts w:ascii="Arial" w:hAnsi="Arial" w:cs="Arial"/>
            <w:noProof/>
          </w:rPr>
          <w:t>2.5.1</w:t>
        </w:r>
        <w:r w:rsidR="00537E94" w:rsidRPr="00537E94">
          <w:rPr>
            <w:rFonts w:ascii="Arial" w:eastAsiaTheme="minorEastAsia" w:hAnsi="Arial" w:cs="Arial"/>
            <w:i w:val="0"/>
            <w:iCs w:val="0"/>
            <w:noProof/>
            <w:sz w:val="22"/>
            <w:szCs w:val="22"/>
            <w:lang w:eastAsia="en-GB" w:bidi="ar-SA"/>
          </w:rPr>
          <w:tab/>
        </w:r>
        <w:r w:rsidR="00537E94" w:rsidRPr="00537E94">
          <w:rPr>
            <w:rStyle w:val="Hyperlink"/>
            <w:rFonts w:ascii="Arial" w:hAnsi="Arial" w:cs="Arial"/>
            <w:noProof/>
          </w:rPr>
          <w:t>Section 59</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_Toc387927833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13</w:t>
        </w:r>
        <w:r w:rsidR="00537E94" w:rsidRPr="00537E94">
          <w:rPr>
            <w:rFonts w:ascii="Arial" w:hAnsi="Arial" w:cs="Arial"/>
            <w:noProof/>
            <w:webHidden/>
          </w:rPr>
          <w:fldChar w:fldCharType="end"/>
        </w:r>
      </w:hyperlink>
    </w:p>
    <w:p w:rsidR="00537E94" w:rsidRPr="00537E94" w:rsidRDefault="00236B55">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387927834" w:history="1">
        <w:r w:rsidR="00537E94" w:rsidRPr="00537E94">
          <w:rPr>
            <w:rStyle w:val="Hyperlink"/>
            <w:rFonts w:ascii="Arial" w:hAnsi="Arial" w:cs="Arial"/>
            <w:noProof/>
          </w:rPr>
          <w:t>2.5.2</w:t>
        </w:r>
        <w:r w:rsidR="00537E94" w:rsidRPr="00537E94">
          <w:rPr>
            <w:rFonts w:ascii="Arial" w:eastAsiaTheme="minorEastAsia" w:hAnsi="Arial" w:cs="Arial"/>
            <w:i w:val="0"/>
            <w:iCs w:val="0"/>
            <w:noProof/>
            <w:sz w:val="22"/>
            <w:szCs w:val="22"/>
            <w:lang w:eastAsia="en-GB" w:bidi="ar-SA"/>
          </w:rPr>
          <w:tab/>
        </w:r>
        <w:r w:rsidR="00537E94" w:rsidRPr="00537E94">
          <w:rPr>
            <w:rStyle w:val="Hyperlink"/>
            <w:rFonts w:ascii="Arial" w:hAnsi="Arial" w:cs="Arial"/>
            <w:noProof/>
          </w:rPr>
          <w:t>Subsection 18(1)</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_Toc387927834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14</w:t>
        </w:r>
        <w:r w:rsidR="00537E94" w:rsidRPr="00537E94">
          <w:rPr>
            <w:rFonts w:ascii="Arial" w:hAnsi="Arial" w:cs="Arial"/>
            <w:noProof/>
            <w:webHidden/>
          </w:rPr>
          <w:fldChar w:fldCharType="end"/>
        </w:r>
      </w:hyperlink>
    </w:p>
    <w:p w:rsidR="00537E94" w:rsidRPr="00537E94" w:rsidRDefault="00236B55">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387927835" w:history="1">
        <w:r w:rsidR="00537E94" w:rsidRPr="00537E94">
          <w:rPr>
            <w:rStyle w:val="Hyperlink"/>
            <w:rFonts w:ascii="Arial" w:hAnsi="Arial" w:cs="Arial"/>
            <w:noProof/>
          </w:rPr>
          <w:t>6</w:t>
        </w:r>
        <w:r w:rsidR="00537E94" w:rsidRPr="00537E94">
          <w:rPr>
            <w:rFonts w:ascii="Arial" w:eastAsiaTheme="minorEastAsia" w:hAnsi="Arial" w:cs="Arial"/>
            <w:b w:val="0"/>
            <w:bCs w:val="0"/>
            <w:caps w:val="0"/>
            <w:noProof/>
            <w:sz w:val="22"/>
            <w:szCs w:val="22"/>
            <w:lang w:eastAsia="en-GB" w:bidi="ar-SA"/>
          </w:rPr>
          <w:tab/>
        </w:r>
        <w:r w:rsidR="00537E94" w:rsidRPr="00537E94">
          <w:rPr>
            <w:rStyle w:val="Hyperlink"/>
            <w:rFonts w:ascii="Arial" w:hAnsi="Arial" w:cs="Arial"/>
            <w:noProof/>
          </w:rPr>
          <w:t>References</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_Toc387927835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15</w:t>
        </w:r>
        <w:r w:rsidR="00537E94" w:rsidRPr="00537E94">
          <w:rPr>
            <w:rFonts w:ascii="Arial" w:hAnsi="Arial" w:cs="Arial"/>
            <w:noProof/>
            <w:webHidden/>
          </w:rPr>
          <w:fldChar w:fldCharType="end"/>
        </w:r>
      </w:hyperlink>
    </w:p>
    <w:p w:rsidR="00537E94" w:rsidRPr="00537E94" w:rsidRDefault="00236B55">
      <w:pPr>
        <w:pStyle w:val="TOC2"/>
        <w:tabs>
          <w:tab w:val="right" w:leader="dot" w:pos="9060"/>
        </w:tabs>
        <w:rPr>
          <w:rFonts w:ascii="Arial" w:eastAsiaTheme="minorEastAsia" w:hAnsi="Arial" w:cs="Arial"/>
          <w:smallCaps w:val="0"/>
          <w:noProof/>
          <w:sz w:val="22"/>
          <w:szCs w:val="22"/>
          <w:lang w:eastAsia="en-GB" w:bidi="ar-SA"/>
        </w:rPr>
      </w:pPr>
      <w:hyperlink w:anchor="_Toc387927836" w:history="1">
        <w:r w:rsidR="00537E94" w:rsidRPr="00537E94">
          <w:rPr>
            <w:rStyle w:val="Hyperlink"/>
            <w:rFonts w:ascii="Arial" w:hAnsi="Arial" w:cs="Arial"/>
            <w:noProof/>
          </w:rPr>
          <w:t xml:space="preserve">Attachment A – Approved draft variations to the </w:t>
        </w:r>
        <w:r w:rsidR="00537E94" w:rsidRPr="00537E94">
          <w:rPr>
            <w:rStyle w:val="Hyperlink"/>
            <w:rFonts w:ascii="Arial" w:hAnsi="Arial" w:cs="Arial"/>
            <w:i/>
            <w:noProof/>
          </w:rPr>
          <w:t>Australia New Zealand Food Standards Code</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_Toc387927836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17</w:t>
        </w:r>
        <w:r w:rsidR="00537E94" w:rsidRPr="00537E94">
          <w:rPr>
            <w:rFonts w:ascii="Arial" w:hAnsi="Arial" w:cs="Arial"/>
            <w:noProof/>
            <w:webHidden/>
          </w:rPr>
          <w:fldChar w:fldCharType="end"/>
        </w:r>
      </w:hyperlink>
    </w:p>
    <w:p w:rsidR="00537E94" w:rsidRPr="00537E94" w:rsidRDefault="00236B55">
      <w:pPr>
        <w:pStyle w:val="TOC2"/>
        <w:tabs>
          <w:tab w:val="right" w:leader="dot" w:pos="9060"/>
        </w:tabs>
        <w:rPr>
          <w:rFonts w:ascii="Arial" w:eastAsiaTheme="minorEastAsia" w:hAnsi="Arial" w:cs="Arial"/>
          <w:smallCaps w:val="0"/>
          <w:noProof/>
          <w:sz w:val="22"/>
          <w:szCs w:val="22"/>
          <w:lang w:eastAsia="en-GB" w:bidi="ar-SA"/>
        </w:rPr>
      </w:pPr>
      <w:hyperlink w:anchor="_Toc387927837" w:history="1">
        <w:r w:rsidR="00537E94" w:rsidRPr="00537E94">
          <w:rPr>
            <w:rStyle w:val="Hyperlink"/>
            <w:rFonts w:ascii="Arial" w:hAnsi="Arial" w:cs="Arial"/>
            <w:noProof/>
          </w:rPr>
          <w:t>Attachment B – Explanatory Statement</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_Toc387927837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22</w:t>
        </w:r>
        <w:r w:rsidR="00537E94" w:rsidRPr="00537E94">
          <w:rPr>
            <w:rFonts w:ascii="Arial" w:hAnsi="Arial" w:cs="Arial"/>
            <w:noProof/>
            <w:webHidden/>
          </w:rPr>
          <w:fldChar w:fldCharType="end"/>
        </w:r>
      </w:hyperlink>
    </w:p>
    <w:p w:rsidR="00537E94" w:rsidRPr="00537E94" w:rsidRDefault="00236B55">
      <w:pPr>
        <w:pStyle w:val="TOC2"/>
        <w:tabs>
          <w:tab w:val="right" w:leader="dot" w:pos="9060"/>
        </w:tabs>
        <w:rPr>
          <w:rFonts w:ascii="Arial" w:eastAsiaTheme="minorEastAsia" w:hAnsi="Arial" w:cs="Arial"/>
          <w:smallCaps w:val="0"/>
          <w:noProof/>
          <w:sz w:val="22"/>
          <w:szCs w:val="22"/>
          <w:lang w:eastAsia="en-GB" w:bidi="ar-SA"/>
        </w:rPr>
      </w:pPr>
      <w:hyperlink w:anchor="_Toc387927838" w:history="1">
        <w:r w:rsidR="00537E94" w:rsidRPr="00537E94">
          <w:rPr>
            <w:rStyle w:val="Hyperlink"/>
            <w:rFonts w:ascii="Arial" w:hAnsi="Arial" w:cs="Arial"/>
            <w:noProof/>
          </w:rPr>
          <w:t xml:space="preserve">Attachment C – Draft variations to the </w:t>
        </w:r>
        <w:r w:rsidR="00537E94" w:rsidRPr="00537E94">
          <w:rPr>
            <w:rStyle w:val="Hyperlink"/>
            <w:rFonts w:ascii="Arial" w:hAnsi="Arial" w:cs="Arial"/>
            <w:i/>
            <w:noProof/>
          </w:rPr>
          <w:t xml:space="preserve">Australia New Zealand Food Standards Code </w:t>
        </w:r>
        <w:r w:rsidR="00537E94" w:rsidRPr="00537E94">
          <w:rPr>
            <w:rStyle w:val="Hyperlink"/>
            <w:rFonts w:ascii="Arial" w:hAnsi="Arial" w:cs="Arial"/>
            <w:noProof/>
          </w:rPr>
          <w:t>(call for submissions version)</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_Toc387927838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25</w:t>
        </w:r>
        <w:r w:rsidR="00537E94" w:rsidRPr="00537E94">
          <w:rPr>
            <w:rFonts w:ascii="Arial" w:hAnsi="Arial" w:cs="Arial"/>
            <w:noProof/>
            <w:webHidden/>
          </w:rPr>
          <w:fldChar w:fldCharType="end"/>
        </w:r>
      </w:hyperlink>
    </w:p>
    <w:p w:rsidR="00537E94" w:rsidRPr="00537E94" w:rsidRDefault="00236B55">
      <w:pPr>
        <w:pStyle w:val="TOC2"/>
        <w:tabs>
          <w:tab w:val="right" w:leader="dot" w:pos="9060"/>
        </w:tabs>
        <w:rPr>
          <w:rFonts w:ascii="Arial" w:eastAsiaTheme="minorEastAsia" w:hAnsi="Arial" w:cs="Arial"/>
          <w:smallCaps w:val="0"/>
          <w:noProof/>
          <w:sz w:val="22"/>
          <w:szCs w:val="22"/>
          <w:lang w:eastAsia="en-GB" w:bidi="ar-SA"/>
        </w:rPr>
      </w:pPr>
      <w:hyperlink w:anchor="_Toc387927839" w:history="1">
        <w:r w:rsidR="00537E94" w:rsidRPr="00537E94">
          <w:rPr>
            <w:rStyle w:val="Hyperlink"/>
            <w:rFonts w:ascii="Arial" w:hAnsi="Arial" w:cs="Arial"/>
            <w:noProof/>
          </w:rPr>
          <w:t xml:space="preserve">Attachment D – Draft variation to the </w:t>
        </w:r>
        <w:r w:rsidR="00537E94" w:rsidRPr="00537E94">
          <w:rPr>
            <w:rStyle w:val="Hyperlink"/>
            <w:rFonts w:ascii="Arial" w:hAnsi="Arial" w:cs="Arial"/>
            <w:i/>
            <w:noProof/>
          </w:rPr>
          <w:t xml:space="preserve">Australia New Zealand Food Standards Code </w:t>
        </w:r>
        <w:r w:rsidR="00537E94" w:rsidRPr="00537E94">
          <w:rPr>
            <w:rStyle w:val="Hyperlink"/>
            <w:rFonts w:ascii="Arial" w:hAnsi="Arial" w:cs="Arial"/>
            <w:noProof/>
          </w:rPr>
          <w:t>in March 2015 following P1025</w:t>
        </w:r>
        <w:r w:rsidR="00537E94" w:rsidRPr="00537E94">
          <w:rPr>
            <w:rFonts w:ascii="Arial" w:hAnsi="Arial" w:cs="Arial"/>
            <w:noProof/>
            <w:webHidden/>
          </w:rPr>
          <w:tab/>
        </w:r>
        <w:r w:rsidR="00537E94" w:rsidRPr="00537E94">
          <w:rPr>
            <w:rFonts w:ascii="Arial" w:hAnsi="Arial" w:cs="Arial"/>
            <w:noProof/>
            <w:webHidden/>
          </w:rPr>
          <w:fldChar w:fldCharType="begin"/>
        </w:r>
        <w:r w:rsidR="00537E94" w:rsidRPr="00537E94">
          <w:rPr>
            <w:rFonts w:ascii="Arial" w:hAnsi="Arial" w:cs="Arial"/>
            <w:noProof/>
            <w:webHidden/>
          </w:rPr>
          <w:instrText xml:space="preserve"> PAGEREF _Toc387927839 \h </w:instrText>
        </w:r>
        <w:r w:rsidR="00537E94" w:rsidRPr="00537E94">
          <w:rPr>
            <w:rFonts w:ascii="Arial" w:hAnsi="Arial" w:cs="Arial"/>
            <w:noProof/>
            <w:webHidden/>
          </w:rPr>
        </w:r>
        <w:r w:rsidR="00537E94" w:rsidRPr="00537E94">
          <w:rPr>
            <w:rFonts w:ascii="Arial" w:hAnsi="Arial" w:cs="Arial"/>
            <w:noProof/>
            <w:webHidden/>
          </w:rPr>
          <w:fldChar w:fldCharType="separate"/>
        </w:r>
        <w:r>
          <w:rPr>
            <w:rFonts w:ascii="Arial" w:hAnsi="Arial" w:cs="Arial"/>
            <w:noProof/>
            <w:webHidden/>
          </w:rPr>
          <w:t>30</w:t>
        </w:r>
        <w:r w:rsidR="00537E94" w:rsidRPr="00537E94">
          <w:rPr>
            <w:rFonts w:ascii="Arial" w:hAnsi="Arial" w:cs="Arial"/>
            <w:noProof/>
            <w:webHidden/>
          </w:rPr>
          <w:fldChar w:fldCharType="end"/>
        </w:r>
      </w:hyperlink>
    </w:p>
    <w:p w:rsidR="0012388D" w:rsidRDefault="00B55714" w:rsidP="00C91C02">
      <w:r w:rsidRPr="00A31543">
        <w:rPr>
          <w:rFonts w:cs="Arial"/>
          <w:szCs w:val="22"/>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rsidR="007A53BF" w:rsidRDefault="007A53BF" w:rsidP="007A53BF">
      <w:pPr>
        <w:rPr>
          <w:szCs w:val="22"/>
        </w:rPr>
      </w:pPr>
    </w:p>
    <w:p w:rsidR="00D13836" w:rsidRPr="00EE2D0A" w:rsidRDefault="00D13836" w:rsidP="00D13836">
      <w:pPr>
        <w:rPr>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this </w:t>
      </w:r>
      <w:r w:rsidRPr="00853A0F">
        <w:rPr>
          <w:szCs w:val="22"/>
        </w:rPr>
        <w:t>Proposal a</w:t>
      </w:r>
      <w:r>
        <w:rPr>
          <w:szCs w:val="22"/>
        </w:rPr>
        <w:t>re</w:t>
      </w:r>
      <w:r w:rsidRPr="0089264A">
        <w:rPr>
          <w:szCs w:val="22"/>
        </w:rPr>
        <w:t xml:space="preserve"> available on the FSANZ website at</w:t>
      </w:r>
      <w:r>
        <w:rPr>
          <w:color w:val="FF0000"/>
          <w:szCs w:val="22"/>
        </w:rPr>
        <w:t xml:space="preserve"> </w:t>
      </w:r>
      <w:hyperlink r:id="rId16" w:history="1">
        <w:r w:rsidRPr="00280F6D">
          <w:rPr>
            <w:rStyle w:val="Hyperlink"/>
            <w:szCs w:val="22"/>
          </w:rPr>
          <w:t>www.foodstandards.gov.au/code/proposals/Pages/proposalp1017criteri5439.aspx</w:t>
        </w:r>
      </w:hyperlink>
    </w:p>
    <w:p w:rsidR="00D13836" w:rsidRPr="00EE2D0A" w:rsidRDefault="00D13836" w:rsidP="007A53BF">
      <w:pPr>
        <w:rPr>
          <w:szCs w:val="22"/>
        </w:rPr>
      </w:pPr>
    </w:p>
    <w:p w:rsidR="00D13836" w:rsidRDefault="00D13836" w:rsidP="003A68F6">
      <w:pPr>
        <w:ind w:left="1134" w:hanging="1134"/>
      </w:pPr>
      <w:r w:rsidRPr="003A68F6">
        <w:t>SD1</w:t>
      </w:r>
      <w:r w:rsidRPr="003A68F6">
        <w:tab/>
        <w:t xml:space="preserve">Guidance on the application of microbiological criteria for </w:t>
      </w:r>
      <w:r w:rsidRPr="003A68F6">
        <w:rPr>
          <w:i/>
        </w:rPr>
        <w:t>Listeria monocytogenes</w:t>
      </w:r>
      <w:r w:rsidRPr="003A68F6">
        <w:t xml:space="preserve"> in RTE food– Proposal P1017</w:t>
      </w:r>
      <w:r w:rsidR="005B6430" w:rsidRPr="003A68F6">
        <w:t xml:space="preserve"> (at Approval)</w:t>
      </w:r>
    </w:p>
    <w:p w:rsidR="003A68F6" w:rsidRPr="003A68F6" w:rsidRDefault="003A68F6" w:rsidP="003A68F6">
      <w:pPr>
        <w:ind w:left="1134" w:hanging="1134"/>
      </w:pPr>
    </w:p>
    <w:p w:rsidR="00D13836" w:rsidRDefault="00D13836" w:rsidP="003A68F6">
      <w:pPr>
        <w:ind w:left="1134" w:hanging="1134"/>
      </w:pPr>
      <w:r w:rsidRPr="003A68F6">
        <w:t xml:space="preserve">SD2 </w:t>
      </w:r>
      <w:r w:rsidRPr="003A68F6">
        <w:tab/>
        <w:t xml:space="preserve">Scientific basis for </w:t>
      </w:r>
      <w:r w:rsidRPr="003A68F6">
        <w:rPr>
          <w:i/>
        </w:rPr>
        <w:t>Listeria monocytogenes</w:t>
      </w:r>
      <w:r w:rsidRPr="003A68F6">
        <w:t xml:space="preserve"> limits – Proposal P1017</w:t>
      </w:r>
      <w:r w:rsidR="00A31543">
        <w:t xml:space="preserve"> (at Approval)</w:t>
      </w:r>
    </w:p>
    <w:p w:rsidR="00A31543" w:rsidRDefault="00A31543" w:rsidP="003A68F6">
      <w:pPr>
        <w:ind w:left="1134" w:hanging="1134"/>
      </w:pPr>
    </w:p>
    <w:p w:rsidR="00A31543" w:rsidRPr="003A68F6" w:rsidRDefault="00A31543" w:rsidP="00A31543"/>
    <w:p w:rsidR="003C4969" w:rsidRPr="00EE2D0A" w:rsidRDefault="00D15A08" w:rsidP="009A2699">
      <w:pPr>
        <w:spacing w:line="280" w:lineRule="exact"/>
        <w:ind w:left="851" w:hanging="851"/>
        <w:outlineLvl w:val="3"/>
        <w:rPr>
          <w:vanish/>
        </w:rPr>
      </w:pPr>
      <w:r w:rsidRPr="00EE2D0A">
        <w:br w:type="page"/>
      </w:r>
    </w:p>
    <w:p w:rsidR="007A53BF" w:rsidRPr="007A53BF" w:rsidRDefault="007A53BF" w:rsidP="00CE59AA">
      <w:pPr>
        <w:pStyle w:val="Heading1"/>
      </w:pPr>
      <w:bookmarkStart w:id="1" w:name="_Toc286391001"/>
      <w:bookmarkStart w:id="2" w:name="_Toc300933414"/>
      <w:bookmarkStart w:id="3" w:name="_Toc370223463"/>
      <w:bookmarkStart w:id="4" w:name="_Toc387927817"/>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rsidR="002D0D19" w:rsidRDefault="002D0D19" w:rsidP="002D0D19">
      <w:r w:rsidRPr="002B3EEA">
        <w:t xml:space="preserve">Standard 1.6.1 – Microbiological Limits for Food was included in the </w:t>
      </w:r>
      <w:r w:rsidRPr="002B3EEA">
        <w:rPr>
          <w:i/>
        </w:rPr>
        <w:t xml:space="preserve">Australia New Zealand Food Standards Code </w:t>
      </w:r>
      <w:r w:rsidRPr="002B3EEA">
        <w:t xml:space="preserve">(the Code) in December 2000. Since this Standard was developed, </w:t>
      </w:r>
      <w:r w:rsidR="0003297C">
        <w:t xml:space="preserve">additional </w:t>
      </w:r>
      <w:r w:rsidRPr="002B3EEA">
        <w:t>food safety requirements have been included in the Code supporting a preventative approach to food safety</w:t>
      </w:r>
      <w:r w:rsidR="00645C24">
        <w:t>. W</w:t>
      </w:r>
      <w:r w:rsidRPr="002B3EEA">
        <w:t xml:space="preserve">ork has also progressed internationally to establish microbiological criteria for </w:t>
      </w:r>
      <w:r w:rsidRPr="002B3EEA">
        <w:rPr>
          <w:i/>
        </w:rPr>
        <w:t>Listeria monocytogenes</w:t>
      </w:r>
      <w:r w:rsidRPr="002B3EEA">
        <w:t xml:space="preserve"> </w:t>
      </w:r>
      <w:r>
        <w:t>(</w:t>
      </w:r>
      <w:r w:rsidRPr="009847AB">
        <w:rPr>
          <w:i/>
        </w:rPr>
        <w:t>L</w:t>
      </w:r>
      <w:r>
        <w:rPr>
          <w:i/>
        </w:rPr>
        <w:t>. monocytogenes</w:t>
      </w:r>
      <w:r>
        <w:t>)</w:t>
      </w:r>
      <w:r>
        <w:rPr>
          <w:i/>
        </w:rPr>
        <w:t xml:space="preserve"> </w:t>
      </w:r>
      <w:r w:rsidRPr="002B3EEA">
        <w:t xml:space="preserve">more broadly in ready-to-eat </w:t>
      </w:r>
      <w:r w:rsidR="00E7473B">
        <w:t xml:space="preserve">(RTE) </w:t>
      </w:r>
      <w:r w:rsidRPr="002B3EEA">
        <w:t xml:space="preserve">foods. </w:t>
      </w:r>
    </w:p>
    <w:p w:rsidR="006F4298" w:rsidRDefault="006F4298" w:rsidP="002D0D19"/>
    <w:p w:rsidR="006F4298" w:rsidRDefault="006F4298" w:rsidP="006F4298">
      <w:r>
        <w:t>Proposal P1017</w:t>
      </w:r>
      <w:r>
        <w:rPr>
          <w:lang w:val="en-US" w:eastAsia="en-GB" w:bidi="ar-SA"/>
        </w:rPr>
        <w:t xml:space="preserve"> was prepared </w:t>
      </w:r>
      <w:r w:rsidRPr="00BB3B4C">
        <w:t xml:space="preserve">to establish </w:t>
      </w:r>
      <w:r w:rsidRPr="002B3EEA">
        <w:t>app</w:t>
      </w:r>
      <w:r>
        <w:t xml:space="preserve">ropriate microbiological limits, </w:t>
      </w:r>
      <w:r w:rsidRPr="00BB3B4C">
        <w:t xml:space="preserve">for </w:t>
      </w:r>
      <w:r w:rsidRPr="00BB3B4C">
        <w:rPr>
          <w:i/>
        </w:rPr>
        <w:t>L</w:t>
      </w:r>
      <w:r>
        <w:rPr>
          <w:i/>
        </w:rPr>
        <w:t>. </w:t>
      </w:r>
      <w:r w:rsidRPr="00BB3B4C">
        <w:rPr>
          <w:i/>
        </w:rPr>
        <w:t>monocytogenes</w:t>
      </w:r>
      <w:r w:rsidRPr="00BB3B4C">
        <w:t xml:space="preserve"> in </w:t>
      </w:r>
      <w:r w:rsidR="00344AE8">
        <w:t>RTE</w:t>
      </w:r>
      <w:r w:rsidRPr="00BB3B4C">
        <w:t xml:space="preserve"> foods</w:t>
      </w:r>
      <w:r>
        <w:t>,</w:t>
      </w:r>
      <w:r w:rsidRPr="00BB3B4C">
        <w:t xml:space="preserve"> </w:t>
      </w:r>
      <w:r>
        <w:t xml:space="preserve">as </w:t>
      </w:r>
      <w:r w:rsidRPr="00BB3B4C">
        <w:t>consistent with international</w:t>
      </w:r>
      <w:r>
        <w:t>ly agreed</w:t>
      </w:r>
      <w:r w:rsidRPr="00BB3B4C">
        <w:t xml:space="preserve"> </w:t>
      </w:r>
      <w:r>
        <w:t>criteria</w:t>
      </w:r>
      <w:r w:rsidRPr="00BB3B4C">
        <w:t>.</w:t>
      </w:r>
      <w:r>
        <w:t xml:space="preserve"> </w:t>
      </w:r>
      <w:r w:rsidRPr="00BB3B4C">
        <w:t xml:space="preserve">The </w:t>
      </w:r>
      <w:r>
        <w:t xml:space="preserve">proposal assessed two </w:t>
      </w:r>
      <w:r w:rsidRPr="00BB3B4C">
        <w:t xml:space="preserve">criteria </w:t>
      </w:r>
      <w:r>
        <w:t xml:space="preserve">for </w:t>
      </w:r>
      <w:r w:rsidRPr="00BB3B4C">
        <w:rPr>
          <w:i/>
        </w:rPr>
        <w:t>L</w:t>
      </w:r>
      <w:r>
        <w:rPr>
          <w:i/>
        </w:rPr>
        <w:t>. </w:t>
      </w:r>
      <w:r w:rsidRPr="00BB3B4C">
        <w:rPr>
          <w:i/>
        </w:rPr>
        <w:t>monocytogenes</w:t>
      </w:r>
      <w:r w:rsidRPr="00BB3B4C">
        <w:t xml:space="preserve"> </w:t>
      </w:r>
      <w:r>
        <w:t xml:space="preserve">in RTE food, based on whether bacterial growth can occur in the food. The application of these criteria takes into account the physical and chemical characteristics of the RTE food, along with its shelf life. </w:t>
      </w:r>
    </w:p>
    <w:p w:rsidR="006F4298" w:rsidRDefault="006F4298" w:rsidP="002D0D19"/>
    <w:p w:rsidR="0021430D" w:rsidRDefault="00344AE8" w:rsidP="0021430D">
      <w:r>
        <w:t>FSANZ has decided</w:t>
      </w:r>
      <w:r w:rsidR="0021430D" w:rsidRPr="00BB3B4C">
        <w:t xml:space="preserve"> to </w:t>
      </w:r>
      <w:r>
        <w:t xml:space="preserve">amend the Code to </w:t>
      </w:r>
      <w:r w:rsidR="0021430D">
        <w:t xml:space="preserve">replace existing limits for </w:t>
      </w:r>
      <w:r w:rsidR="0021430D" w:rsidRPr="001450C0">
        <w:rPr>
          <w:i/>
        </w:rPr>
        <w:t>L. monocytogenes</w:t>
      </w:r>
      <w:r w:rsidR="0021430D">
        <w:t xml:space="preserve"> in nominated foods in Standard 1.6.1 with</w:t>
      </w:r>
      <w:r w:rsidR="0021430D" w:rsidRPr="00BB3B4C">
        <w:t xml:space="preserve"> two sets of criteria for </w:t>
      </w:r>
      <w:r w:rsidR="0021430D" w:rsidRPr="00BB3B4C">
        <w:rPr>
          <w:i/>
        </w:rPr>
        <w:t>L</w:t>
      </w:r>
      <w:r w:rsidR="0021430D">
        <w:rPr>
          <w:i/>
        </w:rPr>
        <w:t>. </w:t>
      </w:r>
      <w:r w:rsidR="0021430D" w:rsidRPr="00BB3B4C">
        <w:rPr>
          <w:i/>
        </w:rPr>
        <w:t>monocytogenes</w:t>
      </w:r>
      <w:r w:rsidR="0021430D" w:rsidRPr="00BB3B4C">
        <w:t xml:space="preserve"> in </w:t>
      </w:r>
      <w:r w:rsidR="0021430D">
        <w:t xml:space="preserve">RTE </w:t>
      </w:r>
      <w:r w:rsidR="0021430D" w:rsidRPr="00BB3B4C">
        <w:t>foods</w:t>
      </w:r>
      <w:r w:rsidR="0021430D">
        <w:t xml:space="preserve"> based on</w:t>
      </w:r>
      <w:r w:rsidR="0021430D" w:rsidRPr="00BB3B4C">
        <w:t xml:space="preserve"> whether </w:t>
      </w:r>
      <w:r w:rsidR="0021430D">
        <w:t xml:space="preserve">growth </w:t>
      </w:r>
      <w:r w:rsidR="0021430D" w:rsidRPr="00BB3B4C">
        <w:t xml:space="preserve">of </w:t>
      </w:r>
      <w:r w:rsidR="0021430D" w:rsidRPr="00BB3B4C">
        <w:rPr>
          <w:i/>
        </w:rPr>
        <w:t>L. monocytogenes</w:t>
      </w:r>
      <w:r w:rsidR="0021430D">
        <w:t xml:space="preserve"> </w:t>
      </w:r>
      <w:r w:rsidR="00C535FB">
        <w:t xml:space="preserve">can </w:t>
      </w:r>
      <w:r w:rsidR="0021430D">
        <w:t xml:space="preserve">or </w:t>
      </w:r>
      <w:r w:rsidR="00C535FB">
        <w:t xml:space="preserve">will </w:t>
      </w:r>
      <w:r w:rsidR="0021430D">
        <w:t xml:space="preserve">not </w:t>
      </w:r>
      <w:r w:rsidR="00C535FB">
        <w:t xml:space="preserve">occur </w:t>
      </w:r>
      <w:r w:rsidR="0021430D">
        <w:t xml:space="preserve">in </w:t>
      </w:r>
      <w:r w:rsidR="0021430D" w:rsidRPr="00BB3B4C">
        <w:t>the</w:t>
      </w:r>
      <w:r w:rsidR="0021430D">
        <w:t xml:space="preserve"> RTE</w:t>
      </w:r>
      <w:r w:rsidR="0021430D" w:rsidRPr="00BB3B4C">
        <w:t xml:space="preserve"> food</w:t>
      </w:r>
      <w:r w:rsidR="0021430D">
        <w:t>:</w:t>
      </w:r>
    </w:p>
    <w:p w:rsidR="00BC40D5" w:rsidRPr="002B3EEA" w:rsidRDefault="00BC40D5" w:rsidP="0021430D"/>
    <w:p w:rsidR="0021430D" w:rsidRPr="00803FB4" w:rsidRDefault="00E7473B" w:rsidP="0021430D">
      <w:pPr>
        <w:pStyle w:val="FSBullet1"/>
        <w:numPr>
          <w:ilvl w:val="0"/>
          <w:numId w:val="6"/>
        </w:numPr>
        <w:ind w:left="567" w:hanging="567"/>
      </w:pPr>
      <w:r>
        <w:t>RTE</w:t>
      </w:r>
      <w:r w:rsidR="0021430D" w:rsidRPr="00803FB4">
        <w:t xml:space="preserve"> foods in which growth of </w:t>
      </w:r>
      <w:r w:rsidR="0021430D" w:rsidRPr="00803FB4">
        <w:rPr>
          <w:i/>
        </w:rPr>
        <w:t>L. monocytogenes</w:t>
      </w:r>
      <w:r w:rsidR="0021430D" w:rsidRPr="00803FB4">
        <w:t xml:space="preserve"> will not occur (</w:t>
      </w:r>
      <w:r w:rsidR="00970DDB">
        <w:t xml:space="preserve">less than </w:t>
      </w:r>
      <w:r w:rsidR="0021430D" w:rsidRPr="00803FB4">
        <w:t>100 cfu/g)</w:t>
      </w:r>
      <w:r w:rsidR="002F7A45">
        <w:t>.</w:t>
      </w:r>
    </w:p>
    <w:p w:rsidR="0021430D" w:rsidRDefault="00E7473B" w:rsidP="0021430D">
      <w:pPr>
        <w:pStyle w:val="FSBullet1"/>
        <w:numPr>
          <w:ilvl w:val="0"/>
          <w:numId w:val="6"/>
        </w:numPr>
        <w:ind w:left="567" w:hanging="567"/>
      </w:pPr>
      <w:r>
        <w:t>RTE</w:t>
      </w:r>
      <w:r w:rsidR="0021430D" w:rsidRPr="00803FB4">
        <w:t xml:space="preserve"> foods in which growth of </w:t>
      </w:r>
      <w:r w:rsidR="0021430D" w:rsidRPr="00803FB4">
        <w:rPr>
          <w:i/>
        </w:rPr>
        <w:t>L. monocytogenes</w:t>
      </w:r>
      <w:r w:rsidR="0021430D" w:rsidRPr="00803FB4">
        <w:t xml:space="preserve"> can occur (not detected in 25 g)</w:t>
      </w:r>
      <w:r w:rsidR="005B2A30">
        <w:t>.</w:t>
      </w:r>
    </w:p>
    <w:p w:rsidR="0021430D" w:rsidRDefault="0021430D" w:rsidP="0021430D">
      <w:pPr>
        <w:ind w:left="567"/>
      </w:pPr>
    </w:p>
    <w:p w:rsidR="005B6430" w:rsidRDefault="0021430D" w:rsidP="002F7A45">
      <w:pPr>
        <w:ind w:right="-428"/>
      </w:pPr>
      <w:r>
        <w:t>This approach recognise</w:t>
      </w:r>
      <w:r w:rsidR="008F6AFA">
        <w:t>d</w:t>
      </w:r>
      <w:r>
        <w:t xml:space="preserve"> that the potential for foods to support growth of</w:t>
      </w:r>
      <w:r w:rsidR="005B6430">
        <w:rPr>
          <w:i/>
        </w:rPr>
        <w:t xml:space="preserve"> </w:t>
      </w:r>
      <w:r w:rsidRPr="006947CF">
        <w:rPr>
          <w:i/>
        </w:rPr>
        <w:t>L. monocytogenes</w:t>
      </w:r>
      <w:r>
        <w:t xml:space="preserve"> </w:t>
      </w:r>
      <w:r w:rsidR="00645C24">
        <w:t>is</w:t>
      </w:r>
      <w:r>
        <w:t xml:space="preserve"> a main factor in the risk of acquiring listeriosis. For foods in which the growth of </w:t>
      </w:r>
    </w:p>
    <w:p w:rsidR="0021430D" w:rsidRPr="00CA49C3" w:rsidRDefault="0021430D" w:rsidP="002F7A45">
      <w:pPr>
        <w:ind w:right="-428"/>
      </w:pPr>
      <w:r w:rsidRPr="006947CF">
        <w:rPr>
          <w:i/>
        </w:rPr>
        <w:t>L monocytogenes</w:t>
      </w:r>
      <w:r>
        <w:t xml:space="preserve"> will not occur, oc</w:t>
      </w:r>
      <w:r w:rsidR="00970DDB">
        <w:t xml:space="preserve">casional low level detections (less than </w:t>
      </w:r>
      <w:r>
        <w:t>100 cfu/g) do not present a public health risk.</w:t>
      </w:r>
    </w:p>
    <w:p w:rsidR="0021430D" w:rsidRDefault="0021430D" w:rsidP="0021430D"/>
    <w:p w:rsidR="004D3DB9" w:rsidRDefault="004D3DB9" w:rsidP="0021430D">
      <w:r>
        <w:t xml:space="preserve">The </w:t>
      </w:r>
      <w:r w:rsidR="00970DDB">
        <w:t>p</w:t>
      </w:r>
      <w:r>
        <w:t>roposal was assessed under the Major Procedure.</w:t>
      </w:r>
    </w:p>
    <w:p w:rsidR="004D3DB9" w:rsidRDefault="004D3DB9" w:rsidP="0021430D"/>
    <w:p w:rsidR="00E7473B" w:rsidRDefault="00FB3F98" w:rsidP="00651155">
      <w:pPr>
        <w:pStyle w:val="FSBullet1"/>
        <w:numPr>
          <w:ilvl w:val="0"/>
          <w:numId w:val="0"/>
        </w:numPr>
      </w:pPr>
      <w:r>
        <w:t>The</w:t>
      </w:r>
      <w:r w:rsidR="00344AE8">
        <w:t xml:space="preserve"> approach </w:t>
      </w:r>
      <w:r w:rsidR="0021430D">
        <w:t>is risk-base</w:t>
      </w:r>
      <w:r w:rsidR="00E04D91">
        <w:t>d</w:t>
      </w:r>
      <w:r w:rsidR="00344AE8">
        <w:t xml:space="preserve"> and flexible,</w:t>
      </w:r>
      <w:r w:rsidR="00E04D91">
        <w:t xml:space="preserve"> supported by the evidence</w:t>
      </w:r>
      <w:r w:rsidR="00344AE8">
        <w:t xml:space="preserve"> and is consistent with international approaches</w:t>
      </w:r>
      <w:r w:rsidR="00A31543">
        <w:t xml:space="preserve">. </w:t>
      </w:r>
      <w:r w:rsidR="00344AE8">
        <w:t>It also addresses current inconsistencies between guidance documents (e.g. Recall Guidelines) and limits in Standard 1.6.1.</w:t>
      </w:r>
    </w:p>
    <w:p w:rsidR="00DD7FD5" w:rsidRPr="00DD7FD5" w:rsidRDefault="00DD7FD5" w:rsidP="00DD7FD5">
      <w:pPr>
        <w:rPr>
          <w:lang w:bidi="ar-SA"/>
        </w:rPr>
      </w:pPr>
    </w:p>
    <w:p w:rsidR="00E7473B" w:rsidRDefault="00344AE8" w:rsidP="00651155">
      <w:pPr>
        <w:pStyle w:val="FSBullet1"/>
        <w:numPr>
          <w:ilvl w:val="0"/>
          <w:numId w:val="0"/>
        </w:numPr>
      </w:pPr>
      <w:r>
        <w:t>I</w:t>
      </w:r>
      <w:r w:rsidR="002F7A45">
        <w:t>ncluding</w:t>
      </w:r>
      <w:r w:rsidR="0021430D">
        <w:t xml:space="preserve"> limits for </w:t>
      </w:r>
      <w:r w:rsidR="0021430D" w:rsidRPr="00E11725">
        <w:rPr>
          <w:i/>
        </w:rPr>
        <w:t>L. monocytogenes</w:t>
      </w:r>
      <w:r w:rsidR="0021430D">
        <w:t xml:space="preserve"> in Standard 1.6.1 </w:t>
      </w:r>
      <w:r>
        <w:t xml:space="preserve">across a broad range of RTE foods </w:t>
      </w:r>
      <w:r w:rsidR="0021430D" w:rsidRPr="005B6759">
        <w:t>provide</w:t>
      </w:r>
      <w:r w:rsidR="0021430D">
        <w:t>s</w:t>
      </w:r>
      <w:r w:rsidR="0021430D" w:rsidRPr="005B6759">
        <w:t xml:space="preserve"> a measure </w:t>
      </w:r>
      <w:r>
        <w:t xml:space="preserve">of certainty </w:t>
      </w:r>
      <w:r w:rsidR="0021430D" w:rsidRPr="005B6759">
        <w:t>to industry and regulators as to the m</w:t>
      </w:r>
      <w:r w:rsidR="0021430D">
        <w:t>aximum number of microorganisms</w:t>
      </w:r>
      <w:r w:rsidR="0021430D" w:rsidRPr="005B6759">
        <w:t xml:space="preserve"> that must not be exceeded </w:t>
      </w:r>
      <w:r w:rsidR="0021430D">
        <w:t xml:space="preserve">to ensure food is safe. This is an important risk management tool for reducing exposure to </w:t>
      </w:r>
      <w:r w:rsidR="0021430D" w:rsidRPr="007C69C2">
        <w:rPr>
          <w:i/>
        </w:rPr>
        <w:t>L. monocytogenes</w:t>
      </w:r>
      <w:r w:rsidR="0021430D">
        <w:t xml:space="preserve"> and the incidence of listeriosis</w:t>
      </w:r>
      <w:r w:rsidR="006D48DE">
        <w:t>.</w:t>
      </w:r>
    </w:p>
    <w:p w:rsidR="00DD7FD5" w:rsidRPr="00DD7FD5" w:rsidRDefault="00DD7FD5" w:rsidP="00DD7FD5">
      <w:pPr>
        <w:rPr>
          <w:lang w:bidi="ar-SA"/>
        </w:rPr>
      </w:pPr>
    </w:p>
    <w:p w:rsidR="00DD7FD5" w:rsidRPr="00DD7FD5" w:rsidRDefault="00FB3F98" w:rsidP="00651155">
      <w:pPr>
        <w:pStyle w:val="FSBullet1"/>
        <w:numPr>
          <w:ilvl w:val="0"/>
          <w:numId w:val="0"/>
        </w:numPr>
      </w:pPr>
      <w:r>
        <w:t xml:space="preserve">Amendments were also made to </w:t>
      </w:r>
      <w:r w:rsidR="00344AE8">
        <w:t xml:space="preserve">Standard 1.6.1 </w:t>
      </w:r>
      <w:r>
        <w:t xml:space="preserve">to provide contemporary reference methods of analysis and to </w:t>
      </w:r>
      <w:r w:rsidR="00DD7FD5" w:rsidRPr="00DD7FD5">
        <w:t xml:space="preserve">Standard 4.2.5 </w:t>
      </w:r>
      <w:r>
        <w:t xml:space="preserve">to </w:t>
      </w:r>
      <w:r w:rsidR="00CA1FE7">
        <w:t>clari</w:t>
      </w:r>
      <w:r>
        <w:t>fy</w:t>
      </w:r>
      <w:r w:rsidR="00DD7FD5">
        <w:t xml:space="preserve"> an editorial note </w:t>
      </w:r>
      <w:r w:rsidR="00530FFA">
        <w:t>in rel</w:t>
      </w:r>
      <w:r>
        <w:t>ation to the amended</w:t>
      </w:r>
      <w:r w:rsidR="00530FFA">
        <w:t xml:space="preserve"> Standard 1.6.</w:t>
      </w:r>
      <w:r>
        <w:t>1</w:t>
      </w:r>
      <w:r w:rsidR="00DD7FD5">
        <w:t>.</w:t>
      </w:r>
    </w:p>
    <w:p w:rsidR="00DD7FD5" w:rsidRPr="00DD7FD5" w:rsidRDefault="00DD7FD5" w:rsidP="00DD7FD5">
      <w:pPr>
        <w:rPr>
          <w:highlight w:val="yellow"/>
          <w:lang w:bidi="ar-SA"/>
        </w:rPr>
      </w:pPr>
    </w:p>
    <w:p w:rsidR="0021430D" w:rsidRDefault="0021430D" w:rsidP="0021430D">
      <w:r>
        <w:t>To support this approach</w:t>
      </w:r>
      <w:r w:rsidR="00FB3F98">
        <w:t xml:space="preserve"> for determining appropriate limits for </w:t>
      </w:r>
      <w:r w:rsidR="00FB3F98" w:rsidRPr="001450C0">
        <w:rPr>
          <w:i/>
        </w:rPr>
        <w:t>L. monocytogenes</w:t>
      </w:r>
      <w:r w:rsidR="006D48DE">
        <w:t>,</w:t>
      </w:r>
      <w:r>
        <w:t xml:space="preserve"> a guidance document </w:t>
      </w:r>
      <w:r w:rsidR="00651155">
        <w:t>‘</w:t>
      </w:r>
      <w:r w:rsidRPr="00E11620">
        <w:rPr>
          <w:i/>
        </w:rPr>
        <w:t>Guide to the application of limits for L. monocytogenes</w:t>
      </w:r>
      <w:r w:rsidR="00651155">
        <w:rPr>
          <w:i/>
        </w:rPr>
        <w:t>’</w:t>
      </w:r>
      <w:r>
        <w:t xml:space="preserve"> has been developed and is provided as Supporting Document 1 (SD1). </w:t>
      </w:r>
    </w:p>
    <w:p w:rsidR="0021430D" w:rsidRDefault="0021430D" w:rsidP="002D0D19"/>
    <w:p w:rsidR="00E7473B" w:rsidRDefault="0021430D" w:rsidP="00DD7FD5">
      <w:r>
        <w:t xml:space="preserve">P1017 is the first stage of </w:t>
      </w:r>
      <w:r w:rsidR="00DD7FD5">
        <w:t>a broader</w:t>
      </w:r>
      <w:r>
        <w:t xml:space="preserve"> review of limits in Standard 1.6.1. </w:t>
      </w:r>
      <w:bookmarkStart w:id="10" w:name="_Toc300933417"/>
      <w:bookmarkStart w:id="11" w:name="_Toc370223464"/>
      <w:r w:rsidR="00E7473B">
        <w:br w:type="page"/>
      </w:r>
    </w:p>
    <w:p w:rsidR="007A53BF" w:rsidRPr="007A53BF" w:rsidRDefault="007A53BF" w:rsidP="00CE59AA">
      <w:pPr>
        <w:pStyle w:val="Heading1"/>
      </w:pPr>
      <w:bookmarkStart w:id="12" w:name="_Toc387927818"/>
      <w:r w:rsidRPr="007A53BF">
        <w:lastRenderedPageBreak/>
        <w:t>1</w:t>
      </w:r>
      <w:r w:rsidRPr="007A53BF">
        <w:tab/>
        <w:t>Introduction</w:t>
      </w:r>
      <w:bookmarkEnd w:id="10"/>
      <w:bookmarkEnd w:id="11"/>
      <w:bookmarkEnd w:id="12"/>
    </w:p>
    <w:p w:rsidR="007A53BF" w:rsidRPr="0052582B" w:rsidRDefault="003B0B1B" w:rsidP="00CE59AA">
      <w:pPr>
        <w:pStyle w:val="Heading2"/>
      </w:pPr>
      <w:bookmarkStart w:id="13" w:name="_Toc300761891"/>
      <w:bookmarkStart w:id="14" w:name="_Toc300933420"/>
      <w:bookmarkStart w:id="15" w:name="_Toc370223466"/>
      <w:bookmarkStart w:id="16" w:name="_Toc387927819"/>
      <w:r>
        <w:t>1.1</w:t>
      </w:r>
      <w:r w:rsidR="007A53BF" w:rsidRPr="007A53BF">
        <w:tab/>
      </w:r>
      <w:r w:rsidR="007A53BF" w:rsidRPr="0052582B">
        <w:t xml:space="preserve">The </w:t>
      </w:r>
      <w:bookmarkEnd w:id="13"/>
      <w:r w:rsidR="007A53BF" w:rsidRPr="0052582B">
        <w:t>Proposal</w:t>
      </w:r>
      <w:bookmarkEnd w:id="14"/>
      <w:bookmarkEnd w:id="15"/>
      <w:bookmarkEnd w:id="16"/>
    </w:p>
    <w:p w:rsidR="0026177A" w:rsidRPr="0026177A" w:rsidRDefault="00596C9E" w:rsidP="0026177A">
      <w:pPr>
        <w:rPr>
          <w:lang w:val="en-AU"/>
        </w:rPr>
      </w:pPr>
      <w:r w:rsidRPr="00596C9E">
        <w:t>Proposal P1017 is the first stage of a broader review of microbiological limits in Standard 1.6.1</w:t>
      </w:r>
      <w:r w:rsidR="0026177A">
        <w:t>. A</w:t>
      </w:r>
      <w:r w:rsidR="0026177A" w:rsidRPr="0026177A">
        <w:rPr>
          <w:lang w:val="en-AU"/>
        </w:rPr>
        <w:t xml:space="preserve"> background paper outlining </w:t>
      </w:r>
      <w:r w:rsidR="0026177A">
        <w:rPr>
          <w:lang w:val="en-AU"/>
        </w:rPr>
        <w:t xml:space="preserve">the </w:t>
      </w:r>
      <w:r w:rsidR="0026177A" w:rsidRPr="0026177A">
        <w:rPr>
          <w:lang w:val="en-AU"/>
        </w:rPr>
        <w:t xml:space="preserve">issues to be </w:t>
      </w:r>
      <w:r w:rsidR="000C5DE5">
        <w:rPr>
          <w:lang w:val="en-AU"/>
        </w:rPr>
        <w:t>addressed</w:t>
      </w:r>
      <w:r w:rsidR="0026177A" w:rsidRPr="0026177A">
        <w:rPr>
          <w:lang w:val="en-AU"/>
        </w:rPr>
        <w:t xml:space="preserve"> in the review and the principles and guidelines that will underpin this work</w:t>
      </w:r>
      <w:r w:rsidR="0026177A">
        <w:rPr>
          <w:lang w:val="en-AU"/>
        </w:rPr>
        <w:t xml:space="preserve"> is available on the FSANZ website</w:t>
      </w:r>
      <w:r w:rsidR="000C5DE5">
        <w:rPr>
          <w:rStyle w:val="FootnoteReference"/>
          <w:lang w:val="en-AU"/>
        </w:rPr>
        <w:footnoteReference w:id="2"/>
      </w:r>
      <w:r w:rsidR="0026177A">
        <w:rPr>
          <w:lang w:val="en-AU"/>
        </w:rPr>
        <w:t>. The main drivers for the review have been the development of through</w:t>
      </w:r>
      <w:r w:rsidR="006D48DE">
        <w:rPr>
          <w:lang w:val="en-AU"/>
        </w:rPr>
        <w:t>-</w:t>
      </w:r>
      <w:r w:rsidR="0026177A">
        <w:rPr>
          <w:lang w:val="en-AU"/>
        </w:rPr>
        <w:t>chain</w:t>
      </w:r>
      <w:r w:rsidR="0026177A" w:rsidRPr="0026177A">
        <w:rPr>
          <w:lang w:val="en-AU"/>
        </w:rPr>
        <w:t xml:space="preserve"> </w:t>
      </w:r>
      <w:r w:rsidR="0026177A" w:rsidRPr="002B3EEA">
        <w:t xml:space="preserve">food safety requirements </w:t>
      </w:r>
      <w:r w:rsidR="0026177A">
        <w:t>that support</w:t>
      </w:r>
      <w:r w:rsidR="0026177A" w:rsidRPr="002B3EEA">
        <w:t xml:space="preserve"> a preventative approach to food safety</w:t>
      </w:r>
      <w:r w:rsidR="0026177A">
        <w:t xml:space="preserve"> and w</w:t>
      </w:r>
      <w:r w:rsidR="0026177A" w:rsidRPr="002B3EEA">
        <w:t xml:space="preserve">ork </w:t>
      </w:r>
      <w:r w:rsidR="0026177A">
        <w:t>that has</w:t>
      </w:r>
      <w:r w:rsidR="0026177A" w:rsidRPr="002B3EEA">
        <w:t xml:space="preserve"> progressed internationally</w:t>
      </w:r>
      <w:r w:rsidR="0026177A">
        <w:t xml:space="preserve"> through Codex</w:t>
      </w:r>
      <w:r w:rsidR="009F78A2">
        <w:t xml:space="preserve"> on the use of microbiological criteria and in the management of </w:t>
      </w:r>
      <w:r w:rsidR="009F78A2" w:rsidRPr="009F78A2">
        <w:rPr>
          <w:i/>
        </w:rPr>
        <w:t>L</w:t>
      </w:r>
      <w:r w:rsidR="009F78A2">
        <w:rPr>
          <w:i/>
        </w:rPr>
        <w:t>.</w:t>
      </w:r>
      <w:r w:rsidR="009F78A2" w:rsidRPr="009F78A2">
        <w:rPr>
          <w:i/>
        </w:rPr>
        <w:t xml:space="preserve"> monocytogenes</w:t>
      </w:r>
      <w:r w:rsidR="009F78A2">
        <w:t xml:space="preserve"> in foods</w:t>
      </w:r>
      <w:r w:rsidR="0026177A">
        <w:t>.</w:t>
      </w:r>
    </w:p>
    <w:p w:rsidR="0026177A" w:rsidRDefault="0026177A" w:rsidP="003B0B1B"/>
    <w:p w:rsidR="003B0B1B" w:rsidRDefault="0026177A" w:rsidP="003B0B1B">
      <w:r>
        <w:t>Proposal P1017</w:t>
      </w:r>
      <w:r w:rsidR="00E7473B">
        <w:rPr>
          <w:lang w:val="en-US" w:eastAsia="en-GB" w:bidi="ar-SA"/>
        </w:rPr>
        <w:t xml:space="preserve"> </w:t>
      </w:r>
      <w:r w:rsidR="008D3BB0">
        <w:rPr>
          <w:lang w:val="en-US" w:eastAsia="en-GB" w:bidi="ar-SA"/>
        </w:rPr>
        <w:t xml:space="preserve">was </w:t>
      </w:r>
      <w:r w:rsidR="00E7473B">
        <w:rPr>
          <w:lang w:val="en-US" w:eastAsia="en-GB" w:bidi="ar-SA"/>
        </w:rPr>
        <w:t>prepared</w:t>
      </w:r>
      <w:r w:rsidR="003B0B1B">
        <w:rPr>
          <w:lang w:val="en-US" w:eastAsia="en-GB" w:bidi="ar-SA"/>
        </w:rPr>
        <w:t xml:space="preserve"> </w:t>
      </w:r>
      <w:r w:rsidR="003B0B1B" w:rsidRPr="00BB3B4C">
        <w:t xml:space="preserve">to establish </w:t>
      </w:r>
      <w:r w:rsidR="00596C9E" w:rsidRPr="002B3EEA">
        <w:t>app</w:t>
      </w:r>
      <w:r w:rsidR="00596C9E">
        <w:t xml:space="preserve">ropriate microbiological limits, </w:t>
      </w:r>
      <w:r w:rsidR="003B0B1B" w:rsidRPr="00BB3B4C">
        <w:t xml:space="preserve">for </w:t>
      </w:r>
      <w:r w:rsidR="003B0B1B" w:rsidRPr="00BB3B4C">
        <w:rPr>
          <w:i/>
        </w:rPr>
        <w:t>L</w:t>
      </w:r>
      <w:r w:rsidR="003B0B1B">
        <w:rPr>
          <w:i/>
        </w:rPr>
        <w:t>. </w:t>
      </w:r>
      <w:r w:rsidR="003B0B1B" w:rsidRPr="00BB3B4C">
        <w:rPr>
          <w:i/>
        </w:rPr>
        <w:t>monocytogenes</w:t>
      </w:r>
      <w:r w:rsidR="003B0B1B" w:rsidRPr="00BB3B4C">
        <w:t xml:space="preserve"> in </w:t>
      </w:r>
      <w:r w:rsidR="001F23DE">
        <w:t>ready-to-eat (</w:t>
      </w:r>
      <w:r w:rsidR="003B0B1B">
        <w:t>RTE</w:t>
      </w:r>
      <w:r w:rsidR="001F23DE">
        <w:t>)</w:t>
      </w:r>
      <w:r w:rsidR="003B0B1B" w:rsidRPr="00BB3B4C">
        <w:t xml:space="preserve"> foods</w:t>
      </w:r>
      <w:r w:rsidR="003B0B1B">
        <w:t>,</w:t>
      </w:r>
      <w:r w:rsidR="003B0B1B" w:rsidRPr="00BB3B4C">
        <w:t xml:space="preserve"> </w:t>
      </w:r>
      <w:r w:rsidR="00596C9E">
        <w:t xml:space="preserve">as </w:t>
      </w:r>
      <w:r w:rsidR="003B0B1B" w:rsidRPr="00BB3B4C">
        <w:t>consistent with international</w:t>
      </w:r>
      <w:r w:rsidR="003B0B1B">
        <w:t>ly agreed</w:t>
      </w:r>
      <w:r w:rsidR="003B0B1B" w:rsidRPr="00BB3B4C">
        <w:t xml:space="preserve"> </w:t>
      </w:r>
      <w:r w:rsidR="003B0B1B">
        <w:t>criteria</w:t>
      </w:r>
      <w:r w:rsidR="00DD7FD5">
        <w:rPr>
          <w:rStyle w:val="FootnoteReference"/>
        </w:rPr>
        <w:footnoteReference w:id="3"/>
      </w:r>
      <w:r w:rsidR="003B0B1B" w:rsidRPr="00BB3B4C">
        <w:t>.</w:t>
      </w:r>
      <w:r w:rsidR="003B0B1B">
        <w:t xml:space="preserve"> </w:t>
      </w:r>
      <w:r w:rsidR="003B0B1B" w:rsidRPr="00BB3B4C">
        <w:t xml:space="preserve">The </w:t>
      </w:r>
      <w:r w:rsidR="00B17EA1">
        <w:t xml:space="preserve">proposal assessed </w:t>
      </w:r>
      <w:r w:rsidR="00596C9E">
        <w:t xml:space="preserve">two </w:t>
      </w:r>
      <w:r w:rsidR="003B0B1B" w:rsidRPr="00BB3B4C">
        <w:t xml:space="preserve">criteria </w:t>
      </w:r>
      <w:r w:rsidR="00B17EA1">
        <w:t xml:space="preserve">for </w:t>
      </w:r>
      <w:r w:rsidR="00E63CFD" w:rsidRPr="00BB3B4C">
        <w:rPr>
          <w:i/>
        </w:rPr>
        <w:t>L</w:t>
      </w:r>
      <w:r w:rsidR="00E63CFD">
        <w:rPr>
          <w:i/>
        </w:rPr>
        <w:t>. </w:t>
      </w:r>
      <w:r w:rsidR="00E63CFD" w:rsidRPr="00BB3B4C">
        <w:rPr>
          <w:i/>
        </w:rPr>
        <w:t>monocytogenes</w:t>
      </w:r>
      <w:r w:rsidR="00E63CFD" w:rsidRPr="00BB3B4C">
        <w:t xml:space="preserve"> </w:t>
      </w:r>
      <w:r w:rsidR="00B17EA1">
        <w:t xml:space="preserve">in RTE food, based on whether </w:t>
      </w:r>
      <w:r w:rsidR="009F78A2">
        <w:t xml:space="preserve">bacterial </w:t>
      </w:r>
      <w:r w:rsidR="00B17EA1">
        <w:t>growth can occur</w:t>
      </w:r>
      <w:r w:rsidR="009F78A2">
        <w:t xml:space="preserve"> in the food</w:t>
      </w:r>
      <w:r w:rsidR="00B17EA1">
        <w:t xml:space="preserve">. </w:t>
      </w:r>
      <w:r w:rsidR="00031814">
        <w:t xml:space="preserve">The </w:t>
      </w:r>
      <w:r w:rsidR="003B0B1B">
        <w:t xml:space="preserve">application of </w:t>
      </w:r>
      <w:r w:rsidR="005438AB">
        <w:t xml:space="preserve">these criteria </w:t>
      </w:r>
      <w:r w:rsidR="00031814">
        <w:t>takes into account</w:t>
      </w:r>
      <w:r w:rsidR="003B0B1B">
        <w:t xml:space="preserve"> the physical and chemical characteristics of the </w:t>
      </w:r>
      <w:r>
        <w:t xml:space="preserve">RTE </w:t>
      </w:r>
      <w:r w:rsidR="003B0B1B">
        <w:t>food</w:t>
      </w:r>
      <w:r w:rsidR="00E7473B">
        <w:t>,</w:t>
      </w:r>
      <w:r w:rsidR="003B0B1B">
        <w:t xml:space="preserve"> </w:t>
      </w:r>
      <w:r w:rsidR="009E61D2">
        <w:t>along with</w:t>
      </w:r>
      <w:r w:rsidR="003B0B1B">
        <w:t xml:space="preserve"> </w:t>
      </w:r>
      <w:r w:rsidR="009E61D2">
        <w:t>its</w:t>
      </w:r>
      <w:r w:rsidR="003B0B1B">
        <w:t xml:space="preserve"> shelf life. </w:t>
      </w:r>
    </w:p>
    <w:p w:rsidR="00596C9E" w:rsidRDefault="00596C9E" w:rsidP="003B0B1B"/>
    <w:p w:rsidR="009C7191" w:rsidRPr="002B3EEA" w:rsidRDefault="00596C9E" w:rsidP="009C7191">
      <w:r w:rsidRPr="002B3EEA">
        <w:t>Establishing app</w:t>
      </w:r>
      <w:r>
        <w:t>ropriate microbiological limits</w:t>
      </w:r>
      <w:r w:rsidRPr="002B3EEA">
        <w:t xml:space="preserve"> </w:t>
      </w:r>
      <w:r>
        <w:t xml:space="preserve">in Standard 1.6.1 </w:t>
      </w:r>
      <w:r w:rsidRPr="002B3EEA">
        <w:t xml:space="preserve">for </w:t>
      </w:r>
      <w:r>
        <w:t xml:space="preserve">RTE </w:t>
      </w:r>
      <w:r w:rsidRPr="002B3EEA">
        <w:t xml:space="preserve">foods is an important </w:t>
      </w:r>
      <w:r>
        <w:t>element</w:t>
      </w:r>
      <w:r w:rsidRPr="002B3EEA">
        <w:t xml:space="preserve"> within a risk management framework for managing </w:t>
      </w:r>
      <w:r w:rsidRPr="002B3EEA">
        <w:rPr>
          <w:i/>
        </w:rPr>
        <w:t>L</w:t>
      </w:r>
      <w:r w:rsidRPr="002B3EEA">
        <w:t>.</w:t>
      </w:r>
      <w:r w:rsidRPr="002B3EEA">
        <w:rPr>
          <w:i/>
        </w:rPr>
        <w:t xml:space="preserve"> monocytogenes </w:t>
      </w:r>
      <w:r w:rsidRPr="002B3EEA">
        <w:t>in the food supply</w:t>
      </w:r>
      <w:r w:rsidRPr="00425067">
        <w:rPr>
          <w:rFonts w:eastAsia="Calibri"/>
        </w:rPr>
        <w:t>.</w:t>
      </w:r>
      <w:r>
        <w:rPr>
          <w:rFonts w:eastAsia="Calibri"/>
        </w:rPr>
        <w:t xml:space="preserve"> </w:t>
      </w:r>
      <w:r>
        <w:t>To support this approach</w:t>
      </w:r>
      <w:r w:rsidR="006D48DE">
        <w:t>,</w:t>
      </w:r>
      <w:r>
        <w:t xml:space="preserve"> a draft guidance document </w:t>
      </w:r>
      <w:r w:rsidR="008D3BB0" w:rsidRPr="008D3BB0">
        <w:t>‘</w:t>
      </w:r>
      <w:r w:rsidRPr="008D3BB0">
        <w:t xml:space="preserve">Guide to the application of limits for </w:t>
      </w:r>
      <w:r w:rsidRPr="00E11620">
        <w:rPr>
          <w:i/>
        </w:rPr>
        <w:t>L. monocytogenes</w:t>
      </w:r>
      <w:r w:rsidR="008D3BB0" w:rsidRPr="008D3BB0">
        <w:t>’</w:t>
      </w:r>
      <w:r w:rsidRPr="008D3BB0">
        <w:t xml:space="preserve"> </w:t>
      </w:r>
      <w:r>
        <w:t xml:space="preserve">has been developed and is provided as SD1. </w:t>
      </w:r>
      <w:r w:rsidR="009C7191" w:rsidRPr="007926E8">
        <w:t>Consequential amendments were also made to Standard 4.2.5 to improve clarity</w:t>
      </w:r>
      <w:r w:rsidR="009C7191">
        <w:t xml:space="preserve"> of an associated editorial note in relation to Standard 1.6.1 as amended</w:t>
      </w:r>
      <w:r w:rsidR="009C7191" w:rsidRPr="007926E8">
        <w:t>.</w:t>
      </w:r>
    </w:p>
    <w:p w:rsidR="007A53BF" w:rsidRPr="007A53BF" w:rsidRDefault="007A53BF" w:rsidP="00CE59AA">
      <w:pPr>
        <w:pStyle w:val="Heading2"/>
      </w:pPr>
      <w:bookmarkStart w:id="17" w:name="_Toc300761892"/>
      <w:bookmarkStart w:id="18" w:name="_Toc300933421"/>
      <w:bookmarkStart w:id="19" w:name="_Toc370223467"/>
      <w:bookmarkStart w:id="20" w:name="_Toc387927820"/>
      <w:r w:rsidRPr="007A53BF">
        <w:t>1.</w:t>
      </w:r>
      <w:r w:rsidR="003B0B1B">
        <w:t>2</w:t>
      </w:r>
      <w:r w:rsidRPr="007A53BF">
        <w:tab/>
        <w:t>The current Standard</w:t>
      </w:r>
      <w:bookmarkEnd w:id="17"/>
      <w:bookmarkEnd w:id="18"/>
      <w:bookmarkEnd w:id="19"/>
      <w:bookmarkEnd w:id="20"/>
    </w:p>
    <w:p w:rsidR="005438AB" w:rsidRDefault="003B0B1B" w:rsidP="005438AB">
      <w:bookmarkStart w:id="21" w:name="_Toc286391007"/>
      <w:bookmarkStart w:id="22" w:name="_Toc300933423"/>
      <w:bookmarkStart w:id="23" w:name="_Toc370223468"/>
      <w:bookmarkStart w:id="24" w:name="_Toc175381432"/>
      <w:r w:rsidRPr="002B3EEA">
        <w:t xml:space="preserve">Standard 1.6.1 </w:t>
      </w:r>
      <w:r w:rsidR="00D8772D">
        <w:t xml:space="preserve">lists </w:t>
      </w:r>
      <w:r w:rsidRPr="002B3EEA">
        <w:t>the maximum permissible microbiological limits for nominated</w:t>
      </w:r>
      <w:r w:rsidR="009C7191">
        <w:t xml:space="preserve"> foods, or classes of foods. This</w:t>
      </w:r>
      <w:r w:rsidRPr="002B3EEA">
        <w:t xml:space="preserve"> Standard </w:t>
      </w:r>
      <w:r w:rsidR="005438AB">
        <w:t>has</w:t>
      </w:r>
      <w:r w:rsidRPr="002B3EEA">
        <w:t xml:space="preserve"> typically adopt</w:t>
      </w:r>
      <w:r w:rsidR="009E61D2">
        <w:t>ed</w:t>
      </w:r>
      <w:r w:rsidRPr="002B3EEA">
        <w:t xml:space="preserve"> a vertical approach</w:t>
      </w:r>
      <w:r w:rsidR="005438AB">
        <w:t>, establishing</w:t>
      </w:r>
      <w:r w:rsidR="000B2BE9">
        <w:t xml:space="preserve"> </w:t>
      </w:r>
      <w:r w:rsidRPr="002B3EEA">
        <w:t>limits for specific</w:t>
      </w:r>
      <w:r w:rsidR="009E61D2">
        <w:t xml:space="preserve"> types</w:t>
      </w:r>
      <w:r w:rsidRPr="002B3EEA">
        <w:t xml:space="preserve"> </w:t>
      </w:r>
      <w:r w:rsidR="009E61D2">
        <w:t xml:space="preserve">and limited number </w:t>
      </w:r>
      <w:r w:rsidRPr="002B3EEA">
        <w:t>of food</w:t>
      </w:r>
      <w:r w:rsidR="009E61D2">
        <w:t>s</w:t>
      </w:r>
      <w:r w:rsidRPr="002B3EEA">
        <w:t>.</w:t>
      </w:r>
      <w:r w:rsidR="005438AB" w:rsidRPr="005438AB">
        <w:rPr>
          <w:lang w:val="en-AU"/>
        </w:rPr>
        <w:t xml:space="preserve"> Regulatory limits for </w:t>
      </w:r>
      <w:r w:rsidR="005438AB" w:rsidRPr="005438AB">
        <w:rPr>
          <w:i/>
          <w:lang w:val="en-AU"/>
        </w:rPr>
        <w:t>L. monocytogenes</w:t>
      </w:r>
      <w:r w:rsidR="005438AB" w:rsidRPr="005438AB">
        <w:rPr>
          <w:lang w:val="en-AU"/>
        </w:rPr>
        <w:t xml:space="preserve"> specified in Standard 1.6.1 </w:t>
      </w:r>
      <w:r w:rsidR="005438AB">
        <w:rPr>
          <w:lang w:val="en-AU"/>
        </w:rPr>
        <w:t>applied</w:t>
      </w:r>
      <w:r w:rsidR="005438AB" w:rsidRPr="005438AB">
        <w:rPr>
          <w:lang w:val="en-AU"/>
        </w:rPr>
        <w:t xml:space="preserve"> to a limited number of foods</w:t>
      </w:r>
      <w:r w:rsidR="005438AB">
        <w:rPr>
          <w:lang w:val="en-AU"/>
        </w:rPr>
        <w:t xml:space="preserve"> and t</w:t>
      </w:r>
      <w:r w:rsidR="005438AB" w:rsidRPr="005438AB">
        <w:rPr>
          <w:lang w:val="en-AU"/>
        </w:rPr>
        <w:t xml:space="preserve">he limit generally specified </w:t>
      </w:r>
      <w:r w:rsidR="005438AB">
        <w:rPr>
          <w:lang w:val="en-AU"/>
        </w:rPr>
        <w:t>wa</w:t>
      </w:r>
      <w:r w:rsidR="005438AB" w:rsidRPr="005438AB">
        <w:rPr>
          <w:lang w:val="en-AU"/>
        </w:rPr>
        <w:t xml:space="preserve">s “not detected in 25 g” (sampling plan n=5, c=0, m=0). For RTE processed finfish, a limit of 100 cfu per 25 g </w:t>
      </w:r>
      <w:r w:rsidR="005438AB">
        <w:rPr>
          <w:lang w:val="en-AU"/>
        </w:rPr>
        <w:t>wa</w:t>
      </w:r>
      <w:r w:rsidR="005438AB" w:rsidRPr="005438AB">
        <w:rPr>
          <w:lang w:val="en-AU"/>
        </w:rPr>
        <w:t>s allowed in 1 out of 5 samples (sampling plan n=5, c=1, m=0, M=1).</w:t>
      </w:r>
    </w:p>
    <w:p w:rsidR="003B0B1B" w:rsidRPr="002B3EEA" w:rsidRDefault="003B0B1B" w:rsidP="003B0B1B"/>
    <w:p w:rsidR="005438AB" w:rsidRPr="005438AB" w:rsidRDefault="005438AB" w:rsidP="005438AB">
      <w:pPr>
        <w:rPr>
          <w:lang w:val="en-AU"/>
        </w:rPr>
      </w:pPr>
      <w:r>
        <w:rPr>
          <w:lang w:val="en-AU"/>
        </w:rPr>
        <w:t>G</w:t>
      </w:r>
      <w:r w:rsidRPr="005438AB">
        <w:rPr>
          <w:lang w:val="en-AU"/>
        </w:rPr>
        <w:t xml:space="preserve">uideline criteria for </w:t>
      </w:r>
      <w:r w:rsidRPr="005438AB">
        <w:rPr>
          <w:i/>
          <w:lang w:val="en-AU"/>
        </w:rPr>
        <w:t>L. monocytogenes</w:t>
      </w:r>
      <w:r w:rsidRPr="005438AB">
        <w:rPr>
          <w:lang w:val="en-AU"/>
        </w:rPr>
        <w:t xml:space="preserve"> in foods </w:t>
      </w:r>
      <w:r w:rsidR="009F78A2">
        <w:rPr>
          <w:lang w:val="en-AU"/>
        </w:rPr>
        <w:t>is</w:t>
      </w:r>
      <w:r w:rsidRPr="005438AB">
        <w:rPr>
          <w:lang w:val="en-AU"/>
        </w:rPr>
        <w:t xml:space="preserve"> </w:t>
      </w:r>
      <w:r>
        <w:rPr>
          <w:lang w:val="en-AU"/>
        </w:rPr>
        <w:t xml:space="preserve">also </w:t>
      </w:r>
      <w:r w:rsidRPr="005438AB">
        <w:rPr>
          <w:lang w:val="en-AU"/>
        </w:rPr>
        <w:t xml:space="preserve">provided in the FSANZ </w:t>
      </w:r>
      <w:r w:rsidRPr="005438AB">
        <w:rPr>
          <w:i/>
          <w:lang w:val="en-AU"/>
        </w:rPr>
        <w:t>Recall guidelines for packaged ready-to-eat foods found to contain Listeria monocytogenes at point of sale</w:t>
      </w:r>
      <w:r w:rsidRPr="005438AB">
        <w:rPr>
          <w:lang w:val="en-AU"/>
        </w:rPr>
        <w:t xml:space="preserve"> (Recall Guidelines)</w:t>
      </w:r>
      <w:r w:rsidRPr="005438AB">
        <w:rPr>
          <w:vertAlign w:val="superscript"/>
          <w:lang w:val="en-AU"/>
        </w:rPr>
        <w:footnoteReference w:id="4"/>
      </w:r>
      <w:r w:rsidRPr="005438AB">
        <w:rPr>
          <w:lang w:val="en-AU"/>
        </w:rPr>
        <w:t xml:space="preserve"> and </w:t>
      </w:r>
      <w:r w:rsidRPr="005438AB">
        <w:rPr>
          <w:i/>
          <w:lang w:val="en-AU"/>
        </w:rPr>
        <w:t>Guidelines for the microbiological examination of ready-to-eat foods</w:t>
      </w:r>
      <w:r w:rsidRPr="005438AB">
        <w:rPr>
          <w:lang w:val="en-AU"/>
        </w:rPr>
        <w:t xml:space="preserve"> (RTE Guidelines)</w:t>
      </w:r>
      <w:r w:rsidRPr="005438AB">
        <w:rPr>
          <w:vertAlign w:val="superscript"/>
          <w:lang w:val="en-AU"/>
        </w:rPr>
        <w:footnoteReference w:id="5"/>
      </w:r>
      <w:r w:rsidRPr="005438AB">
        <w:rPr>
          <w:lang w:val="en-AU"/>
        </w:rPr>
        <w:t xml:space="preserve"> </w:t>
      </w:r>
      <w:r w:rsidRPr="005438AB">
        <w:rPr>
          <w:lang w:val="en-AU"/>
        </w:rPr>
        <w:fldChar w:fldCharType="begin"/>
      </w:r>
      <w:r w:rsidRPr="005438AB">
        <w:rPr>
          <w:lang w:val="en-AU"/>
        </w:rPr>
        <w:instrText xml:space="preserve"> ADDIN REFMGR.CITE &lt;Refman&gt;&lt;Cite&gt;&lt;Author&gt;FSANZ&lt;/Author&gt;&lt;Year&gt;2001&lt;/Year&gt;&lt;RecNum&gt;4130&lt;/RecNum&gt;&lt;IDText&gt;Recall guidelines for packaged ready-to-eat foods found to contain Listeria monocytogenes at point of sale&lt;/IDText&gt;&lt;MDL Ref_Type="Report"&gt;&lt;Ref_Type&gt;Report&lt;/Ref_Type&gt;&lt;Ref_ID&gt;4130&lt;/Ref_ID&gt;&lt;Title_Primary&gt;Recall guidelines for packaged ready-to-eat foods found to contain &lt;i&gt;Listeria monocytogenes&lt;/i&gt; at point of sale&lt;/Title_Primary&gt;&lt;Authors_Primary&gt;FSANZ&lt;/Authors_Primary&gt;&lt;Date_Primary&gt;2001&lt;/Date_Primary&gt;&lt;Keywords&gt;FOODS&lt;/Keywords&gt;&lt;Keywords&gt;FOOD&lt;/Keywords&gt;&lt;Keywords&gt;Listeria&lt;/Keywords&gt;&lt;Keywords&gt;Listeria monocytogenes&lt;/Keywords&gt;&lt;Keywords&gt;LISTERIA-MONOCYTOGENES&lt;/Keywords&gt;&lt;Keywords&gt;MONOCYTOGENES&lt;/Keywords&gt;&lt;Reprint&gt;Not in File&lt;/Reprint&gt;&lt;Pub_Place&gt;Barton, ACT, Australia&lt;/Pub_Place&gt;&lt;Publisher&gt;Food Standards Australia New Zealand&lt;/Publisher&gt;&lt;Date_Secondary&gt;2012/6/14&lt;/Date_Secondary&gt;&lt;Web_URL&gt;&lt;u&gt;http://www.foodstandards.gov.au/consumerinformation/listeria/listeriarecallguidel1321.cfm&lt;/u&gt;&lt;/Web_URL&gt;&lt;ZZ_WorkformID&gt;24&lt;/ZZ_WorkformID&gt;&lt;/MDL&gt;&lt;/Cite&gt;&lt;Cite&gt;&lt;Author&gt;FSANZ&lt;/Author&gt;&lt;Year&gt;2001&lt;/Year&gt;&lt;RecNum&gt;7920&lt;/RecNum&gt;&lt;IDText&gt;Guidelines for the microbiological examination of ready-to- eat foods&lt;/IDText&gt;&lt;MDL Ref_Type="Report"&gt;&lt;Ref_Type&gt;Report&lt;/Ref_Type&gt;&lt;Ref_ID&gt;7920&lt;/Ref_ID&gt;&lt;Title_Primary&gt;Guidelines for the microbiological examination of ready-to- eat foods&lt;/Title_Primary&gt;&lt;Authors_Primary&gt;FSANZ&lt;/Authors_Primary&gt;&lt;Date_Primary&gt;2001&lt;/Date_Primary&gt;&lt;Keywords&gt;FOODS&lt;/Keywords&gt;&lt;Keywords&gt;FOOD&lt;/Keywords&gt;&lt;Reprint&gt;Not in File&lt;/Reprint&gt;&lt;Pub_Place&gt;Barton, ACT&lt;/Pub_Place&gt;&lt;Publisher&gt;Food Standards Australia New Zealand&lt;/Publisher&gt;&lt;Date_Secondary&gt;2012/6/4&lt;/Date_Secondary&gt;&lt;Web_URL&gt;&lt;u&gt;http://www.foodstandards.gov.au/scienceandeducation/publications/guidelinesformicrobi1306.cfm&lt;/u&gt;&lt;/Web_URL&gt;&lt;ZZ_WorkformID&gt;24&lt;/ZZ_WorkformID&gt;&lt;/MDL&gt;&lt;/Cite&gt;&lt;/Refman&gt;</w:instrText>
      </w:r>
      <w:r w:rsidRPr="005438AB">
        <w:rPr>
          <w:lang w:val="en-AU"/>
        </w:rPr>
        <w:fldChar w:fldCharType="separate"/>
      </w:r>
      <w:r w:rsidRPr="005438AB">
        <w:rPr>
          <w:noProof/>
          <w:lang w:val="en-AU"/>
        </w:rPr>
        <w:t>(FSANZ 2001a; FSANZ 2001b)</w:t>
      </w:r>
      <w:r w:rsidRPr="005438AB">
        <w:rPr>
          <w:lang w:val="en-AU"/>
        </w:rPr>
        <w:fldChar w:fldCharType="end"/>
      </w:r>
      <w:r w:rsidRPr="005438AB">
        <w:rPr>
          <w:lang w:val="en-AU"/>
        </w:rPr>
        <w:t xml:space="preserve">. These guidance documents establish two sets of limits for </w:t>
      </w:r>
      <w:r w:rsidRPr="005438AB">
        <w:rPr>
          <w:i/>
          <w:lang w:val="en-AU"/>
        </w:rPr>
        <w:t>L.</w:t>
      </w:r>
      <w:r w:rsidRPr="005438AB">
        <w:rPr>
          <w:lang w:val="en-AU"/>
        </w:rPr>
        <w:t xml:space="preserve"> </w:t>
      </w:r>
      <w:r w:rsidRPr="005438AB">
        <w:rPr>
          <w:i/>
          <w:lang w:val="en-AU"/>
        </w:rPr>
        <w:t>monocytogenes</w:t>
      </w:r>
      <w:r w:rsidRPr="005438AB">
        <w:rPr>
          <w:lang w:val="en-AU"/>
        </w:rPr>
        <w:t xml:space="preserve"> in ready-to-eat foods, based on whether a food is able to support the growth of </w:t>
      </w:r>
      <w:r w:rsidR="0026177A">
        <w:rPr>
          <w:i/>
          <w:lang w:val="en-AU"/>
        </w:rPr>
        <w:t xml:space="preserve">L. monocytogenes. </w:t>
      </w:r>
    </w:p>
    <w:p w:rsidR="007A53BF" w:rsidRPr="008D3722" w:rsidRDefault="007A53BF" w:rsidP="00CE59AA">
      <w:pPr>
        <w:pStyle w:val="Heading2"/>
        <w:rPr>
          <w:u w:color="FFFF00"/>
        </w:rPr>
      </w:pPr>
      <w:bookmarkStart w:id="25" w:name="_Toc387927821"/>
      <w:r w:rsidRPr="007A53BF">
        <w:rPr>
          <w:u w:color="FFFF00"/>
        </w:rPr>
        <w:t>1.</w:t>
      </w:r>
      <w:r w:rsidR="003B0B1B">
        <w:rPr>
          <w:u w:color="FFFF00"/>
        </w:rPr>
        <w:t>3</w:t>
      </w:r>
      <w:r w:rsidRPr="007A53BF">
        <w:rPr>
          <w:u w:color="FFFF00"/>
        </w:rPr>
        <w:tab/>
        <w:t xml:space="preserve">Reasons for </w:t>
      </w:r>
      <w:bookmarkEnd w:id="21"/>
      <w:bookmarkEnd w:id="22"/>
      <w:r w:rsidRPr="008D3722">
        <w:t>preparing Proposal</w:t>
      </w:r>
      <w:bookmarkEnd w:id="23"/>
      <w:bookmarkEnd w:id="25"/>
    </w:p>
    <w:p w:rsidR="003B0B1B" w:rsidRDefault="007C459E" w:rsidP="003B0B1B">
      <w:pPr>
        <w:pStyle w:val="FSHeading"/>
        <w:ind w:left="0" w:firstLine="0"/>
        <w:rPr>
          <w:b w:val="0"/>
          <w:szCs w:val="24"/>
        </w:rPr>
      </w:pPr>
      <w:bookmarkStart w:id="26" w:name="_Toc370223469"/>
      <w:bookmarkEnd w:id="24"/>
      <w:r>
        <w:rPr>
          <w:b w:val="0"/>
          <w:szCs w:val="24"/>
        </w:rPr>
        <w:t>A</w:t>
      </w:r>
      <w:r w:rsidR="003B0B1B">
        <w:rPr>
          <w:b w:val="0"/>
          <w:szCs w:val="24"/>
        </w:rPr>
        <w:t xml:space="preserve"> number of problems </w:t>
      </w:r>
      <w:r w:rsidR="001F23DE">
        <w:rPr>
          <w:b w:val="0"/>
          <w:szCs w:val="24"/>
        </w:rPr>
        <w:t>were</w:t>
      </w:r>
      <w:r w:rsidR="003B0B1B">
        <w:rPr>
          <w:b w:val="0"/>
          <w:szCs w:val="24"/>
        </w:rPr>
        <w:t xml:space="preserve"> identified with the </w:t>
      </w:r>
      <w:r w:rsidR="009E61D2">
        <w:rPr>
          <w:b w:val="0"/>
          <w:szCs w:val="24"/>
        </w:rPr>
        <w:t>previous</w:t>
      </w:r>
      <w:r w:rsidR="003B0B1B">
        <w:rPr>
          <w:b w:val="0"/>
          <w:szCs w:val="24"/>
        </w:rPr>
        <w:t xml:space="preserve"> limits for </w:t>
      </w:r>
      <w:r w:rsidR="003B0B1B" w:rsidRPr="002035AB">
        <w:rPr>
          <w:b w:val="0"/>
          <w:i/>
          <w:szCs w:val="24"/>
        </w:rPr>
        <w:t>L. monocytogenes</w:t>
      </w:r>
      <w:r w:rsidR="003B0B1B">
        <w:rPr>
          <w:b w:val="0"/>
          <w:szCs w:val="24"/>
        </w:rPr>
        <w:t xml:space="preserve"> in Standard 1.6.1</w:t>
      </w:r>
      <w:r>
        <w:rPr>
          <w:b w:val="0"/>
          <w:szCs w:val="24"/>
        </w:rPr>
        <w:t xml:space="preserve">. </w:t>
      </w:r>
      <w:r w:rsidR="003B0B1B">
        <w:rPr>
          <w:b w:val="0"/>
          <w:szCs w:val="24"/>
        </w:rPr>
        <w:t xml:space="preserve">P1017 </w:t>
      </w:r>
      <w:r w:rsidR="006D20F6">
        <w:rPr>
          <w:b w:val="0"/>
          <w:szCs w:val="24"/>
        </w:rPr>
        <w:t>was</w:t>
      </w:r>
      <w:r w:rsidR="003B0B1B">
        <w:rPr>
          <w:b w:val="0"/>
          <w:szCs w:val="24"/>
        </w:rPr>
        <w:t xml:space="preserve"> prepared to:</w:t>
      </w:r>
    </w:p>
    <w:p w:rsidR="00A31543" w:rsidRDefault="00A31543" w:rsidP="003B0B1B">
      <w:pPr>
        <w:pStyle w:val="FSHeading"/>
        <w:ind w:left="0" w:firstLine="0"/>
        <w:rPr>
          <w:b w:val="0"/>
          <w:szCs w:val="24"/>
        </w:rPr>
      </w:pPr>
      <w:r>
        <w:rPr>
          <w:b w:val="0"/>
          <w:szCs w:val="24"/>
        </w:rPr>
        <w:br w:type="page"/>
      </w:r>
    </w:p>
    <w:p w:rsidR="003B0B1B" w:rsidRDefault="003B0B1B" w:rsidP="00D7367C">
      <w:pPr>
        <w:pStyle w:val="FSBullet1"/>
        <w:numPr>
          <w:ilvl w:val="0"/>
          <w:numId w:val="6"/>
        </w:numPr>
        <w:ind w:left="567" w:hanging="567"/>
      </w:pPr>
      <w:r>
        <w:lastRenderedPageBreak/>
        <w:t xml:space="preserve">move from a product-by-product approach which specified </w:t>
      </w:r>
      <w:r w:rsidRPr="00981C21">
        <w:rPr>
          <w:i/>
        </w:rPr>
        <w:t>L. monocytogenes</w:t>
      </w:r>
      <w:r>
        <w:t xml:space="preserve"> limits for specific foods, regardless of individual product characteristics, to an internationally agreed risk-based approach that applies limits broadly to RTE foods based on product and processing characteristics. This </w:t>
      </w:r>
      <w:r w:rsidR="009F5ED1">
        <w:t>proposal</w:t>
      </w:r>
      <w:r w:rsidR="00731F67">
        <w:t xml:space="preserve"> </w:t>
      </w:r>
      <w:r>
        <w:t xml:space="preserve">also </w:t>
      </w:r>
      <w:r w:rsidR="001D07C3">
        <w:t xml:space="preserve">addresses </w:t>
      </w:r>
      <w:r>
        <w:t>inconsistencies between current regulatory limits and existing guideline criteria.</w:t>
      </w:r>
    </w:p>
    <w:p w:rsidR="007C459E" w:rsidRDefault="007C459E" w:rsidP="007C459E">
      <w:pPr>
        <w:pStyle w:val="FSBullet1"/>
        <w:numPr>
          <w:ilvl w:val="0"/>
          <w:numId w:val="0"/>
        </w:numPr>
        <w:ind w:left="567"/>
      </w:pPr>
    </w:p>
    <w:p w:rsidR="006D20F6" w:rsidRDefault="003B0B1B" w:rsidP="006D20F6">
      <w:pPr>
        <w:pStyle w:val="FSBullet1"/>
        <w:numPr>
          <w:ilvl w:val="0"/>
          <w:numId w:val="6"/>
        </w:numPr>
        <w:ind w:left="567" w:hanging="567"/>
      </w:pPr>
      <w:r>
        <w:t xml:space="preserve">review elements of Standard 1.6.1 that </w:t>
      </w:r>
      <w:r w:rsidR="00970DDB">
        <w:t>were</w:t>
      </w:r>
      <w:r>
        <w:t xml:space="preserve"> out-dated or unclear such as reference methods of analysis, the purpose of Standard 1.6.1 and the presentation of information within the Schedule to the Standard. </w:t>
      </w:r>
    </w:p>
    <w:p w:rsidR="009C7191" w:rsidRPr="009C7191" w:rsidRDefault="009C7191" w:rsidP="009C7191">
      <w:pPr>
        <w:rPr>
          <w:lang w:bidi="ar-SA"/>
        </w:rPr>
      </w:pPr>
    </w:p>
    <w:p w:rsidR="007A53BF" w:rsidRPr="007A53BF" w:rsidRDefault="007A53BF" w:rsidP="00CE59AA">
      <w:pPr>
        <w:pStyle w:val="Heading2"/>
      </w:pPr>
      <w:bookmarkStart w:id="27" w:name="_Toc387927822"/>
      <w:r w:rsidRPr="007A53BF">
        <w:t>1.</w:t>
      </w:r>
      <w:r w:rsidR="003B0B1B">
        <w:t>4</w:t>
      </w:r>
      <w:r w:rsidRPr="007A53BF">
        <w:tab/>
        <w:t>Procedure for assessment</w:t>
      </w:r>
      <w:bookmarkEnd w:id="26"/>
      <w:bookmarkEnd w:id="27"/>
    </w:p>
    <w:p w:rsidR="00AF397D" w:rsidRPr="008D3722" w:rsidRDefault="00AF397D" w:rsidP="00AF397D">
      <w:r w:rsidRPr="008D3722">
        <w:t xml:space="preserve">The </w:t>
      </w:r>
      <w:r w:rsidR="00970DDB">
        <w:t>p</w:t>
      </w:r>
      <w:r w:rsidRPr="008D3722">
        <w:t xml:space="preserve">roposal was assessed under the </w:t>
      </w:r>
      <w:r w:rsidR="001F23DE">
        <w:t>M</w:t>
      </w:r>
      <w:r w:rsidR="008D3722" w:rsidRPr="008D3722">
        <w:t>a</w:t>
      </w:r>
      <w:r w:rsidRPr="008D3722">
        <w:t xml:space="preserve">jor </w:t>
      </w:r>
      <w:r w:rsidR="001F23DE">
        <w:t>P</w:t>
      </w:r>
      <w:r w:rsidRPr="008D3722">
        <w:t>rocedure.</w:t>
      </w:r>
    </w:p>
    <w:p w:rsidR="00422EC9" w:rsidRDefault="007A53BF" w:rsidP="00422EC9">
      <w:pPr>
        <w:pStyle w:val="Heading2"/>
      </w:pPr>
      <w:bookmarkStart w:id="28" w:name="_Toc387927823"/>
      <w:r>
        <w:t>1</w:t>
      </w:r>
      <w:r w:rsidR="00422EC9">
        <w:t>.</w:t>
      </w:r>
      <w:r w:rsidR="003B0B1B">
        <w:t>5</w:t>
      </w:r>
      <w:r w:rsidR="00422EC9">
        <w:tab/>
      </w:r>
      <w:r w:rsidR="00422EC9" w:rsidRPr="00932F14">
        <w:t>Decision</w:t>
      </w:r>
      <w:bookmarkEnd w:id="28"/>
    </w:p>
    <w:p w:rsidR="005B6430" w:rsidRDefault="008F6AFA" w:rsidP="008F6AFA">
      <w:r w:rsidRPr="00C4569D">
        <w:t>The draft variation as proposed following assessment was</w:t>
      </w:r>
      <w:r w:rsidR="007C459E">
        <w:t xml:space="preserve"> approved with amendments. </w:t>
      </w:r>
    </w:p>
    <w:p w:rsidR="009C7191" w:rsidRDefault="009C7191" w:rsidP="008F6AFA"/>
    <w:p w:rsidR="008F6AFA" w:rsidRPr="002C4645" w:rsidRDefault="007C459E" w:rsidP="008F6AFA">
      <w:pPr>
        <w:rPr>
          <w:b/>
        </w:rPr>
      </w:pPr>
      <w:r>
        <w:t xml:space="preserve">The </w:t>
      </w:r>
      <w:r w:rsidR="008F6AFA" w:rsidRPr="00C4569D">
        <w:t xml:space="preserve">variation takes effect on </w:t>
      </w:r>
      <w:r w:rsidR="00C4569D" w:rsidRPr="00C4569D">
        <w:t>gazettal</w:t>
      </w:r>
      <w:r w:rsidR="000F3650">
        <w:t>.</w:t>
      </w:r>
      <w:r w:rsidR="00C4569D" w:rsidRPr="00C4569D">
        <w:t xml:space="preserve"> </w:t>
      </w:r>
    </w:p>
    <w:p w:rsidR="008F6AFA" w:rsidRPr="00C4569D" w:rsidRDefault="008F6AFA" w:rsidP="008F6AFA"/>
    <w:p w:rsidR="008F6AFA" w:rsidRPr="00C4569D" w:rsidRDefault="008F6AFA" w:rsidP="008F6AFA">
      <w:r w:rsidRPr="00C4569D">
        <w:t xml:space="preserve">The approved draft variation, as varied after consideration of submissions, is at Attachment A. The explanatory statement is at Attachment B. An explanatory statement is required to accompany an instrument if it is lodged on the Federal Register of Legislative Instruments. </w:t>
      </w:r>
    </w:p>
    <w:p w:rsidR="008F6AFA" w:rsidRPr="00C4569D" w:rsidRDefault="008F6AFA" w:rsidP="008F6AFA">
      <w:pPr>
        <w:rPr>
          <w:u w:val="single"/>
        </w:rPr>
      </w:pPr>
    </w:p>
    <w:p w:rsidR="008F6AFA" w:rsidRPr="00C4569D" w:rsidRDefault="008F6AFA" w:rsidP="008F6AFA">
      <w:pPr>
        <w:rPr>
          <w:u w:val="single"/>
        </w:rPr>
      </w:pPr>
      <w:r w:rsidRPr="00C4569D">
        <w:t xml:space="preserve">The draft variation on which submissions were sought is at Attachment C. </w:t>
      </w:r>
    </w:p>
    <w:p w:rsidR="0012388D" w:rsidRDefault="007A53BF" w:rsidP="00755F02">
      <w:pPr>
        <w:pStyle w:val="Heading1"/>
      </w:pPr>
      <w:bookmarkStart w:id="29" w:name="_Toc387927824"/>
      <w:bookmarkStart w:id="30" w:name="_Toc11735630"/>
      <w:bookmarkStart w:id="31" w:name="_Toc29883114"/>
      <w:bookmarkStart w:id="32" w:name="_Toc41906801"/>
      <w:bookmarkStart w:id="33" w:name="_Toc41907548"/>
      <w:bookmarkStart w:id="34" w:name="_Toc120358578"/>
      <w:bookmarkStart w:id="35"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29"/>
    </w:p>
    <w:p w:rsidR="007A53BF" w:rsidRPr="002C1A3B" w:rsidRDefault="007A53BF" w:rsidP="007A53BF">
      <w:pPr>
        <w:pStyle w:val="Heading2"/>
      </w:pPr>
      <w:bookmarkStart w:id="36" w:name="_Toc300933438"/>
      <w:bookmarkStart w:id="37" w:name="_Toc370223471"/>
      <w:bookmarkStart w:id="38" w:name="_Toc370225386"/>
      <w:bookmarkStart w:id="39" w:name="_Toc387927825"/>
      <w:bookmarkStart w:id="40" w:name="_Toc286391009"/>
      <w:bookmarkStart w:id="41" w:name="_Toc300933425"/>
      <w:bookmarkStart w:id="42" w:name="_Toc309291838"/>
      <w:bookmarkStart w:id="43" w:name="_Toc309385455"/>
      <w:bookmarkStart w:id="44" w:name="_Toc120358583"/>
      <w:bookmarkStart w:id="45" w:name="_Toc175381440"/>
      <w:r w:rsidRPr="002C1A3B">
        <w:t>2.1</w:t>
      </w:r>
      <w:r w:rsidRPr="002C1A3B">
        <w:tab/>
        <w:t xml:space="preserve">Summary of issues raised </w:t>
      </w:r>
      <w:bookmarkEnd w:id="36"/>
      <w:r w:rsidRPr="002C1A3B">
        <w:t>in submissions</w:t>
      </w:r>
      <w:bookmarkEnd w:id="37"/>
      <w:bookmarkEnd w:id="38"/>
      <w:bookmarkEnd w:id="39"/>
    </w:p>
    <w:p w:rsidR="00BA2599" w:rsidRDefault="002D5141" w:rsidP="00530FFA">
      <w:pPr>
        <w:ind w:right="-428"/>
      </w:pPr>
      <w:r>
        <w:t>The 2</w:t>
      </w:r>
      <w:r w:rsidRPr="002D5141">
        <w:rPr>
          <w:vertAlign w:val="superscript"/>
        </w:rPr>
        <w:t>nd</w:t>
      </w:r>
      <w:r>
        <w:t xml:space="preserve"> </w:t>
      </w:r>
      <w:r w:rsidR="006D48DE">
        <w:t>C</w:t>
      </w:r>
      <w:r>
        <w:t xml:space="preserve">all for </w:t>
      </w:r>
      <w:r w:rsidR="006D48DE">
        <w:t>S</w:t>
      </w:r>
      <w:r>
        <w:t xml:space="preserve">ubmissions </w:t>
      </w:r>
      <w:r w:rsidR="005B6430">
        <w:t xml:space="preserve">on proposed draft variations to the Code </w:t>
      </w:r>
      <w:r>
        <w:t xml:space="preserve">was </w:t>
      </w:r>
      <w:r w:rsidR="003E63D9">
        <w:t xml:space="preserve">from 8 </w:t>
      </w:r>
      <w:r w:rsidR="002D0D19">
        <w:t>November 2</w:t>
      </w:r>
      <w:r w:rsidR="00645C24">
        <w:t>01</w:t>
      </w:r>
      <w:r w:rsidR="002D0D19">
        <w:t>3 to 10</w:t>
      </w:r>
      <w:r w:rsidR="003E63D9">
        <w:t xml:space="preserve"> </w:t>
      </w:r>
      <w:r w:rsidR="002D0D19">
        <w:t>January 2014</w:t>
      </w:r>
      <w:r w:rsidR="003E63D9">
        <w:t xml:space="preserve"> and </w:t>
      </w:r>
      <w:r w:rsidR="00E76157">
        <w:t>20</w:t>
      </w:r>
      <w:r w:rsidR="00505ADB">
        <w:t xml:space="preserve"> </w:t>
      </w:r>
      <w:r w:rsidR="003E63D9">
        <w:t xml:space="preserve">submissions were received. </w:t>
      </w:r>
      <w:r w:rsidR="00927181">
        <w:t xml:space="preserve">One late comment was also received following the closing date from an Australian jurisdiction. </w:t>
      </w:r>
      <w:r w:rsidR="00BA2599">
        <w:t xml:space="preserve">The majority of the submissions were </w:t>
      </w:r>
      <w:r w:rsidR="001C11A3">
        <w:t xml:space="preserve">generally </w:t>
      </w:r>
      <w:r w:rsidR="00BA2599">
        <w:t>supportive of FSANZ</w:t>
      </w:r>
      <w:r w:rsidR="008E2E4F">
        <w:t>’s</w:t>
      </w:r>
      <w:r w:rsidR="00BA2599">
        <w:t xml:space="preserve"> </w:t>
      </w:r>
      <w:r w:rsidR="00F0214B">
        <w:t>proposed option</w:t>
      </w:r>
      <w:r w:rsidR="000246FF">
        <w:t xml:space="preserve"> to establish microbiological criteria for</w:t>
      </w:r>
      <w:r w:rsidR="006D48DE">
        <w:rPr>
          <w:i/>
        </w:rPr>
        <w:t xml:space="preserve"> </w:t>
      </w:r>
      <w:r w:rsidR="00BA2599" w:rsidRPr="00E223B3">
        <w:rPr>
          <w:i/>
        </w:rPr>
        <w:t>L. monocytogenes</w:t>
      </w:r>
      <w:r w:rsidR="00BA2599">
        <w:t xml:space="preserve"> in </w:t>
      </w:r>
      <w:r w:rsidR="005B6430">
        <w:t>RTE</w:t>
      </w:r>
      <w:r w:rsidR="00BA2599">
        <w:t xml:space="preserve"> foods</w:t>
      </w:r>
      <w:r w:rsidR="001C11A3">
        <w:t xml:space="preserve"> based on whether the food support</w:t>
      </w:r>
      <w:r w:rsidR="00731F67">
        <w:t>s</w:t>
      </w:r>
      <w:r w:rsidR="001C11A3">
        <w:t xml:space="preserve"> growth</w:t>
      </w:r>
      <w:r w:rsidR="00BA2599">
        <w:t>.</w:t>
      </w:r>
    </w:p>
    <w:p w:rsidR="00BA2599" w:rsidRDefault="00BA2599" w:rsidP="002D5141"/>
    <w:p w:rsidR="001C11A3" w:rsidRDefault="00CA1FE7" w:rsidP="001C11A3">
      <w:r>
        <w:t>S</w:t>
      </w:r>
      <w:r w:rsidR="001C11A3">
        <w:t xml:space="preserve">pecific issues raised in relation to the proposed draft variations included: </w:t>
      </w:r>
    </w:p>
    <w:p w:rsidR="005B6430" w:rsidRDefault="005B6430" w:rsidP="001C11A3"/>
    <w:p w:rsidR="001C11A3" w:rsidRDefault="001C11A3" w:rsidP="001C11A3">
      <w:pPr>
        <w:pStyle w:val="FSBullet1"/>
        <w:numPr>
          <w:ilvl w:val="0"/>
          <w:numId w:val="6"/>
        </w:numPr>
        <w:ind w:left="567" w:hanging="567"/>
      </w:pPr>
      <w:r>
        <w:t xml:space="preserve">definitional issues </w:t>
      </w:r>
    </w:p>
    <w:p w:rsidR="001C11A3" w:rsidRDefault="001C11A3" w:rsidP="001C11A3">
      <w:pPr>
        <w:pStyle w:val="FSBullet1"/>
        <w:numPr>
          <w:ilvl w:val="0"/>
          <w:numId w:val="6"/>
        </w:numPr>
        <w:ind w:left="567" w:hanging="567"/>
      </w:pPr>
      <w:r>
        <w:t xml:space="preserve">the requirement for </w:t>
      </w:r>
      <w:r w:rsidR="006D48DE">
        <w:t xml:space="preserve">an </w:t>
      </w:r>
      <w:r>
        <w:t xml:space="preserve">improved cost benefit analysis </w:t>
      </w:r>
    </w:p>
    <w:p w:rsidR="001C11A3" w:rsidRDefault="001C11A3" w:rsidP="001C11A3">
      <w:pPr>
        <w:pStyle w:val="FSBullet1"/>
        <w:numPr>
          <w:ilvl w:val="0"/>
          <w:numId w:val="6"/>
        </w:numPr>
        <w:ind w:left="567" w:hanging="567"/>
      </w:pPr>
      <w:r>
        <w:t>issues with the proposed changes to formatting of the Schedule to Standard 1.6.1</w:t>
      </w:r>
      <w:r w:rsidR="005B6430">
        <w:t xml:space="preserve"> </w:t>
      </w:r>
      <w:r>
        <w:t xml:space="preserve">(i.e. including analytical units in the standard where previously no units were prescribed) </w:t>
      </w:r>
    </w:p>
    <w:p w:rsidR="001C11A3" w:rsidRDefault="001C11A3" w:rsidP="001C11A3">
      <w:pPr>
        <w:pStyle w:val="FSBullet1"/>
        <w:numPr>
          <w:ilvl w:val="0"/>
          <w:numId w:val="6"/>
        </w:numPr>
        <w:ind w:left="567" w:hanging="567"/>
      </w:pPr>
      <w:r>
        <w:t>reference methods of analysis</w:t>
      </w:r>
      <w:r w:rsidR="007926E8">
        <w:t xml:space="preserve"> not</w:t>
      </w:r>
      <w:r>
        <w:t xml:space="preserve"> including linkages to </w:t>
      </w:r>
      <w:r w:rsidR="00530FFA">
        <w:t>I</w:t>
      </w:r>
      <w:r>
        <w:t xml:space="preserve">nternational </w:t>
      </w:r>
      <w:r w:rsidR="00530FFA">
        <w:t>S</w:t>
      </w:r>
      <w:r>
        <w:t>tandards methods</w:t>
      </w:r>
      <w:r w:rsidR="007926E8">
        <w:t xml:space="preserve"> and</w:t>
      </w:r>
      <w:r w:rsidR="00970DDB">
        <w:t xml:space="preserve"> the</w:t>
      </w:r>
      <w:r w:rsidR="007926E8">
        <w:t xml:space="preserve"> applicability </w:t>
      </w:r>
      <w:r w:rsidR="00970DDB">
        <w:t>of</w:t>
      </w:r>
      <w:r w:rsidR="007926E8">
        <w:t xml:space="preserve"> Australian Standards methods in New Zealand</w:t>
      </w:r>
    </w:p>
    <w:p w:rsidR="001C11A3" w:rsidRDefault="001C11A3" w:rsidP="001C11A3">
      <w:pPr>
        <w:pStyle w:val="FSBullet1"/>
        <w:numPr>
          <w:ilvl w:val="0"/>
          <w:numId w:val="6"/>
        </w:numPr>
        <w:ind w:left="567" w:hanging="567"/>
      </w:pPr>
      <w:r>
        <w:t xml:space="preserve">sampling requirements </w:t>
      </w:r>
    </w:p>
    <w:p w:rsidR="001C11A3" w:rsidRDefault="001C11A3" w:rsidP="001C11A3">
      <w:pPr>
        <w:pStyle w:val="FSBullet1"/>
        <w:numPr>
          <w:ilvl w:val="0"/>
          <w:numId w:val="6"/>
        </w:numPr>
        <w:ind w:left="567" w:hanging="567"/>
      </w:pPr>
      <w:r>
        <w:t>various implementation issues</w:t>
      </w:r>
    </w:p>
    <w:p w:rsidR="00CA1FE7" w:rsidRPr="00CA1FE7" w:rsidRDefault="00CA1FE7" w:rsidP="00CA1FE7">
      <w:pPr>
        <w:pStyle w:val="FSBullet1"/>
        <w:numPr>
          <w:ilvl w:val="0"/>
          <w:numId w:val="6"/>
        </w:numPr>
        <w:ind w:left="567" w:hanging="567"/>
      </w:pPr>
      <w:r>
        <w:t>suggested improvements to the guidance document (SD1) and scientific basis (SD2)</w:t>
      </w:r>
    </w:p>
    <w:p w:rsidR="001C11A3" w:rsidRDefault="001C11A3" w:rsidP="001C11A3"/>
    <w:p w:rsidR="00E223B3" w:rsidRDefault="005132F0" w:rsidP="002D5141">
      <w:r w:rsidRPr="009E3BA8">
        <w:t xml:space="preserve">Where relevant, the submissions and responses have been discussed in the body of this </w:t>
      </w:r>
      <w:r>
        <w:t xml:space="preserve">report and a </w:t>
      </w:r>
      <w:r w:rsidRPr="009E3BA8">
        <w:t xml:space="preserve">summary of all the submissions and the response to these submissions is provided in </w:t>
      </w:r>
      <w:r>
        <w:t>Table 1</w:t>
      </w:r>
      <w:r w:rsidRPr="009E3BA8">
        <w:t>.</w:t>
      </w:r>
    </w:p>
    <w:p w:rsidR="002D0D19" w:rsidRDefault="002D0D19" w:rsidP="007A53BF">
      <w:pPr>
        <w:pStyle w:val="FSTableTitle"/>
        <w:sectPr w:rsidR="002D0D19" w:rsidSect="00E63CFD">
          <w:pgSz w:w="11906" w:h="16838" w:code="9"/>
          <w:pgMar w:top="1418" w:right="1418" w:bottom="1418" w:left="1418" w:header="709" w:footer="709" w:gutter="0"/>
          <w:pgNumType w:start="1"/>
          <w:cols w:space="708"/>
          <w:docGrid w:linePitch="360"/>
        </w:sectPr>
      </w:pPr>
    </w:p>
    <w:p w:rsidR="007A53BF" w:rsidRDefault="007A53BF" w:rsidP="007A53BF">
      <w:pPr>
        <w:pStyle w:val="FSTableTitle"/>
      </w:pPr>
      <w:r>
        <w:lastRenderedPageBreak/>
        <w:t xml:space="preserve">Table 1: Summary of issues </w:t>
      </w:r>
    </w:p>
    <w:p w:rsidR="00026B8F" w:rsidRDefault="00026B8F" w:rsidP="00026B8F"/>
    <w:tbl>
      <w:tblPr>
        <w:tblStyle w:val="MediumShading1-Accent3"/>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68"/>
        <w:gridCol w:w="8772"/>
      </w:tblGrid>
      <w:tr w:rsidR="00026B8F" w:rsidRPr="00A36D66" w:rsidTr="006C6A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tcBorders>
              <w:top w:val="none" w:sz="0" w:space="0" w:color="auto"/>
              <w:left w:val="none" w:sz="0" w:space="0" w:color="auto"/>
              <w:bottom w:val="none" w:sz="0" w:space="0" w:color="auto"/>
              <w:right w:val="none" w:sz="0" w:space="0" w:color="auto"/>
            </w:tcBorders>
          </w:tcPr>
          <w:p w:rsidR="00026B8F" w:rsidRPr="00A36D66" w:rsidRDefault="00026B8F" w:rsidP="00F42B30">
            <w:pPr>
              <w:spacing w:after="240"/>
              <w:rPr>
                <w:sz w:val="20"/>
                <w:szCs w:val="20"/>
              </w:rPr>
            </w:pPr>
            <w:r w:rsidRPr="00A36D66">
              <w:rPr>
                <w:sz w:val="20"/>
                <w:szCs w:val="20"/>
              </w:rPr>
              <w:t>Issue</w:t>
            </w:r>
          </w:p>
        </w:tc>
        <w:tc>
          <w:tcPr>
            <w:tcW w:w="2568" w:type="dxa"/>
            <w:tcBorders>
              <w:top w:val="none" w:sz="0" w:space="0" w:color="auto"/>
              <w:left w:val="none" w:sz="0" w:space="0" w:color="auto"/>
              <w:bottom w:val="none" w:sz="0" w:space="0" w:color="auto"/>
              <w:right w:val="none" w:sz="0" w:space="0" w:color="auto"/>
            </w:tcBorders>
          </w:tcPr>
          <w:p w:rsidR="00026B8F" w:rsidRPr="00A36D66" w:rsidRDefault="00026B8F" w:rsidP="00F42B30">
            <w:pPr>
              <w:spacing w:after="240"/>
              <w:cnfStyle w:val="100000000000" w:firstRow="1" w:lastRow="0" w:firstColumn="0" w:lastColumn="0" w:oddVBand="0" w:evenVBand="0" w:oddHBand="0" w:evenHBand="0" w:firstRowFirstColumn="0" w:firstRowLastColumn="0" w:lastRowFirstColumn="0" w:lastRowLastColumn="0"/>
              <w:rPr>
                <w:sz w:val="20"/>
                <w:szCs w:val="20"/>
              </w:rPr>
            </w:pPr>
            <w:r w:rsidRPr="00A36D66">
              <w:rPr>
                <w:sz w:val="20"/>
                <w:szCs w:val="20"/>
              </w:rPr>
              <w:t>Raised by</w:t>
            </w:r>
          </w:p>
        </w:tc>
        <w:tc>
          <w:tcPr>
            <w:tcW w:w="8772" w:type="dxa"/>
            <w:tcBorders>
              <w:top w:val="none" w:sz="0" w:space="0" w:color="auto"/>
              <w:left w:val="none" w:sz="0" w:space="0" w:color="auto"/>
              <w:bottom w:val="none" w:sz="0" w:space="0" w:color="auto"/>
              <w:right w:val="none" w:sz="0" w:space="0" w:color="auto"/>
            </w:tcBorders>
          </w:tcPr>
          <w:p w:rsidR="00026B8F" w:rsidRPr="00A36D66" w:rsidRDefault="00026B8F" w:rsidP="00F42B30">
            <w:pPr>
              <w:spacing w:after="240"/>
              <w:cnfStyle w:val="100000000000" w:firstRow="1" w:lastRow="0" w:firstColumn="0" w:lastColumn="0" w:oddVBand="0" w:evenVBand="0" w:oddHBand="0" w:evenHBand="0" w:firstRowFirstColumn="0" w:firstRowLastColumn="0" w:lastRowFirstColumn="0" w:lastRowLastColumn="0"/>
              <w:rPr>
                <w:sz w:val="20"/>
                <w:szCs w:val="20"/>
              </w:rPr>
            </w:pPr>
            <w:r w:rsidRPr="00A36D66">
              <w:rPr>
                <w:sz w:val="20"/>
                <w:szCs w:val="20"/>
              </w:rPr>
              <w:t>FSANZ response (including any amendments to drafting)</w:t>
            </w:r>
          </w:p>
        </w:tc>
      </w:tr>
      <w:tr w:rsidR="00026B8F" w:rsidRPr="00A36D66" w:rsidTr="006C6A85">
        <w:trPr>
          <w:cnfStyle w:val="000000100000" w:firstRow="0" w:lastRow="0" w:firstColumn="0" w:lastColumn="0" w:oddVBand="0" w:evenVBand="0" w:oddHBand="1" w:evenHBand="0" w:firstRowFirstColumn="0" w:firstRowLastColumn="0" w:lastRowFirstColumn="0" w:lastRowLastColumn="0"/>
          <w:cantSplit/>
          <w:trHeight w:val="1723"/>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Pr="003A01BC" w:rsidRDefault="00026B8F" w:rsidP="00F42B30">
            <w:pPr>
              <w:ind w:left="113" w:hanging="113"/>
              <w:rPr>
                <w:sz w:val="20"/>
                <w:szCs w:val="20"/>
              </w:rPr>
            </w:pPr>
            <w:r w:rsidRPr="003A01BC">
              <w:rPr>
                <w:sz w:val="20"/>
                <w:szCs w:val="20"/>
              </w:rPr>
              <w:t>Requirement for a RIS</w:t>
            </w:r>
          </w:p>
          <w:p w:rsidR="00026B8F" w:rsidRPr="003A01BC" w:rsidRDefault="00026B8F" w:rsidP="00F42B30">
            <w:pPr>
              <w:ind w:left="113" w:hanging="113"/>
              <w:rPr>
                <w:sz w:val="20"/>
                <w:szCs w:val="20"/>
              </w:rPr>
            </w:pPr>
          </w:p>
          <w:p w:rsidR="00026B8F" w:rsidRPr="003A01BC" w:rsidRDefault="00026B8F" w:rsidP="00F42B30">
            <w:pPr>
              <w:ind w:left="113" w:hanging="113"/>
              <w:rPr>
                <w:sz w:val="20"/>
                <w:szCs w:val="20"/>
              </w:rPr>
            </w:pPr>
            <w:r w:rsidRPr="003A01BC">
              <w:rPr>
                <w:b w:val="0"/>
                <w:sz w:val="20"/>
                <w:szCs w:val="20"/>
              </w:rPr>
              <w:t xml:space="preserve">FSANZ should consider undertaking a more detailed cost-benefit analysis </w:t>
            </w:r>
          </w:p>
        </w:tc>
        <w:tc>
          <w:tcPr>
            <w:tcW w:w="2568" w:type="dxa"/>
            <w:tcBorders>
              <w:left w:val="none" w:sz="0" w:space="0" w:color="auto"/>
              <w:right w:val="none" w:sz="0" w:space="0" w:color="auto"/>
            </w:tcBorders>
          </w:tcPr>
          <w:p w:rsidR="00026B8F" w:rsidRPr="003A01BC" w:rsidRDefault="006C0235" w:rsidP="00F42B30">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3A01BC">
              <w:rPr>
                <w:sz w:val="20"/>
                <w:szCs w:val="20"/>
              </w:rPr>
              <w:t xml:space="preserve">Government (enforcement agency) and </w:t>
            </w:r>
            <w:r w:rsidR="00970DDB" w:rsidRPr="003A01BC">
              <w:rPr>
                <w:sz w:val="20"/>
                <w:szCs w:val="20"/>
              </w:rPr>
              <w:t xml:space="preserve">an </w:t>
            </w:r>
            <w:r w:rsidRPr="003A01BC">
              <w:rPr>
                <w:sz w:val="20"/>
                <w:szCs w:val="20"/>
              </w:rPr>
              <w:t>Industry Association</w:t>
            </w:r>
          </w:p>
          <w:p w:rsidR="00026B8F" w:rsidRPr="003A01BC" w:rsidRDefault="00026B8F" w:rsidP="00F42B30">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rsidR="00026B8F" w:rsidRPr="003A01BC" w:rsidRDefault="00026B8F" w:rsidP="00F42B30">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rsidR="00F42B30" w:rsidRPr="003A01BC" w:rsidRDefault="00F42B30" w:rsidP="00F42B30">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rsidR="00026B8F" w:rsidRPr="003A01BC" w:rsidRDefault="00026B8F" w:rsidP="006C0235">
            <w:pPr>
              <w:cnfStyle w:val="000000100000" w:firstRow="0" w:lastRow="0" w:firstColumn="0" w:lastColumn="0" w:oddVBand="0" w:evenVBand="0" w:oddHBand="1" w:evenHBand="0" w:firstRowFirstColumn="0" w:firstRowLastColumn="0" w:lastRowFirstColumn="0" w:lastRowLastColumn="0"/>
              <w:rPr>
                <w:sz w:val="20"/>
                <w:szCs w:val="20"/>
              </w:rPr>
            </w:pPr>
          </w:p>
        </w:tc>
        <w:tc>
          <w:tcPr>
            <w:tcW w:w="8772" w:type="dxa"/>
            <w:tcBorders>
              <w:left w:val="none" w:sz="0" w:space="0" w:color="auto"/>
            </w:tcBorders>
          </w:tcPr>
          <w:p w:rsidR="009C7191" w:rsidRPr="003A01BC" w:rsidRDefault="00026B8F" w:rsidP="009C7191">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3A01BC">
              <w:rPr>
                <w:sz w:val="20"/>
                <w:szCs w:val="20"/>
              </w:rPr>
              <w:t xml:space="preserve">The OBPR had advised FSANZ at the beginning of the project that a RIS was unlikely to be </w:t>
            </w:r>
            <w:r w:rsidR="00DA34BB" w:rsidRPr="003A01BC">
              <w:rPr>
                <w:sz w:val="20"/>
                <w:szCs w:val="20"/>
              </w:rPr>
              <w:t>required</w:t>
            </w:r>
            <w:r w:rsidR="00DA34BB">
              <w:rPr>
                <w:sz w:val="20"/>
                <w:szCs w:val="20"/>
              </w:rPr>
              <w:t>; this was due to the fact that</w:t>
            </w:r>
            <w:r w:rsidR="009C7191" w:rsidRPr="003A01BC">
              <w:rPr>
                <w:sz w:val="20"/>
                <w:szCs w:val="20"/>
              </w:rPr>
              <w:t xml:space="preserve"> food businesses manufacturing RTE foods </w:t>
            </w:r>
            <w:r w:rsidR="00DA34BB">
              <w:rPr>
                <w:sz w:val="20"/>
                <w:szCs w:val="20"/>
              </w:rPr>
              <w:t>were already under</w:t>
            </w:r>
            <w:r w:rsidR="00DA34BB" w:rsidRPr="003A01BC">
              <w:rPr>
                <w:sz w:val="20"/>
                <w:szCs w:val="20"/>
              </w:rPr>
              <w:t xml:space="preserve"> </w:t>
            </w:r>
            <w:r w:rsidR="009C7191" w:rsidRPr="003A01BC">
              <w:rPr>
                <w:sz w:val="20"/>
                <w:szCs w:val="20"/>
              </w:rPr>
              <w:t>obligations to produce and sell safe food</w:t>
            </w:r>
            <w:r w:rsidR="005B6430" w:rsidRPr="003A01BC">
              <w:rPr>
                <w:sz w:val="20"/>
                <w:szCs w:val="20"/>
              </w:rPr>
              <w:t>.</w:t>
            </w:r>
            <w:r w:rsidRPr="003A01BC">
              <w:rPr>
                <w:sz w:val="20"/>
                <w:szCs w:val="20"/>
              </w:rPr>
              <w:t xml:space="preserve"> </w:t>
            </w:r>
            <w:r w:rsidR="005B6430" w:rsidRPr="003A01BC">
              <w:rPr>
                <w:sz w:val="20"/>
                <w:szCs w:val="20"/>
              </w:rPr>
              <w:t>H</w:t>
            </w:r>
            <w:r w:rsidRPr="003A01BC">
              <w:rPr>
                <w:sz w:val="20"/>
                <w:szCs w:val="20"/>
              </w:rPr>
              <w:t>owever</w:t>
            </w:r>
            <w:r w:rsidR="006D48DE">
              <w:rPr>
                <w:sz w:val="20"/>
                <w:szCs w:val="20"/>
              </w:rPr>
              <w:t>,</w:t>
            </w:r>
            <w:r w:rsidRPr="003A01BC">
              <w:rPr>
                <w:sz w:val="20"/>
                <w:szCs w:val="20"/>
              </w:rPr>
              <w:t xml:space="preserve"> FSANZ </w:t>
            </w:r>
            <w:r w:rsidR="001B2693" w:rsidRPr="003A01BC">
              <w:rPr>
                <w:sz w:val="20"/>
                <w:szCs w:val="20"/>
              </w:rPr>
              <w:t xml:space="preserve">was </w:t>
            </w:r>
            <w:r w:rsidRPr="003A01BC">
              <w:rPr>
                <w:sz w:val="20"/>
                <w:szCs w:val="20"/>
              </w:rPr>
              <w:t>to consult further following public consultation</w:t>
            </w:r>
            <w:r w:rsidR="001B2693" w:rsidRPr="003A01BC">
              <w:rPr>
                <w:sz w:val="20"/>
                <w:szCs w:val="20"/>
              </w:rPr>
              <w:t xml:space="preserve">. </w:t>
            </w:r>
          </w:p>
          <w:p w:rsidR="00026B8F" w:rsidRPr="003A01BC" w:rsidRDefault="00CF7418">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3A01BC">
              <w:rPr>
                <w:sz w:val="20"/>
                <w:szCs w:val="20"/>
              </w:rPr>
              <w:t>In f</w:t>
            </w:r>
            <w:r w:rsidR="001B2693" w:rsidRPr="003A01BC">
              <w:rPr>
                <w:sz w:val="20"/>
                <w:szCs w:val="20"/>
              </w:rPr>
              <w:t>urther</w:t>
            </w:r>
            <w:r w:rsidR="004738E6" w:rsidRPr="003A01BC">
              <w:rPr>
                <w:sz w:val="20"/>
                <w:szCs w:val="20"/>
              </w:rPr>
              <w:t xml:space="preserve"> consultation with</w:t>
            </w:r>
            <w:r w:rsidR="00970DDB" w:rsidRPr="003A01BC">
              <w:rPr>
                <w:sz w:val="20"/>
                <w:szCs w:val="20"/>
              </w:rPr>
              <w:t xml:space="preserve"> OBPR</w:t>
            </w:r>
            <w:r w:rsidR="006C0235" w:rsidRPr="003A01BC">
              <w:rPr>
                <w:sz w:val="20"/>
                <w:szCs w:val="20"/>
              </w:rPr>
              <w:t xml:space="preserve"> </w:t>
            </w:r>
            <w:r w:rsidR="004738E6" w:rsidRPr="003A01BC">
              <w:rPr>
                <w:sz w:val="20"/>
                <w:szCs w:val="20"/>
              </w:rPr>
              <w:t xml:space="preserve">following </w:t>
            </w:r>
            <w:r w:rsidRPr="003A01BC">
              <w:rPr>
                <w:sz w:val="20"/>
                <w:szCs w:val="20"/>
              </w:rPr>
              <w:t xml:space="preserve">the </w:t>
            </w:r>
            <w:r w:rsidR="001B2693" w:rsidRPr="003A01BC">
              <w:rPr>
                <w:sz w:val="20"/>
                <w:szCs w:val="20"/>
              </w:rPr>
              <w:t>2</w:t>
            </w:r>
            <w:r w:rsidR="001B2693" w:rsidRPr="003A01BC">
              <w:rPr>
                <w:sz w:val="20"/>
                <w:szCs w:val="20"/>
                <w:vertAlign w:val="superscript"/>
              </w:rPr>
              <w:t>nd</w:t>
            </w:r>
            <w:r w:rsidR="001B2693" w:rsidRPr="003A01BC">
              <w:rPr>
                <w:sz w:val="20"/>
                <w:szCs w:val="20"/>
              </w:rPr>
              <w:t xml:space="preserve"> </w:t>
            </w:r>
            <w:r w:rsidR="006D48DE">
              <w:rPr>
                <w:sz w:val="20"/>
                <w:szCs w:val="20"/>
              </w:rPr>
              <w:t>C</w:t>
            </w:r>
            <w:r w:rsidR="001B2693" w:rsidRPr="003A01BC">
              <w:rPr>
                <w:sz w:val="20"/>
                <w:szCs w:val="20"/>
              </w:rPr>
              <w:t xml:space="preserve">all for </w:t>
            </w:r>
            <w:r w:rsidR="006D48DE">
              <w:rPr>
                <w:sz w:val="20"/>
                <w:szCs w:val="20"/>
              </w:rPr>
              <w:t>S</w:t>
            </w:r>
            <w:r w:rsidR="001B2693" w:rsidRPr="003A01BC">
              <w:rPr>
                <w:sz w:val="20"/>
                <w:szCs w:val="20"/>
              </w:rPr>
              <w:t>ubmissions</w:t>
            </w:r>
            <w:r w:rsidR="006D48DE">
              <w:rPr>
                <w:sz w:val="20"/>
                <w:szCs w:val="20"/>
              </w:rPr>
              <w:t xml:space="preserve"> (CFS)</w:t>
            </w:r>
            <w:r w:rsidRPr="003A01BC">
              <w:rPr>
                <w:sz w:val="20"/>
                <w:szCs w:val="20"/>
              </w:rPr>
              <w:t>,</w:t>
            </w:r>
            <w:r w:rsidR="005B6430" w:rsidRPr="003A01BC">
              <w:rPr>
                <w:sz w:val="20"/>
                <w:szCs w:val="20"/>
              </w:rPr>
              <w:t xml:space="preserve"> the</w:t>
            </w:r>
            <w:r w:rsidRPr="003A01BC">
              <w:rPr>
                <w:sz w:val="20"/>
                <w:szCs w:val="20"/>
              </w:rPr>
              <w:t xml:space="preserve"> OBPR</w:t>
            </w:r>
            <w:r w:rsidR="001B2693" w:rsidRPr="003A01BC">
              <w:rPr>
                <w:sz w:val="20"/>
                <w:szCs w:val="20"/>
              </w:rPr>
              <w:t xml:space="preserve"> </w:t>
            </w:r>
            <w:r w:rsidR="004738E6" w:rsidRPr="003A01BC">
              <w:rPr>
                <w:sz w:val="20"/>
                <w:szCs w:val="20"/>
              </w:rPr>
              <w:t xml:space="preserve">confirmed </w:t>
            </w:r>
            <w:r w:rsidR="006C0235" w:rsidRPr="003A01BC">
              <w:rPr>
                <w:sz w:val="20"/>
                <w:szCs w:val="20"/>
              </w:rPr>
              <w:t xml:space="preserve">that </w:t>
            </w:r>
            <w:r w:rsidR="004738E6" w:rsidRPr="003A01BC">
              <w:rPr>
                <w:sz w:val="20"/>
                <w:szCs w:val="20"/>
              </w:rPr>
              <w:t xml:space="preserve">the proposed changes </w:t>
            </w:r>
            <w:r w:rsidR="00970DDB" w:rsidRPr="003A01BC">
              <w:rPr>
                <w:sz w:val="20"/>
                <w:szCs w:val="20"/>
              </w:rPr>
              <w:t>were</w:t>
            </w:r>
            <w:r w:rsidR="004738E6" w:rsidRPr="003A01BC">
              <w:rPr>
                <w:sz w:val="20"/>
                <w:szCs w:val="20"/>
              </w:rPr>
              <w:t xml:space="preserve"> likely to have only a minor regulatory impact on business</w:t>
            </w:r>
            <w:r w:rsidR="00970DDB" w:rsidRPr="003A01BC">
              <w:rPr>
                <w:sz w:val="20"/>
                <w:szCs w:val="20"/>
              </w:rPr>
              <w:t>es</w:t>
            </w:r>
            <w:r w:rsidR="004738E6" w:rsidRPr="003A01BC">
              <w:rPr>
                <w:sz w:val="20"/>
                <w:szCs w:val="20"/>
              </w:rPr>
              <w:t xml:space="preserve"> and individuals</w:t>
            </w:r>
            <w:r w:rsidRPr="003A01BC">
              <w:rPr>
                <w:sz w:val="20"/>
                <w:szCs w:val="20"/>
              </w:rPr>
              <w:t xml:space="preserve"> and a RIS </w:t>
            </w:r>
            <w:r w:rsidR="00970DDB" w:rsidRPr="003A01BC">
              <w:rPr>
                <w:sz w:val="20"/>
                <w:szCs w:val="20"/>
              </w:rPr>
              <w:t>was</w:t>
            </w:r>
            <w:r w:rsidRPr="003A01BC">
              <w:rPr>
                <w:sz w:val="20"/>
                <w:szCs w:val="20"/>
              </w:rPr>
              <w:t xml:space="preserve"> not required</w:t>
            </w:r>
            <w:r w:rsidR="004738E6" w:rsidRPr="003A01BC">
              <w:rPr>
                <w:sz w:val="20"/>
                <w:szCs w:val="20"/>
              </w:rPr>
              <w:t>.</w:t>
            </w:r>
            <w:r w:rsidR="006C0235" w:rsidRPr="003A01BC">
              <w:rPr>
                <w:sz w:val="20"/>
                <w:szCs w:val="20"/>
              </w:rPr>
              <w:t xml:space="preserve"> </w:t>
            </w:r>
            <w:r w:rsidR="004738E6" w:rsidRPr="003A01BC">
              <w:rPr>
                <w:sz w:val="20"/>
                <w:szCs w:val="20"/>
              </w:rPr>
              <w:t>Notwithstanding this advice</w:t>
            </w:r>
            <w:r w:rsidR="005B6430" w:rsidRPr="003A01BC">
              <w:rPr>
                <w:sz w:val="20"/>
                <w:szCs w:val="20"/>
              </w:rPr>
              <w:t>,</w:t>
            </w:r>
            <w:r w:rsidR="004738E6" w:rsidRPr="003A01BC">
              <w:rPr>
                <w:sz w:val="20"/>
                <w:szCs w:val="20"/>
              </w:rPr>
              <w:t xml:space="preserve"> a</w:t>
            </w:r>
            <w:r w:rsidR="00026B8F" w:rsidRPr="003A01BC">
              <w:rPr>
                <w:sz w:val="20"/>
                <w:szCs w:val="20"/>
              </w:rPr>
              <w:t xml:space="preserve"> basic cost benefit analysis was undertaken for the purposes of section 59 of the FSANZ Act.</w:t>
            </w:r>
          </w:p>
        </w:tc>
      </w:tr>
      <w:tr w:rsidR="00026B8F" w:rsidRPr="00A36D66" w:rsidTr="006C6A85">
        <w:trPr>
          <w:cnfStyle w:val="000000010000" w:firstRow="0" w:lastRow="0" w:firstColumn="0" w:lastColumn="0" w:oddVBand="0" w:evenVBand="0" w:oddHBand="0" w:evenHBand="1" w:firstRowFirstColumn="0" w:firstRowLastColumn="0" w:lastRowFirstColumn="0" w:lastRowLastColumn="0"/>
          <w:cantSplit/>
          <w:trHeight w:val="439"/>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uto"/>
              <w:right w:val="none" w:sz="0" w:space="0" w:color="auto"/>
            </w:tcBorders>
          </w:tcPr>
          <w:p w:rsidR="00026B8F" w:rsidRPr="00A36D66" w:rsidRDefault="00026B8F" w:rsidP="00F42B30">
            <w:pPr>
              <w:ind w:left="113" w:hanging="113"/>
              <w:rPr>
                <w:sz w:val="20"/>
                <w:szCs w:val="20"/>
              </w:rPr>
            </w:pPr>
            <w:r w:rsidRPr="00A36D66">
              <w:rPr>
                <w:sz w:val="20"/>
                <w:szCs w:val="20"/>
              </w:rPr>
              <w:t>Lack of a stock in trade provision</w:t>
            </w:r>
          </w:p>
        </w:tc>
        <w:tc>
          <w:tcPr>
            <w:tcW w:w="2568" w:type="dxa"/>
            <w:tcBorders>
              <w:left w:val="none" w:sz="0" w:space="0" w:color="auto"/>
              <w:bottom w:val="single" w:sz="4" w:space="0" w:color="auto"/>
              <w:right w:val="none" w:sz="0" w:space="0" w:color="auto"/>
            </w:tcBorders>
          </w:tcPr>
          <w:p w:rsidR="00026B8F" w:rsidRPr="00A36D66" w:rsidRDefault="006C0235" w:rsidP="00F42B30">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Industry Association</w:t>
            </w:r>
          </w:p>
          <w:p w:rsidR="00026B8F" w:rsidRPr="00A36D66" w:rsidRDefault="00026B8F" w:rsidP="00F42B30">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tc>
        <w:tc>
          <w:tcPr>
            <w:tcW w:w="8772" w:type="dxa"/>
            <w:tcBorders>
              <w:left w:val="none" w:sz="0" w:space="0" w:color="auto"/>
              <w:bottom w:val="single" w:sz="4" w:space="0" w:color="auto"/>
            </w:tcBorders>
          </w:tcPr>
          <w:p w:rsidR="009F78A2" w:rsidRDefault="00026B8F" w:rsidP="009F78A2">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A36D66">
              <w:rPr>
                <w:sz w:val="20"/>
                <w:szCs w:val="20"/>
              </w:rPr>
              <w:t xml:space="preserve">The requirement to produce safe food </w:t>
            </w:r>
            <w:r>
              <w:rPr>
                <w:sz w:val="20"/>
                <w:szCs w:val="20"/>
              </w:rPr>
              <w:t xml:space="preserve">and effectively control pathogens such as </w:t>
            </w:r>
            <w:r w:rsidR="004738E6">
              <w:rPr>
                <w:sz w:val="20"/>
                <w:szCs w:val="20"/>
              </w:rPr>
              <w:br w:type="textWrapping" w:clear="all"/>
            </w:r>
            <w:r w:rsidRPr="000F5AA7">
              <w:rPr>
                <w:i/>
                <w:sz w:val="20"/>
                <w:szCs w:val="20"/>
              </w:rPr>
              <w:t>L. monocytogenes</w:t>
            </w:r>
            <w:r>
              <w:rPr>
                <w:sz w:val="20"/>
                <w:szCs w:val="20"/>
              </w:rPr>
              <w:t xml:space="preserve"> </w:t>
            </w:r>
            <w:r w:rsidRPr="00A36D66">
              <w:rPr>
                <w:sz w:val="20"/>
                <w:szCs w:val="20"/>
              </w:rPr>
              <w:t>has not changed</w:t>
            </w:r>
            <w:r>
              <w:rPr>
                <w:sz w:val="20"/>
                <w:szCs w:val="20"/>
              </w:rPr>
              <w:t xml:space="preserve">. Stock-in-trade provisions </w:t>
            </w:r>
            <w:r w:rsidR="009F78A2">
              <w:rPr>
                <w:sz w:val="20"/>
                <w:szCs w:val="20"/>
              </w:rPr>
              <w:t xml:space="preserve">(Subclause 1(2) of Standard 1.6.1) </w:t>
            </w:r>
            <w:r>
              <w:rPr>
                <w:sz w:val="20"/>
                <w:szCs w:val="20"/>
              </w:rPr>
              <w:t>were introduced by FSANZ to allow for long shelf life foods (greater than 12 months), produced prior to an amendment to the Code, to continue to be traded under previous requirements.</w:t>
            </w:r>
            <w:r w:rsidR="009F78A2">
              <w:rPr>
                <w:sz w:val="20"/>
                <w:szCs w:val="20"/>
              </w:rPr>
              <w:t xml:space="preserve"> </w:t>
            </w:r>
            <w:r w:rsidR="006C0235">
              <w:rPr>
                <w:sz w:val="20"/>
                <w:szCs w:val="20"/>
              </w:rPr>
              <w:t>The definition for RTE foods</w:t>
            </w:r>
            <w:r w:rsidR="00F12DDF">
              <w:rPr>
                <w:sz w:val="20"/>
                <w:szCs w:val="20"/>
              </w:rPr>
              <w:t>,</w:t>
            </w:r>
            <w:r w:rsidR="006C0235">
              <w:rPr>
                <w:sz w:val="20"/>
                <w:szCs w:val="20"/>
              </w:rPr>
              <w:t xml:space="preserve"> included for the purposes of Standard 1.6.1</w:t>
            </w:r>
            <w:r w:rsidR="00F12DDF">
              <w:rPr>
                <w:sz w:val="20"/>
                <w:szCs w:val="20"/>
              </w:rPr>
              <w:t>,</w:t>
            </w:r>
            <w:r w:rsidR="006C0235">
              <w:rPr>
                <w:sz w:val="20"/>
                <w:szCs w:val="20"/>
              </w:rPr>
              <w:t xml:space="preserve"> </w:t>
            </w:r>
            <w:r w:rsidR="009F78A2">
              <w:rPr>
                <w:sz w:val="20"/>
                <w:szCs w:val="20"/>
              </w:rPr>
              <w:t xml:space="preserve">now </w:t>
            </w:r>
            <w:r w:rsidR="00F12DDF">
              <w:rPr>
                <w:sz w:val="20"/>
                <w:szCs w:val="20"/>
              </w:rPr>
              <w:t xml:space="preserve">specifically </w:t>
            </w:r>
            <w:r w:rsidR="006C0235">
              <w:rPr>
                <w:sz w:val="20"/>
                <w:szCs w:val="20"/>
              </w:rPr>
              <w:t>excludes shelf</w:t>
            </w:r>
            <w:r w:rsidR="005B6430">
              <w:rPr>
                <w:sz w:val="20"/>
                <w:szCs w:val="20"/>
              </w:rPr>
              <w:t>-</w:t>
            </w:r>
            <w:r w:rsidR="006C0235">
              <w:rPr>
                <w:sz w:val="20"/>
                <w:szCs w:val="20"/>
              </w:rPr>
              <w:t>stable foods.</w:t>
            </w:r>
            <w:r w:rsidR="009F78A2">
              <w:rPr>
                <w:sz w:val="20"/>
                <w:szCs w:val="20"/>
              </w:rPr>
              <w:t xml:space="preserve"> This provision is therefore not applicable to </w:t>
            </w:r>
            <w:r w:rsidR="00F12DDF">
              <w:rPr>
                <w:sz w:val="20"/>
                <w:szCs w:val="20"/>
              </w:rPr>
              <w:br w:type="textWrapping" w:clear="all"/>
            </w:r>
            <w:r w:rsidR="009F78A2" w:rsidRPr="000F5AA7">
              <w:rPr>
                <w:i/>
                <w:sz w:val="20"/>
                <w:szCs w:val="20"/>
              </w:rPr>
              <w:t>L. monocytogenes</w:t>
            </w:r>
            <w:r w:rsidR="009F78A2">
              <w:rPr>
                <w:sz w:val="20"/>
                <w:szCs w:val="20"/>
              </w:rPr>
              <w:t xml:space="preserve"> limits in RTE foods.</w:t>
            </w:r>
          </w:p>
          <w:p w:rsidR="006C0235" w:rsidRPr="00A36D66" w:rsidRDefault="00530FFA" w:rsidP="00F12DDF">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Th</w:t>
            </w:r>
            <w:r w:rsidR="00F21200">
              <w:rPr>
                <w:sz w:val="20"/>
                <w:szCs w:val="20"/>
              </w:rPr>
              <w:t>e</w:t>
            </w:r>
            <w:r>
              <w:rPr>
                <w:sz w:val="20"/>
                <w:szCs w:val="20"/>
              </w:rPr>
              <w:t xml:space="preserve"> </w:t>
            </w:r>
            <w:r w:rsidR="00F21200">
              <w:rPr>
                <w:sz w:val="20"/>
                <w:szCs w:val="20"/>
              </w:rPr>
              <w:t xml:space="preserve">stock in trade </w:t>
            </w:r>
            <w:r>
              <w:rPr>
                <w:sz w:val="20"/>
                <w:szCs w:val="20"/>
              </w:rPr>
              <w:t>variation as proposed will</w:t>
            </w:r>
            <w:r w:rsidR="00F12DDF">
              <w:rPr>
                <w:sz w:val="20"/>
                <w:szCs w:val="20"/>
              </w:rPr>
              <w:t xml:space="preserve"> now</w:t>
            </w:r>
            <w:r>
              <w:rPr>
                <w:sz w:val="20"/>
                <w:szCs w:val="20"/>
              </w:rPr>
              <w:t xml:space="preserve"> no longer be </w:t>
            </w:r>
            <w:r w:rsidR="00F12DDF">
              <w:rPr>
                <w:sz w:val="20"/>
                <w:szCs w:val="20"/>
              </w:rPr>
              <w:t>needed</w:t>
            </w:r>
            <w:r>
              <w:rPr>
                <w:sz w:val="20"/>
                <w:szCs w:val="20"/>
              </w:rPr>
              <w:t>.</w:t>
            </w:r>
          </w:p>
        </w:tc>
      </w:tr>
      <w:tr w:rsidR="00026B8F" w:rsidRPr="00A36D66" w:rsidTr="006C6A85">
        <w:trPr>
          <w:cnfStyle w:val="000000100000" w:firstRow="0" w:lastRow="0" w:firstColumn="0" w:lastColumn="0" w:oddVBand="0" w:evenVBand="0" w:oddHBand="1" w:evenHBand="0" w:firstRowFirstColumn="0" w:firstRowLastColumn="0" w:lastRowFirstColumn="0" w:lastRowLastColumn="0"/>
          <w:cantSplit/>
          <w:trHeight w:val="1069"/>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Default="00026B8F" w:rsidP="00F42B30">
            <w:pPr>
              <w:ind w:left="113" w:hanging="113"/>
              <w:rPr>
                <w:sz w:val="20"/>
                <w:szCs w:val="20"/>
              </w:rPr>
            </w:pPr>
            <w:r w:rsidRPr="00A36D66">
              <w:rPr>
                <w:sz w:val="20"/>
                <w:szCs w:val="20"/>
              </w:rPr>
              <w:t>Sampling requirement</w:t>
            </w:r>
          </w:p>
          <w:p w:rsidR="00026B8F" w:rsidRDefault="00DA10E9" w:rsidP="00F42B30">
            <w:pPr>
              <w:ind w:left="113" w:hanging="113"/>
              <w:rPr>
                <w:b w:val="0"/>
                <w:sz w:val="20"/>
                <w:szCs w:val="20"/>
              </w:rPr>
            </w:pPr>
            <w:r>
              <w:rPr>
                <w:b w:val="0"/>
                <w:sz w:val="20"/>
                <w:szCs w:val="20"/>
              </w:rPr>
              <w:t>1. The</w:t>
            </w:r>
            <w:r w:rsidR="00026B8F">
              <w:rPr>
                <w:b w:val="0"/>
                <w:sz w:val="20"/>
                <w:szCs w:val="20"/>
              </w:rPr>
              <w:t xml:space="preserve"> requirement to test large numbers (n=5) of separate packaged high value products (e.g. whole legs of ham) </w:t>
            </w:r>
            <w:r w:rsidR="00524702">
              <w:rPr>
                <w:b w:val="0"/>
                <w:sz w:val="20"/>
                <w:szCs w:val="20"/>
              </w:rPr>
              <w:t>is an</w:t>
            </w:r>
            <w:r w:rsidR="00026B8F">
              <w:rPr>
                <w:b w:val="0"/>
                <w:sz w:val="20"/>
                <w:szCs w:val="20"/>
              </w:rPr>
              <w:t xml:space="preserve"> excessive cost to manufacture</w:t>
            </w:r>
            <w:r w:rsidR="00524702">
              <w:rPr>
                <w:b w:val="0"/>
                <w:sz w:val="20"/>
                <w:szCs w:val="20"/>
              </w:rPr>
              <w:t>r</w:t>
            </w:r>
            <w:r w:rsidR="00026B8F">
              <w:rPr>
                <w:b w:val="0"/>
                <w:sz w:val="20"/>
                <w:szCs w:val="20"/>
              </w:rPr>
              <w:t>s</w:t>
            </w:r>
            <w:r w:rsidR="00524702">
              <w:rPr>
                <w:b w:val="0"/>
                <w:sz w:val="20"/>
                <w:szCs w:val="20"/>
              </w:rPr>
              <w:t>.</w:t>
            </w:r>
          </w:p>
          <w:p w:rsidR="00026B8F" w:rsidRPr="00A36D66" w:rsidRDefault="00524702" w:rsidP="00524702">
            <w:pPr>
              <w:ind w:left="113" w:hanging="113"/>
              <w:rPr>
                <w:sz w:val="20"/>
                <w:szCs w:val="20"/>
              </w:rPr>
            </w:pPr>
            <w:r>
              <w:rPr>
                <w:b w:val="0"/>
                <w:sz w:val="20"/>
                <w:szCs w:val="20"/>
              </w:rPr>
              <w:t xml:space="preserve">2. There may be </w:t>
            </w:r>
            <w:r w:rsidR="00026B8F">
              <w:rPr>
                <w:b w:val="0"/>
                <w:sz w:val="20"/>
                <w:szCs w:val="20"/>
              </w:rPr>
              <w:t>situatio</w:t>
            </w:r>
            <w:r>
              <w:rPr>
                <w:b w:val="0"/>
                <w:sz w:val="20"/>
                <w:szCs w:val="20"/>
              </w:rPr>
              <w:t>ns</w:t>
            </w:r>
            <w:r w:rsidR="00026B8F">
              <w:rPr>
                <w:b w:val="0"/>
                <w:sz w:val="20"/>
                <w:szCs w:val="20"/>
              </w:rPr>
              <w:t xml:space="preserve"> where </w:t>
            </w:r>
            <w:r>
              <w:rPr>
                <w:b w:val="0"/>
                <w:sz w:val="20"/>
                <w:szCs w:val="20"/>
              </w:rPr>
              <w:t xml:space="preserve">there is </w:t>
            </w:r>
            <w:r w:rsidR="00026B8F">
              <w:rPr>
                <w:b w:val="0"/>
                <w:sz w:val="20"/>
                <w:szCs w:val="20"/>
              </w:rPr>
              <w:t>not enough product available for testing</w:t>
            </w:r>
          </w:p>
        </w:tc>
        <w:tc>
          <w:tcPr>
            <w:tcW w:w="2568" w:type="dxa"/>
            <w:tcBorders>
              <w:left w:val="none" w:sz="0" w:space="0" w:color="auto"/>
              <w:right w:val="none" w:sz="0" w:space="0" w:color="auto"/>
            </w:tcBorders>
          </w:tcPr>
          <w:p w:rsidR="00026B8F" w:rsidRPr="00A36D66" w:rsidRDefault="001A754B" w:rsidP="00F42B30">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Industry and Government</w:t>
            </w:r>
          </w:p>
        </w:tc>
        <w:tc>
          <w:tcPr>
            <w:tcW w:w="8772" w:type="dxa"/>
            <w:tcBorders>
              <w:left w:val="none" w:sz="0" w:space="0" w:color="auto"/>
            </w:tcBorders>
          </w:tcPr>
          <w:p w:rsidR="007926E8" w:rsidRDefault="003E638B" w:rsidP="00F42B30">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Proposed variations</w:t>
            </w:r>
            <w:r w:rsidR="007926E8">
              <w:rPr>
                <w:sz w:val="20"/>
                <w:szCs w:val="20"/>
              </w:rPr>
              <w:t xml:space="preserve"> will not be progressed.</w:t>
            </w:r>
            <w:r w:rsidR="00F12DDF">
              <w:rPr>
                <w:sz w:val="20"/>
                <w:szCs w:val="20"/>
              </w:rPr>
              <w:t xml:space="preserve"> There will be no change from the current standard.</w:t>
            </w:r>
          </w:p>
          <w:p w:rsidR="004A6625" w:rsidRDefault="007D6958" w:rsidP="00F42B30">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r w:rsidR="004A6625">
              <w:rPr>
                <w:sz w:val="20"/>
                <w:szCs w:val="20"/>
              </w:rPr>
              <w:t xml:space="preserve"> </w:t>
            </w:r>
            <w:r>
              <w:rPr>
                <w:sz w:val="20"/>
                <w:szCs w:val="20"/>
              </w:rPr>
              <w:t>.M</w:t>
            </w:r>
            <w:r w:rsidR="00026B8F" w:rsidRPr="003043E9">
              <w:rPr>
                <w:sz w:val="20"/>
                <w:szCs w:val="20"/>
              </w:rPr>
              <w:t xml:space="preserve">icrobiological criteria contained in Standard 1.6.1 </w:t>
            </w:r>
            <w:r>
              <w:rPr>
                <w:sz w:val="20"/>
                <w:szCs w:val="20"/>
              </w:rPr>
              <w:t>use</w:t>
            </w:r>
            <w:r w:rsidR="00026B8F" w:rsidRPr="003043E9">
              <w:rPr>
                <w:sz w:val="20"/>
                <w:szCs w:val="20"/>
              </w:rPr>
              <w:t xml:space="preserve"> internationally agreed </w:t>
            </w:r>
            <w:r>
              <w:rPr>
                <w:sz w:val="20"/>
                <w:szCs w:val="20"/>
              </w:rPr>
              <w:t xml:space="preserve">sampling plans </w:t>
            </w:r>
            <w:r w:rsidRPr="003043E9">
              <w:rPr>
                <w:sz w:val="20"/>
                <w:szCs w:val="20"/>
              </w:rPr>
              <w:t>(International Commission on Microbiological Spec</w:t>
            </w:r>
            <w:r>
              <w:rPr>
                <w:sz w:val="20"/>
                <w:szCs w:val="20"/>
              </w:rPr>
              <w:t>ifications for Foods)</w:t>
            </w:r>
            <w:r w:rsidRPr="003043E9">
              <w:rPr>
                <w:sz w:val="20"/>
                <w:szCs w:val="20"/>
              </w:rPr>
              <w:t xml:space="preserve"> </w:t>
            </w:r>
            <w:r>
              <w:rPr>
                <w:sz w:val="20"/>
                <w:szCs w:val="20"/>
              </w:rPr>
              <w:t xml:space="preserve">in which a </w:t>
            </w:r>
            <w:r w:rsidR="00026B8F" w:rsidRPr="003043E9">
              <w:rPr>
                <w:sz w:val="20"/>
                <w:szCs w:val="20"/>
              </w:rPr>
              <w:t xml:space="preserve">minimum number of sample units </w:t>
            </w:r>
            <w:r>
              <w:rPr>
                <w:sz w:val="20"/>
                <w:szCs w:val="20"/>
              </w:rPr>
              <w:t>are</w:t>
            </w:r>
            <w:r w:rsidR="00026B8F" w:rsidRPr="003043E9">
              <w:rPr>
                <w:sz w:val="20"/>
                <w:szCs w:val="20"/>
              </w:rPr>
              <w:t xml:space="preserve"> taken (generally n=5) to represent the lot</w:t>
            </w:r>
            <w:r>
              <w:rPr>
                <w:sz w:val="20"/>
                <w:szCs w:val="20"/>
              </w:rPr>
              <w:t>. T</w:t>
            </w:r>
            <w:r w:rsidR="00026B8F" w:rsidRPr="003043E9">
              <w:rPr>
                <w:sz w:val="20"/>
                <w:szCs w:val="20"/>
              </w:rPr>
              <w:t>his provides an appropriate degree of confidence that a pathogen is not present or is at a safe level (based the probability of accepting or rejecting a lot of food at a given level of contamination).</w:t>
            </w:r>
            <w:r>
              <w:rPr>
                <w:sz w:val="20"/>
                <w:szCs w:val="20"/>
              </w:rPr>
              <w:t xml:space="preserve"> </w:t>
            </w:r>
            <w:r w:rsidR="004A6625">
              <w:rPr>
                <w:sz w:val="20"/>
                <w:szCs w:val="20"/>
              </w:rPr>
              <w:t>Testing in accordance with the sampling plan in</w:t>
            </w:r>
            <w:r>
              <w:rPr>
                <w:sz w:val="20"/>
                <w:szCs w:val="20"/>
              </w:rPr>
              <w:t xml:space="preserve"> Standard 1.6.1 </w:t>
            </w:r>
            <w:r w:rsidR="004A6625">
              <w:rPr>
                <w:sz w:val="20"/>
                <w:szCs w:val="20"/>
              </w:rPr>
              <w:t>is required when</w:t>
            </w:r>
            <w:r>
              <w:rPr>
                <w:sz w:val="20"/>
                <w:szCs w:val="20"/>
              </w:rPr>
              <w:t xml:space="preserve"> </w:t>
            </w:r>
            <w:r w:rsidRPr="003043E9">
              <w:rPr>
                <w:sz w:val="20"/>
                <w:szCs w:val="20"/>
              </w:rPr>
              <w:t xml:space="preserve">testing </w:t>
            </w:r>
            <w:r w:rsidR="004A6625">
              <w:rPr>
                <w:sz w:val="20"/>
                <w:szCs w:val="20"/>
              </w:rPr>
              <w:t>is</w:t>
            </w:r>
            <w:r w:rsidRPr="003043E9">
              <w:rPr>
                <w:sz w:val="20"/>
                <w:szCs w:val="20"/>
              </w:rPr>
              <w:t xml:space="preserve"> undertaken for regulatory/compliance purposes</w:t>
            </w:r>
            <w:r w:rsidR="004A6625">
              <w:rPr>
                <w:sz w:val="20"/>
                <w:szCs w:val="20"/>
              </w:rPr>
              <w:t>.</w:t>
            </w:r>
            <w:r>
              <w:rPr>
                <w:sz w:val="20"/>
                <w:szCs w:val="20"/>
              </w:rPr>
              <w:t xml:space="preserve"> It would be expected that routine monitoring and verification testing is undertaken as appropriate</w:t>
            </w:r>
            <w:r w:rsidR="004A6625">
              <w:rPr>
                <w:sz w:val="20"/>
                <w:szCs w:val="20"/>
              </w:rPr>
              <w:t xml:space="preserve"> by industry</w:t>
            </w:r>
            <w:r>
              <w:rPr>
                <w:sz w:val="20"/>
                <w:szCs w:val="20"/>
              </w:rPr>
              <w:t xml:space="preserve"> to provide </w:t>
            </w:r>
            <w:r w:rsidR="004A6625">
              <w:rPr>
                <w:sz w:val="20"/>
                <w:szCs w:val="20"/>
              </w:rPr>
              <w:t>the level of confidence that the</w:t>
            </w:r>
            <w:r w:rsidR="00B828C1">
              <w:rPr>
                <w:sz w:val="20"/>
                <w:szCs w:val="20"/>
              </w:rPr>
              <w:t>ir</w:t>
            </w:r>
            <w:r w:rsidR="004A6625">
              <w:rPr>
                <w:sz w:val="20"/>
                <w:szCs w:val="20"/>
              </w:rPr>
              <w:t xml:space="preserve"> food </w:t>
            </w:r>
            <w:r w:rsidR="00B828C1">
              <w:rPr>
                <w:sz w:val="20"/>
                <w:szCs w:val="20"/>
              </w:rPr>
              <w:t xml:space="preserve">safety system </w:t>
            </w:r>
            <w:r w:rsidR="004A6625">
              <w:rPr>
                <w:sz w:val="20"/>
                <w:szCs w:val="20"/>
              </w:rPr>
              <w:t xml:space="preserve">is </w:t>
            </w:r>
            <w:r w:rsidR="00B828C1">
              <w:rPr>
                <w:sz w:val="20"/>
                <w:szCs w:val="20"/>
              </w:rPr>
              <w:t>working.</w:t>
            </w:r>
            <w:r w:rsidR="004A6625">
              <w:rPr>
                <w:sz w:val="20"/>
                <w:szCs w:val="20"/>
              </w:rPr>
              <w:t xml:space="preserve"> </w:t>
            </w:r>
          </w:p>
          <w:p w:rsidR="00026B8F" w:rsidRPr="00A36D66" w:rsidRDefault="004A6625" w:rsidP="003E638B">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 Alternative sampling instructions for </w:t>
            </w:r>
            <w:r w:rsidR="00355B56">
              <w:rPr>
                <w:sz w:val="20"/>
                <w:szCs w:val="20"/>
              </w:rPr>
              <w:t xml:space="preserve">authorised </w:t>
            </w:r>
            <w:r w:rsidR="00026B8F">
              <w:rPr>
                <w:sz w:val="20"/>
                <w:szCs w:val="20"/>
              </w:rPr>
              <w:t>officers</w:t>
            </w:r>
            <w:r w:rsidR="006B2EE1">
              <w:rPr>
                <w:sz w:val="20"/>
                <w:szCs w:val="20"/>
              </w:rPr>
              <w:t xml:space="preserve"> during a food </w:t>
            </w:r>
            <w:r w:rsidR="00355B56">
              <w:rPr>
                <w:sz w:val="20"/>
                <w:szCs w:val="20"/>
              </w:rPr>
              <w:t xml:space="preserve">poisoning </w:t>
            </w:r>
            <w:r w:rsidR="006B2EE1">
              <w:rPr>
                <w:sz w:val="20"/>
                <w:szCs w:val="20"/>
              </w:rPr>
              <w:t>incident or consumer complaint</w:t>
            </w:r>
            <w:r>
              <w:rPr>
                <w:sz w:val="20"/>
                <w:szCs w:val="20"/>
              </w:rPr>
              <w:t>, enabling fewer sample units</w:t>
            </w:r>
            <w:r w:rsidR="006B2EE1">
              <w:rPr>
                <w:sz w:val="20"/>
                <w:szCs w:val="20"/>
              </w:rPr>
              <w:t xml:space="preserve"> or less volume</w:t>
            </w:r>
            <w:r>
              <w:rPr>
                <w:sz w:val="20"/>
                <w:szCs w:val="20"/>
              </w:rPr>
              <w:t xml:space="preserve"> to be </w:t>
            </w:r>
            <w:r w:rsidR="006B2EE1">
              <w:rPr>
                <w:sz w:val="20"/>
                <w:szCs w:val="20"/>
              </w:rPr>
              <w:t>taken</w:t>
            </w:r>
            <w:r>
              <w:rPr>
                <w:sz w:val="20"/>
                <w:szCs w:val="20"/>
              </w:rPr>
              <w:t xml:space="preserve"> are </w:t>
            </w:r>
            <w:r w:rsidR="00970DDB">
              <w:rPr>
                <w:sz w:val="20"/>
                <w:szCs w:val="20"/>
              </w:rPr>
              <w:t xml:space="preserve">currently </w:t>
            </w:r>
            <w:r>
              <w:rPr>
                <w:sz w:val="20"/>
                <w:szCs w:val="20"/>
              </w:rPr>
              <w:t>specified in the standard</w:t>
            </w:r>
            <w:r w:rsidR="00A31543">
              <w:rPr>
                <w:sz w:val="20"/>
                <w:szCs w:val="20"/>
              </w:rPr>
              <w:t xml:space="preserve">. </w:t>
            </w:r>
          </w:p>
        </w:tc>
      </w:tr>
      <w:tr w:rsidR="00026B8F" w:rsidRPr="00A36D66" w:rsidTr="006C6A85">
        <w:trPr>
          <w:cnfStyle w:val="000000010000" w:firstRow="0" w:lastRow="0" w:firstColumn="0" w:lastColumn="0" w:oddVBand="0" w:evenVBand="0" w:oddHBand="0" w:evenHBand="1" w:firstRowFirstColumn="0" w:firstRowLastColumn="0" w:lastRowFirstColumn="0" w:lastRowLastColumn="0"/>
          <w:cantSplit/>
          <w:trHeight w:val="1069"/>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tcPr>
          <w:p w:rsidR="00026B8F" w:rsidRDefault="00026B8F" w:rsidP="00F42B30">
            <w:pPr>
              <w:autoSpaceDE w:val="0"/>
              <w:autoSpaceDN w:val="0"/>
              <w:adjustRightInd w:val="0"/>
              <w:rPr>
                <w:sz w:val="20"/>
                <w:szCs w:val="20"/>
              </w:rPr>
            </w:pPr>
            <w:r w:rsidRPr="004A5966">
              <w:rPr>
                <w:sz w:val="20"/>
                <w:szCs w:val="20"/>
              </w:rPr>
              <w:lastRenderedPageBreak/>
              <w:t>Purpose statement</w:t>
            </w:r>
            <w:r>
              <w:rPr>
                <w:sz w:val="20"/>
                <w:szCs w:val="20"/>
              </w:rPr>
              <w:t xml:space="preserve"> -</w:t>
            </w:r>
          </w:p>
          <w:p w:rsidR="00026B8F" w:rsidRPr="00402697" w:rsidRDefault="00B828C1" w:rsidP="00F12DDF">
            <w:pPr>
              <w:autoSpaceDE w:val="0"/>
              <w:autoSpaceDN w:val="0"/>
              <w:adjustRightInd w:val="0"/>
              <w:ind w:left="113" w:hanging="113"/>
              <w:rPr>
                <w:b w:val="0"/>
                <w:sz w:val="20"/>
                <w:szCs w:val="20"/>
              </w:rPr>
            </w:pPr>
            <w:r>
              <w:rPr>
                <w:b w:val="0"/>
                <w:sz w:val="20"/>
                <w:szCs w:val="20"/>
              </w:rPr>
              <w:t>Further c</w:t>
            </w:r>
            <w:r w:rsidR="00026B8F" w:rsidRPr="00402697">
              <w:rPr>
                <w:b w:val="0"/>
                <w:sz w:val="20"/>
                <w:szCs w:val="20"/>
              </w:rPr>
              <w:t>larity required around why microbiological limits are in the code</w:t>
            </w:r>
          </w:p>
        </w:tc>
        <w:tc>
          <w:tcPr>
            <w:tcW w:w="2568" w:type="dxa"/>
            <w:tcBorders>
              <w:left w:val="single" w:sz="4" w:space="0" w:color="auto"/>
              <w:right w:val="single" w:sz="4" w:space="0" w:color="auto"/>
            </w:tcBorders>
          </w:tcPr>
          <w:p w:rsidR="00026B8F" w:rsidRPr="00D81E34" w:rsidRDefault="00B828C1" w:rsidP="00F42B30">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Government (enforcement agencies)</w:t>
            </w:r>
          </w:p>
        </w:tc>
        <w:tc>
          <w:tcPr>
            <w:tcW w:w="8772" w:type="dxa"/>
            <w:tcBorders>
              <w:left w:val="single" w:sz="4" w:space="0" w:color="auto"/>
            </w:tcBorders>
          </w:tcPr>
          <w:p w:rsidR="00026B8F" w:rsidRDefault="006B2EE1" w:rsidP="00F42B30">
            <w:pPr>
              <w:pStyle w:val="FSHeading"/>
              <w:ind w:left="0" w:firstLine="0"/>
              <w:cnfStyle w:val="000000010000" w:firstRow="0" w:lastRow="0" w:firstColumn="0" w:lastColumn="0" w:oddVBand="0" w:evenVBand="0" w:oddHBand="0" w:evenHBand="1" w:firstRowFirstColumn="0" w:firstRowLastColumn="0" w:lastRowFirstColumn="0" w:lastRowLastColumn="0"/>
              <w:rPr>
                <w:b w:val="0"/>
                <w:sz w:val="20"/>
              </w:rPr>
            </w:pPr>
            <w:r>
              <w:rPr>
                <w:b w:val="0"/>
                <w:sz w:val="20"/>
              </w:rPr>
              <w:t>The intent of the p</w:t>
            </w:r>
            <w:r w:rsidR="00026B8F">
              <w:rPr>
                <w:b w:val="0"/>
                <w:sz w:val="20"/>
              </w:rPr>
              <w:t>urpose statement is to cover three main elements:</w:t>
            </w:r>
          </w:p>
          <w:p w:rsidR="00026B8F" w:rsidRDefault="00026B8F" w:rsidP="000F39DA">
            <w:pPr>
              <w:pStyle w:val="FSHeading"/>
              <w:numPr>
                <w:ilvl w:val="0"/>
                <w:numId w:val="13"/>
              </w:numPr>
              <w:ind w:left="284" w:hanging="284"/>
              <w:cnfStyle w:val="000000010000" w:firstRow="0" w:lastRow="0" w:firstColumn="0" w:lastColumn="0" w:oddVBand="0" w:evenVBand="0" w:oddHBand="0" w:evenHBand="1" w:firstRowFirstColumn="0" w:firstRowLastColumn="0" w:lastRowFirstColumn="0" w:lastRowLastColumn="0"/>
              <w:rPr>
                <w:b w:val="0"/>
                <w:sz w:val="20"/>
              </w:rPr>
            </w:pPr>
            <w:r>
              <w:rPr>
                <w:b w:val="0"/>
                <w:sz w:val="20"/>
              </w:rPr>
              <w:t xml:space="preserve">Standard 1.6.1 establishes microbiological limits against which a lot of food should comply when tested for </w:t>
            </w:r>
            <w:r w:rsidR="006B2EE1">
              <w:rPr>
                <w:b w:val="0"/>
                <w:sz w:val="20"/>
              </w:rPr>
              <w:t>regulatory/compliance purposes.</w:t>
            </w:r>
          </w:p>
          <w:p w:rsidR="00026B8F" w:rsidRDefault="00026B8F" w:rsidP="000F39DA">
            <w:pPr>
              <w:pStyle w:val="FSHeading"/>
              <w:numPr>
                <w:ilvl w:val="0"/>
                <w:numId w:val="13"/>
              </w:numPr>
              <w:ind w:left="284" w:hanging="284"/>
              <w:cnfStyle w:val="000000010000" w:firstRow="0" w:lastRow="0" w:firstColumn="0" w:lastColumn="0" w:oddVBand="0" w:evenVBand="0" w:oddHBand="0" w:evenHBand="1" w:firstRowFirstColumn="0" w:firstRowLastColumn="0" w:lastRowFirstColumn="0" w:lastRowLastColumn="0"/>
              <w:rPr>
                <w:b w:val="0"/>
                <w:sz w:val="20"/>
              </w:rPr>
            </w:pPr>
            <w:r>
              <w:rPr>
                <w:b w:val="0"/>
                <w:sz w:val="20"/>
              </w:rPr>
              <w:t>Sampling plans are set out in the Schedule to the Standard</w:t>
            </w:r>
            <w:r w:rsidR="006B2EE1">
              <w:rPr>
                <w:b w:val="0"/>
                <w:sz w:val="20"/>
              </w:rPr>
              <w:t>.</w:t>
            </w:r>
            <w:r>
              <w:rPr>
                <w:b w:val="0"/>
                <w:sz w:val="20"/>
              </w:rPr>
              <w:t xml:space="preserve"> </w:t>
            </w:r>
          </w:p>
          <w:p w:rsidR="00026B8F" w:rsidRDefault="00026B8F" w:rsidP="000F39DA">
            <w:pPr>
              <w:pStyle w:val="FSHeading"/>
              <w:numPr>
                <w:ilvl w:val="0"/>
                <w:numId w:val="13"/>
              </w:numPr>
              <w:ind w:left="284" w:hanging="284"/>
              <w:cnfStyle w:val="000000010000" w:firstRow="0" w:lastRow="0" w:firstColumn="0" w:lastColumn="0" w:oddVBand="0" w:evenVBand="0" w:oddHBand="0" w:evenHBand="1" w:firstRowFirstColumn="0" w:firstRowLastColumn="0" w:lastRowFirstColumn="0" w:lastRowLastColumn="0"/>
              <w:rPr>
                <w:b w:val="0"/>
                <w:sz w:val="20"/>
              </w:rPr>
            </w:pPr>
            <w:r>
              <w:rPr>
                <w:b w:val="0"/>
                <w:sz w:val="20"/>
              </w:rPr>
              <w:t>Foods failing to comply with these limits should be considered to pose a risk to human health and</w:t>
            </w:r>
            <w:r w:rsidR="006B2EE1">
              <w:rPr>
                <w:b w:val="0"/>
                <w:sz w:val="20"/>
              </w:rPr>
              <w:t xml:space="preserve"> should not be offered for sale.</w:t>
            </w:r>
          </w:p>
          <w:p w:rsidR="00026B8F" w:rsidRPr="00D81E34" w:rsidRDefault="00026B8F" w:rsidP="00F42B30">
            <w:pPr>
              <w:pStyle w:val="FSHeading"/>
              <w:cnfStyle w:val="000000010000" w:firstRow="0" w:lastRow="0" w:firstColumn="0" w:lastColumn="0" w:oddVBand="0" w:evenVBand="0" w:oddHBand="0" w:evenHBand="1" w:firstRowFirstColumn="0" w:firstRowLastColumn="0" w:lastRowFirstColumn="0" w:lastRowLastColumn="0"/>
              <w:rPr>
                <w:b w:val="0"/>
                <w:sz w:val="20"/>
              </w:rPr>
            </w:pPr>
            <w:r>
              <w:rPr>
                <w:b w:val="0"/>
                <w:sz w:val="20"/>
              </w:rPr>
              <w:t>FSANZ considered suggested wording changes in finalising this proposal.</w:t>
            </w:r>
          </w:p>
        </w:tc>
      </w:tr>
      <w:tr w:rsidR="00026B8F" w:rsidRPr="00A36D66" w:rsidTr="006C6A85">
        <w:trPr>
          <w:cnfStyle w:val="000000100000" w:firstRow="0" w:lastRow="0" w:firstColumn="0" w:lastColumn="0" w:oddVBand="0" w:evenVBand="0" w:oddHBand="1" w:evenHBand="0" w:firstRowFirstColumn="0" w:firstRowLastColumn="0" w:lastRowFirstColumn="0" w:lastRowLastColumn="0"/>
          <w:cantSplit/>
          <w:trHeight w:val="230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Default="00026B8F" w:rsidP="00F42B30">
            <w:pPr>
              <w:autoSpaceDE w:val="0"/>
              <w:autoSpaceDN w:val="0"/>
              <w:adjustRightInd w:val="0"/>
              <w:ind w:left="113" w:hanging="113"/>
              <w:rPr>
                <w:rFonts w:cs="Arial"/>
                <w:color w:val="231F20"/>
                <w:sz w:val="20"/>
                <w:szCs w:val="20"/>
              </w:rPr>
            </w:pPr>
            <w:r w:rsidRPr="00A36D66">
              <w:rPr>
                <w:sz w:val="20"/>
                <w:szCs w:val="20"/>
              </w:rPr>
              <w:t xml:space="preserve">Inclusion of amendments to other areas of Standard 1.6.1 that are NOT related to </w:t>
            </w:r>
            <w:r w:rsidRPr="00A36D66">
              <w:rPr>
                <w:i/>
                <w:sz w:val="20"/>
                <w:szCs w:val="20"/>
              </w:rPr>
              <w:t>L. monocytogenes</w:t>
            </w:r>
            <w:r w:rsidRPr="00A36D66">
              <w:rPr>
                <w:rFonts w:cs="Arial"/>
                <w:color w:val="231F20"/>
                <w:sz w:val="20"/>
                <w:szCs w:val="20"/>
              </w:rPr>
              <w:t xml:space="preserve"> and RTE foods</w:t>
            </w:r>
          </w:p>
          <w:p w:rsidR="007926E8" w:rsidRPr="00A36D66" w:rsidRDefault="007926E8" w:rsidP="00F42B30">
            <w:pPr>
              <w:autoSpaceDE w:val="0"/>
              <w:autoSpaceDN w:val="0"/>
              <w:adjustRightInd w:val="0"/>
              <w:ind w:left="113" w:hanging="113"/>
              <w:rPr>
                <w:rFonts w:cs="Arial"/>
                <w:color w:val="231F20"/>
                <w:sz w:val="20"/>
                <w:szCs w:val="20"/>
              </w:rPr>
            </w:pPr>
          </w:p>
          <w:p w:rsidR="00026B8F" w:rsidRPr="0006607F" w:rsidRDefault="003E638B" w:rsidP="003E638B">
            <w:pPr>
              <w:autoSpaceDE w:val="0"/>
              <w:autoSpaceDN w:val="0"/>
              <w:adjustRightInd w:val="0"/>
              <w:ind w:left="113" w:hanging="113"/>
              <w:rPr>
                <w:b w:val="0"/>
                <w:sz w:val="20"/>
                <w:szCs w:val="20"/>
              </w:rPr>
            </w:pPr>
            <w:r>
              <w:rPr>
                <w:b w:val="0"/>
                <w:sz w:val="20"/>
                <w:szCs w:val="20"/>
              </w:rPr>
              <w:t xml:space="preserve">Concern about </w:t>
            </w:r>
            <w:r w:rsidR="00026B8F" w:rsidRPr="0006607F">
              <w:rPr>
                <w:b w:val="0"/>
                <w:sz w:val="20"/>
                <w:szCs w:val="20"/>
              </w:rPr>
              <w:t xml:space="preserve">lack of consultation with </w:t>
            </w:r>
            <w:r>
              <w:rPr>
                <w:b w:val="0"/>
                <w:sz w:val="20"/>
                <w:szCs w:val="20"/>
              </w:rPr>
              <w:t xml:space="preserve">all </w:t>
            </w:r>
            <w:r w:rsidR="0046378C">
              <w:rPr>
                <w:b w:val="0"/>
                <w:sz w:val="20"/>
                <w:szCs w:val="20"/>
              </w:rPr>
              <w:t>a</w:t>
            </w:r>
            <w:r>
              <w:rPr>
                <w:b w:val="0"/>
                <w:sz w:val="20"/>
                <w:szCs w:val="20"/>
              </w:rPr>
              <w:t xml:space="preserve">ffected </w:t>
            </w:r>
            <w:r w:rsidR="00026B8F" w:rsidRPr="0006607F">
              <w:rPr>
                <w:b w:val="0"/>
                <w:sz w:val="20"/>
                <w:szCs w:val="20"/>
              </w:rPr>
              <w:t xml:space="preserve">industry stakeholders </w:t>
            </w:r>
          </w:p>
        </w:tc>
        <w:tc>
          <w:tcPr>
            <w:tcW w:w="2568" w:type="dxa"/>
            <w:tcBorders>
              <w:left w:val="none" w:sz="0" w:space="0" w:color="auto"/>
              <w:right w:val="none" w:sz="0" w:space="0" w:color="auto"/>
            </w:tcBorders>
          </w:tcPr>
          <w:p w:rsidR="00026B8F" w:rsidRPr="00A36D66" w:rsidRDefault="00B828C1" w:rsidP="00F42B3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Industry/Industry Associations</w:t>
            </w:r>
          </w:p>
          <w:p w:rsidR="00026B8F" w:rsidRPr="00A36D66" w:rsidRDefault="00026B8F" w:rsidP="00F42B30">
            <w:pPr>
              <w:cnfStyle w:val="000000100000" w:firstRow="0" w:lastRow="0" w:firstColumn="0" w:lastColumn="0" w:oddVBand="0" w:evenVBand="0" w:oddHBand="1" w:evenHBand="0" w:firstRowFirstColumn="0" w:firstRowLastColumn="0" w:lastRowFirstColumn="0" w:lastRowLastColumn="0"/>
              <w:rPr>
                <w:sz w:val="20"/>
                <w:szCs w:val="20"/>
              </w:rPr>
            </w:pPr>
          </w:p>
        </w:tc>
        <w:tc>
          <w:tcPr>
            <w:tcW w:w="8772" w:type="dxa"/>
            <w:tcBorders>
              <w:left w:val="none" w:sz="0" w:space="0" w:color="auto"/>
            </w:tcBorders>
          </w:tcPr>
          <w:p w:rsidR="00DF6C6C" w:rsidRDefault="00026B8F"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A36D66">
              <w:rPr>
                <w:sz w:val="20"/>
                <w:szCs w:val="20"/>
              </w:rPr>
              <w:t xml:space="preserve">Amendments to the </w:t>
            </w:r>
            <w:r w:rsidR="006B2EE1">
              <w:rPr>
                <w:sz w:val="20"/>
                <w:szCs w:val="20"/>
              </w:rPr>
              <w:t>s</w:t>
            </w:r>
            <w:r w:rsidRPr="00A36D66">
              <w:rPr>
                <w:sz w:val="20"/>
                <w:szCs w:val="20"/>
              </w:rPr>
              <w:t xml:space="preserve">tandard that were out-dated or unclear such as </w:t>
            </w:r>
            <w:r>
              <w:rPr>
                <w:sz w:val="20"/>
                <w:szCs w:val="20"/>
              </w:rPr>
              <w:t xml:space="preserve">the </w:t>
            </w:r>
            <w:r w:rsidRPr="00A36D66">
              <w:rPr>
                <w:sz w:val="20"/>
                <w:szCs w:val="20"/>
              </w:rPr>
              <w:t>reference</w:t>
            </w:r>
            <w:r>
              <w:rPr>
                <w:sz w:val="20"/>
                <w:szCs w:val="20"/>
              </w:rPr>
              <w:t xml:space="preserve"> </w:t>
            </w:r>
            <w:r w:rsidRPr="00A36D66">
              <w:rPr>
                <w:sz w:val="20"/>
                <w:szCs w:val="20"/>
              </w:rPr>
              <w:t xml:space="preserve">methods of analysis, the purpose statement for Standard 1.6.1 and the presentation of information within the Schedule to the standard were included </w:t>
            </w:r>
            <w:r>
              <w:rPr>
                <w:sz w:val="20"/>
                <w:szCs w:val="20"/>
              </w:rPr>
              <w:t xml:space="preserve">under P1017. </w:t>
            </w:r>
          </w:p>
          <w:p w:rsidR="00026B8F" w:rsidRPr="00A36D66" w:rsidRDefault="00026B8F"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 1</w:t>
            </w:r>
            <w:r w:rsidRPr="00F84380">
              <w:rPr>
                <w:sz w:val="20"/>
                <w:szCs w:val="20"/>
                <w:vertAlign w:val="superscript"/>
              </w:rPr>
              <w:t>st</w:t>
            </w:r>
            <w:r>
              <w:rPr>
                <w:sz w:val="20"/>
                <w:szCs w:val="20"/>
              </w:rPr>
              <w:t xml:space="preserve"> CFS report outline</w:t>
            </w:r>
            <w:r w:rsidR="003E638B">
              <w:rPr>
                <w:sz w:val="20"/>
                <w:szCs w:val="20"/>
              </w:rPr>
              <w:t>d</w:t>
            </w:r>
            <w:r>
              <w:rPr>
                <w:sz w:val="20"/>
                <w:szCs w:val="20"/>
              </w:rPr>
              <w:t xml:space="preserve"> that </w:t>
            </w:r>
            <w:r w:rsidRPr="00F84380">
              <w:rPr>
                <w:sz w:val="20"/>
                <w:szCs w:val="20"/>
              </w:rPr>
              <w:t xml:space="preserve">P1017 </w:t>
            </w:r>
            <w:r w:rsidR="003E638B">
              <w:rPr>
                <w:sz w:val="20"/>
                <w:szCs w:val="20"/>
              </w:rPr>
              <w:t>would</w:t>
            </w:r>
            <w:r w:rsidRPr="00F84380">
              <w:rPr>
                <w:sz w:val="20"/>
                <w:szCs w:val="20"/>
              </w:rPr>
              <w:t xml:space="preserve"> address </w:t>
            </w:r>
            <w:r w:rsidR="00DF6C6C">
              <w:rPr>
                <w:sz w:val="20"/>
                <w:szCs w:val="20"/>
              </w:rPr>
              <w:t>outdated methods,</w:t>
            </w:r>
            <w:r>
              <w:rPr>
                <w:sz w:val="20"/>
                <w:szCs w:val="20"/>
              </w:rPr>
              <w:t xml:space="preserve"> </w:t>
            </w:r>
            <w:r w:rsidR="00F12DDF">
              <w:rPr>
                <w:sz w:val="20"/>
                <w:szCs w:val="20"/>
              </w:rPr>
              <w:t xml:space="preserve">together with </w:t>
            </w:r>
            <w:r w:rsidRPr="00F84380">
              <w:rPr>
                <w:sz w:val="20"/>
                <w:szCs w:val="20"/>
              </w:rPr>
              <w:t xml:space="preserve">a number of problems that </w:t>
            </w:r>
            <w:r>
              <w:rPr>
                <w:sz w:val="20"/>
                <w:szCs w:val="20"/>
              </w:rPr>
              <w:t>were</w:t>
            </w:r>
            <w:r w:rsidRPr="00F84380">
              <w:rPr>
                <w:sz w:val="20"/>
                <w:szCs w:val="20"/>
              </w:rPr>
              <w:t xml:space="preserve"> identified with the </w:t>
            </w:r>
            <w:r>
              <w:rPr>
                <w:sz w:val="20"/>
                <w:szCs w:val="20"/>
              </w:rPr>
              <w:t>previous</w:t>
            </w:r>
            <w:r w:rsidRPr="00F84380">
              <w:rPr>
                <w:sz w:val="20"/>
                <w:szCs w:val="20"/>
              </w:rPr>
              <w:t xml:space="preserve"> limits for </w:t>
            </w:r>
            <w:r w:rsidRPr="00F84380">
              <w:rPr>
                <w:i/>
                <w:sz w:val="20"/>
                <w:szCs w:val="20"/>
              </w:rPr>
              <w:t>L. monocytogenes</w:t>
            </w:r>
            <w:r w:rsidRPr="00F84380">
              <w:rPr>
                <w:sz w:val="20"/>
                <w:szCs w:val="20"/>
              </w:rPr>
              <w:t xml:space="preserve"> in the Code</w:t>
            </w:r>
            <w:r w:rsidR="00A31543">
              <w:rPr>
                <w:sz w:val="20"/>
                <w:szCs w:val="20"/>
              </w:rPr>
              <w:t xml:space="preserve">. </w:t>
            </w:r>
          </w:p>
          <w:p w:rsidR="00026B8F" w:rsidRDefault="00026B8F"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A36D66">
              <w:rPr>
                <w:sz w:val="20"/>
                <w:szCs w:val="20"/>
              </w:rPr>
              <w:t xml:space="preserve">The </w:t>
            </w:r>
            <w:r w:rsidR="00D658C3">
              <w:rPr>
                <w:sz w:val="20"/>
                <w:szCs w:val="20"/>
              </w:rPr>
              <w:t>draft variation</w:t>
            </w:r>
            <w:r>
              <w:rPr>
                <w:sz w:val="20"/>
                <w:szCs w:val="20"/>
              </w:rPr>
              <w:t xml:space="preserve"> </w:t>
            </w:r>
            <w:r w:rsidRPr="00A36D66">
              <w:rPr>
                <w:sz w:val="20"/>
                <w:szCs w:val="20"/>
              </w:rPr>
              <w:t xml:space="preserve">to Standard </w:t>
            </w:r>
            <w:r>
              <w:rPr>
                <w:sz w:val="20"/>
                <w:szCs w:val="20"/>
              </w:rPr>
              <w:t xml:space="preserve">1.6.1 </w:t>
            </w:r>
            <w:r w:rsidR="00D658C3">
              <w:rPr>
                <w:sz w:val="20"/>
                <w:szCs w:val="20"/>
              </w:rPr>
              <w:t>at 2</w:t>
            </w:r>
            <w:r w:rsidR="007926E8" w:rsidRPr="007926E8">
              <w:rPr>
                <w:sz w:val="20"/>
                <w:szCs w:val="20"/>
                <w:vertAlign w:val="superscript"/>
              </w:rPr>
              <w:t>nd</w:t>
            </w:r>
            <w:r w:rsidR="007926E8">
              <w:rPr>
                <w:sz w:val="20"/>
                <w:szCs w:val="20"/>
              </w:rPr>
              <w:t xml:space="preserve"> </w:t>
            </w:r>
            <w:r w:rsidR="00D658C3">
              <w:rPr>
                <w:sz w:val="20"/>
                <w:szCs w:val="20"/>
              </w:rPr>
              <w:t xml:space="preserve">CFS </w:t>
            </w:r>
            <w:r>
              <w:rPr>
                <w:sz w:val="20"/>
                <w:szCs w:val="20"/>
              </w:rPr>
              <w:t xml:space="preserve">did not change existing limits (other than for </w:t>
            </w:r>
            <w:r w:rsidR="00DA10E9">
              <w:rPr>
                <w:sz w:val="20"/>
                <w:szCs w:val="20"/>
              </w:rPr>
              <w:br w:type="textWrapping" w:clear="all"/>
            </w:r>
            <w:r w:rsidRPr="00B76E3B">
              <w:rPr>
                <w:i/>
                <w:sz w:val="20"/>
                <w:szCs w:val="20"/>
              </w:rPr>
              <w:t>L. monocytogenes</w:t>
            </w:r>
            <w:r>
              <w:rPr>
                <w:sz w:val="20"/>
                <w:szCs w:val="20"/>
              </w:rPr>
              <w:t>)</w:t>
            </w:r>
            <w:r w:rsidRPr="00A36D66">
              <w:rPr>
                <w:sz w:val="20"/>
                <w:szCs w:val="20"/>
              </w:rPr>
              <w:t xml:space="preserve"> </w:t>
            </w:r>
            <w:r>
              <w:rPr>
                <w:sz w:val="20"/>
                <w:szCs w:val="20"/>
              </w:rPr>
              <w:t xml:space="preserve">but </w:t>
            </w:r>
            <w:r w:rsidRPr="00A36D66">
              <w:rPr>
                <w:sz w:val="20"/>
                <w:szCs w:val="20"/>
              </w:rPr>
              <w:t xml:space="preserve">only </w:t>
            </w:r>
            <w:r>
              <w:rPr>
                <w:sz w:val="20"/>
                <w:szCs w:val="20"/>
              </w:rPr>
              <w:t xml:space="preserve">sought to </w:t>
            </w:r>
            <w:r w:rsidRPr="00A36D66">
              <w:rPr>
                <w:sz w:val="20"/>
                <w:szCs w:val="20"/>
              </w:rPr>
              <w:t xml:space="preserve">clarify </w:t>
            </w:r>
            <w:r w:rsidR="00B828C1">
              <w:rPr>
                <w:sz w:val="20"/>
                <w:szCs w:val="20"/>
              </w:rPr>
              <w:t>them</w:t>
            </w:r>
            <w:r>
              <w:rPr>
                <w:sz w:val="20"/>
                <w:szCs w:val="20"/>
              </w:rPr>
              <w:t xml:space="preserve"> (</w:t>
            </w:r>
            <w:r w:rsidR="00B828C1">
              <w:rPr>
                <w:sz w:val="20"/>
                <w:szCs w:val="20"/>
              </w:rPr>
              <w:t xml:space="preserve">e.g. </w:t>
            </w:r>
            <w:r>
              <w:rPr>
                <w:sz w:val="20"/>
                <w:szCs w:val="20"/>
              </w:rPr>
              <w:t>including appropriate analytical units) and update methodology</w:t>
            </w:r>
            <w:r w:rsidRPr="00A36D66">
              <w:rPr>
                <w:sz w:val="20"/>
                <w:szCs w:val="20"/>
              </w:rPr>
              <w:t xml:space="preserve">. </w:t>
            </w:r>
            <w:r w:rsidR="00D658C3">
              <w:rPr>
                <w:sz w:val="20"/>
                <w:szCs w:val="20"/>
              </w:rPr>
              <w:t>However</w:t>
            </w:r>
            <w:r w:rsidR="006D48DE">
              <w:rPr>
                <w:sz w:val="20"/>
                <w:szCs w:val="20"/>
              </w:rPr>
              <w:t>,</w:t>
            </w:r>
            <w:r w:rsidR="00B828C1">
              <w:rPr>
                <w:sz w:val="20"/>
                <w:szCs w:val="20"/>
              </w:rPr>
              <w:t xml:space="preserve"> </w:t>
            </w:r>
            <w:r>
              <w:rPr>
                <w:sz w:val="20"/>
                <w:szCs w:val="20"/>
              </w:rPr>
              <w:t xml:space="preserve">FSANZ </w:t>
            </w:r>
            <w:r w:rsidR="00D658C3">
              <w:rPr>
                <w:sz w:val="20"/>
                <w:szCs w:val="20"/>
              </w:rPr>
              <w:t xml:space="preserve">has </w:t>
            </w:r>
            <w:r w:rsidR="00B828C1">
              <w:rPr>
                <w:sz w:val="20"/>
                <w:szCs w:val="20"/>
              </w:rPr>
              <w:t>n</w:t>
            </w:r>
            <w:r>
              <w:rPr>
                <w:sz w:val="20"/>
                <w:szCs w:val="20"/>
              </w:rPr>
              <w:t>o</w:t>
            </w:r>
            <w:r w:rsidR="00B828C1">
              <w:rPr>
                <w:sz w:val="20"/>
                <w:szCs w:val="20"/>
              </w:rPr>
              <w:t>te</w:t>
            </w:r>
            <w:r w:rsidR="00D658C3">
              <w:rPr>
                <w:sz w:val="20"/>
                <w:szCs w:val="20"/>
              </w:rPr>
              <w:t>d</w:t>
            </w:r>
            <w:r>
              <w:rPr>
                <w:sz w:val="20"/>
                <w:szCs w:val="20"/>
              </w:rPr>
              <w:t xml:space="preserve"> the concern</w:t>
            </w:r>
            <w:r w:rsidR="00D658C3">
              <w:rPr>
                <w:sz w:val="20"/>
                <w:szCs w:val="20"/>
              </w:rPr>
              <w:t>s</w:t>
            </w:r>
            <w:r>
              <w:rPr>
                <w:sz w:val="20"/>
                <w:szCs w:val="20"/>
              </w:rPr>
              <w:t xml:space="preserve"> raised by the inclusion of</w:t>
            </w:r>
            <w:r w:rsidR="008901BE">
              <w:rPr>
                <w:sz w:val="20"/>
                <w:szCs w:val="20"/>
              </w:rPr>
              <w:t xml:space="preserve"> “</w:t>
            </w:r>
            <w:r>
              <w:rPr>
                <w:sz w:val="20"/>
                <w:szCs w:val="20"/>
              </w:rPr>
              <w:t>MPN</w:t>
            </w:r>
            <w:r w:rsidR="008901BE">
              <w:rPr>
                <w:sz w:val="20"/>
                <w:szCs w:val="20"/>
              </w:rPr>
              <w:t>” in the Schedule</w:t>
            </w:r>
            <w:r>
              <w:rPr>
                <w:sz w:val="20"/>
                <w:szCs w:val="20"/>
              </w:rPr>
              <w:t xml:space="preserve"> (</w:t>
            </w:r>
            <w:r w:rsidR="00B828C1">
              <w:rPr>
                <w:sz w:val="20"/>
                <w:szCs w:val="20"/>
              </w:rPr>
              <w:t>discussed further</w:t>
            </w:r>
            <w:r>
              <w:rPr>
                <w:sz w:val="20"/>
                <w:szCs w:val="20"/>
              </w:rPr>
              <w:t xml:space="preserve"> below) and </w:t>
            </w:r>
            <w:r w:rsidR="00F12DDF">
              <w:rPr>
                <w:sz w:val="20"/>
                <w:szCs w:val="20"/>
              </w:rPr>
              <w:t>will now not proceed with this amendment in P1017.</w:t>
            </w:r>
          </w:p>
          <w:p w:rsidR="0046378C" w:rsidRPr="00A36D66" w:rsidRDefault="0046378C" w:rsidP="00E56CB8">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FSANZ acknowledges that the title of the proposal could have better reflected </w:t>
            </w:r>
            <w:r w:rsidR="00E56CB8">
              <w:rPr>
                <w:sz w:val="20"/>
                <w:szCs w:val="20"/>
              </w:rPr>
              <w:t>a broader scope for additional changes proposed to Standard 1.6.1</w:t>
            </w:r>
            <w:r>
              <w:rPr>
                <w:sz w:val="20"/>
                <w:szCs w:val="20"/>
              </w:rPr>
              <w:t xml:space="preserve">. </w:t>
            </w:r>
            <w:r w:rsidR="00E56CB8">
              <w:rPr>
                <w:sz w:val="20"/>
                <w:szCs w:val="20"/>
              </w:rPr>
              <w:t xml:space="preserve">Those not progressed under P1017 will be assessed in </w:t>
            </w:r>
            <w:r w:rsidR="00F12DDF" w:rsidRPr="00D81E34">
              <w:rPr>
                <w:sz w:val="20"/>
                <w:szCs w:val="20"/>
              </w:rPr>
              <w:t xml:space="preserve">further stages of the review of </w:t>
            </w:r>
            <w:r w:rsidR="00F12DDF">
              <w:rPr>
                <w:sz w:val="20"/>
                <w:szCs w:val="20"/>
              </w:rPr>
              <w:t xml:space="preserve">Standard </w:t>
            </w:r>
            <w:r w:rsidR="00F12DDF" w:rsidRPr="00D81E34">
              <w:rPr>
                <w:sz w:val="20"/>
                <w:szCs w:val="20"/>
              </w:rPr>
              <w:t>1.6.1</w:t>
            </w:r>
            <w:r w:rsidR="00E56CB8">
              <w:rPr>
                <w:sz w:val="20"/>
                <w:szCs w:val="20"/>
              </w:rPr>
              <w:t xml:space="preserve">. </w:t>
            </w:r>
          </w:p>
        </w:tc>
      </w:tr>
      <w:tr w:rsidR="00026B8F" w:rsidRPr="00A36D66" w:rsidTr="006C6A85">
        <w:trPr>
          <w:cnfStyle w:val="000000010000" w:firstRow="0" w:lastRow="0" w:firstColumn="0" w:lastColumn="0" w:oddVBand="0" w:evenVBand="0" w:oddHBand="0" w:evenHBand="1" w:firstRowFirstColumn="0" w:firstRowLastColumn="0" w:lastRowFirstColumn="0" w:lastRowLastColumn="0"/>
          <w:cantSplit/>
          <w:trHeight w:val="2344"/>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Pr="004A5966" w:rsidRDefault="00026B8F" w:rsidP="00F42B30">
            <w:pPr>
              <w:ind w:left="113" w:hanging="113"/>
              <w:rPr>
                <w:sz w:val="20"/>
                <w:szCs w:val="20"/>
              </w:rPr>
            </w:pPr>
            <w:r w:rsidRPr="004A5966">
              <w:rPr>
                <w:sz w:val="20"/>
                <w:szCs w:val="20"/>
              </w:rPr>
              <w:t xml:space="preserve">Inclusion of specific units describing the results of testing for indicator organisms - coliform and </w:t>
            </w:r>
            <w:r w:rsidRPr="004A5966">
              <w:rPr>
                <w:i/>
                <w:sz w:val="20"/>
                <w:szCs w:val="20"/>
              </w:rPr>
              <w:t>E. coli</w:t>
            </w:r>
            <w:r w:rsidRPr="004A5966">
              <w:rPr>
                <w:sz w:val="20"/>
                <w:szCs w:val="20"/>
              </w:rPr>
              <w:t xml:space="preserve"> tests. </w:t>
            </w:r>
          </w:p>
          <w:p w:rsidR="00026B8F" w:rsidRPr="004A5966" w:rsidRDefault="00026B8F" w:rsidP="00F42B30">
            <w:pPr>
              <w:ind w:left="113" w:hanging="113"/>
              <w:rPr>
                <w:sz w:val="20"/>
                <w:szCs w:val="20"/>
              </w:rPr>
            </w:pPr>
          </w:p>
          <w:p w:rsidR="00026B8F" w:rsidRPr="00D81E34" w:rsidRDefault="00026B8F" w:rsidP="00F42B30">
            <w:pPr>
              <w:ind w:left="113" w:hanging="113"/>
              <w:rPr>
                <w:b w:val="0"/>
                <w:sz w:val="20"/>
                <w:szCs w:val="20"/>
              </w:rPr>
            </w:pPr>
            <w:r w:rsidRPr="004A5966">
              <w:rPr>
                <w:b w:val="0"/>
                <w:sz w:val="20"/>
                <w:szCs w:val="20"/>
              </w:rPr>
              <w:t>“MPN/g” or “MPN/mL” as included in schedule</w:t>
            </w:r>
          </w:p>
        </w:tc>
        <w:tc>
          <w:tcPr>
            <w:tcW w:w="2568" w:type="dxa"/>
            <w:tcBorders>
              <w:left w:val="none" w:sz="0" w:space="0" w:color="auto"/>
              <w:right w:val="none" w:sz="0" w:space="0" w:color="auto"/>
            </w:tcBorders>
          </w:tcPr>
          <w:p w:rsidR="00026B8F" w:rsidRPr="00D81E34" w:rsidRDefault="008901BE" w:rsidP="00F42B30">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Industry/Industry Associations</w:t>
            </w:r>
          </w:p>
        </w:tc>
        <w:tc>
          <w:tcPr>
            <w:tcW w:w="8772" w:type="dxa"/>
            <w:tcBorders>
              <w:left w:val="none" w:sz="0" w:space="0" w:color="auto"/>
            </w:tcBorders>
          </w:tcPr>
          <w:p w:rsidR="00026B8F" w:rsidRPr="00D81E34" w:rsidRDefault="00026B8F"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D81E34">
              <w:rPr>
                <w:sz w:val="20"/>
                <w:szCs w:val="20"/>
              </w:rPr>
              <w:t>Th</w:t>
            </w:r>
            <w:r>
              <w:rPr>
                <w:sz w:val="20"/>
                <w:szCs w:val="20"/>
              </w:rPr>
              <w:t>e</w:t>
            </w:r>
            <w:r w:rsidRPr="00D81E34">
              <w:rPr>
                <w:sz w:val="20"/>
                <w:szCs w:val="20"/>
              </w:rPr>
              <w:t xml:space="preserve"> </w:t>
            </w:r>
            <w:r w:rsidR="007926E8" w:rsidRPr="00D81E34">
              <w:rPr>
                <w:sz w:val="20"/>
                <w:szCs w:val="20"/>
              </w:rPr>
              <w:t xml:space="preserve">inclusion of </w:t>
            </w:r>
            <w:r w:rsidR="007926E8">
              <w:rPr>
                <w:sz w:val="20"/>
                <w:szCs w:val="20"/>
              </w:rPr>
              <w:t xml:space="preserve">analytical </w:t>
            </w:r>
            <w:r w:rsidR="007926E8" w:rsidRPr="00D81E34">
              <w:rPr>
                <w:sz w:val="20"/>
                <w:szCs w:val="20"/>
              </w:rPr>
              <w:t xml:space="preserve">units </w:t>
            </w:r>
            <w:r w:rsidR="0054128D">
              <w:rPr>
                <w:sz w:val="20"/>
                <w:szCs w:val="20"/>
              </w:rPr>
              <w:t>did</w:t>
            </w:r>
            <w:r w:rsidRPr="00D81E34">
              <w:rPr>
                <w:sz w:val="20"/>
                <w:szCs w:val="20"/>
              </w:rPr>
              <w:t xml:space="preserve"> not chang</w:t>
            </w:r>
            <w:r>
              <w:rPr>
                <w:sz w:val="20"/>
                <w:szCs w:val="20"/>
              </w:rPr>
              <w:t>e</w:t>
            </w:r>
            <w:r w:rsidRPr="00D81E34">
              <w:rPr>
                <w:sz w:val="20"/>
                <w:szCs w:val="20"/>
              </w:rPr>
              <w:t xml:space="preserve"> the </w:t>
            </w:r>
            <w:r>
              <w:rPr>
                <w:sz w:val="20"/>
                <w:szCs w:val="20"/>
              </w:rPr>
              <w:t>limits or application</w:t>
            </w:r>
            <w:r w:rsidRPr="00D81E34">
              <w:rPr>
                <w:sz w:val="20"/>
                <w:szCs w:val="20"/>
              </w:rPr>
              <w:t xml:space="preserve"> of the </w:t>
            </w:r>
            <w:r w:rsidR="008901BE">
              <w:rPr>
                <w:sz w:val="20"/>
                <w:szCs w:val="20"/>
              </w:rPr>
              <w:t>s</w:t>
            </w:r>
            <w:r w:rsidR="008901BE" w:rsidRPr="00D81E34">
              <w:rPr>
                <w:sz w:val="20"/>
                <w:szCs w:val="20"/>
              </w:rPr>
              <w:t>tandard</w:t>
            </w:r>
            <w:r w:rsidR="006D48DE">
              <w:rPr>
                <w:sz w:val="20"/>
                <w:szCs w:val="20"/>
              </w:rPr>
              <w:t>;</w:t>
            </w:r>
            <w:r w:rsidR="00F12DDF">
              <w:rPr>
                <w:sz w:val="20"/>
                <w:szCs w:val="20"/>
              </w:rPr>
              <w:t xml:space="preserve"> it</w:t>
            </w:r>
            <w:r w:rsidR="00B828C1">
              <w:rPr>
                <w:sz w:val="20"/>
                <w:szCs w:val="20"/>
              </w:rPr>
              <w:t xml:space="preserve"> </w:t>
            </w:r>
            <w:r w:rsidRPr="00D81E34">
              <w:rPr>
                <w:sz w:val="20"/>
                <w:szCs w:val="20"/>
              </w:rPr>
              <w:t xml:space="preserve">only </w:t>
            </w:r>
            <w:r w:rsidR="00F12DDF">
              <w:rPr>
                <w:sz w:val="20"/>
                <w:szCs w:val="20"/>
              </w:rPr>
              <w:t>so</w:t>
            </w:r>
            <w:r w:rsidR="006D48DE">
              <w:rPr>
                <w:sz w:val="20"/>
                <w:szCs w:val="20"/>
              </w:rPr>
              <w:t>ught</w:t>
            </w:r>
            <w:r w:rsidR="00F12DDF">
              <w:rPr>
                <w:sz w:val="20"/>
                <w:szCs w:val="20"/>
              </w:rPr>
              <w:t xml:space="preserve"> to </w:t>
            </w:r>
            <w:r w:rsidR="005746C7" w:rsidRPr="00D81E34">
              <w:rPr>
                <w:sz w:val="20"/>
                <w:szCs w:val="20"/>
              </w:rPr>
              <w:t>clarif</w:t>
            </w:r>
            <w:r w:rsidR="0054128D">
              <w:rPr>
                <w:sz w:val="20"/>
                <w:szCs w:val="20"/>
              </w:rPr>
              <w:t>y</w:t>
            </w:r>
            <w:r w:rsidR="005746C7" w:rsidRPr="00D81E34">
              <w:rPr>
                <w:sz w:val="20"/>
                <w:szCs w:val="20"/>
              </w:rPr>
              <w:t xml:space="preserve"> </w:t>
            </w:r>
            <w:r w:rsidRPr="00D81E34">
              <w:rPr>
                <w:sz w:val="20"/>
                <w:szCs w:val="20"/>
              </w:rPr>
              <w:t>the</w:t>
            </w:r>
            <w:r>
              <w:rPr>
                <w:sz w:val="20"/>
                <w:szCs w:val="20"/>
              </w:rPr>
              <w:t xml:space="preserve"> basis for the</w:t>
            </w:r>
            <w:r w:rsidRPr="00D81E34">
              <w:rPr>
                <w:sz w:val="20"/>
                <w:szCs w:val="20"/>
              </w:rPr>
              <w:t xml:space="preserve"> previous limits set</w:t>
            </w:r>
            <w:r>
              <w:rPr>
                <w:sz w:val="20"/>
                <w:szCs w:val="20"/>
              </w:rPr>
              <w:t>. Advice from public health laboratory experts confirm</w:t>
            </w:r>
            <w:r w:rsidR="004247D1">
              <w:rPr>
                <w:sz w:val="20"/>
                <w:szCs w:val="20"/>
              </w:rPr>
              <w:t>s</w:t>
            </w:r>
            <w:r>
              <w:rPr>
                <w:sz w:val="20"/>
                <w:szCs w:val="20"/>
              </w:rPr>
              <w:t xml:space="preserve"> that under the existing A</w:t>
            </w:r>
            <w:r w:rsidR="0054128D">
              <w:rPr>
                <w:sz w:val="20"/>
                <w:szCs w:val="20"/>
              </w:rPr>
              <w:t xml:space="preserve">ustralian </w:t>
            </w:r>
            <w:r>
              <w:rPr>
                <w:sz w:val="20"/>
                <w:szCs w:val="20"/>
              </w:rPr>
              <w:t>S</w:t>
            </w:r>
            <w:r w:rsidR="0054128D">
              <w:rPr>
                <w:sz w:val="20"/>
                <w:szCs w:val="20"/>
              </w:rPr>
              <w:t>tandards (AS)</w:t>
            </w:r>
            <w:r>
              <w:rPr>
                <w:sz w:val="20"/>
                <w:szCs w:val="20"/>
              </w:rPr>
              <w:t xml:space="preserve"> methods, i</w:t>
            </w:r>
            <w:r w:rsidRPr="00D81E34">
              <w:rPr>
                <w:sz w:val="20"/>
                <w:szCs w:val="20"/>
              </w:rPr>
              <w:t xml:space="preserve">t would not be technically possible to obtain the limits specified for coliforms and/or </w:t>
            </w:r>
            <w:r w:rsidRPr="00D81E34">
              <w:rPr>
                <w:i/>
                <w:sz w:val="20"/>
                <w:szCs w:val="20"/>
              </w:rPr>
              <w:t>E. coli</w:t>
            </w:r>
            <w:r w:rsidRPr="00D81E34">
              <w:rPr>
                <w:sz w:val="20"/>
                <w:szCs w:val="20"/>
              </w:rPr>
              <w:t xml:space="preserve"> testing </w:t>
            </w:r>
            <w:r>
              <w:rPr>
                <w:sz w:val="20"/>
                <w:szCs w:val="20"/>
              </w:rPr>
              <w:t xml:space="preserve">(e.g. 2.3, 3.6 or 9.2) </w:t>
            </w:r>
            <w:r w:rsidRPr="00D81E34">
              <w:rPr>
                <w:sz w:val="20"/>
                <w:szCs w:val="20"/>
              </w:rPr>
              <w:t xml:space="preserve">without using </w:t>
            </w:r>
            <w:r>
              <w:rPr>
                <w:sz w:val="20"/>
                <w:szCs w:val="20"/>
              </w:rPr>
              <w:t xml:space="preserve">an </w:t>
            </w:r>
            <w:r w:rsidRPr="00D81E34">
              <w:rPr>
                <w:sz w:val="20"/>
                <w:szCs w:val="20"/>
              </w:rPr>
              <w:t>MPN method.</w:t>
            </w:r>
          </w:p>
          <w:p w:rsidR="00026B8F" w:rsidRPr="00D81E34" w:rsidRDefault="00026B8F"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D81E34">
              <w:rPr>
                <w:sz w:val="20"/>
                <w:szCs w:val="20"/>
              </w:rPr>
              <w:t xml:space="preserve">Concerns were noted in </w:t>
            </w:r>
            <w:r w:rsidR="006B2EE1">
              <w:rPr>
                <w:sz w:val="20"/>
                <w:szCs w:val="20"/>
              </w:rPr>
              <w:t>p</w:t>
            </w:r>
            <w:r w:rsidRPr="00D81E34">
              <w:rPr>
                <w:sz w:val="20"/>
                <w:szCs w:val="20"/>
              </w:rPr>
              <w:t>roposal P1025 (Code Revision), identifying issues with the inclusion of micro</w:t>
            </w:r>
            <w:r>
              <w:rPr>
                <w:sz w:val="20"/>
                <w:szCs w:val="20"/>
              </w:rPr>
              <w:t>biological</w:t>
            </w:r>
            <w:r w:rsidRPr="00D81E34">
              <w:rPr>
                <w:sz w:val="20"/>
                <w:szCs w:val="20"/>
              </w:rPr>
              <w:t xml:space="preserve"> limits without having clear units specified. </w:t>
            </w:r>
          </w:p>
          <w:p w:rsidR="00026B8F" w:rsidRPr="00D81E34" w:rsidRDefault="00026B8F"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D81E34">
              <w:rPr>
                <w:sz w:val="20"/>
                <w:szCs w:val="20"/>
              </w:rPr>
              <w:t>FSANZ consider</w:t>
            </w:r>
            <w:r w:rsidR="00D658C3">
              <w:rPr>
                <w:sz w:val="20"/>
                <w:szCs w:val="20"/>
              </w:rPr>
              <w:t>ed at</w:t>
            </w:r>
            <w:r w:rsidR="007926E8">
              <w:rPr>
                <w:sz w:val="20"/>
                <w:szCs w:val="20"/>
              </w:rPr>
              <w:t xml:space="preserve"> the</w:t>
            </w:r>
            <w:r w:rsidR="00D658C3">
              <w:rPr>
                <w:sz w:val="20"/>
                <w:szCs w:val="20"/>
              </w:rPr>
              <w:t xml:space="preserve"> 2</w:t>
            </w:r>
            <w:r w:rsidR="007926E8" w:rsidRPr="007926E8">
              <w:rPr>
                <w:sz w:val="20"/>
                <w:szCs w:val="20"/>
                <w:vertAlign w:val="superscript"/>
              </w:rPr>
              <w:t>nd</w:t>
            </w:r>
            <w:r w:rsidR="007926E8">
              <w:rPr>
                <w:sz w:val="20"/>
                <w:szCs w:val="20"/>
              </w:rPr>
              <w:t xml:space="preserve"> </w:t>
            </w:r>
            <w:r w:rsidR="00D658C3">
              <w:rPr>
                <w:sz w:val="20"/>
                <w:szCs w:val="20"/>
              </w:rPr>
              <w:t>CFS that</w:t>
            </w:r>
            <w:r w:rsidRPr="00D81E34">
              <w:rPr>
                <w:sz w:val="20"/>
                <w:szCs w:val="20"/>
              </w:rPr>
              <w:t xml:space="preserve"> the inclusion of </w:t>
            </w:r>
            <w:r>
              <w:rPr>
                <w:sz w:val="20"/>
                <w:szCs w:val="20"/>
              </w:rPr>
              <w:t>“MPN”</w:t>
            </w:r>
            <w:r w:rsidRPr="00D81E34">
              <w:rPr>
                <w:sz w:val="20"/>
                <w:szCs w:val="20"/>
              </w:rPr>
              <w:t xml:space="preserve"> in the </w:t>
            </w:r>
            <w:r>
              <w:rPr>
                <w:sz w:val="20"/>
                <w:szCs w:val="20"/>
              </w:rPr>
              <w:t xml:space="preserve">Schedule </w:t>
            </w:r>
            <w:r w:rsidR="00D658C3">
              <w:rPr>
                <w:sz w:val="20"/>
                <w:szCs w:val="20"/>
              </w:rPr>
              <w:t>was</w:t>
            </w:r>
            <w:r w:rsidRPr="00D81E34">
              <w:rPr>
                <w:sz w:val="20"/>
                <w:szCs w:val="20"/>
              </w:rPr>
              <w:t xml:space="preserve"> important </w:t>
            </w:r>
            <w:r>
              <w:rPr>
                <w:sz w:val="20"/>
                <w:szCs w:val="20"/>
              </w:rPr>
              <w:t>as it</w:t>
            </w:r>
            <w:r w:rsidRPr="00D81E34">
              <w:rPr>
                <w:sz w:val="20"/>
                <w:szCs w:val="20"/>
              </w:rPr>
              <w:t xml:space="preserve"> clari</w:t>
            </w:r>
            <w:r>
              <w:rPr>
                <w:sz w:val="20"/>
                <w:szCs w:val="20"/>
              </w:rPr>
              <w:t>fies</w:t>
            </w:r>
            <w:r w:rsidRPr="00D81E34">
              <w:rPr>
                <w:sz w:val="20"/>
                <w:szCs w:val="20"/>
              </w:rPr>
              <w:t xml:space="preserve"> </w:t>
            </w:r>
            <w:r>
              <w:rPr>
                <w:sz w:val="20"/>
                <w:szCs w:val="20"/>
              </w:rPr>
              <w:t>the basis on which these limits were set. However, concerns raised regarding consultation on this matter</w:t>
            </w:r>
            <w:r w:rsidR="00D658C3">
              <w:rPr>
                <w:sz w:val="20"/>
                <w:szCs w:val="20"/>
              </w:rPr>
              <w:t xml:space="preserve"> w</w:t>
            </w:r>
            <w:r w:rsidR="0046378C">
              <w:rPr>
                <w:sz w:val="20"/>
                <w:szCs w:val="20"/>
              </w:rPr>
              <w:t>ere</w:t>
            </w:r>
            <w:r w:rsidR="00D658C3">
              <w:rPr>
                <w:sz w:val="20"/>
                <w:szCs w:val="20"/>
              </w:rPr>
              <w:t xml:space="preserve"> noted and</w:t>
            </w:r>
            <w:r>
              <w:rPr>
                <w:sz w:val="20"/>
                <w:szCs w:val="20"/>
              </w:rPr>
              <w:t xml:space="preserve"> this amendment</w:t>
            </w:r>
            <w:r w:rsidRPr="00D81E34">
              <w:rPr>
                <w:sz w:val="20"/>
                <w:szCs w:val="20"/>
              </w:rPr>
              <w:t xml:space="preserve"> </w:t>
            </w:r>
            <w:r w:rsidR="00D658C3">
              <w:rPr>
                <w:sz w:val="20"/>
                <w:szCs w:val="20"/>
              </w:rPr>
              <w:t>has been</w:t>
            </w:r>
            <w:r w:rsidRPr="00D81E34">
              <w:rPr>
                <w:sz w:val="20"/>
                <w:szCs w:val="20"/>
              </w:rPr>
              <w:t xml:space="preserve"> </w:t>
            </w:r>
            <w:r>
              <w:rPr>
                <w:sz w:val="20"/>
                <w:szCs w:val="20"/>
              </w:rPr>
              <w:t>deferred</w:t>
            </w:r>
            <w:r w:rsidRPr="00D81E34">
              <w:rPr>
                <w:sz w:val="20"/>
                <w:szCs w:val="20"/>
              </w:rPr>
              <w:t xml:space="preserve"> </w:t>
            </w:r>
            <w:r w:rsidR="00D658C3">
              <w:rPr>
                <w:sz w:val="20"/>
                <w:szCs w:val="20"/>
              </w:rPr>
              <w:t>for</w:t>
            </w:r>
            <w:r w:rsidRPr="00D81E34">
              <w:rPr>
                <w:sz w:val="20"/>
                <w:szCs w:val="20"/>
              </w:rPr>
              <w:t xml:space="preserve"> consider</w:t>
            </w:r>
            <w:r w:rsidR="00D658C3">
              <w:rPr>
                <w:sz w:val="20"/>
                <w:szCs w:val="20"/>
              </w:rPr>
              <w:t>ation</w:t>
            </w:r>
            <w:r w:rsidRPr="00D81E34">
              <w:rPr>
                <w:sz w:val="20"/>
                <w:szCs w:val="20"/>
              </w:rPr>
              <w:t xml:space="preserve"> in further stages of the review of </w:t>
            </w:r>
            <w:r w:rsidR="006B2EE1">
              <w:rPr>
                <w:sz w:val="20"/>
                <w:szCs w:val="20"/>
              </w:rPr>
              <w:t xml:space="preserve">Standard </w:t>
            </w:r>
            <w:r w:rsidRPr="00D81E34">
              <w:rPr>
                <w:sz w:val="20"/>
                <w:szCs w:val="20"/>
              </w:rPr>
              <w:t>1.6.1.</w:t>
            </w:r>
          </w:p>
        </w:tc>
      </w:tr>
      <w:tr w:rsidR="00026B8F" w:rsidRPr="00A36D66" w:rsidTr="006C6A85">
        <w:trPr>
          <w:cnfStyle w:val="000000100000" w:firstRow="0" w:lastRow="0" w:firstColumn="0" w:lastColumn="0" w:oddVBand="0" w:evenVBand="0" w:oddHBand="1" w:evenHBand="0" w:firstRowFirstColumn="0" w:firstRowLastColumn="0" w:lastRowFirstColumn="0" w:lastRowLastColumn="0"/>
          <w:cantSplit/>
          <w:trHeight w:val="1748"/>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Pr="00A36D66" w:rsidRDefault="00026B8F" w:rsidP="00F42B30">
            <w:pPr>
              <w:autoSpaceDE w:val="0"/>
              <w:autoSpaceDN w:val="0"/>
              <w:adjustRightInd w:val="0"/>
              <w:rPr>
                <w:rFonts w:cs="Arial"/>
                <w:color w:val="231F20"/>
                <w:sz w:val="20"/>
                <w:szCs w:val="20"/>
              </w:rPr>
            </w:pPr>
            <w:r w:rsidRPr="00A36D66">
              <w:rPr>
                <w:rFonts w:cs="Arial"/>
                <w:color w:val="231F20"/>
                <w:sz w:val="20"/>
                <w:szCs w:val="20"/>
              </w:rPr>
              <w:lastRenderedPageBreak/>
              <w:t xml:space="preserve">Method of analysis </w:t>
            </w:r>
          </w:p>
          <w:p w:rsidR="00026B8F" w:rsidRPr="0006607F" w:rsidRDefault="0006607F" w:rsidP="0006607F">
            <w:pPr>
              <w:ind w:left="113" w:hanging="113"/>
              <w:rPr>
                <w:b w:val="0"/>
                <w:sz w:val="20"/>
                <w:szCs w:val="20"/>
              </w:rPr>
            </w:pPr>
            <w:r>
              <w:rPr>
                <w:b w:val="0"/>
                <w:sz w:val="20"/>
                <w:szCs w:val="20"/>
              </w:rPr>
              <w:t xml:space="preserve">1. </w:t>
            </w:r>
            <w:r w:rsidR="00026B8F" w:rsidRPr="0006607F">
              <w:rPr>
                <w:b w:val="0"/>
                <w:sz w:val="20"/>
                <w:szCs w:val="20"/>
              </w:rPr>
              <w:t>Routine updating when reference method changes</w:t>
            </w:r>
          </w:p>
          <w:p w:rsidR="00026B8F" w:rsidRPr="0006607F" w:rsidRDefault="0006607F" w:rsidP="0006607F">
            <w:pPr>
              <w:ind w:left="113" w:hanging="113"/>
              <w:rPr>
                <w:b w:val="0"/>
                <w:sz w:val="20"/>
                <w:szCs w:val="20"/>
              </w:rPr>
            </w:pPr>
            <w:r>
              <w:rPr>
                <w:b w:val="0"/>
                <w:sz w:val="20"/>
                <w:szCs w:val="20"/>
              </w:rPr>
              <w:t xml:space="preserve">2. </w:t>
            </w:r>
            <w:r w:rsidR="00026B8F" w:rsidRPr="0006607F">
              <w:rPr>
                <w:b w:val="0"/>
                <w:sz w:val="20"/>
                <w:szCs w:val="20"/>
              </w:rPr>
              <w:t>International equivalents (ISO standards)</w:t>
            </w:r>
          </w:p>
          <w:p w:rsidR="00026B8F" w:rsidRPr="00A36D66" w:rsidRDefault="00026B8F" w:rsidP="00F42B30">
            <w:pPr>
              <w:rPr>
                <w:sz w:val="20"/>
                <w:szCs w:val="20"/>
              </w:rPr>
            </w:pPr>
          </w:p>
        </w:tc>
        <w:tc>
          <w:tcPr>
            <w:tcW w:w="2568" w:type="dxa"/>
            <w:tcBorders>
              <w:left w:val="none" w:sz="0" w:space="0" w:color="auto"/>
              <w:right w:val="none" w:sz="0" w:space="0" w:color="auto"/>
            </w:tcBorders>
          </w:tcPr>
          <w:p w:rsidR="008901BE" w:rsidRDefault="008901BE" w:rsidP="008901B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Government (enforcement agencies)</w:t>
            </w:r>
          </w:p>
          <w:p w:rsidR="008901BE" w:rsidRDefault="008901BE" w:rsidP="008901BE">
            <w:pPr>
              <w:cnfStyle w:val="000000100000" w:firstRow="0" w:lastRow="0" w:firstColumn="0" w:lastColumn="0" w:oddVBand="0" w:evenVBand="0" w:oddHBand="1" w:evenHBand="0" w:firstRowFirstColumn="0" w:firstRowLastColumn="0" w:lastRowFirstColumn="0" w:lastRowLastColumn="0"/>
              <w:rPr>
                <w:sz w:val="20"/>
                <w:szCs w:val="20"/>
              </w:rPr>
            </w:pPr>
          </w:p>
          <w:p w:rsidR="00026B8F" w:rsidRPr="00A36D66" w:rsidRDefault="008901BE" w:rsidP="008901B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Industry Association</w:t>
            </w:r>
          </w:p>
        </w:tc>
        <w:tc>
          <w:tcPr>
            <w:tcW w:w="8772" w:type="dxa"/>
            <w:tcBorders>
              <w:left w:val="none" w:sz="0" w:space="0" w:color="auto"/>
            </w:tcBorders>
          </w:tcPr>
          <w:p w:rsidR="00F12DDF" w:rsidRDefault="0006607F" w:rsidP="0099382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1. </w:t>
            </w:r>
            <w:r w:rsidR="00026B8F" w:rsidRPr="00A36D66">
              <w:rPr>
                <w:sz w:val="20"/>
                <w:szCs w:val="20"/>
              </w:rPr>
              <w:t xml:space="preserve">The draft </w:t>
            </w:r>
            <w:r w:rsidR="00D658C3">
              <w:rPr>
                <w:sz w:val="20"/>
                <w:szCs w:val="20"/>
              </w:rPr>
              <w:t>variation</w:t>
            </w:r>
            <w:r w:rsidR="00026B8F" w:rsidRPr="00A36D66">
              <w:rPr>
                <w:sz w:val="20"/>
                <w:szCs w:val="20"/>
              </w:rPr>
              <w:t xml:space="preserve"> to Standard 1.6.1 include</w:t>
            </w:r>
            <w:r w:rsidR="00D658C3">
              <w:rPr>
                <w:sz w:val="20"/>
                <w:szCs w:val="20"/>
              </w:rPr>
              <w:t>d</w:t>
            </w:r>
            <w:r w:rsidR="00026B8F" w:rsidRPr="00A36D66">
              <w:rPr>
                <w:sz w:val="20"/>
                <w:szCs w:val="20"/>
              </w:rPr>
              <w:t xml:space="preserve"> reference to the standard methods of analysis</w:t>
            </w:r>
            <w:r w:rsidR="006B2EE1">
              <w:rPr>
                <w:sz w:val="20"/>
                <w:szCs w:val="20"/>
              </w:rPr>
              <w:t xml:space="preserve"> </w:t>
            </w:r>
            <w:r w:rsidR="006B2EE1" w:rsidRPr="006B2EE1">
              <w:rPr>
                <w:sz w:val="20"/>
                <w:szCs w:val="20"/>
              </w:rPr>
              <w:t xml:space="preserve">as in force at the commencement of </w:t>
            </w:r>
            <w:r w:rsidR="006B2EE1">
              <w:rPr>
                <w:sz w:val="20"/>
                <w:szCs w:val="20"/>
              </w:rPr>
              <w:t>the</w:t>
            </w:r>
            <w:r w:rsidR="006B2EE1" w:rsidRPr="006B2EE1">
              <w:rPr>
                <w:sz w:val="20"/>
                <w:szCs w:val="20"/>
              </w:rPr>
              <w:t xml:space="preserve"> provision</w:t>
            </w:r>
            <w:r w:rsidR="00026B8F" w:rsidRPr="00A36D66">
              <w:rPr>
                <w:sz w:val="20"/>
                <w:szCs w:val="20"/>
              </w:rPr>
              <w:t>. This reference can be routinely updated</w:t>
            </w:r>
            <w:r w:rsidR="00026B8F">
              <w:rPr>
                <w:sz w:val="20"/>
                <w:szCs w:val="20"/>
              </w:rPr>
              <w:t xml:space="preserve"> by FSANZ</w:t>
            </w:r>
            <w:r w:rsidR="00026B8F" w:rsidRPr="00A36D66">
              <w:rPr>
                <w:sz w:val="20"/>
                <w:szCs w:val="20"/>
              </w:rPr>
              <w:t xml:space="preserve"> when </w:t>
            </w:r>
            <w:r w:rsidR="00026B8F">
              <w:rPr>
                <w:sz w:val="20"/>
                <w:szCs w:val="20"/>
              </w:rPr>
              <w:t>the Code is amended through a Code Maintenance Proposal. FSANZ has now established internal procedures to ensure that this update will occur</w:t>
            </w:r>
            <w:r w:rsidR="00F12DDF">
              <w:rPr>
                <w:sz w:val="20"/>
                <w:szCs w:val="20"/>
              </w:rPr>
              <w:t xml:space="preserve"> in a timely manner using the </w:t>
            </w:r>
          </w:p>
          <w:p w:rsidR="00026B8F" w:rsidRPr="00A36D66" w:rsidRDefault="00F12DDF" w:rsidP="0099382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w:t>
            </w:r>
            <w:r w:rsidR="00026B8F">
              <w:rPr>
                <w:sz w:val="20"/>
                <w:szCs w:val="20"/>
              </w:rPr>
              <w:t xml:space="preserve">ode </w:t>
            </w:r>
            <w:r>
              <w:rPr>
                <w:sz w:val="20"/>
                <w:szCs w:val="20"/>
              </w:rPr>
              <w:t>m</w:t>
            </w:r>
            <w:r w:rsidR="00026B8F">
              <w:rPr>
                <w:sz w:val="20"/>
                <w:szCs w:val="20"/>
              </w:rPr>
              <w:t>aintenance</w:t>
            </w:r>
            <w:r>
              <w:rPr>
                <w:sz w:val="20"/>
                <w:szCs w:val="20"/>
              </w:rPr>
              <w:t xml:space="preserve"> </w:t>
            </w:r>
            <w:r w:rsidR="00026B8F">
              <w:rPr>
                <w:sz w:val="20"/>
                <w:szCs w:val="20"/>
              </w:rPr>
              <w:t>proposals.</w:t>
            </w:r>
          </w:p>
          <w:p w:rsidR="00026B8F" w:rsidRDefault="0006607F" w:rsidP="0099382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2. </w:t>
            </w:r>
            <w:r w:rsidR="008901BE">
              <w:rPr>
                <w:sz w:val="20"/>
                <w:szCs w:val="20"/>
              </w:rPr>
              <w:t xml:space="preserve">In relation to ISO methods, the draft </w:t>
            </w:r>
            <w:r w:rsidR="00D658C3">
              <w:rPr>
                <w:sz w:val="20"/>
                <w:szCs w:val="20"/>
              </w:rPr>
              <w:t>variation</w:t>
            </w:r>
            <w:r w:rsidR="008901BE">
              <w:rPr>
                <w:sz w:val="20"/>
                <w:szCs w:val="20"/>
              </w:rPr>
              <w:t xml:space="preserve"> to Standard 1.6.1 </w:t>
            </w:r>
            <w:r w:rsidR="00D658C3">
              <w:rPr>
                <w:sz w:val="20"/>
                <w:szCs w:val="20"/>
              </w:rPr>
              <w:t>was amended to</w:t>
            </w:r>
            <w:r w:rsidR="007926E8">
              <w:rPr>
                <w:sz w:val="20"/>
                <w:szCs w:val="20"/>
              </w:rPr>
              <w:t xml:space="preserve"> also</w:t>
            </w:r>
            <w:r w:rsidR="00D658C3">
              <w:rPr>
                <w:sz w:val="20"/>
                <w:szCs w:val="20"/>
              </w:rPr>
              <w:t xml:space="preserve"> </w:t>
            </w:r>
            <w:r w:rsidR="008901BE">
              <w:rPr>
                <w:sz w:val="20"/>
                <w:szCs w:val="20"/>
              </w:rPr>
              <w:t xml:space="preserve">include reference to </w:t>
            </w:r>
            <w:r w:rsidR="007926E8">
              <w:rPr>
                <w:sz w:val="20"/>
                <w:szCs w:val="20"/>
              </w:rPr>
              <w:t>the applicable</w:t>
            </w:r>
            <w:r w:rsidR="008901BE">
              <w:rPr>
                <w:sz w:val="20"/>
                <w:szCs w:val="20"/>
              </w:rPr>
              <w:t xml:space="preserve"> ISO methods</w:t>
            </w:r>
            <w:r w:rsidR="00A31543">
              <w:rPr>
                <w:sz w:val="20"/>
                <w:szCs w:val="20"/>
              </w:rPr>
              <w:t xml:space="preserve">. </w:t>
            </w:r>
            <w:r w:rsidR="006A2579">
              <w:rPr>
                <w:sz w:val="20"/>
                <w:szCs w:val="20"/>
              </w:rPr>
              <w:t>It is noted that</w:t>
            </w:r>
            <w:r w:rsidR="007926E8">
              <w:rPr>
                <w:sz w:val="20"/>
                <w:szCs w:val="20"/>
              </w:rPr>
              <w:t xml:space="preserve"> AS5013 methods are based </w:t>
            </w:r>
            <w:r w:rsidR="006933D8">
              <w:rPr>
                <w:sz w:val="20"/>
                <w:szCs w:val="20"/>
              </w:rPr>
              <w:t>on</w:t>
            </w:r>
            <w:r w:rsidR="00F12DDF">
              <w:rPr>
                <w:sz w:val="20"/>
                <w:szCs w:val="20"/>
              </w:rPr>
              <w:t>,</w:t>
            </w:r>
            <w:r w:rsidR="006933D8">
              <w:rPr>
                <w:sz w:val="20"/>
                <w:szCs w:val="20"/>
              </w:rPr>
              <w:t xml:space="preserve"> </w:t>
            </w:r>
            <w:r w:rsidR="008C736B">
              <w:rPr>
                <w:sz w:val="20"/>
                <w:szCs w:val="20"/>
              </w:rPr>
              <w:t xml:space="preserve">and </w:t>
            </w:r>
            <w:r w:rsidR="006933D8">
              <w:rPr>
                <w:sz w:val="20"/>
                <w:szCs w:val="20"/>
              </w:rPr>
              <w:t xml:space="preserve">are </w:t>
            </w:r>
            <w:r w:rsidR="008C736B">
              <w:rPr>
                <w:sz w:val="20"/>
                <w:szCs w:val="20"/>
              </w:rPr>
              <w:t>almost identical</w:t>
            </w:r>
            <w:r w:rsidR="00F12DDF">
              <w:rPr>
                <w:sz w:val="20"/>
                <w:szCs w:val="20"/>
              </w:rPr>
              <w:t>,</w:t>
            </w:r>
            <w:r w:rsidR="008C736B">
              <w:rPr>
                <w:sz w:val="20"/>
                <w:szCs w:val="20"/>
              </w:rPr>
              <w:t xml:space="preserve"> to</w:t>
            </w:r>
            <w:r w:rsidR="007926E8">
              <w:rPr>
                <w:sz w:val="20"/>
                <w:szCs w:val="20"/>
              </w:rPr>
              <w:t xml:space="preserve"> the corresponding ISO methodology.</w:t>
            </w:r>
          </w:p>
          <w:p w:rsidR="00F12DDF" w:rsidRDefault="00F12DDF" w:rsidP="00993825">
            <w:pPr>
              <w:cnfStyle w:val="000000100000" w:firstRow="0" w:lastRow="0" w:firstColumn="0" w:lastColumn="0" w:oddVBand="0" w:evenVBand="0" w:oddHBand="1" w:evenHBand="0" w:firstRowFirstColumn="0" w:firstRowLastColumn="0" w:lastRowFirstColumn="0" w:lastRowLastColumn="0"/>
              <w:rPr>
                <w:sz w:val="20"/>
                <w:szCs w:val="20"/>
              </w:rPr>
            </w:pPr>
          </w:p>
          <w:p w:rsidR="00026B8F" w:rsidRPr="00A36D66" w:rsidRDefault="006A2579"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The</w:t>
            </w:r>
            <w:r w:rsidR="00026B8F" w:rsidRPr="00A36D66">
              <w:rPr>
                <w:sz w:val="20"/>
                <w:szCs w:val="20"/>
              </w:rPr>
              <w:t xml:space="preserve"> methods referenced (</w:t>
            </w:r>
            <w:r w:rsidR="00026B8F">
              <w:rPr>
                <w:sz w:val="20"/>
                <w:szCs w:val="20"/>
              </w:rPr>
              <w:t xml:space="preserve">which </w:t>
            </w:r>
            <w:r w:rsidR="007926E8">
              <w:rPr>
                <w:sz w:val="20"/>
                <w:szCs w:val="20"/>
              </w:rPr>
              <w:t xml:space="preserve">also </w:t>
            </w:r>
            <w:r w:rsidR="00026B8F">
              <w:rPr>
                <w:sz w:val="20"/>
                <w:szCs w:val="20"/>
              </w:rPr>
              <w:t xml:space="preserve">provide for alternative </w:t>
            </w:r>
            <w:r w:rsidR="00026B8F" w:rsidRPr="00A36D66">
              <w:rPr>
                <w:sz w:val="20"/>
                <w:szCs w:val="20"/>
              </w:rPr>
              <w:t>equivalent method</w:t>
            </w:r>
            <w:r w:rsidR="008C736B">
              <w:rPr>
                <w:sz w:val="20"/>
                <w:szCs w:val="20"/>
              </w:rPr>
              <w:t>s following validation</w:t>
            </w:r>
            <w:r w:rsidR="00026B8F" w:rsidRPr="00A36D66">
              <w:rPr>
                <w:sz w:val="20"/>
                <w:szCs w:val="20"/>
              </w:rPr>
              <w:t xml:space="preserve">) </w:t>
            </w:r>
            <w:r w:rsidR="00026B8F">
              <w:rPr>
                <w:sz w:val="20"/>
                <w:szCs w:val="20"/>
              </w:rPr>
              <w:t>provide the ba</w:t>
            </w:r>
            <w:r w:rsidR="00041500">
              <w:rPr>
                <w:sz w:val="20"/>
                <w:szCs w:val="20"/>
              </w:rPr>
              <w:t>sis on which the limits in the S</w:t>
            </w:r>
            <w:r w:rsidR="00026B8F">
              <w:rPr>
                <w:sz w:val="20"/>
                <w:szCs w:val="20"/>
              </w:rPr>
              <w:t xml:space="preserve">chedule are set and </w:t>
            </w:r>
            <w:r w:rsidR="00026B8F" w:rsidRPr="00A36D66">
              <w:rPr>
                <w:sz w:val="20"/>
                <w:szCs w:val="20"/>
              </w:rPr>
              <w:t>must be used when testing a lot of food for the purposes of Standard 1.6.1 (</w:t>
            </w:r>
            <w:r w:rsidR="00026B8F">
              <w:rPr>
                <w:sz w:val="20"/>
                <w:szCs w:val="20"/>
              </w:rPr>
              <w:t>i.e</w:t>
            </w:r>
            <w:r w:rsidR="00026B8F" w:rsidRPr="00A36D66">
              <w:rPr>
                <w:sz w:val="20"/>
                <w:szCs w:val="20"/>
              </w:rPr>
              <w:t xml:space="preserve">. </w:t>
            </w:r>
            <w:r w:rsidR="00026B8F">
              <w:rPr>
                <w:sz w:val="20"/>
                <w:szCs w:val="20"/>
              </w:rPr>
              <w:t>regulatory/</w:t>
            </w:r>
            <w:r w:rsidR="00026B8F" w:rsidRPr="00A36D66">
              <w:rPr>
                <w:sz w:val="20"/>
                <w:szCs w:val="20"/>
              </w:rPr>
              <w:t>compliance</w:t>
            </w:r>
            <w:r w:rsidR="00026B8F">
              <w:rPr>
                <w:sz w:val="20"/>
                <w:szCs w:val="20"/>
              </w:rPr>
              <w:t xml:space="preserve"> testing</w:t>
            </w:r>
            <w:r w:rsidR="00026B8F" w:rsidRPr="00A36D66">
              <w:rPr>
                <w:sz w:val="20"/>
                <w:szCs w:val="20"/>
              </w:rPr>
              <w:t xml:space="preserve">). It would be expected that other methods (including rapid methods) </w:t>
            </w:r>
            <w:r w:rsidR="00026B8F">
              <w:rPr>
                <w:sz w:val="20"/>
                <w:szCs w:val="20"/>
              </w:rPr>
              <w:t>w</w:t>
            </w:r>
            <w:r w:rsidR="00026B8F" w:rsidRPr="00A36D66">
              <w:rPr>
                <w:sz w:val="20"/>
                <w:szCs w:val="20"/>
              </w:rPr>
              <w:t xml:space="preserve">ould be used by industry as part of their </w:t>
            </w:r>
            <w:r w:rsidR="00026B8F">
              <w:rPr>
                <w:sz w:val="20"/>
                <w:szCs w:val="20"/>
              </w:rPr>
              <w:t xml:space="preserve">routine </w:t>
            </w:r>
            <w:r w:rsidR="00026B8F" w:rsidRPr="00A36D66">
              <w:rPr>
                <w:sz w:val="20"/>
                <w:szCs w:val="20"/>
              </w:rPr>
              <w:t>sampling and testing program (including for environmental monitoring</w:t>
            </w:r>
            <w:r w:rsidR="00026B8F">
              <w:rPr>
                <w:sz w:val="20"/>
                <w:szCs w:val="20"/>
              </w:rPr>
              <w:t>).</w:t>
            </w:r>
          </w:p>
        </w:tc>
      </w:tr>
      <w:tr w:rsidR="00026B8F" w:rsidRPr="00A36D66" w:rsidTr="006C6A85">
        <w:trPr>
          <w:cnfStyle w:val="000000010000" w:firstRow="0" w:lastRow="0" w:firstColumn="0" w:lastColumn="0" w:oddVBand="0" w:evenVBand="0" w:oddHBand="0" w:evenHBand="1" w:firstRowFirstColumn="0" w:firstRowLastColumn="0" w:lastRowFirstColumn="0" w:lastRowLastColumn="0"/>
          <w:cantSplit/>
          <w:trHeight w:val="1435"/>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Pr="00A36D66" w:rsidRDefault="00026B8F" w:rsidP="00F42B30">
            <w:pPr>
              <w:ind w:left="113" w:hanging="113"/>
              <w:rPr>
                <w:sz w:val="20"/>
                <w:szCs w:val="20"/>
              </w:rPr>
            </w:pPr>
            <w:r w:rsidRPr="00A36D66">
              <w:rPr>
                <w:sz w:val="20"/>
                <w:szCs w:val="20"/>
              </w:rPr>
              <w:t xml:space="preserve">Definition of </w:t>
            </w:r>
            <w:r w:rsidR="005B6430">
              <w:rPr>
                <w:sz w:val="20"/>
                <w:szCs w:val="20"/>
              </w:rPr>
              <w:t>RTE</w:t>
            </w:r>
            <w:r w:rsidRPr="00A36D66">
              <w:rPr>
                <w:sz w:val="20"/>
                <w:szCs w:val="20"/>
              </w:rPr>
              <w:t xml:space="preserve"> food</w:t>
            </w:r>
          </w:p>
          <w:p w:rsidR="00026B8F" w:rsidRDefault="00026B8F" w:rsidP="00F42B30">
            <w:pPr>
              <w:ind w:left="113" w:hanging="113"/>
              <w:rPr>
                <w:b w:val="0"/>
                <w:sz w:val="20"/>
                <w:szCs w:val="20"/>
              </w:rPr>
            </w:pPr>
            <w:r w:rsidRPr="00D943D3">
              <w:rPr>
                <w:b w:val="0"/>
                <w:sz w:val="20"/>
                <w:szCs w:val="20"/>
              </w:rPr>
              <w:t>Consideration should be given to usin</w:t>
            </w:r>
            <w:r>
              <w:rPr>
                <w:b w:val="0"/>
                <w:sz w:val="20"/>
                <w:szCs w:val="20"/>
              </w:rPr>
              <w:t>g</w:t>
            </w:r>
            <w:r w:rsidRPr="00D943D3">
              <w:rPr>
                <w:b w:val="0"/>
                <w:sz w:val="20"/>
                <w:szCs w:val="20"/>
              </w:rPr>
              <w:t xml:space="preserve"> the Codex definition</w:t>
            </w:r>
            <w:r>
              <w:rPr>
                <w:b w:val="0"/>
                <w:sz w:val="20"/>
                <w:szCs w:val="20"/>
              </w:rPr>
              <w:t>.</w:t>
            </w:r>
          </w:p>
          <w:p w:rsidR="00026B8F" w:rsidRPr="00D943D3" w:rsidRDefault="006C6A85" w:rsidP="00F42B30">
            <w:pPr>
              <w:ind w:left="113" w:hanging="113"/>
              <w:rPr>
                <w:b w:val="0"/>
                <w:sz w:val="20"/>
                <w:szCs w:val="20"/>
              </w:rPr>
            </w:pPr>
            <w:r>
              <w:rPr>
                <w:b w:val="0"/>
                <w:sz w:val="20"/>
                <w:szCs w:val="20"/>
              </w:rPr>
              <w:t>Including the</w:t>
            </w:r>
            <w:r w:rsidR="00026B8F">
              <w:rPr>
                <w:b w:val="0"/>
                <w:sz w:val="20"/>
                <w:szCs w:val="20"/>
              </w:rPr>
              <w:t xml:space="preserve"> definition for RTE in Standard 1.1.1 could be problematic - definitions should be provided as appropriate where they apply.</w:t>
            </w:r>
          </w:p>
          <w:p w:rsidR="00026B8F" w:rsidRPr="000F5AA7" w:rsidRDefault="00026B8F" w:rsidP="006C6A85">
            <w:pPr>
              <w:ind w:left="113" w:hanging="113"/>
              <w:rPr>
                <w:b w:val="0"/>
                <w:sz w:val="20"/>
                <w:szCs w:val="20"/>
              </w:rPr>
            </w:pPr>
            <w:r>
              <w:rPr>
                <w:b w:val="0"/>
                <w:sz w:val="20"/>
                <w:szCs w:val="20"/>
              </w:rPr>
              <w:t xml:space="preserve">The scope of foods captured is too broad for </w:t>
            </w:r>
            <w:r w:rsidRPr="000F5AA7">
              <w:rPr>
                <w:b w:val="0"/>
                <w:i/>
                <w:sz w:val="20"/>
                <w:szCs w:val="20"/>
              </w:rPr>
              <w:t>Lm</w:t>
            </w:r>
            <w:r>
              <w:rPr>
                <w:b w:val="0"/>
                <w:sz w:val="20"/>
                <w:szCs w:val="20"/>
              </w:rPr>
              <w:t xml:space="preserve"> limits.</w:t>
            </w:r>
          </w:p>
        </w:tc>
        <w:tc>
          <w:tcPr>
            <w:tcW w:w="2568" w:type="dxa"/>
            <w:tcBorders>
              <w:left w:val="none" w:sz="0" w:space="0" w:color="auto"/>
              <w:right w:val="none" w:sz="0" w:space="0" w:color="auto"/>
            </w:tcBorders>
          </w:tcPr>
          <w:p w:rsidR="00026B8F" w:rsidRPr="00A36D66" w:rsidRDefault="00E156F1" w:rsidP="00F42B30">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Industry/Industry Associations and Government</w:t>
            </w:r>
          </w:p>
        </w:tc>
        <w:tc>
          <w:tcPr>
            <w:tcW w:w="8772" w:type="dxa"/>
            <w:tcBorders>
              <w:left w:val="none" w:sz="0" w:space="0" w:color="auto"/>
            </w:tcBorders>
          </w:tcPr>
          <w:p w:rsidR="006F45D0" w:rsidRDefault="00D658C3" w:rsidP="000F39DA">
            <w:pPr>
              <w:tabs>
                <w:tab w:val="left" w:pos="1245"/>
              </w:tabs>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It was</w:t>
            </w:r>
            <w:r w:rsidR="006F45D0">
              <w:rPr>
                <w:sz w:val="20"/>
                <w:szCs w:val="20"/>
              </w:rPr>
              <w:t xml:space="preserve"> note</w:t>
            </w:r>
            <w:r>
              <w:rPr>
                <w:sz w:val="20"/>
                <w:szCs w:val="20"/>
              </w:rPr>
              <w:t>d</w:t>
            </w:r>
            <w:r w:rsidR="006F45D0">
              <w:rPr>
                <w:sz w:val="20"/>
                <w:szCs w:val="20"/>
              </w:rPr>
              <w:t xml:space="preserve"> there are a number of other definitions within the Code (e.g. Standard 4.2.3, Standard 3.3.1) which </w:t>
            </w:r>
            <w:r w:rsidR="006A2579">
              <w:rPr>
                <w:sz w:val="20"/>
                <w:szCs w:val="20"/>
              </w:rPr>
              <w:t>define</w:t>
            </w:r>
            <w:r w:rsidR="006F45D0">
              <w:rPr>
                <w:sz w:val="20"/>
                <w:szCs w:val="20"/>
              </w:rPr>
              <w:t xml:space="preserve"> RTE foods specifically for the purpose of those particular standards.</w:t>
            </w:r>
            <w:r w:rsidR="00F12DDF">
              <w:rPr>
                <w:sz w:val="20"/>
                <w:szCs w:val="20"/>
              </w:rPr>
              <w:t xml:space="preserve"> Therefore</w:t>
            </w:r>
            <w:r w:rsidR="006D48DE">
              <w:rPr>
                <w:sz w:val="20"/>
                <w:szCs w:val="20"/>
              </w:rPr>
              <w:t>,</w:t>
            </w:r>
            <w:r w:rsidR="00F12DDF">
              <w:rPr>
                <w:sz w:val="20"/>
                <w:szCs w:val="20"/>
              </w:rPr>
              <w:t xml:space="preserve"> the definition for RTE food was removed from </w:t>
            </w:r>
            <w:r w:rsidR="0045707C">
              <w:rPr>
                <w:sz w:val="20"/>
                <w:szCs w:val="20"/>
              </w:rPr>
              <w:t>being a</w:t>
            </w:r>
            <w:r w:rsidR="00F12DDF">
              <w:rPr>
                <w:sz w:val="20"/>
                <w:szCs w:val="20"/>
              </w:rPr>
              <w:t xml:space="preserve"> draft variation to Standard 1.1.1.</w:t>
            </w:r>
          </w:p>
          <w:p w:rsidR="006F45D0" w:rsidRDefault="006F45D0" w:rsidP="000F39DA">
            <w:pPr>
              <w:tabs>
                <w:tab w:val="left" w:pos="1245"/>
              </w:tabs>
              <w:ind w:left="113" w:hanging="113"/>
              <w:cnfStyle w:val="000000010000" w:firstRow="0" w:lastRow="0" w:firstColumn="0" w:lastColumn="0" w:oddVBand="0" w:evenVBand="0" w:oddHBand="0" w:evenHBand="1" w:firstRowFirstColumn="0" w:firstRowLastColumn="0" w:lastRowFirstColumn="0" w:lastRowLastColumn="0"/>
              <w:rPr>
                <w:sz w:val="20"/>
                <w:szCs w:val="20"/>
              </w:rPr>
            </w:pPr>
          </w:p>
          <w:p w:rsidR="00026B8F" w:rsidRDefault="00E156F1"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 draft </w:t>
            </w:r>
            <w:r w:rsidR="00D658C3">
              <w:rPr>
                <w:sz w:val="20"/>
                <w:szCs w:val="20"/>
              </w:rPr>
              <w:t>variation</w:t>
            </w:r>
            <w:r>
              <w:rPr>
                <w:sz w:val="20"/>
                <w:szCs w:val="20"/>
              </w:rPr>
              <w:t xml:space="preserve"> to Standard 1.6.1 </w:t>
            </w:r>
            <w:r w:rsidR="00D658C3">
              <w:rPr>
                <w:sz w:val="20"/>
                <w:szCs w:val="20"/>
              </w:rPr>
              <w:t xml:space="preserve">was amended </w:t>
            </w:r>
            <w:r w:rsidR="0045707C">
              <w:rPr>
                <w:sz w:val="20"/>
                <w:szCs w:val="20"/>
              </w:rPr>
              <w:t xml:space="preserve">instead </w:t>
            </w:r>
            <w:r w:rsidR="00D658C3">
              <w:rPr>
                <w:sz w:val="20"/>
                <w:szCs w:val="20"/>
              </w:rPr>
              <w:t xml:space="preserve">to </w:t>
            </w:r>
            <w:r w:rsidR="00026B8F">
              <w:rPr>
                <w:sz w:val="20"/>
                <w:szCs w:val="20"/>
              </w:rPr>
              <w:t xml:space="preserve">include a definition of </w:t>
            </w:r>
            <w:r>
              <w:rPr>
                <w:sz w:val="20"/>
                <w:szCs w:val="20"/>
              </w:rPr>
              <w:t xml:space="preserve">RTE </w:t>
            </w:r>
            <w:r w:rsidR="00026B8F">
              <w:rPr>
                <w:sz w:val="20"/>
                <w:szCs w:val="20"/>
              </w:rPr>
              <w:t xml:space="preserve">foods </w:t>
            </w:r>
            <w:r>
              <w:rPr>
                <w:sz w:val="20"/>
                <w:szCs w:val="20"/>
              </w:rPr>
              <w:t xml:space="preserve">for the purposes of that standard and the application of limits for </w:t>
            </w:r>
            <w:r w:rsidRPr="00E156F1">
              <w:rPr>
                <w:i/>
                <w:sz w:val="20"/>
                <w:szCs w:val="20"/>
              </w:rPr>
              <w:t>L. monocytogenes</w:t>
            </w:r>
            <w:r>
              <w:rPr>
                <w:sz w:val="20"/>
                <w:szCs w:val="20"/>
              </w:rPr>
              <w:t xml:space="preserve">. </w:t>
            </w:r>
            <w:r w:rsidR="00026B8F">
              <w:rPr>
                <w:sz w:val="20"/>
                <w:szCs w:val="20"/>
              </w:rPr>
              <w:t>This definition</w:t>
            </w:r>
            <w:r w:rsidR="006F45D0">
              <w:rPr>
                <w:sz w:val="20"/>
                <w:szCs w:val="20"/>
              </w:rPr>
              <w:t xml:space="preserve"> specifies</w:t>
            </w:r>
            <w:r w:rsidR="00026B8F">
              <w:rPr>
                <w:sz w:val="20"/>
                <w:szCs w:val="20"/>
              </w:rPr>
              <w:t xml:space="preserve"> that </w:t>
            </w:r>
            <w:r w:rsidR="00026B8F" w:rsidRPr="000F5AA7">
              <w:rPr>
                <w:i/>
                <w:sz w:val="20"/>
                <w:szCs w:val="20"/>
              </w:rPr>
              <w:t>L. monocytogenes</w:t>
            </w:r>
            <w:r w:rsidR="00026B8F">
              <w:rPr>
                <w:sz w:val="20"/>
                <w:szCs w:val="20"/>
              </w:rPr>
              <w:t xml:space="preserve"> limits </w:t>
            </w:r>
            <w:r w:rsidR="0045707C">
              <w:rPr>
                <w:sz w:val="20"/>
                <w:szCs w:val="20"/>
              </w:rPr>
              <w:t>were</w:t>
            </w:r>
            <w:r w:rsidR="00026B8F">
              <w:rPr>
                <w:sz w:val="20"/>
                <w:szCs w:val="20"/>
              </w:rPr>
              <w:t xml:space="preserve"> not intended to apply to </w:t>
            </w:r>
            <w:r w:rsidR="006F45D0">
              <w:rPr>
                <w:sz w:val="20"/>
                <w:szCs w:val="20"/>
              </w:rPr>
              <w:t xml:space="preserve">shelf stable </w:t>
            </w:r>
            <w:r w:rsidR="00026B8F">
              <w:rPr>
                <w:sz w:val="20"/>
                <w:szCs w:val="20"/>
              </w:rPr>
              <w:t>foods</w:t>
            </w:r>
            <w:r w:rsidR="006F45D0">
              <w:rPr>
                <w:sz w:val="20"/>
                <w:szCs w:val="20"/>
              </w:rPr>
              <w:t xml:space="preserve"> or commodities such as raw whole fruits and vegetables, nuts in the s</w:t>
            </w:r>
            <w:r w:rsidR="00C469A6">
              <w:rPr>
                <w:sz w:val="20"/>
                <w:szCs w:val="20"/>
              </w:rPr>
              <w:t>hell and live bivalve molluscs.</w:t>
            </w:r>
            <w:r w:rsidR="006F45D0">
              <w:rPr>
                <w:sz w:val="20"/>
                <w:szCs w:val="20"/>
              </w:rPr>
              <w:t xml:space="preserve"> </w:t>
            </w:r>
          </w:p>
          <w:p w:rsidR="00026B8F" w:rsidRDefault="00026B8F" w:rsidP="00993825">
            <w:pPr>
              <w:tabs>
                <w:tab w:val="left" w:pos="1245"/>
              </w:tabs>
              <w:cnfStyle w:val="000000010000" w:firstRow="0" w:lastRow="0" w:firstColumn="0" w:lastColumn="0" w:oddVBand="0" w:evenVBand="0" w:oddHBand="0" w:evenHBand="1" w:firstRowFirstColumn="0" w:firstRowLastColumn="0" w:lastRowFirstColumn="0" w:lastRowLastColumn="0"/>
              <w:rPr>
                <w:sz w:val="20"/>
                <w:szCs w:val="20"/>
              </w:rPr>
            </w:pPr>
          </w:p>
          <w:p w:rsidR="00026B8F" w:rsidRPr="00A36D66" w:rsidRDefault="00026B8F" w:rsidP="006F45D0">
            <w:pPr>
              <w:tabs>
                <w:tab w:val="left" w:pos="1245"/>
              </w:tabs>
              <w:cnfStyle w:val="000000010000" w:firstRow="0" w:lastRow="0" w:firstColumn="0" w:lastColumn="0" w:oddVBand="0" w:evenVBand="0" w:oddHBand="0" w:evenHBand="1" w:firstRowFirstColumn="0" w:firstRowLastColumn="0" w:lastRowFirstColumn="0" w:lastRowLastColumn="0"/>
              <w:rPr>
                <w:rFonts w:cs="Calibri"/>
                <w:sz w:val="20"/>
                <w:szCs w:val="20"/>
              </w:rPr>
            </w:pPr>
          </w:p>
        </w:tc>
      </w:tr>
      <w:tr w:rsidR="00026B8F" w:rsidRPr="00A36D66" w:rsidTr="006C6A85">
        <w:trPr>
          <w:cnfStyle w:val="000000100000" w:firstRow="0" w:lastRow="0" w:firstColumn="0" w:lastColumn="0" w:oddVBand="0" w:evenVBand="0" w:oddHBand="1" w:evenHBand="0" w:firstRowFirstColumn="0" w:firstRowLastColumn="0" w:lastRowFirstColumn="0" w:lastRowLastColumn="0"/>
          <w:cantSplit/>
          <w:trHeight w:val="382"/>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6F45D0" w:rsidRDefault="00026B8F" w:rsidP="00F42B30">
            <w:pPr>
              <w:ind w:left="113" w:hanging="113"/>
              <w:rPr>
                <w:sz w:val="20"/>
                <w:szCs w:val="20"/>
              </w:rPr>
            </w:pPr>
            <w:r w:rsidRPr="00A36D66">
              <w:rPr>
                <w:sz w:val="20"/>
                <w:szCs w:val="20"/>
              </w:rPr>
              <w:lastRenderedPageBreak/>
              <w:t>Definition</w:t>
            </w:r>
            <w:r w:rsidR="00FE1862">
              <w:rPr>
                <w:sz w:val="20"/>
                <w:szCs w:val="20"/>
              </w:rPr>
              <w:t>s including</w:t>
            </w:r>
            <w:r w:rsidR="006F45D0">
              <w:rPr>
                <w:sz w:val="20"/>
                <w:szCs w:val="20"/>
              </w:rPr>
              <w:t>:</w:t>
            </w:r>
          </w:p>
          <w:p w:rsidR="006F45D0" w:rsidRDefault="006F45D0" w:rsidP="006F45D0">
            <w:pPr>
              <w:pStyle w:val="ListParagraph"/>
              <w:numPr>
                <w:ilvl w:val="0"/>
                <w:numId w:val="14"/>
              </w:numPr>
              <w:ind w:left="284" w:hanging="284"/>
              <w:rPr>
                <w:sz w:val="20"/>
                <w:szCs w:val="20"/>
              </w:rPr>
            </w:pPr>
            <w:r w:rsidRPr="006F45D0">
              <w:rPr>
                <w:sz w:val="20"/>
                <w:szCs w:val="20"/>
              </w:rPr>
              <w:t>M</w:t>
            </w:r>
            <w:r w:rsidR="00026B8F" w:rsidRPr="006F45D0">
              <w:rPr>
                <w:sz w:val="20"/>
                <w:szCs w:val="20"/>
              </w:rPr>
              <w:t>icroorganism</w:t>
            </w:r>
            <w:r w:rsidR="00FE1862">
              <w:rPr>
                <w:sz w:val="20"/>
                <w:szCs w:val="20"/>
              </w:rPr>
              <w:t>, ‘test’</w:t>
            </w:r>
          </w:p>
          <w:p w:rsidR="006F45D0" w:rsidRDefault="006F45D0" w:rsidP="006F45D0">
            <w:pPr>
              <w:pStyle w:val="ListParagraph"/>
              <w:numPr>
                <w:ilvl w:val="0"/>
                <w:numId w:val="14"/>
              </w:numPr>
              <w:ind w:left="284" w:hanging="284"/>
              <w:rPr>
                <w:sz w:val="20"/>
                <w:szCs w:val="20"/>
              </w:rPr>
            </w:pPr>
            <w:r>
              <w:rPr>
                <w:sz w:val="20"/>
                <w:szCs w:val="20"/>
              </w:rPr>
              <w:t>Listericidal treatment</w:t>
            </w:r>
          </w:p>
          <w:p w:rsidR="00026B8F" w:rsidRDefault="006F45D0" w:rsidP="006F45D0">
            <w:pPr>
              <w:pStyle w:val="ListParagraph"/>
              <w:numPr>
                <w:ilvl w:val="0"/>
                <w:numId w:val="14"/>
              </w:numPr>
              <w:ind w:left="284" w:hanging="284"/>
              <w:rPr>
                <w:sz w:val="20"/>
                <w:szCs w:val="20"/>
              </w:rPr>
            </w:pPr>
            <w:r>
              <w:rPr>
                <w:sz w:val="20"/>
                <w:szCs w:val="20"/>
              </w:rPr>
              <w:t>Authorised officer</w:t>
            </w:r>
            <w:r w:rsidR="00026B8F" w:rsidRPr="006F45D0">
              <w:rPr>
                <w:sz w:val="20"/>
                <w:szCs w:val="20"/>
              </w:rPr>
              <w:t xml:space="preserve"> </w:t>
            </w:r>
          </w:p>
          <w:p w:rsidR="006C6A85" w:rsidRPr="006F45D0" w:rsidRDefault="006C6A85" w:rsidP="006F45D0">
            <w:pPr>
              <w:pStyle w:val="ListParagraph"/>
              <w:numPr>
                <w:ilvl w:val="0"/>
                <w:numId w:val="14"/>
              </w:numPr>
              <w:ind w:left="284" w:hanging="284"/>
              <w:rPr>
                <w:sz w:val="20"/>
                <w:szCs w:val="20"/>
              </w:rPr>
            </w:pPr>
            <w:r>
              <w:rPr>
                <w:sz w:val="20"/>
                <w:szCs w:val="20"/>
              </w:rPr>
              <w:t>‘toxin’ in relation to microorganism</w:t>
            </w:r>
          </w:p>
        </w:tc>
        <w:tc>
          <w:tcPr>
            <w:tcW w:w="2568" w:type="dxa"/>
            <w:tcBorders>
              <w:left w:val="none" w:sz="0" w:space="0" w:color="auto"/>
              <w:right w:val="none" w:sz="0" w:space="0" w:color="auto"/>
            </w:tcBorders>
          </w:tcPr>
          <w:p w:rsidR="00026B8F" w:rsidRPr="00A36D66" w:rsidRDefault="006C6A85" w:rsidP="00F42B30">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Government/Industry Association</w:t>
            </w:r>
          </w:p>
        </w:tc>
        <w:tc>
          <w:tcPr>
            <w:tcW w:w="8772" w:type="dxa"/>
            <w:tcBorders>
              <w:left w:val="none" w:sz="0" w:space="0" w:color="auto"/>
            </w:tcBorders>
          </w:tcPr>
          <w:p w:rsidR="00026B8F" w:rsidRDefault="00026B8F"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E225C9">
              <w:rPr>
                <w:sz w:val="20"/>
                <w:szCs w:val="20"/>
              </w:rPr>
              <w:t xml:space="preserve">The </w:t>
            </w:r>
            <w:r w:rsidR="00250813">
              <w:rPr>
                <w:sz w:val="20"/>
                <w:szCs w:val="20"/>
              </w:rPr>
              <w:t xml:space="preserve">proposed </w:t>
            </w:r>
            <w:r w:rsidRPr="00E225C9">
              <w:rPr>
                <w:sz w:val="20"/>
                <w:szCs w:val="20"/>
              </w:rPr>
              <w:t>definition</w:t>
            </w:r>
            <w:r w:rsidR="00250813">
              <w:rPr>
                <w:sz w:val="20"/>
                <w:szCs w:val="20"/>
              </w:rPr>
              <w:t>al change</w:t>
            </w:r>
            <w:r w:rsidRPr="00E225C9">
              <w:rPr>
                <w:sz w:val="20"/>
                <w:szCs w:val="20"/>
              </w:rPr>
              <w:t xml:space="preserve"> of “microorganism” </w:t>
            </w:r>
            <w:r w:rsidR="008C736B">
              <w:rPr>
                <w:sz w:val="20"/>
                <w:szCs w:val="20"/>
              </w:rPr>
              <w:t>was</w:t>
            </w:r>
            <w:r w:rsidRPr="00E225C9">
              <w:rPr>
                <w:sz w:val="20"/>
                <w:szCs w:val="20"/>
              </w:rPr>
              <w:t xml:space="preserve"> provided for the purposes of </w:t>
            </w:r>
            <w:r w:rsidR="001034BB">
              <w:rPr>
                <w:sz w:val="20"/>
                <w:szCs w:val="20"/>
              </w:rPr>
              <w:t>paragraph</w:t>
            </w:r>
            <w:r w:rsidR="001034BB" w:rsidRPr="00E225C9">
              <w:rPr>
                <w:sz w:val="20"/>
                <w:szCs w:val="20"/>
              </w:rPr>
              <w:t xml:space="preserve"> </w:t>
            </w:r>
            <w:r w:rsidRPr="00E225C9">
              <w:rPr>
                <w:sz w:val="20"/>
                <w:szCs w:val="20"/>
              </w:rPr>
              <w:t>5(b)</w:t>
            </w:r>
            <w:r w:rsidR="00250813">
              <w:rPr>
                <w:sz w:val="20"/>
                <w:szCs w:val="20"/>
              </w:rPr>
              <w:t>,</w:t>
            </w:r>
            <w:r w:rsidRPr="00E225C9">
              <w:rPr>
                <w:sz w:val="20"/>
                <w:szCs w:val="20"/>
              </w:rPr>
              <w:t xml:space="preserve"> to capture the eleme</w:t>
            </w:r>
            <w:r w:rsidR="008C736B">
              <w:rPr>
                <w:sz w:val="20"/>
                <w:szCs w:val="20"/>
              </w:rPr>
              <w:t>nts</w:t>
            </w:r>
            <w:r w:rsidR="00250813">
              <w:rPr>
                <w:sz w:val="20"/>
                <w:szCs w:val="20"/>
              </w:rPr>
              <w:t xml:space="preserve"> (</w:t>
            </w:r>
            <w:r w:rsidR="00FE1862">
              <w:rPr>
                <w:sz w:val="20"/>
                <w:szCs w:val="20"/>
              </w:rPr>
              <w:t xml:space="preserve">e.g. </w:t>
            </w:r>
            <w:r w:rsidR="00250813">
              <w:rPr>
                <w:sz w:val="20"/>
                <w:szCs w:val="20"/>
              </w:rPr>
              <w:t>SPC)</w:t>
            </w:r>
            <w:r w:rsidR="008C736B">
              <w:rPr>
                <w:sz w:val="20"/>
                <w:szCs w:val="20"/>
              </w:rPr>
              <w:t xml:space="preserve"> of column 2 of the Schedule</w:t>
            </w:r>
            <w:r w:rsidR="00FE1862">
              <w:rPr>
                <w:sz w:val="20"/>
                <w:szCs w:val="20"/>
              </w:rPr>
              <w:t xml:space="preserve"> that </w:t>
            </w:r>
            <w:r w:rsidR="000F39DA">
              <w:rPr>
                <w:sz w:val="20"/>
                <w:szCs w:val="20"/>
              </w:rPr>
              <w:t>were</w:t>
            </w:r>
            <w:r w:rsidR="00FE1862">
              <w:rPr>
                <w:sz w:val="20"/>
                <w:szCs w:val="20"/>
              </w:rPr>
              <w:t xml:space="preserve"> not technically considered a microorganism but instead </w:t>
            </w:r>
            <w:r w:rsidR="000F39DA">
              <w:rPr>
                <w:sz w:val="20"/>
                <w:szCs w:val="20"/>
              </w:rPr>
              <w:t>were considered</w:t>
            </w:r>
            <w:r w:rsidR="00FE1862">
              <w:rPr>
                <w:sz w:val="20"/>
                <w:szCs w:val="20"/>
              </w:rPr>
              <w:t xml:space="preserve"> a test for microorganisms</w:t>
            </w:r>
            <w:r w:rsidR="008C736B">
              <w:rPr>
                <w:sz w:val="20"/>
                <w:szCs w:val="20"/>
              </w:rPr>
              <w:t xml:space="preserve">. </w:t>
            </w:r>
            <w:r w:rsidR="00FE1862">
              <w:rPr>
                <w:sz w:val="20"/>
                <w:szCs w:val="20"/>
              </w:rPr>
              <w:t>However, t</w:t>
            </w:r>
            <w:r w:rsidR="008C736B">
              <w:rPr>
                <w:sz w:val="20"/>
                <w:szCs w:val="20"/>
              </w:rPr>
              <w:t>he inclusion of the word ‘test’ was noted as an inappropriate inclusion in a definition for microorganism.</w:t>
            </w:r>
            <w:r w:rsidR="00FE1862">
              <w:rPr>
                <w:sz w:val="20"/>
                <w:szCs w:val="20"/>
              </w:rPr>
              <w:t xml:space="preserve"> </w:t>
            </w:r>
            <w:r w:rsidR="006A2579">
              <w:rPr>
                <w:sz w:val="20"/>
                <w:szCs w:val="20"/>
              </w:rPr>
              <w:t xml:space="preserve">The proposed variation </w:t>
            </w:r>
            <w:r w:rsidR="00C469A6">
              <w:rPr>
                <w:sz w:val="20"/>
                <w:szCs w:val="20"/>
              </w:rPr>
              <w:t>will not</w:t>
            </w:r>
            <w:r w:rsidR="006A2579">
              <w:rPr>
                <w:sz w:val="20"/>
                <w:szCs w:val="20"/>
              </w:rPr>
              <w:t xml:space="preserve"> proceed at this time.</w:t>
            </w:r>
          </w:p>
          <w:p w:rsidR="006F45D0" w:rsidRDefault="006F45D0"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draft </w:t>
            </w:r>
            <w:r w:rsidR="00D658C3">
              <w:rPr>
                <w:sz w:val="20"/>
                <w:szCs w:val="20"/>
              </w:rPr>
              <w:t>variation</w:t>
            </w:r>
            <w:r>
              <w:rPr>
                <w:sz w:val="20"/>
                <w:szCs w:val="20"/>
              </w:rPr>
              <w:t xml:space="preserve"> to Standard 1.6.1 </w:t>
            </w:r>
            <w:r w:rsidR="00D658C3">
              <w:rPr>
                <w:sz w:val="20"/>
                <w:szCs w:val="20"/>
              </w:rPr>
              <w:t xml:space="preserve">was amended to </w:t>
            </w:r>
            <w:r>
              <w:rPr>
                <w:sz w:val="20"/>
                <w:szCs w:val="20"/>
              </w:rPr>
              <w:t>include</w:t>
            </w:r>
            <w:r w:rsidR="006C6A85">
              <w:rPr>
                <w:sz w:val="20"/>
                <w:szCs w:val="20"/>
              </w:rPr>
              <w:t xml:space="preserve"> a definition for “listericidal process”.</w:t>
            </w:r>
            <w:r>
              <w:rPr>
                <w:sz w:val="20"/>
                <w:szCs w:val="20"/>
              </w:rPr>
              <w:t xml:space="preserve"> </w:t>
            </w:r>
          </w:p>
          <w:p w:rsidR="006C6A85" w:rsidRDefault="006C6A85"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A36D66">
              <w:rPr>
                <w:sz w:val="20"/>
                <w:szCs w:val="20"/>
              </w:rPr>
              <w:t xml:space="preserve">This definition </w:t>
            </w:r>
            <w:r>
              <w:rPr>
                <w:sz w:val="20"/>
                <w:szCs w:val="20"/>
              </w:rPr>
              <w:t xml:space="preserve">of Authorised officer </w:t>
            </w:r>
            <w:r w:rsidRPr="00A36D66">
              <w:rPr>
                <w:sz w:val="20"/>
                <w:szCs w:val="20"/>
              </w:rPr>
              <w:t>sits within State and Territory legislation.</w:t>
            </w:r>
            <w:r>
              <w:rPr>
                <w:sz w:val="20"/>
                <w:szCs w:val="20"/>
              </w:rPr>
              <w:t xml:space="preserve"> </w:t>
            </w:r>
            <w:r w:rsidRPr="00A36D66">
              <w:rPr>
                <w:sz w:val="20"/>
                <w:szCs w:val="20"/>
              </w:rPr>
              <w:t xml:space="preserve">This </w:t>
            </w:r>
            <w:r>
              <w:rPr>
                <w:sz w:val="20"/>
                <w:szCs w:val="20"/>
              </w:rPr>
              <w:t>matter</w:t>
            </w:r>
            <w:r w:rsidRPr="00A36D66">
              <w:rPr>
                <w:sz w:val="20"/>
                <w:szCs w:val="20"/>
              </w:rPr>
              <w:t xml:space="preserve"> is being considered via proposal P1025. </w:t>
            </w:r>
            <w:r w:rsidR="00323BE0">
              <w:rPr>
                <w:sz w:val="20"/>
                <w:szCs w:val="20"/>
              </w:rPr>
              <w:t>No changes will</w:t>
            </w:r>
            <w:r w:rsidR="008C736B">
              <w:rPr>
                <w:sz w:val="20"/>
                <w:szCs w:val="20"/>
              </w:rPr>
              <w:t xml:space="preserve"> be made to </w:t>
            </w:r>
            <w:r w:rsidR="00041500">
              <w:rPr>
                <w:sz w:val="20"/>
                <w:szCs w:val="20"/>
              </w:rPr>
              <w:t>c</w:t>
            </w:r>
            <w:r w:rsidR="008C736B">
              <w:rPr>
                <w:sz w:val="20"/>
                <w:szCs w:val="20"/>
              </w:rPr>
              <w:t xml:space="preserve">lause </w:t>
            </w:r>
            <w:r w:rsidR="00323BE0">
              <w:rPr>
                <w:sz w:val="20"/>
                <w:szCs w:val="20"/>
              </w:rPr>
              <w:t xml:space="preserve">3 and ‘sampling of foods for microbiological analysis’ </w:t>
            </w:r>
            <w:r w:rsidR="002C6A7F">
              <w:rPr>
                <w:sz w:val="20"/>
                <w:szCs w:val="20"/>
              </w:rPr>
              <w:t>under P1017.</w:t>
            </w:r>
          </w:p>
          <w:p w:rsidR="006C6A85" w:rsidRPr="00A36D66" w:rsidRDefault="006C6A85"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The inclusion of ‘toxin’ was to reflect that </w:t>
            </w:r>
            <w:r w:rsidRPr="00A36D66">
              <w:rPr>
                <w:sz w:val="20"/>
                <w:szCs w:val="20"/>
              </w:rPr>
              <w:t xml:space="preserve">limits </w:t>
            </w:r>
            <w:r>
              <w:rPr>
                <w:sz w:val="20"/>
                <w:szCs w:val="20"/>
              </w:rPr>
              <w:t>for toxins (</w:t>
            </w:r>
            <w:r w:rsidRPr="00A36D66">
              <w:rPr>
                <w:sz w:val="20"/>
                <w:szCs w:val="20"/>
              </w:rPr>
              <w:t xml:space="preserve">e.g. </w:t>
            </w:r>
            <w:r>
              <w:rPr>
                <w:i/>
                <w:sz w:val="20"/>
                <w:szCs w:val="20"/>
              </w:rPr>
              <w:t>S</w:t>
            </w:r>
            <w:r w:rsidRPr="00A36D66">
              <w:rPr>
                <w:i/>
                <w:sz w:val="20"/>
                <w:szCs w:val="20"/>
              </w:rPr>
              <w:t>taphylococcus aureus</w:t>
            </w:r>
            <w:r w:rsidRPr="00A36D66">
              <w:rPr>
                <w:sz w:val="20"/>
                <w:szCs w:val="20"/>
              </w:rPr>
              <w:t xml:space="preserve"> enterotoxin</w:t>
            </w:r>
            <w:r>
              <w:rPr>
                <w:sz w:val="20"/>
                <w:szCs w:val="20"/>
              </w:rPr>
              <w:t>)</w:t>
            </w:r>
            <w:r w:rsidR="00FE1862">
              <w:rPr>
                <w:sz w:val="20"/>
                <w:szCs w:val="20"/>
              </w:rPr>
              <w:t xml:space="preserve"> </w:t>
            </w:r>
            <w:r>
              <w:rPr>
                <w:sz w:val="20"/>
                <w:szCs w:val="20"/>
              </w:rPr>
              <w:t>could</w:t>
            </w:r>
            <w:r w:rsidRPr="00A36D66">
              <w:rPr>
                <w:sz w:val="20"/>
                <w:szCs w:val="20"/>
              </w:rPr>
              <w:t xml:space="preserve"> be included </w:t>
            </w:r>
            <w:r>
              <w:rPr>
                <w:sz w:val="20"/>
                <w:szCs w:val="20"/>
              </w:rPr>
              <w:t>in the Schedule</w:t>
            </w:r>
            <w:r w:rsidR="00323BE0">
              <w:rPr>
                <w:sz w:val="20"/>
                <w:szCs w:val="20"/>
              </w:rPr>
              <w:t xml:space="preserve"> in the future</w:t>
            </w:r>
            <w:r>
              <w:rPr>
                <w:sz w:val="20"/>
                <w:szCs w:val="20"/>
              </w:rPr>
              <w:t>. However</w:t>
            </w:r>
            <w:r w:rsidR="00597E2D">
              <w:rPr>
                <w:sz w:val="20"/>
                <w:szCs w:val="20"/>
              </w:rPr>
              <w:t>,</w:t>
            </w:r>
            <w:r>
              <w:rPr>
                <w:sz w:val="20"/>
                <w:szCs w:val="20"/>
              </w:rPr>
              <w:t xml:space="preserve"> as there are currently no toxin tests listed</w:t>
            </w:r>
            <w:r w:rsidR="00226640">
              <w:rPr>
                <w:sz w:val="20"/>
                <w:szCs w:val="20"/>
              </w:rPr>
              <w:t>,</w:t>
            </w:r>
            <w:r>
              <w:rPr>
                <w:sz w:val="20"/>
                <w:szCs w:val="20"/>
              </w:rPr>
              <w:t xml:space="preserve"> this term was deleted from the draft variation to Standard 1.6.1.</w:t>
            </w:r>
          </w:p>
        </w:tc>
      </w:tr>
      <w:tr w:rsidR="00026B8F" w:rsidRPr="00A36D66" w:rsidTr="006C6A85">
        <w:trPr>
          <w:cnfStyle w:val="000000010000" w:firstRow="0" w:lastRow="0" w:firstColumn="0" w:lastColumn="0" w:oddVBand="0" w:evenVBand="0" w:oddHBand="0" w:evenHBand="1" w:firstRowFirstColumn="0" w:firstRowLastColumn="0" w:lastRowFirstColumn="0" w:lastRowLastColumn="0"/>
          <w:cantSplit/>
          <w:trHeight w:val="32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Pr="00A36D66" w:rsidRDefault="00026B8F" w:rsidP="00F42B30">
            <w:pPr>
              <w:ind w:left="113" w:hanging="113"/>
              <w:rPr>
                <w:sz w:val="20"/>
                <w:szCs w:val="20"/>
              </w:rPr>
            </w:pPr>
            <w:r w:rsidRPr="00A36D66">
              <w:rPr>
                <w:sz w:val="20"/>
                <w:szCs w:val="20"/>
              </w:rPr>
              <w:t xml:space="preserve">Suggestion of including definitions of ‘growth’ and ‘lot’ </w:t>
            </w:r>
          </w:p>
        </w:tc>
        <w:tc>
          <w:tcPr>
            <w:tcW w:w="2568" w:type="dxa"/>
            <w:tcBorders>
              <w:left w:val="none" w:sz="0" w:space="0" w:color="auto"/>
              <w:right w:val="none" w:sz="0" w:space="0" w:color="auto"/>
            </w:tcBorders>
          </w:tcPr>
          <w:p w:rsidR="00026B8F" w:rsidRPr="00A36D66" w:rsidRDefault="006C6A85" w:rsidP="00F42B30">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Government</w:t>
            </w:r>
          </w:p>
        </w:tc>
        <w:tc>
          <w:tcPr>
            <w:tcW w:w="8772" w:type="dxa"/>
            <w:tcBorders>
              <w:left w:val="none" w:sz="0" w:space="0" w:color="auto"/>
            </w:tcBorders>
          </w:tcPr>
          <w:p w:rsidR="00026B8F" w:rsidRPr="00A36D66" w:rsidRDefault="00026B8F"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A36D66">
              <w:rPr>
                <w:sz w:val="20"/>
                <w:szCs w:val="20"/>
              </w:rPr>
              <w:t>Growth</w:t>
            </w:r>
            <w:r w:rsidR="00F602F8">
              <w:rPr>
                <w:sz w:val="20"/>
                <w:szCs w:val="20"/>
              </w:rPr>
              <w:t xml:space="preserve"> is</w:t>
            </w:r>
            <w:r w:rsidRPr="00A36D66">
              <w:rPr>
                <w:sz w:val="20"/>
                <w:szCs w:val="20"/>
              </w:rPr>
              <w:t xml:space="preserve"> </w:t>
            </w:r>
            <w:r w:rsidR="006C6A85">
              <w:rPr>
                <w:sz w:val="20"/>
                <w:szCs w:val="20"/>
              </w:rPr>
              <w:t xml:space="preserve">inherent in the wording </w:t>
            </w:r>
            <w:r w:rsidR="00F602F8">
              <w:rPr>
                <w:sz w:val="20"/>
                <w:szCs w:val="20"/>
              </w:rPr>
              <w:t>of</w:t>
            </w:r>
            <w:r w:rsidR="006C6A85">
              <w:rPr>
                <w:sz w:val="20"/>
                <w:szCs w:val="20"/>
              </w:rPr>
              <w:t xml:space="preserve"> </w:t>
            </w:r>
            <w:r w:rsidR="00F602F8">
              <w:rPr>
                <w:sz w:val="20"/>
                <w:szCs w:val="20"/>
              </w:rPr>
              <w:t>paragraph</w:t>
            </w:r>
            <w:r w:rsidR="006C6A85">
              <w:rPr>
                <w:sz w:val="20"/>
                <w:szCs w:val="20"/>
              </w:rPr>
              <w:t xml:space="preserve"> 6</w:t>
            </w:r>
            <w:r w:rsidR="00F602F8">
              <w:rPr>
                <w:sz w:val="20"/>
                <w:szCs w:val="20"/>
              </w:rPr>
              <w:t>(1)</w:t>
            </w:r>
            <w:r w:rsidR="006C6A85">
              <w:rPr>
                <w:sz w:val="20"/>
                <w:szCs w:val="20"/>
              </w:rPr>
              <w:t>(f) of the draft variation to Standard 1.6.1</w:t>
            </w:r>
            <w:r w:rsidR="00F602F8">
              <w:rPr>
                <w:sz w:val="20"/>
                <w:szCs w:val="20"/>
              </w:rPr>
              <w:t xml:space="preserve">: </w:t>
            </w:r>
            <w:r w:rsidR="006C6A85">
              <w:rPr>
                <w:sz w:val="20"/>
                <w:szCs w:val="20"/>
              </w:rPr>
              <w:t xml:space="preserve"> </w:t>
            </w:r>
            <w:r w:rsidR="00F602F8">
              <w:rPr>
                <w:sz w:val="20"/>
                <w:szCs w:val="20"/>
              </w:rPr>
              <w:t>“</w:t>
            </w:r>
            <w:r w:rsidR="00F602F8" w:rsidRPr="00F602F8">
              <w:rPr>
                <w:sz w:val="20"/>
                <w:szCs w:val="20"/>
              </w:rPr>
              <w:t xml:space="preserve">the level of </w:t>
            </w:r>
            <w:r w:rsidR="00F602F8" w:rsidRPr="00F602F8">
              <w:rPr>
                <w:i/>
                <w:sz w:val="20"/>
                <w:szCs w:val="20"/>
              </w:rPr>
              <w:t>Listeria monocytogenes</w:t>
            </w:r>
            <w:r w:rsidR="00F602F8" w:rsidRPr="00F602F8">
              <w:rPr>
                <w:sz w:val="20"/>
                <w:szCs w:val="20"/>
              </w:rPr>
              <w:t xml:space="preserve"> will not increase by greater than 0.5 log cfu/g for at least the expected shelf life.</w:t>
            </w:r>
            <w:r w:rsidR="00F602F8">
              <w:rPr>
                <w:sz w:val="20"/>
                <w:szCs w:val="20"/>
              </w:rPr>
              <w:t>”</w:t>
            </w:r>
          </w:p>
          <w:p w:rsidR="00026B8F" w:rsidRPr="00A36D66" w:rsidRDefault="00026B8F"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A36D66">
              <w:rPr>
                <w:sz w:val="20"/>
                <w:szCs w:val="20"/>
              </w:rPr>
              <w:t xml:space="preserve">‘Lot’ - is defined in the </w:t>
            </w:r>
            <w:r>
              <w:rPr>
                <w:sz w:val="20"/>
                <w:szCs w:val="20"/>
              </w:rPr>
              <w:t>Code</w:t>
            </w:r>
            <w:r w:rsidRPr="00A36D66">
              <w:rPr>
                <w:sz w:val="20"/>
                <w:szCs w:val="20"/>
              </w:rPr>
              <w:t xml:space="preserve"> in Standard 1.1.1.</w:t>
            </w:r>
          </w:p>
        </w:tc>
      </w:tr>
      <w:tr w:rsidR="00026B8F" w:rsidRPr="00A36D66" w:rsidTr="006C6A85">
        <w:trPr>
          <w:cnfStyle w:val="000000100000" w:firstRow="0" w:lastRow="0" w:firstColumn="0" w:lastColumn="0" w:oddVBand="0" w:evenVBand="0" w:oddHBand="1"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Pr="00A36D66" w:rsidRDefault="00026B8F" w:rsidP="00F42B30">
            <w:pPr>
              <w:ind w:left="113" w:hanging="113"/>
              <w:rPr>
                <w:sz w:val="20"/>
                <w:szCs w:val="20"/>
              </w:rPr>
            </w:pPr>
            <w:r w:rsidRPr="00A36D66">
              <w:rPr>
                <w:sz w:val="20"/>
                <w:szCs w:val="20"/>
              </w:rPr>
              <w:t>Inconsistencies between P1025 and P1017</w:t>
            </w:r>
            <w:r>
              <w:rPr>
                <w:sz w:val="20"/>
                <w:szCs w:val="20"/>
              </w:rPr>
              <w:t xml:space="preserve"> - confusion</w:t>
            </w:r>
          </w:p>
          <w:p w:rsidR="00026B8F" w:rsidRPr="00A36D66" w:rsidRDefault="00026B8F" w:rsidP="00F42B30">
            <w:pPr>
              <w:rPr>
                <w:sz w:val="20"/>
                <w:szCs w:val="20"/>
              </w:rPr>
            </w:pPr>
          </w:p>
        </w:tc>
        <w:tc>
          <w:tcPr>
            <w:tcW w:w="2568" w:type="dxa"/>
            <w:tcBorders>
              <w:left w:val="none" w:sz="0" w:space="0" w:color="auto"/>
              <w:right w:val="none" w:sz="0" w:space="0" w:color="auto"/>
            </w:tcBorders>
          </w:tcPr>
          <w:p w:rsidR="00026B8F" w:rsidRPr="00A36D66" w:rsidRDefault="00F602F8" w:rsidP="00F42B3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Industry Association/Government</w:t>
            </w:r>
          </w:p>
        </w:tc>
        <w:tc>
          <w:tcPr>
            <w:tcW w:w="8772" w:type="dxa"/>
            <w:tcBorders>
              <w:left w:val="none" w:sz="0" w:space="0" w:color="auto"/>
            </w:tcBorders>
          </w:tcPr>
          <w:p w:rsidR="00F602F8" w:rsidRPr="00A36D66" w:rsidRDefault="00323BE0" w:rsidP="003B09DF">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P1017 and P1025 are separate proposals. </w:t>
            </w:r>
            <w:r w:rsidR="003B09DF">
              <w:rPr>
                <w:sz w:val="20"/>
                <w:szCs w:val="20"/>
              </w:rPr>
              <w:t xml:space="preserve">It is proposed that the revised Code that is anticipated as the outcome of P1025 will be amended in March 2015 to include variations made in this Proposal P1017. A draft instrument outlining the variation that is likely to be required is at </w:t>
            </w:r>
            <w:r w:rsidR="003B09DF" w:rsidRPr="00372387">
              <w:rPr>
                <w:sz w:val="20"/>
                <w:szCs w:val="20"/>
              </w:rPr>
              <w:t>Attachment D</w:t>
            </w:r>
            <w:r w:rsidR="003B09DF">
              <w:rPr>
                <w:sz w:val="20"/>
                <w:szCs w:val="20"/>
              </w:rPr>
              <w:t>.</w:t>
            </w:r>
          </w:p>
        </w:tc>
      </w:tr>
      <w:tr w:rsidR="00026B8F" w:rsidRPr="00A36D66" w:rsidTr="006C6A85">
        <w:trPr>
          <w:cnfStyle w:val="000000010000" w:firstRow="0" w:lastRow="0" w:firstColumn="0" w:lastColumn="0" w:oddVBand="0" w:evenVBand="0" w:oddHBand="0" w:evenHBand="1" w:firstRowFirstColumn="0" w:firstRowLastColumn="0" w:lastRowFirstColumn="0" w:lastRowLastColumn="0"/>
          <w:cantSplit/>
          <w:trHeight w:val="36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Pr="00A36D66" w:rsidRDefault="001A754B" w:rsidP="00F42B30">
            <w:pPr>
              <w:ind w:left="113" w:hanging="113"/>
              <w:rPr>
                <w:sz w:val="20"/>
                <w:szCs w:val="20"/>
              </w:rPr>
            </w:pPr>
            <w:r>
              <w:rPr>
                <w:sz w:val="20"/>
                <w:szCs w:val="20"/>
              </w:rPr>
              <w:t>Criteria for growth</w:t>
            </w:r>
          </w:p>
          <w:p w:rsidR="00026B8F" w:rsidRPr="00995974" w:rsidRDefault="00F602F8" w:rsidP="00F42B30">
            <w:pPr>
              <w:rPr>
                <w:b w:val="0"/>
                <w:sz w:val="20"/>
                <w:szCs w:val="20"/>
              </w:rPr>
            </w:pPr>
            <w:r>
              <w:rPr>
                <w:b w:val="0"/>
                <w:sz w:val="20"/>
                <w:szCs w:val="20"/>
              </w:rPr>
              <w:t>Questions raised in relation to criteria included</w:t>
            </w:r>
            <w:r w:rsidR="00A71FA7">
              <w:rPr>
                <w:b w:val="0"/>
                <w:sz w:val="20"/>
                <w:szCs w:val="20"/>
              </w:rPr>
              <w:t xml:space="preserve"> (or not)</w:t>
            </w:r>
            <w:r>
              <w:rPr>
                <w:b w:val="0"/>
                <w:sz w:val="20"/>
                <w:szCs w:val="20"/>
              </w:rPr>
              <w:t xml:space="preserve"> in the standard:</w:t>
            </w:r>
          </w:p>
          <w:p w:rsidR="00026B8F" w:rsidRPr="00D81E34" w:rsidRDefault="00FE1862" w:rsidP="00026B8F">
            <w:pPr>
              <w:pStyle w:val="ListParagraph"/>
              <w:widowControl/>
              <w:numPr>
                <w:ilvl w:val="0"/>
                <w:numId w:val="12"/>
              </w:numPr>
              <w:ind w:left="284" w:hanging="142"/>
              <w:rPr>
                <w:b w:val="0"/>
                <w:sz w:val="20"/>
                <w:szCs w:val="20"/>
              </w:rPr>
            </w:pPr>
            <w:r>
              <w:rPr>
                <w:b w:val="0"/>
                <w:sz w:val="20"/>
                <w:szCs w:val="20"/>
              </w:rPr>
              <w:t>d</w:t>
            </w:r>
            <w:r w:rsidR="00026B8F" w:rsidRPr="00D81E34">
              <w:rPr>
                <w:b w:val="0"/>
                <w:sz w:val="20"/>
                <w:szCs w:val="20"/>
              </w:rPr>
              <w:t>efined shelf life</w:t>
            </w:r>
            <w:r w:rsidR="00026B8F">
              <w:rPr>
                <w:b w:val="0"/>
                <w:sz w:val="20"/>
                <w:szCs w:val="20"/>
              </w:rPr>
              <w:t xml:space="preserve"> (5 days)</w:t>
            </w:r>
          </w:p>
          <w:p w:rsidR="00026B8F" w:rsidRPr="00D81E34" w:rsidRDefault="00FE1862" w:rsidP="00026B8F">
            <w:pPr>
              <w:pStyle w:val="ListParagraph"/>
              <w:widowControl/>
              <w:numPr>
                <w:ilvl w:val="0"/>
                <w:numId w:val="12"/>
              </w:numPr>
              <w:ind w:left="284" w:hanging="142"/>
              <w:rPr>
                <w:b w:val="0"/>
                <w:sz w:val="20"/>
                <w:szCs w:val="20"/>
              </w:rPr>
            </w:pPr>
            <w:r>
              <w:rPr>
                <w:b w:val="0"/>
                <w:sz w:val="20"/>
                <w:szCs w:val="20"/>
              </w:rPr>
              <w:t>f</w:t>
            </w:r>
            <w:r w:rsidR="00026B8F" w:rsidRPr="00D81E34">
              <w:rPr>
                <w:b w:val="0"/>
                <w:sz w:val="20"/>
                <w:szCs w:val="20"/>
              </w:rPr>
              <w:t>rozen foods</w:t>
            </w:r>
          </w:p>
          <w:p w:rsidR="00026B8F" w:rsidRPr="00D81E34" w:rsidRDefault="00FE1862" w:rsidP="00026B8F">
            <w:pPr>
              <w:pStyle w:val="ListParagraph"/>
              <w:widowControl/>
              <w:numPr>
                <w:ilvl w:val="0"/>
                <w:numId w:val="12"/>
              </w:numPr>
              <w:ind w:left="284" w:hanging="142"/>
              <w:rPr>
                <w:b w:val="0"/>
                <w:sz w:val="20"/>
                <w:szCs w:val="20"/>
              </w:rPr>
            </w:pPr>
            <w:r>
              <w:rPr>
                <w:b w:val="0"/>
                <w:sz w:val="20"/>
                <w:szCs w:val="20"/>
              </w:rPr>
              <w:t>g</w:t>
            </w:r>
            <w:r w:rsidR="00026B8F" w:rsidRPr="00D81E34">
              <w:rPr>
                <w:b w:val="0"/>
                <w:sz w:val="20"/>
                <w:szCs w:val="20"/>
              </w:rPr>
              <w:t>rowth</w:t>
            </w:r>
          </w:p>
          <w:p w:rsidR="00026B8F" w:rsidRPr="00D81E34" w:rsidRDefault="00A71FA7" w:rsidP="00A71FA7">
            <w:pPr>
              <w:pStyle w:val="ListParagraph"/>
              <w:widowControl/>
              <w:numPr>
                <w:ilvl w:val="0"/>
                <w:numId w:val="12"/>
              </w:numPr>
              <w:ind w:left="284" w:hanging="142"/>
              <w:rPr>
                <w:sz w:val="20"/>
                <w:szCs w:val="20"/>
              </w:rPr>
            </w:pPr>
            <w:r>
              <w:rPr>
                <w:b w:val="0"/>
                <w:sz w:val="20"/>
                <w:szCs w:val="20"/>
              </w:rPr>
              <w:t>should</w:t>
            </w:r>
            <w:r w:rsidR="00026B8F" w:rsidRPr="00D81E34">
              <w:rPr>
                <w:b w:val="0"/>
                <w:sz w:val="20"/>
                <w:szCs w:val="20"/>
              </w:rPr>
              <w:t xml:space="preserve"> shelf stable foods</w:t>
            </w:r>
            <w:r>
              <w:rPr>
                <w:b w:val="0"/>
                <w:sz w:val="20"/>
                <w:szCs w:val="20"/>
              </w:rPr>
              <w:t xml:space="preserve"> be excluded</w:t>
            </w:r>
          </w:p>
        </w:tc>
        <w:tc>
          <w:tcPr>
            <w:tcW w:w="2568" w:type="dxa"/>
            <w:tcBorders>
              <w:left w:val="none" w:sz="0" w:space="0" w:color="auto"/>
              <w:right w:val="none" w:sz="0" w:space="0" w:color="auto"/>
            </w:tcBorders>
          </w:tcPr>
          <w:p w:rsidR="00026B8F" w:rsidRPr="00A36D66" w:rsidRDefault="00F602F8" w:rsidP="00F42B3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Government (enforcement agencies)</w:t>
            </w:r>
          </w:p>
        </w:tc>
        <w:tc>
          <w:tcPr>
            <w:tcW w:w="8772" w:type="dxa"/>
            <w:tcBorders>
              <w:left w:val="none" w:sz="0" w:space="0" w:color="auto"/>
            </w:tcBorders>
          </w:tcPr>
          <w:p w:rsidR="00026B8F" w:rsidRPr="00A36D66" w:rsidRDefault="00026B8F"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 parameters against which the growth of </w:t>
            </w:r>
            <w:r w:rsidRPr="00FE1862">
              <w:rPr>
                <w:i/>
                <w:sz w:val="20"/>
                <w:szCs w:val="20"/>
              </w:rPr>
              <w:t>L. monocytogenes</w:t>
            </w:r>
            <w:r>
              <w:rPr>
                <w:sz w:val="20"/>
                <w:szCs w:val="20"/>
              </w:rPr>
              <w:t xml:space="preserve"> does not occur </w:t>
            </w:r>
            <w:r w:rsidRPr="00A36D66">
              <w:rPr>
                <w:sz w:val="20"/>
                <w:szCs w:val="20"/>
              </w:rPr>
              <w:t>have been established by Codex</w:t>
            </w:r>
            <w:r>
              <w:rPr>
                <w:sz w:val="20"/>
                <w:szCs w:val="20"/>
              </w:rPr>
              <w:t xml:space="preserve"> and s</w:t>
            </w:r>
            <w:r w:rsidRPr="00A36D66">
              <w:rPr>
                <w:sz w:val="20"/>
                <w:szCs w:val="20"/>
              </w:rPr>
              <w:t xml:space="preserve">upported </w:t>
            </w:r>
            <w:r>
              <w:rPr>
                <w:sz w:val="20"/>
                <w:szCs w:val="20"/>
              </w:rPr>
              <w:t xml:space="preserve">by the scientific literature. </w:t>
            </w:r>
          </w:p>
          <w:p w:rsidR="00026B8F" w:rsidRDefault="00026B8F"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p w:rsidR="00FE1862" w:rsidRPr="00A36D66" w:rsidRDefault="00FE1862"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p w:rsidR="00026B8F" w:rsidRDefault="00F602F8"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Further information supporting the criteria </w:t>
            </w:r>
            <w:r w:rsidR="0045707C">
              <w:rPr>
                <w:sz w:val="20"/>
                <w:szCs w:val="20"/>
              </w:rPr>
              <w:t>w</w:t>
            </w:r>
            <w:r>
              <w:rPr>
                <w:sz w:val="20"/>
                <w:szCs w:val="20"/>
              </w:rPr>
              <w:t xml:space="preserve">as provided in the </w:t>
            </w:r>
            <w:r w:rsidR="00026B8F" w:rsidRPr="00A36D66">
              <w:rPr>
                <w:sz w:val="20"/>
                <w:szCs w:val="20"/>
              </w:rPr>
              <w:t xml:space="preserve">guidance </w:t>
            </w:r>
            <w:r>
              <w:rPr>
                <w:sz w:val="20"/>
                <w:szCs w:val="20"/>
              </w:rPr>
              <w:t>document.</w:t>
            </w:r>
          </w:p>
          <w:p w:rsidR="00A71FA7" w:rsidRDefault="00A71FA7"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p w:rsidR="00FE1862" w:rsidRDefault="00FE1862"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p w:rsidR="00A71FA7" w:rsidRPr="00A36D66" w:rsidRDefault="00A71FA7" w:rsidP="0045707C">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 definition for RTE food </w:t>
            </w:r>
            <w:r w:rsidR="0045707C">
              <w:rPr>
                <w:sz w:val="20"/>
                <w:szCs w:val="20"/>
              </w:rPr>
              <w:t>w</w:t>
            </w:r>
            <w:r>
              <w:rPr>
                <w:sz w:val="20"/>
                <w:szCs w:val="20"/>
              </w:rPr>
              <w:t>as included in the draft variation to Standard 1.6.1 that excludes shelf stable products.</w:t>
            </w:r>
          </w:p>
        </w:tc>
      </w:tr>
      <w:tr w:rsidR="00026B8F" w:rsidRPr="00A36D66" w:rsidTr="006C6A85">
        <w:trPr>
          <w:cnfStyle w:val="000000100000" w:firstRow="0" w:lastRow="0" w:firstColumn="0" w:lastColumn="0" w:oddVBand="0" w:evenVBand="0" w:oddHBand="1" w:evenHBand="0" w:firstRowFirstColumn="0" w:firstRowLastColumn="0" w:lastRowFirstColumn="0" w:lastRowLastColumn="0"/>
          <w:cantSplit/>
          <w:trHeight w:val="166"/>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026B8F" w:rsidRPr="00A36D66" w:rsidRDefault="00026B8F" w:rsidP="00F42B30">
            <w:pPr>
              <w:ind w:left="113" w:hanging="113"/>
              <w:rPr>
                <w:sz w:val="20"/>
                <w:szCs w:val="20"/>
              </w:rPr>
            </w:pPr>
            <w:r>
              <w:rPr>
                <w:sz w:val="20"/>
                <w:szCs w:val="20"/>
              </w:rPr>
              <w:t>Removal of the entry for infant formula with added lactic acid bacteria</w:t>
            </w:r>
            <w:r w:rsidRPr="00A36D66">
              <w:rPr>
                <w:sz w:val="20"/>
                <w:szCs w:val="20"/>
              </w:rPr>
              <w:t xml:space="preserve"> </w:t>
            </w:r>
          </w:p>
        </w:tc>
        <w:tc>
          <w:tcPr>
            <w:tcW w:w="2568" w:type="dxa"/>
            <w:tcBorders>
              <w:left w:val="none" w:sz="0" w:space="0" w:color="auto"/>
              <w:right w:val="none" w:sz="0" w:space="0" w:color="auto"/>
            </w:tcBorders>
          </w:tcPr>
          <w:p w:rsidR="00026B8F" w:rsidRPr="00A36D66" w:rsidRDefault="00026B8F" w:rsidP="001A754B">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A36D66">
              <w:rPr>
                <w:sz w:val="20"/>
                <w:szCs w:val="20"/>
              </w:rPr>
              <w:t>NZ</w:t>
            </w:r>
            <w:r w:rsidR="00CE76FE">
              <w:rPr>
                <w:sz w:val="20"/>
                <w:szCs w:val="20"/>
              </w:rPr>
              <w:t xml:space="preserve"> </w:t>
            </w:r>
            <w:r w:rsidR="001A754B">
              <w:rPr>
                <w:sz w:val="20"/>
                <w:szCs w:val="20"/>
              </w:rPr>
              <w:t>Government</w:t>
            </w:r>
          </w:p>
        </w:tc>
        <w:tc>
          <w:tcPr>
            <w:tcW w:w="8772" w:type="dxa"/>
            <w:tcBorders>
              <w:left w:val="none" w:sz="0" w:space="0" w:color="auto"/>
            </w:tcBorders>
          </w:tcPr>
          <w:p w:rsidR="00026B8F" w:rsidRPr="00A36D66" w:rsidRDefault="00026B8F"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FSANZ assessed that there was a d</w:t>
            </w:r>
            <w:r w:rsidRPr="00A36D66">
              <w:rPr>
                <w:sz w:val="20"/>
                <w:szCs w:val="20"/>
              </w:rPr>
              <w:t xml:space="preserve">uplication of limits </w:t>
            </w:r>
            <w:r>
              <w:rPr>
                <w:sz w:val="20"/>
                <w:szCs w:val="20"/>
              </w:rPr>
              <w:t xml:space="preserve">for infant formula products containing added lactic acid bacteria (this product already covered by the limits for infant formula) and </w:t>
            </w:r>
            <w:r w:rsidRPr="00A36D66">
              <w:rPr>
                <w:sz w:val="20"/>
                <w:szCs w:val="20"/>
              </w:rPr>
              <w:t xml:space="preserve">the reason the limits were removed </w:t>
            </w:r>
            <w:r>
              <w:rPr>
                <w:sz w:val="20"/>
                <w:szCs w:val="20"/>
              </w:rPr>
              <w:t>w</w:t>
            </w:r>
            <w:r w:rsidRPr="00A36D66">
              <w:rPr>
                <w:sz w:val="20"/>
                <w:szCs w:val="20"/>
              </w:rPr>
              <w:t>as specified in the draft explanatory statement.</w:t>
            </w:r>
            <w:r w:rsidR="00FE1862">
              <w:rPr>
                <w:sz w:val="20"/>
                <w:szCs w:val="20"/>
              </w:rPr>
              <w:t xml:space="preserve"> As S</w:t>
            </w:r>
            <w:r>
              <w:rPr>
                <w:sz w:val="20"/>
                <w:szCs w:val="20"/>
              </w:rPr>
              <w:t>tandard 1.6.1 limits apply to food for sale, or intended for sale, a limit for SPC in a final product containing added lactic acid bacteria would be inappropriate</w:t>
            </w:r>
            <w:r w:rsidR="00000408">
              <w:rPr>
                <w:sz w:val="20"/>
                <w:szCs w:val="20"/>
              </w:rPr>
              <w:t>.</w:t>
            </w:r>
            <w:r>
              <w:rPr>
                <w:sz w:val="20"/>
                <w:szCs w:val="20"/>
              </w:rPr>
              <w:t xml:space="preserve"> </w:t>
            </w:r>
          </w:p>
        </w:tc>
      </w:tr>
      <w:tr w:rsidR="00026B8F" w:rsidRPr="00A36D66" w:rsidTr="00C469A6">
        <w:trPr>
          <w:cnfStyle w:val="000000010000" w:firstRow="0" w:lastRow="0" w:firstColumn="0" w:lastColumn="0" w:oddVBand="0" w:evenVBand="0" w:oddHBand="0" w:evenHBand="1" w:firstRowFirstColumn="0" w:firstRowLastColumn="0" w:lastRowFirstColumn="0" w:lastRowLastColumn="0"/>
          <w:cantSplit/>
          <w:trHeight w:val="687"/>
        </w:trPr>
        <w:tc>
          <w:tcPr>
            <w:cnfStyle w:val="001000000000" w:firstRow="0" w:lastRow="0" w:firstColumn="1" w:lastColumn="0" w:oddVBand="0" w:evenVBand="0" w:oddHBand="0" w:evenHBand="0" w:firstRowFirstColumn="0" w:firstRowLastColumn="0" w:lastRowFirstColumn="0" w:lastRowLastColumn="0"/>
            <w:tcW w:w="2660" w:type="dxa"/>
            <w:tcBorders>
              <w:bottom w:val="single" w:sz="4" w:space="0" w:color="auto"/>
              <w:right w:val="none" w:sz="0" w:space="0" w:color="auto"/>
            </w:tcBorders>
          </w:tcPr>
          <w:p w:rsidR="00026B8F" w:rsidRPr="00A36D66" w:rsidRDefault="00026B8F" w:rsidP="00F42B30">
            <w:pPr>
              <w:ind w:left="113" w:hanging="113"/>
              <w:rPr>
                <w:sz w:val="20"/>
                <w:szCs w:val="20"/>
              </w:rPr>
            </w:pPr>
            <w:r>
              <w:rPr>
                <w:sz w:val="20"/>
                <w:szCs w:val="20"/>
              </w:rPr>
              <w:lastRenderedPageBreak/>
              <w:t>Inclusion of limits for foods intended for v</w:t>
            </w:r>
            <w:r w:rsidRPr="00A36D66">
              <w:rPr>
                <w:sz w:val="20"/>
                <w:szCs w:val="20"/>
              </w:rPr>
              <w:t>ulnerable populations</w:t>
            </w:r>
          </w:p>
        </w:tc>
        <w:tc>
          <w:tcPr>
            <w:tcW w:w="2568" w:type="dxa"/>
            <w:tcBorders>
              <w:left w:val="none" w:sz="0" w:space="0" w:color="auto"/>
              <w:bottom w:val="single" w:sz="4" w:space="0" w:color="auto"/>
              <w:right w:val="none" w:sz="0" w:space="0" w:color="auto"/>
            </w:tcBorders>
          </w:tcPr>
          <w:p w:rsidR="00026B8F" w:rsidRPr="00A36D66" w:rsidRDefault="00026B8F" w:rsidP="00F42B30">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A36D66">
              <w:rPr>
                <w:sz w:val="20"/>
                <w:szCs w:val="20"/>
              </w:rPr>
              <w:t xml:space="preserve">NZ </w:t>
            </w:r>
            <w:r w:rsidR="001A754B">
              <w:rPr>
                <w:sz w:val="20"/>
                <w:szCs w:val="20"/>
              </w:rPr>
              <w:t>Government</w:t>
            </w:r>
          </w:p>
          <w:p w:rsidR="00026B8F" w:rsidRPr="00A36D66" w:rsidRDefault="00026B8F" w:rsidP="00F42B30">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p w:rsidR="00026B8F" w:rsidRPr="00A36D66" w:rsidRDefault="001D210E" w:rsidP="00F42B30">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Industry</w:t>
            </w:r>
            <w:r w:rsidR="00026B8F" w:rsidRPr="00A36D66">
              <w:rPr>
                <w:sz w:val="20"/>
                <w:szCs w:val="20"/>
              </w:rPr>
              <w:t xml:space="preserve"> </w:t>
            </w:r>
          </w:p>
        </w:tc>
        <w:tc>
          <w:tcPr>
            <w:tcW w:w="8772" w:type="dxa"/>
            <w:tcBorders>
              <w:left w:val="none" w:sz="0" w:space="0" w:color="auto"/>
              <w:bottom w:val="single" w:sz="4" w:space="0" w:color="auto"/>
            </w:tcBorders>
          </w:tcPr>
          <w:p w:rsidR="00102CE8" w:rsidRDefault="00026B8F"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A36D66">
              <w:rPr>
                <w:sz w:val="20"/>
                <w:szCs w:val="20"/>
              </w:rPr>
              <w:t xml:space="preserve">FSANZ </w:t>
            </w:r>
            <w:r>
              <w:rPr>
                <w:sz w:val="20"/>
                <w:szCs w:val="20"/>
              </w:rPr>
              <w:t xml:space="preserve">has </w:t>
            </w:r>
            <w:r w:rsidR="001D210E">
              <w:rPr>
                <w:sz w:val="20"/>
                <w:szCs w:val="20"/>
              </w:rPr>
              <w:t>assessed</w:t>
            </w:r>
            <w:r w:rsidRPr="00A36D66">
              <w:rPr>
                <w:sz w:val="20"/>
                <w:szCs w:val="20"/>
              </w:rPr>
              <w:t xml:space="preserve"> </w:t>
            </w:r>
            <w:r>
              <w:rPr>
                <w:sz w:val="20"/>
                <w:szCs w:val="20"/>
              </w:rPr>
              <w:t xml:space="preserve">that </w:t>
            </w:r>
            <w:r w:rsidR="004E2F85">
              <w:rPr>
                <w:sz w:val="20"/>
                <w:szCs w:val="20"/>
              </w:rPr>
              <w:t xml:space="preserve">this is an </w:t>
            </w:r>
            <w:r w:rsidR="00FE1862">
              <w:rPr>
                <w:sz w:val="20"/>
                <w:szCs w:val="20"/>
              </w:rPr>
              <w:t>implementation</w:t>
            </w:r>
            <w:r w:rsidR="004E2F85">
              <w:rPr>
                <w:sz w:val="20"/>
                <w:szCs w:val="20"/>
              </w:rPr>
              <w:t xml:space="preserve"> issue and that </w:t>
            </w:r>
            <w:r>
              <w:rPr>
                <w:sz w:val="20"/>
                <w:szCs w:val="20"/>
              </w:rPr>
              <w:t xml:space="preserve">foods for vulnerable populations </w:t>
            </w:r>
            <w:r w:rsidRPr="00A36D66">
              <w:rPr>
                <w:sz w:val="20"/>
                <w:szCs w:val="20"/>
              </w:rPr>
              <w:t xml:space="preserve">is best </w:t>
            </w:r>
            <w:r>
              <w:rPr>
                <w:sz w:val="20"/>
                <w:szCs w:val="20"/>
              </w:rPr>
              <w:t>addressed</w:t>
            </w:r>
            <w:r w:rsidR="00FE1862">
              <w:rPr>
                <w:sz w:val="20"/>
                <w:szCs w:val="20"/>
              </w:rPr>
              <w:t xml:space="preserve"> in Australia</w:t>
            </w:r>
            <w:r>
              <w:rPr>
                <w:sz w:val="20"/>
                <w:szCs w:val="20"/>
              </w:rPr>
              <w:t xml:space="preserve"> through the food safety program requirements under Standard 3.3.1</w:t>
            </w:r>
            <w:r w:rsidRPr="00A36D66">
              <w:rPr>
                <w:sz w:val="20"/>
                <w:szCs w:val="20"/>
              </w:rPr>
              <w:t xml:space="preserve"> </w:t>
            </w:r>
            <w:r>
              <w:rPr>
                <w:sz w:val="20"/>
                <w:szCs w:val="20"/>
              </w:rPr>
              <w:t>and</w:t>
            </w:r>
            <w:r w:rsidRPr="00A36D66">
              <w:rPr>
                <w:sz w:val="20"/>
                <w:szCs w:val="20"/>
              </w:rPr>
              <w:t xml:space="preserve"> </w:t>
            </w:r>
            <w:r>
              <w:rPr>
                <w:sz w:val="20"/>
                <w:szCs w:val="20"/>
              </w:rPr>
              <w:t xml:space="preserve">associated </w:t>
            </w:r>
            <w:r w:rsidRPr="00A36D66">
              <w:rPr>
                <w:sz w:val="20"/>
                <w:szCs w:val="20"/>
              </w:rPr>
              <w:t>specific guidance to businesses</w:t>
            </w:r>
            <w:r>
              <w:rPr>
                <w:sz w:val="20"/>
                <w:szCs w:val="20"/>
              </w:rPr>
              <w:t>.</w:t>
            </w:r>
            <w:r w:rsidR="0011653F">
              <w:rPr>
                <w:sz w:val="20"/>
                <w:szCs w:val="20"/>
              </w:rPr>
              <w:t xml:space="preserve"> </w:t>
            </w:r>
            <w:r w:rsidR="001D210E">
              <w:rPr>
                <w:sz w:val="20"/>
                <w:szCs w:val="20"/>
              </w:rPr>
              <w:t xml:space="preserve">Specific measures for the management of </w:t>
            </w:r>
            <w:r w:rsidR="001D210E" w:rsidRPr="001D210E">
              <w:rPr>
                <w:i/>
                <w:sz w:val="20"/>
                <w:szCs w:val="20"/>
              </w:rPr>
              <w:t>L. monocytogenes</w:t>
            </w:r>
            <w:r w:rsidR="001D210E">
              <w:rPr>
                <w:sz w:val="20"/>
                <w:szCs w:val="20"/>
              </w:rPr>
              <w:t xml:space="preserve"> can be implemented and verified through those requirements. </w:t>
            </w:r>
            <w:r w:rsidR="001D210E" w:rsidRPr="004E2F85">
              <w:rPr>
                <w:sz w:val="20"/>
                <w:szCs w:val="20"/>
              </w:rPr>
              <w:t>In</w:t>
            </w:r>
            <w:r w:rsidR="0011653F" w:rsidRPr="004E2F85">
              <w:rPr>
                <w:sz w:val="20"/>
                <w:szCs w:val="20"/>
              </w:rPr>
              <w:t xml:space="preserve"> New Zealand, the Ministry </w:t>
            </w:r>
            <w:r w:rsidR="00597E2D">
              <w:rPr>
                <w:sz w:val="20"/>
                <w:szCs w:val="20"/>
              </w:rPr>
              <w:t>for</w:t>
            </w:r>
            <w:r w:rsidR="0011653F" w:rsidRPr="004E2F85">
              <w:rPr>
                <w:sz w:val="20"/>
                <w:szCs w:val="20"/>
              </w:rPr>
              <w:t xml:space="preserve"> Primary Industry’s ‘Listeria risk management strategy’ including the document “Guidance for the Control of </w:t>
            </w:r>
            <w:r w:rsidR="0011653F" w:rsidRPr="00DA10E9">
              <w:rPr>
                <w:i/>
                <w:sz w:val="20"/>
                <w:szCs w:val="20"/>
              </w:rPr>
              <w:t>Listeria monocytogenes</w:t>
            </w:r>
            <w:r w:rsidR="0011653F" w:rsidRPr="004E2F85">
              <w:rPr>
                <w:sz w:val="20"/>
                <w:szCs w:val="20"/>
              </w:rPr>
              <w:t xml:space="preserve"> in ready-to-eat foods”</w:t>
            </w:r>
            <w:r w:rsidR="001D210E">
              <w:rPr>
                <w:sz w:val="20"/>
                <w:szCs w:val="20"/>
              </w:rPr>
              <w:t xml:space="preserve"> provides </w:t>
            </w:r>
            <w:r w:rsidR="004E2F85">
              <w:rPr>
                <w:sz w:val="20"/>
                <w:szCs w:val="20"/>
              </w:rPr>
              <w:t>guidance</w:t>
            </w:r>
            <w:r w:rsidR="001D210E">
              <w:rPr>
                <w:sz w:val="20"/>
                <w:szCs w:val="20"/>
              </w:rPr>
              <w:t xml:space="preserve"> in relation to microbiological levels for </w:t>
            </w:r>
            <w:r w:rsidR="001D210E" w:rsidRPr="001D210E">
              <w:rPr>
                <w:i/>
                <w:sz w:val="20"/>
                <w:szCs w:val="20"/>
              </w:rPr>
              <w:t>L. monocytogenes</w:t>
            </w:r>
            <w:r w:rsidR="001D210E">
              <w:rPr>
                <w:sz w:val="20"/>
                <w:szCs w:val="20"/>
              </w:rPr>
              <w:t xml:space="preserve"> in foods intended for consumption by vulnerable groups. </w:t>
            </w:r>
          </w:p>
          <w:p w:rsidR="00C469A6" w:rsidRPr="00A36D66" w:rsidRDefault="00C469A6"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rPr>
              <w:t>To specifically address risks to vulnerable populations, t</w:t>
            </w:r>
            <w:r w:rsidRPr="003B42BC">
              <w:rPr>
                <w:sz w:val="20"/>
              </w:rPr>
              <w:t xml:space="preserve">argeted </w:t>
            </w:r>
            <w:r>
              <w:rPr>
                <w:sz w:val="20"/>
              </w:rPr>
              <w:t xml:space="preserve">communications/ the provision of </w:t>
            </w:r>
            <w:r w:rsidRPr="003B42BC">
              <w:rPr>
                <w:sz w:val="20"/>
              </w:rPr>
              <w:t xml:space="preserve">information about foods or practices that increase </w:t>
            </w:r>
            <w:r>
              <w:rPr>
                <w:sz w:val="20"/>
              </w:rPr>
              <w:t>the</w:t>
            </w:r>
            <w:r w:rsidRPr="003B42BC">
              <w:rPr>
                <w:sz w:val="20"/>
              </w:rPr>
              <w:t xml:space="preserve"> risk</w:t>
            </w:r>
            <w:r>
              <w:rPr>
                <w:sz w:val="20"/>
              </w:rPr>
              <w:t xml:space="preserve"> of</w:t>
            </w:r>
            <w:r w:rsidRPr="003B42BC">
              <w:rPr>
                <w:sz w:val="20"/>
              </w:rPr>
              <w:t xml:space="preserve"> </w:t>
            </w:r>
            <w:r>
              <w:rPr>
                <w:sz w:val="20"/>
              </w:rPr>
              <w:t>them</w:t>
            </w:r>
            <w:r w:rsidRPr="003B42BC">
              <w:rPr>
                <w:sz w:val="20"/>
              </w:rPr>
              <w:t xml:space="preserve"> </w:t>
            </w:r>
            <w:r>
              <w:rPr>
                <w:sz w:val="20"/>
              </w:rPr>
              <w:t>acquiring listeriosis is the preferred risk management approach (see below).</w:t>
            </w:r>
          </w:p>
        </w:tc>
      </w:tr>
      <w:tr w:rsidR="00C469A6" w:rsidRPr="00A36D66" w:rsidTr="00C469A6">
        <w:trPr>
          <w:cnfStyle w:val="000000100000" w:firstRow="0" w:lastRow="0" w:firstColumn="0" w:lastColumn="0" w:oddVBand="0" w:evenVBand="0" w:oddHBand="1" w:evenHBand="0" w:firstRowFirstColumn="0" w:firstRowLastColumn="0" w:lastRowFirstColumn="0" w:lastRowLastColumn="0"/>
          <w:cantSplit/>
          <w:trHeight w:val="687"/>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tcPr>
          <w:p w:rsidR="00C469A6" w:rsidRPr="00A36D66" w:rsidRDefault="00C469A6" w:rsidP="00817064">
            <w:pPr>
              <w:ind w:left="113" w:hanging="113"/>
              <w:rPr>
                <w:sz w:val="20"/>
                <w:szCs w:val="20"/>
              </w:rPr>
            </w:pPr>
            <w:r w:rsidRPr="00A36D66">
              <w:rPr>
                <w:sz w:val="20"/>
                <w:szCs w:val="20"/>
              </w:rPr>
              <w:t xml:space="preserve">FSANZ to </w:t>
            </w:r>
            <w:r>
              <w:rPr>
                <w:sz w:val="20"/>
                <w:szCs w:val="20"/>
              </w:rPr>
              <w:t xml:space="preserve">continue to </w:t>
            </w:r>
            <w:r w:rsidRPr="00A36D66">
              <w:rPr>
                <w:sz w:val="20"/>
                <w:szCs w:val="20"/>
              </w:rPr>
              <w:t>work with the government food communicators group to develop key messages</w:t>
            </w:r>
          </w:p>
        </w:tc>
        <w:tc>
          <w:tcPr>
            <w:tcW w:w="2568" w:type="dxa"/>
            <w:tcBorders>
              <w:left w:val="single" w:sz="4" w:space="0" w:color="auto"/>
              <w:right w:val="single" w:sz="4" w:space="0" w:color="auto"/>
            </w:tcBorders>
          </w:tcPr>
          <w:p w:rsidR="00C469A6" w:rsidRPr="00A36D66" w:rsidRDefault="00C469A6" w:rsidP="00817064">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Government/</w:t>
            </w:r>
            <w:r w:rsidRPr="00A36D66">
              <w:rPr>
                <w:sz w:val="20"/>
                <w:szCs w:val="20"/>
              </w:rPr>
              <w:t>Dietitians Association of Australia (DAA)</w:t>
            </w:r>
          </w:p>
          <w:p w:rsidR="00C469A6" w:rsidRPr="00A36D66" w:rsidRDefault="00C469A6" w:rsidP="00817064">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p w:rsidR="00C469A6" w:rsidRPr="00A36D66" w:rsidRDefault="00C469A6" w:rsidP="00817064">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tc>
        <w:tc>
          <w:tcPr>
            <w:tcW w:w="8772" w:type="dxa"/>
            <w:tcBorders>
              <w:left w:val="single" w:sz="4" w:space="0" w:color="auto"/>
            </w:tcBorders>
          </w:tcPr>
          <w:p w:rsidR="00C469A6" w:rsidRPr="00A36D66" w:rsidRDefault="00C469A6" w:rsidP="00817064">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w:t>
            </w:r>
            <w:r w:rsidRPr="00A36D66">
              <w:rPr>
                <w:sz w:val="20"/>
                <w:szCs w:val="20"/>
              </w:rPr>
              <w:t xml:space="preserve"> review of existing materials and the development of new resources in this area </w:t>
            </w:r>
            <w:r>
              <w:rPr>
                <w:sz w:val="20"/>
                <w:szCs w:val="20"/>
              </w:rPr>
              <w:t>have been proposed</w:t>
            </w:r>
            <w:r w:rsidRPr="00A36D66">
              <w:rPr>
                <w:sz w:val="20"/>
                <w:szCs w:val="20"/>
              </w:rPr>
              <w:t xml:space="preserve"> to </w:t>
            </w:r>
            <w:r>
              <w:rPr>
                <w:sz w:val="20"/>
                <w:szCs w:val="20"/>
              </w:rPr>
              <w:t>ensure</w:t>
            </w:r>
            <w:r w:rsidRPr="00A36D66">
              <w:rPr>
                <w:sz w:val="20"/>
                <w:szCs w:val="20"/>
              </w:rPr>
              <w:t xml:space="preserve"> nationally-consistent messages around reducing the risks of listeriosis in the community</w:t>
            </w:r>
            <w:r>
              <w:rPr>
                <w:sz w:val="20"/>
                <w:szCs w:val="20"/>
              </w:rPr>
              <w:t xml:space="preserve"> are up to date and relevant. </w:t>
            </w:r>
          </w:p>
          <w:p w:rsidR="00C469A6" w:rsidRPr="00A36D66" w:rsidRDefault="00C469A6" w:rsidP="00817064">
            <w:pPr>
              <w:ind w:left="113" w:hanging="113"/>
              <w:cnfStyle w:val="000000100000" w:firstRow="0" w:lastRow="0" w:firstColumn="0" w:lastColumn="0" w:oddVBand="0" w:evenVBand="0" w:oddHBand="1" w:evenHBand="0" w:firstRowFirstColumn="0" w:firstRowLastColumn="0" w:lastRowFirstColumn="0" w:lastRowLastColumn="0"/>
              <w:rPr>
                <w:sz w:val="20"/>
                <w:szCs w:val="20"/>
              </w:rPr>
            </w:pPr>
          </w:p>
        </w:tc>
      </w:tr>
      <w:tr w:rsidR="00C469A6" w:rsidRPr="00A36D66" w:rsidTr="006C6A85">
        <w:trPr>
          <w:cnfStyle w:val="000000010000" w:firstRow="0" w:lastRow="0" w:firstColumn="0" w:lastColumn="0" w:oddVBand="0" w:evenVBand="0" w:oddHBand="0" w:evenHBand="1" w:firstRowFirstColumn="0" w:firstRowLastColumn="0" w:lastRowFirstColumn="0" w:lastRowLastColumn="0"/>
          <w:cantSplit/>
          <w:trHeight w:val="930"/>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C469A6" w:rsidRPr="00A36D66" w:rsidRDefault="00C469A6" w:rsidP="00F42B30">
            <w:pPr>
              <w:ind w:left="113" w:hanging="113"/>
              <w:rPr>
                <w:sz w:val="20"/>
                <w:szCs w:val="20"/>
              </w:rPr>
            </w:pPr>
            <w:r w:rsidRPr="00A36D66">
              <w:rPr>
                <w:sz w:val="20"/>
                <w:szCs w:val="20"/>
              </w:rPr>
              <w:t>Role of indicator organisms</w:t>
            </w:r>
            <w:r>
              <w:rPr>
                <w:sz w:val="20"/>
                <w:szCs w:val="20"/>
              </w:rPr>
              <w:t xml:space="preserve"> and limits for organisms that do not necessary reflect food safety concerns</w:t>
            </w:r>
          </w:p>
        </w:tc>
        <w:tc>
          <w:tcPr>
            <w:tcW w:w="2568" w:type="dxa"/>
            <w:tcBorders>
              <w:left w:val="none" w:sz="0" w:space="0" w:color="auto"/>
              <w:right w:val="none" w:sz="0" w:space="0" w:color="auto"/>
            </w:tcBorders>
          </w:tcPr>
          <w:p w:rsidR="00C469A6" w:rsidRPr="00A36D66" w:rsidRDefault="00C469A6" w:rsidP="00000408">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sidRPr="00A36D66">
              <w:rPr>
                <w:sz w:val="20"/>
                <w:szCs w:val="20"/>
              </w:rPr>
              <w:t xml:space="preserve">NZ </w:t>
            </w:r>
            <w:r>
              <w:rPr>
                <w:sz w:val="20"/>
                <w:szCs w:val="20"/>
              </w:rPr>
              <w:t>Government</w:t>
            </w:r>
          </w:p>
        </w:tc>
        <w:tc>
          <w:tcPr>
            <w:tcW w:w="8772" w:type="dxa"/>
            <w:tcBorders>
              <w:left w:val="none" w:sz="0" w:space="0" w:color="auto"/>
            </w:tcBorders>
          </w:tcPr>
          <w:p w:rsidR="00C469A6" w:rsidRPr="00A36D66" w:rsidRDefault="00C469A6"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There are a number of limits for indicator organisms and tests (e.g. coliforms, </w:t>
            </w:r>
            <w:r w:rsidRPr="00995974">
              <w:rPr>
                <w:i/>
                <w:sz w:val="20"/>
                <w:szCs w:val="20"/>
              </w:rPr>
              <w:t>E. coli</w:t>
            </w:r>
            <w:r>
              <w:rPr>
                <w:sz w:val="20"/>
                <w:szCs w:val="20"/>
              </w:rPr>
              <w:t>, SPC) in Standard 1.6.1 which would be better used as process hygiene criteria (guidance criteria). FSANZ will address the issue of the role of indicator tests in a further</w:t>
            </w:r>
            <w:r w:rsidRPr="00A36D66">
              <w:rPr>
                <w:sz w:val="20"/>
                <w:szCs w:val="20"/>
              </w:rPr>
              <w:t xml:space="preserve"> stage of the</w:t>
            </w:r>
            <w:r>
              <w:rPr>
                <w:sz w:val="20"/>
                <w:szCs w:val="20"/>
              </w:rPr>
              <w:t xml:space="preserve"> review of Standard 1.6.1.</w:t>
            </w:r>
          </w:p>
          <w:p w:rsidR="00C469A6" w:rsidRPr="00A36D66" w:rsidRDefault="00C469A6" w:rsidP="000F39DA">
            <w:pPr>
              <w:ind w:left="113" w:hanging="113"/>
              <w:cnfStyle w:val="000000010000" w:firstRow="0" w:lastRow="0" w:firstColumn="0" w:lastColumn="0" w:oddVBand="0" w:evenVBand="0" w:oddHBand="0" w:evenHBand="1" w:firstRowFirstColumn="0" w:firstRowLastColumn="0" w:lastRowFirstColumn="0" w:lastRowLastColumn="0"/>
              <w:rPr>
                <w:sz w:val="20"/>
                <w:szCs w:val="20"/>
              </w:rPr>
            </w:pPr>
          </w:p>
        </w:tc>
      </w:tr>
      <w:tr w:rsidR="00C469A6" w:rsidRPr="00A36D66" w:rsidTr="008A1D80">
        <w:trPr>
          <w:cnfStyle w:val="000000100000" w:firstRow="0" w:lastRow="0" w:firstColumn="0" w:lastColumn="0" w:oddVBand="0" w:evenVBand="0" w:oddHBand="1" w:evenHBand="0" w:firstRowFirstColumn="0" w:firstRowLastColumn="0" w:lastRowFirstColumn="0" w:lastRowLastColumn="0"/>
          <w:cantSplit/>
          <w:trHeight w:val="2903"/>
        </w:trPr>
        <w:tc>
          <w:tcPr>
            <w:cnfStyle w:val="001000000000" w:firstRow="0" w:lastRow="0" w:firstColumn="1" w:lastColumn="0" w:oddVBand="0" w:evenVBand="0" w:oddHBand="0" w:evenHBand="0" w:firstRowFirstColumn="0" w:firstRowLastColumn="0" w:lastRowFirstColumn="0" w:lastRowLastColumn="0"/>
            <w:tcW w:w="2660" w:type="dxa"/>
            <w:tcBorders>
              <w:right w:val="none" w:sz="0" w:space="0" w:color="auto"/>
            </w:tcBorders>
          </w:tcPr>
          <w:p w:rsidR="00C469A6" w:rsidRDefault="00C469A6" w:rsidP="00F42B30">
            <w:pPr>
              <w:ind w:left="113" w:hanging="113"/>
              <w:rPr>
                <w:sz w:val="20"/>
                <w:szCs w:val="20"/>
              </w:rPr>
            </w:pPr>
            <w:r>
              <w:rPr>
                <w:sz w:val="20"/>
                <w:szCs w:val="20"/>
              </w:rPr>
              <w:t>F</w:t>
            </w:r>
            <w:r w:rsidRPr="00A36D66">
              <w:rPr>
                <w:sz w:val="20"/>
                <w:szCs w:val="20"/>
              </w:rPr>
              <w:t xml:space="preserve">ood regulators </w:t>
            </w:r>
            <w:r>
              <w:rPr>
                <w:sz w:val="20"/>
                <w:szCs w:val="20"/>
              </w:rPr>
              <w:t>should not be required to</w:t>
            </w:r>
            <w:r w:rsidRPr="00A36D66">
              <w:rPr>
                <w:sz w:val="20"/>
                <w:szCs w:val="20"/>
              </w:rPr>
              <w:t xml:space="preserve"> act as a</w:t>
            </w:r>
            <w:r>
              <w:rPr>
                <w:sz w:val="20"/>
                <w:szCs w:val="20"/>
              </w:rPr>
              <w:t xml:space="preserve">n </w:t>
            </w:r>
            <w:r w:rsidRPr="00A36D66">
              <w:rPr>
                <w:sz w:val="20"/>
                <w:szCs w:val="20"/>
              </w:rPr>
              <w:t>advisory body to businesses</w:t>
            </w:r>
          </w:p>
          <w:p w:rsidR="00C469A6" w:rsidRDefault="00C469A6" w:rsidP="00F42B30">
            <w:pPr>
              <w:ind w:left="113" w:hanging="113"/>
              <w:rPr>
                <w:sz w:val="20"/>
                <w:szCs w:val="20"/>
              </w:rPr>
            </w:pPr>
          </w:p>
          <w:p w:rsidR="00C469A6" w:rsidRDefault="00C469A6" w:rsidP="00F42B30">
            <w:pPr>
              <w:ind w:left="113" w:hanging="113"/>
              <w:rPr>
                <w:b w:val="0"/>
                <w:sz w:val="20"/>
                <w:szCs w:val="20"/>
              </w:rPr>
            </w:pPr>
            <w:r w:rsidRPr="004A5966">
              <w:rPr>
                <w:b w:val="0"/>
                <w:sz w:val="20"/>
                <w:szCs w:val="20"/>
              </w:rPr>
              <w:t xml:space="preserve">Additional support </w:t>
            </w:r>
            <w:r>
              <w:rPr>
                <w:b w:val="0"/>
                <w:sz w:val="20"/>
                <w:szCs w:val="20"/>
              </w:rPr>
              <w:t xml:space="preserve">and guidance </w:t>
            </w:r>
            <w:r w:rsidRPr="004A5966">
              <w:rPr>
                <w:b w:val="0"/>
                <w:sz w:val="20"/>
                <w:szCs w:val="20"/>
              </w:rPr>
              <w:t>requested for regulatory authorities</w:t>
            </w:r>
          </w:p>
          <w:p w:rsidR="00C469A6" w:rsidRDefault="00C469A6" w:rsidP="00F42B30">
            <w:pPr>
              <w:ind w:left="113" w:hanging="113"/>
              <w:rPr>
                <w:b w:val="0"/>
                <w:sz w:val="20"/>
                <w:szCs w:val="20"/>
              </w:rPr>
            </w:pPr>
          </w:p>
          <w:p w:rsidR="00C469A6" w:rsidRPr="004A5966" w:rsidRDefault="00C469A6" w:rsidP="00F42B30">
            <w:pPr>
              <w:ind w:left="113" w:hanging="113"/>
              <w:rPr>
                <w:b w:val="0"/>
                <w:sz w:val="20"/>
                <w:szCs w:val="20"/>
              </w:rPr>
            </w:pPr>
            <w:r>
              <w:rPr>
                <w:b w:val="0"/>
                <w:sz w:val="20"/>
                <w:szCs w:val="20"/>
              </w:rPr>
              <w:t>Additional inclusions suggested for SD1</w:t>
            </w:r>
          </w:p>
        </w:tc>
        <w:tc>
          <w:tcPr>
            <w:tcW w:w="2568" w:type="dxa"/>
            <w:tcBorders>
              <w:left w:val="none" w:sz="0" w:space="0" w:color="auto"/>
              <w:right w:val="none" w:sz="0" w:space="0" w:color="auto"/>
            </w:tcBorders>
          </w:tcPr>
          <w:p w:rsidR="00C469A6" w:rsidRPr="00A36D66" w:rsidRDefault="00C469A6" w:rsidP="00F42B3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Government (enforcement agencies)</w:t>
            </w:r>
          </w:p>
        </w:tc>
        <w:tc>
          <w:tcPr>
            <w:tcW w:w="8772" w:type="dxa"/>
            <w:tcBorders>
              <w:left w:val="none" w:sz="0" w:space="0" w:color="auto"/>
            </w:tcBorders>
          </w:tcPr>
          <w:p w:rsidR="00C469A6" w:rsidRDefault="00C469A6"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FSANZ has produced a guidance document on the application of microbiological criteria for </w:t>
            </w:r>
            <w:r>
              <w:rPr>
                <w:sz w:val="20"/>
                <w:szCs w:val="20"/>
              </w:rPr>
              <w:br w:type="textWrapping" w:clear="all"/>
            </w:r>
            <w:r w:rsidRPr="00DC70BE">
              <w:rPr>
                <w:i/>
                <w:sz w:val="20"/>
                <w:szCs w:val="20"/>
              </w:rPr>
              <w:t xml:space="preserve">L. </w:t>
            </w:r>
            <w:r w:rsidRPr="000F5AA7">
              <w:rPr>
                <w:i/>
                <w:sz w:val="20"/>
                <w:szCs w:val="20"/>
              </w:rPr>
              <w:t>monocytogenes</w:t>
            </w:r>
            <w:r>
              <w:rPr>
                <w:sz w:val="20"/>
                <w:szCs w:val="20"/>
              </w:rPr>
              <w:t xml:space="preserve"> in RTE foods.</w:t>
            </w:r>
          </w:p>
          <w:p w:rsidR="00C469A6" w:rsidRPr="00A36D66" w:rsidRDefault="00C469A6"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sidRPr="00A36D66">
              <w:rPr>
                <w:sz w:val="20"/>
                <w:szCs w:val="20"/>
              </w:rPr>
              <w:t xml:space="preserve">Various </w:t>
            </w:r>
            <w:r>
              <w:rPr>
                <w:sz w:val="20"/>
                <w:szCs w:val="20"/>
              </w:rPr>
              <w:t xml:space="preserve">other </w:t>
            </w:r>
            <w:r w:rsidRPr="00A36D66">
              <w:rPr>
                <w:sz w:val="20"/>
                <w:szCs w:val="20"/>
              </w:rPr>
              <w:t>activities are currently ongoing (</w:t>
            </w:r>
            <w:r>
              <w:rPr>
                <w:sz w:val="20"/>
                <w:szCs w:val="20"/>
              </w:rPr>
              <w:t>via the</w:t>
            </w:r>
            <w:r w:rsidRPr="00A36D66">
              <w:rPr>
                <w:sz w:val="20"/>
                <w:szCs w:val="20"/>
              </w:rPr>
              <w:t xml:space="preserve"> I</w:t>
            </w:r>
            <w:r>
              <w:rPr>
                <w:sz w:val="20"/>
                <w:szCs w:val="20"/>
              </w:rPr>
              <w:t xml:space="preserve">mplementation </w:t>
            </w:r>
            <w:r w:rsidRPr="00A36D66">
              <w:rPr>
                <w:sz w:val="20"/>
                <w:szCs w:val="20"/>
              </w:rPr>
              <w:t>S</w:t>
            </w:r>
            <w:r>
              <w:rPr>
                <w:sz w:val="20"/>
                <w:szCs w:val="20"/>
              </w:rPr>
              <w:t xml:space="preserve">ubcommittee for </w:t>
            </w:r>
            <w:r w:rsidRPr="00A36D66">
              <w:rPr>
                <w:sz w:val="20"/>
                <w:szCs w:val="20"/>
              </w:rPr>
              <w:t>F</w:t>
            </w:r>
            <w:r>
              <w:rPr>
                <w:sz w:val="20"/>
                <w:szCs w:val="20"/>
              </w:rPr>
              <w:t xml:space="preserve">ood </w:t>
            </w:r>
            <w:r w:rsidRPr="00A36D66">
              <w:rPr>
                <w:sz w:val="20"/>
                <w:szCs w:val="20"/>
              </w:rPr>
              <w:t>R</w:t>
            </w:r>
            <w:r>
              <w:rPr>
                <w:sz w:val="20"/>
                <w:szCs w:val="20"/>
              </w:rPr>
              <w:t>egulation</w:t>
            </w:r>
            <w:r w:rsidRPr="00A36D66">
              <w:rPr>
                <w:sz w:val="20"/>
                <w:szCs w:val="20"/>
              </w:rPr>
              <w:t xml:space="preserve">) to revise and/or develop additional guidance material on </w:t>
            </w:r>
            <w:r>
              <w:rPr>
                <w:i/>
                <w:sz w:val="20"/>
                <w:szCs w:val="20"/>
              </w:rPr>
              <w:t>L.</w:t>
            </w:r>
            <w:r w:rsidRPr="00A36D66">
              <w:rPr>
                <w:i/>
                <w:sz w:val="20"/>
                <w:szCs w:val="20"/>
              </w:rPr>
              <w:t xml:space="preserve"> monocytogenes</w:t>
            </w:r>
            <w:r w:rsidRPr="00A36D66">
              <w:rPr>
                <w:sz w:val="20"/>
                <w:szCs w:val="20"/>
              </w:rPr>
              <w:t xml:space="preserve"> control and management guidelines, including</w:t>
            </w:r>
            <w:r>
              <w:rPr>
                <w:sz w:val="20"/>
                <w:szCs w:val="20"/>
              </w:rPr>
              <w:t>:</w:t>
            </w:r>
          </w:p>
          <w:p w:rsidR="00C469A6" w:rsidRPr="00A36D66" w:rsidRDefault="00C469A6" w:rsidP="000F39DA">
            <w:pPr>
              <w:pStyle w:val="ListParagraph"/>
              <w:widowControl/>
              <w:numPr>
                <w:ilvl w:val="0"/>
                <w:numId w:val="11"/>
              </w:numPr>
              <w:ind w:left="284" w:hanging="284"/>
              <w:cnfStyle w:val="000000100000" w:firstRow="0" w:lastRow="0" w:firstColumn="0" w:lastColumn="0" w:oddVBand="0" w:evenVBand="0" w:oddHBand="1" w:evenHBand="0" w:firstRowFirstColumn="0" w:firstRowLastColumn="0" w:lastRowFirstColumn="0" w:lastRowLastColumn="0"/>
              <w:rPr>
                <w:sz w:val="20"/>
                <w:szCs w:val="20"/>
              </w:rPr>
            </w:pPr>
            <w:r w:rsidRPr="00A36D66">
              <w:rPr>
                <w:sz w:val="20"/>
                <w:szCs w:val="20"/>
              </w:rPr>
              <w:t>‘National Gu</w:t>
            </w:r>
            <w:r>
              <w:rPr>
                <w:sz w:val="20"/>
                <w:szCs w:val="20"/>
              </w:rPr>
              <w:t>idelines – Pathogen Management’</w:t>
            </w:r>
          </w:p>
          <w:p w:rsidR="00C469A6" w:rsidRPr="00A36D66" w:rsidRDefault="00C469A6" w:rsidP="000F39DA">
            <w:pPr>
              <w:pStyle w:val="ListParagraph"/>
              <w:widowControl/>
              <w:numPr>
                <w:ilvl w:val="0"/>
                <w:numId w:val="10"/>
              </w:numPr>
              <w:ind w:left="284" w:hanging="284"/>
              <w:cnfStyle w:val="000000100000" w:firstRow="0" w:lastRow="0" w:firstColumn="0" w:lastColumn="0" w:oddVBand="0" w:evenVBand="0" w:oddHBand="1" w:evenHBand="0" w:firstRowFirstColumn="0" w:firstRowLastColumn="0" w:lastRowFirstColumn="0" w:lastRowLastColumn="0"/>
              <w:rPr>
                <w:sz w:val="20"/>
                <w:szCs w:val="20"/>
              </w:rPr>
            </w:pPr>
            <w:r w:rsidRPr="00A36D66">
              <w:rPr>
                <w:sz w:val="20"/>
                <w:szCs w:val="20"/>
              </w:rPr>
              <w:t xml:space="preserve">‘Regulatory guidelines for the control of </w:t>
            </w:r>
            <w:r w:rsidRPr="00C469A6">
              <w:rPr>
                <w:i/>
                <w:sz w:val="20"/>
                <w:szCs w:val="20"/>
              </w:rPr>
              <w:t>Listeria</w:t>
            </w:r>
            <w:r w:rsidRPr="00A36D66">
              <w:rPr>
                <w:sz w:val="20"/>
                <w:szCs w:val="20"/>
              </w:rPr>
              <w:t xml:space="preserve">’ </w:t>
            </w:r>
          </w:p>
          <w:p w:rsidR="00C469A6" w:rsidRDefault="00C469A6" w:rsidP="000F39DA">
            <w:pPr>
              <w:pStyle w:val="ListParagraph"/>
              <w:widowControl/>
              <w:numPr>
                <w:ilvl w:val="0"/>
                <w:numId w:val="10"/>
              </w:numPr>
              <w:ind w:left="284" w:hanging="284"/>
              <w:cnfStyle w:val="000000100000" w:firstRow="0" w:lastRow="0" w:firstColumn="0" w:lastColumn="0" w:oddVBand="0" w:evenVBand="0" w:oddHBand="1" w:evenHBand="0" w:firstRowFirstColumn="0" w:firstRowLastColumn="0" w:lastRowFirstColumn="0" w:lastRowLastColumn="0"/>
              <w:rPr>
                <w:sz w:val="20"/>
                <w:szCs w:val="20"/>
              </w:rPr>
            </w:pPr>
            <w:r w:rsidRPr="00A36D66">
              <w:rPr>
                <w:sz w:val="20"/>
                <w:szCs w:val="20"/>
              </w:rPr>
              <w:t xml:space="preserve">development of </w:t>
            </w:r>
            <w:r>
              <w:rPr>
                <w:sz w:val="20"/>
                <w:szCs w:val="20"/>
              </w:rPr>
              <w:t xml:space="preserve">more </w:t>
            </w:r>
            <w:r w:rsidRPr="00A36D66">
              <w:rPr>
                <w:sz w:val="20"/>
                <w:szCs w:val="20"/>
              </w:rPr>
              <w:t xml:space="preserve">generic guidance materials for the control of </w:t>
            </w:r>
            <w:r w:rsidRPr="00A36D66">
              <w:rPr>
                <w:i/>
                <w:sz w:val="20"/>
                <w:szCs w:val="20"/>
              </w:rPr>
              <w:t>L</w:t>
            </w:r>
            <w:r>
              <w:rPr>
                <w:i/>
                <w:sz w:val="20"/>
                <w:szCs w:val="20"/>
              </w:rPr>
              <w:t>.</w:t>
            </w:r>
            <w:r w:rsidRPr="00A36D66">
              <w:rPr>
                <w:i/>
                <w:sz w:val="20"/>
                <w:szCs w:val="20"/>
              </w:rPr>
              <w:t xml:space="preserve"> monocytogenes</w:t>
            </w:r>
            <w:r w:rsidRPr="00A36D66">
              <w:rPr>
                <w:sz w:val="20"/>
                <w:szCs w:val="20"/>
              </w:rPr>
              <w:t xml:space="preserve"> applicable to other sectors producing ready-to-eat food not covered by the industry specific documents stated above (e.g. seafood and horticulture)</w:t>
            </w:r>
          </w:p>
          <w:p w:rsidR="00C469A6" w:rsidRPr="004E2F85" w:rsidRDefault="00C469A6">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Industry groups/associations also support food manufacturers. For example</w:t>
            </w:r>
            <w:r w:rsidR="00597E2D">
              <w:rPr>
                <w:sz w:val="20"/>
                <w:szCs w:val="20"/>
              </w:rPr>
              <w:t>,</w:t>
            </w:r>
            <w:r>
              <w:rPr>
                <w:sz w:val="20"/>
                <w:szCs w:val="20"/>
              </w:rPr>
              <w:t xml:space="preserve"> Meat and Livestock A</w:t>
            </w:r>
            <w:r w:rsidR="00597E2D">
              <w:rPr>
                <w:sz w:val="20"/>
                <w:szCs w:val="20"/>
              </w:rPr>
              <w:t xml:space="preserve">ustralia </w:t>
            </w:r>
            <w:r>
              <w:rPr>
                <w:sz w:val="20"/>
                <w:szCs w:val="20"/>
              </w:rPr>
              <w:t xml:space="preserve">(MLA) </w:t>
            </w:r>
            <w:r w:rsidR="00597E2D">
              <w:rPr>
                <w:sz w:val="20"/>
                <w:szCs w:val="20"/>
              </w:rPr>
              <w:t xml:space="preserve">Limited </w:t>
            </w:r>
            <w:r>
              <w:rPr>
                <w:sz w:val="20"/>
                <w:szCs w:val="20"/>
              </w:rPr>
              <w:t>ha</w:t>
            </w:r>
            <w:r w:rsidR="00597E2D">
              <w:rPr>
                <w:sz w:val="20"/>
                <w:szCs w:val="20"/>
              </w:rPr>
              <w:t>s</w:t>
            </w:r>
            <w:r>
              <w:rPr>
                <w:sz w:val="20"/>
                <w:szCs w:val="20"/>
              </w:rPr>
              <w:t xml:space="preserve"> produced guidance for industry on </w:t>
            </w:r>
            <w:r w:rsidRPr="00FE1862">
              <w:rPr>
                <w:i/>
                <w:sz w:val="20"/>
                <w:szCs w:val="20"/>
              </w:rPr>
              <w:t>Listeria</w:t>
            </w:r>
            <w:r>
              <w:rPr>
                <w:sz w:val="20"/>
                <w:szCs w:val="20"/>
              </w:rPr>
              <w:t xml:space="preserve"> control, testing and validation.</w:t>
            </w:r>
          </w:p>
        </w:tc>
      </w:tr>
      <w:tr w:rsidR="00C469A6" w:rsidRPr="00A36D66" w:rsidTr="00F0214B">
        <w:trPr>
          <w:cnfStyle w:val="000000010000" w:firstRow="0" w:lastRow="0" w:firstColumn="0" w:lastColumn="0" w:oddVBand="0" w:evenVBand="0" w:oddHBand="0" w:evenHBand="1" w:firstRowFirstColumn="0" w:firstRowLastColumn="0" w:lastRowFirstColumn="0" w:lastRowLastColumn="0"/>
          <w:cantSplit/>
          <w:trHeight w:val="475"/>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tcPr>
          <w:p w:rsidR="00C469A6" w:rsidRDefault="00C469A6" w:rsidP="00F42B30">
            <w:pPr>
              <w:ind w:left="113" w:hanging="113"/>
              <w:rPr>
                <w:sz w:val="20"/>
                <w:szCs w:val="20"/>
              </w:rPr>
            </w:pPr>
            <w:r>
              <w:rPr>
                <w:sz w:val="20"/>
                <w:szCs w:val="20"/>
              </w:rPr>
              <w:lastRenderedPageBreak/>
              <w:t>SD1 – Guidance document</w:t>
            </w:r>
          </w:p>
          <w:p w:rsidR="00C469A6" w:rsidRDefault="00C469A6" w:rsidP="00F42B30">
            <w:pPr>
              <w:ind w:left="113" w:hanging="113"/>
              <w:rPr>
                <w:sz w:val="20"/>
                <w:szCs w:val="20"/>
              </w:rPr>
            </w:pPr>
          </w:p>
          <w:p w:rsidR="00C469A6" w:rsidRPr="00974AB0" w:rsidRDefault="00C469A6" w:rsidP="00C469A6">
            <w:pPr>
              <w:ind w:left="113" w:hanging="113"/>
              <w:rPr>
                <w:b w:val="0"/>
                <w:sz w:val="20"/>
                <w:szCs w:val="20"/>
              </w:rPr>
            </w:pPr>
            <w:r>
              <w:rPr>
                <w:b w:val="0"/>
                <w:sz w:val="20"/>
                <w:szCs w:val="20"/>
              </w:rPr>
              <w:t>Lack of c</w:t>
            </w:r>
            <w:r w:rsidRPr="00974AB0">
              <w:rPr>
                <w:b w:val="0"/>
                <w:sz w:val="20"/>
                <w:szCs w:val="20"/>
              </w:rPr>
              <w:t xml:space="preserve">larity </w:t>
            </w:r>
            <w:r>
              <w:rPr>
                <w:b w:val="0"/>
                <w:sz w:val="20"/>
                <w:szCs w:val="20"/>
              </w:rPr>
              <w:t>around the types of</w:t>
            </w:r>
            <w:r w:rsidRPr="00974AB0">
              <w:rPr>
                <w:b w:val="0"/>
                <w:sz w:val="20"/>
                <w:szCs w:val="20"/>
              </w:rPr>
              <w:t xml:space="preserve"> products intended to be captured</w:t>
            </w:r>
          </w:p>
        </w:tc>
        <w:tc>
          <w:tcPr>
            <w:tcW w:w="2568" w:type="dxa"/>
            <w:tcBorders>
              <w:left w:val="single" w:sz="4" w:space="0" w:color="auto"/>
              <w:right w:val="single" w:sz="4" w:space="0" w:color="auto"/>
            </w:tcBorders>
          </w:tcPr>
          <w:p w:rsidR="00C469A6" w:rsidRDefault="00C469A6" w:rsidP="00F42B30">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Government, Industry and Industry Associations</w:t>
            </w:r>
          </w:p>
        </w:tc>
        <w:tc>
          <w:tcPr>
            <w:tcW w:w="8772" w:type="dxa"/>
            <w:tcBorders>
              <w:left w:val="single" w:sz="4" w:space="0" w:color="auto"/>
            </w:tcBorders>
          </w:tcPr>
          <w:p w:rsidR="00C469A6" w:rsidRDefault="00C469A6" w:rsidP="00C469A6">
            <w:pPr>
              <w:ind w:left="113" w:hanging="113"/>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The draft variation to Standard 1.6.1 was amended to include a definition of RTE foods for the purposes of that standard and the application of limits for </w:t>
            </w:r>
            <w:r w:rsidRPr="00E156F1">
              <w:rPr>
                <w:i/>
                <w:sz w:val="20"/>
                <w:szCs w:val="20"/>
              </w:rPr>
              <w:t>L. monocytogenes</w:t>
            </w:r>
            <w:r>
              <w:rPr>
                <w:sz w:val="20"/>
                <w:szCs w:val="20"/>
              </w:rPr>
              <w:t xml:space="preserve">. This definition specifies that </w:t>
            </w:r>
            <w:r w:rsidRPr="000F5AA7">
              <w:rPr>
                <w:i/>
                <w:sz w:val="20"/>
                <w:szCs w:val="20"/>
              </w:rPr>
              <w:t>L. monocytogenes</w:t>
            </w:r>
            <w:r>
              <w:rPr>
                <w:sz w:val="20"/>
                <w:szCs w:val="20"/>
              </w:rPr>
              <w:t xml:space="preserve"> limits are not intended to apply to shelf stable foods or commodities such as raw whole fruits and vegetables, nuts in the shell and live bivalve molluscs</w:t>
            </w:r>
            <w:r w:rsidR="00A31543">
              <w:rPr>
                <w:sz w:val="20"/>
                <w:szCs w:val="20"/>
              </w:rPr>
              <w:t xml:space="preserve">. </w:t>
            </w:r>
          </w:p>
          <w:p w:rsidR="00C469A6" w:rsidRDefault="00C469A6">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Typ</w:t>
            </w:r>
            <w:r w:rsidR="0045707C">
              <w:rPr>
                <w:sz w:val="20"/>
                <w:szCs w:val="20"/>
              </w:rPr>
              <w:t>ographical and language improvements</w:t>
            </w:r>
            <w:r>
              <w:rPr>
                <w:sz w:val="20"/>
                <w:szCs w:val="20"/>
              </w:rPr>
              <w:t xml:space="preserve"> </w:t>
            </w:r>
            <w:r w:rsidR="00597E2D">
              <w:rPr>
                <w:sz w:val="20"/>
                <w:szCs w:val="20"/>
              </w:rPr>
              <w:t>have been</w:t>
            </w:r>
            <w:r w:rsidR="002F3E33">
              <w:rPr>
                <w:sz w:val="20"/>
                <w:szCs w:val="20"/>
              </w:rPr>
              <w:t xml:space="preserve"> </w:t>
            </w:r>
            <w:r>
              <w:rPr>
                <w:sz w:val="20"/>
                <w:szCs w:val="20"/>
              </w:rPr>
              <w:t>made to the document.</w:t>
            </w:r>
          </w:p>
        </w:tc>
      </w:tr>
      <w:tr w:rsidR="00C469A6" w:rsidRPr="00A36D66" w:rsidTr="00F0214B">
        <w:trPr>
          <w:cnfStyle w:val="000000100000" w:firstRow="0" w:lastRow="0" w:firstColumn="0" w:lastColumn="0" w:oddVBand="0" w:evenVBand="0" w:oddHBand="1" w:evenHBand="0" w:firstRowFirstColumn="0" w:firstRowLastColumn="0" w:lastRowFirstColumn="0" w:lastRowLastColumn="0"/>
          <w:cantSplit/>
          <w:trHeight w:val="532"/>
        </w:trPr>
        <w:tc>
          <w:tcPr>
            <w:cnfStyle w:val="001000000000" w:firstRow="0" w:lastRow="0" w:firstColumn="1" w:lastColumn="0" w:oddVBand="0" w:evenVBand="0" w:oddHBand="0" w:evenHBand="0" w:firstRowFirstColumn="0" w:firstRowLastColumn="0" w:lastRowFirstColumn="0" w:lastRowLastColumn="0"/>
            <w:tcW w:w="2660" w:type="dxa"/>
            <w:tcBorders>
              <w:right w:val="single" w:sz="4" w:space="0" w:color="auto"/>
            </w:tcBorders>
          </w:tcPr>
          <w:p w:rsidR="00C469A6" w:rsidRDefault="00C469A6" w:rsidP="00C524B7">
            <w:pPr>
              <w:ind w:left="113" w:hanging="113"/>
              <w:rPr>
                <w:sz w:val="20"/>
                <w:szCs w:val="20"/>
              </w:rPr>
            </w:pPr>
            <w:r w:rsidRPr="00F0214B">
              <w:rPr>
                <w:sz w:val="20"/>
                <w:szCs w:val="20"/>
              </w:rPr>
              <w:t xml:space="preserve">SD2 – </w:t>
            </w:r>
            <w:r w:rsidR="00C524B7">
              <w:rPr>
                <w:sz w:val="20"/>
                <w:szCs w:val="20"/>
              </w:rPr>
              <w:t>Scientific basis document</w:t>
            </w:r>
          </w:p>
        </w:tc>
        <w:tc>
          <w:tcPr>
            <w:tcW w:w="2568" w:type="dxa"/>
            <w:tcBorders>
              <w:left w:val="single" w:sz="4" w:space="0" w:color="auto"/>
              <w:right w:val="single" w:sz="4" w:space="0" w:color="auto"/>
            </w:tcBorders>
          </w:tcPr>
          <w:p w:rsidR="00C469A6" w:rsidRDefault="00C469A6" w:rsidP="00F42B3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Industry Associations</w:t>
            </w:r>
          </w:p>
        </w:tc>
        <w:tc>
          <w:tcPr>
            <w:tcW w:w="8772" w:type="dxa"/>
            <w:tcBorders>
              <w:left w:val="single" w:sz="4" w:space="0" w:color="auto"/>
            </w:tcBorders>
          </w:tcPr>
          <w:p w:rsidR="00C469A6" w:rsidRDefault="00C469A6"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FSANZ has </w:t>
            </w:r>
            <w:r w:rsidR="00C524B7">
              <w:rPr>
                <w:sz w:val="20"/>
                <w:szCs w:val="20"/>
              </w:rPr>
              <w:t>considered and referenced</w:t>
            </w:r>
            <w:r>
              <w:rPr>
                <w:sz w:val="20"/>
                <w:szCs w:val="20"/>
              </w:rPr>
              <w:t xml:space="preserve"> suggested additional international risk assessments and risk management models.</w:t>
            </w:r>
          </w:p>
          <w:p w:rsidR="00C469A6" w:rsidRDefault="00C469A6" w:rsidP="000F39DA">
            <w:pPr>
              <w:ind w:left="113" w:hanging="113"/>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Small typographical errors </w:t>
            </w:r>
            <w:r w:rsidR="00AC0065">
              <w:rPr>
                <w:sz w:val="20"/>
                <w:szCs w:val="20"/>
              </w:rPr>
              <w:t xml:space="preserve">were also </w:t>
            </w:r>
            <w:r>
              <w:rPr>
                <w:sz w:val="20"/>
                <w:szCs w:val="20"/>
              </w:rPr>
              <w:t>rectified.</w:t>
            </w:r>
          </w:p>
        </w:tc>
      </w:tr>
    </w:tbl>
    <w:p w:rsidR="00026B8F" w:rsidRPr="00026B8F" w:rsidRDefault="00026B8F" w:rsidP="00026B8F"/>
    <w:p w:rsidR="00097187" w:rsidRDefault="00097187" w:rsidP="00097187">
      <w:pPr>
        <w:pStyle w:val="Default"/>
        <w:sectPr w:rsidR="00097187" w:rsidSect="00E63CFD">
          <w:pgSz w:w="16838" w:h="11906" w:orient="landscape" w:code="9"/>
          <w:pgMar w:top="1418" w:right="1418" w:bottom="1418" w:left="1418" w:header="709" w:footer="709" w:gutter="0"/>
          <w:cols w:space="708"/>
          <w:docGrid w:linePitch="360"/>
        </w:sectPr>
      </w:pPr>
    </w:p>
    <w:p w:rsidR="002C1A3B" w:rsidRPr="00932F14" w:rsidRDefault="002C1A3B" w:rsidP="002C1A3B">
      <w:pPr>
        <w:pStyle w:val="Heading2"/>
      </w:pPr>
      <w:bookmarkStart w:id="46" w:name="_Toc370223472"/>
      <w:bookmarkStart w:id="47" w:name="_Toc370225387"/>
      <w:bookmarkStart w:id="48" w:name="_Toc387927826"/>
      <w:bookmarkStart w:id="49" w:name="_Toc309291812"/>
      <w:bookmarkStart w:id="50" w:name="_Toc175381442"/>
      <w:bookmarkEnd w:id="40"/>
      <w:bookmarkEnd w:id="41"/>
      <w:bookmarkEnd w:id="42"/>
      <w:bookmarkEnd w:id="43"/>
      <w:bookmarkEnd w:id="44"/>
      <w:bookmarkEnd w:id="45"/>
      <w:r>
        <w:lastRenderedPageBreak/>
        <w:t>2.2</w:t>
      </w:r>
      <w:r>
        <w:tab/>
      </w:r>
      <w:bookmarkEnd w:id="46"/>
      <w:bookmarkEnd w:id="47"/>
      <w:r w:rsidR="00D23122" w:rsidRPr="00932F14">
        <w:t xml:space="preserve">Risk </w:t>
      </w:r>
      <w:r w:rsidR="00D23122">
        <w:t>a</w:t>
      </w:r>
      <w:r w:rsidR="00D23122" w:rsidRPr="00932F14">
        <w:t>ssessment</w:t>
      </w:r>
      <w:bookmarkEnd w:id="48"/>
    </w:p>
    <w:p w:rsidR="00667063" w:rsidRDefault="005B6430" w:rsidP="00667063">
      <w:r w:rsidRPr="0012650D">
        <w:rPr>
          <w:rFonts w:cs="Arial"/>
          <w:i/>
          <w:color w:val="000000"/>
          <w:szCs w:val="22"/>
        </w:rPr>
        <w:t>L</w:t>
      </w:r>
      <w:r>
        <w:rPr>
          <w:rFonts w:cs="Arial"/>
          <w:i/>
          <w:color w:val="000000"/>
          <w:szCs w:val="22"/>
        </w:rPr>
        <w:t xml:space="preserve">. </w:t>
      </w:r>
      <w:r w:rsidR="00667063" w:rsidRPr="0012650D">
        <w:rPr>
          <w:rFonts w:cs="Arial"/>
          <w:i/>
          <w:color w:val="000000"/>
          <w:szCs w:val="22"/>
        </w:rPr>
        <w:t>monocytogenes</w:t>
      </w:r>
      <w:r w:rsidR="00667063" w:rsidRPr="0012650D">
        <w:rPr>
          <w:rFonts w:cs="Arial"/>
          <w:color w:val="000000"/>
          <w:szCs w:val="22"/>
        </w:rPr>
        <w:t xml:space="preserve"> </w:t>
      </w:r>
      <w:r w:rsidR="00667063">
        <w:rPr>
          <w:rFonts w:cs="Arial"/>
          <w:color w:val="000000"/>
          <w:szCs w:val="22"/>
        </w:rPr>
        <w:t>is a pathogenic bacterium which can cause invasive listeriosis</w:t>
      </w:r>
      <w:r w:rsidR="00667063" w:rsidRPr="0012650D">
        <w:rPr>
          <w:rFonts w:cs="Arial"/>
          <w:color w:val="000000"/>
          <w:szCs w:val="22"/>
        </w:rPr>
        <w:t xml:space="preserve">, a </w:t>
      </w:r>
      <w:r w:rsidR="00667063">
        <w:rPr>
          <w:rFonts w:cs="Arial"/>
          <w:color w:val="000000"/>
          <w:szCs w:val="22"/>
        </w:rPr>
        <w:t xml:space="preserve">relatively rare but often severe </w:t>
      </w:r>
      <w:r w:rsidR="00667063" w:rsidRPr="0012650D">
        <w:rPr>
          <w:rFonts w:cs="Arial"/>
          <w:color w:val="000000"/>
          <w:szCs w:val="22"/>
        </w:rPr>
        <w:t>disease</w:t>
      </w:r>
      <w:r>
        <w:rPr>
          <w:rFonts w:cs="Arial"/>
          <w:color w:val="000000"/>
          <w:szCs w:val="22"/>
        </w:rPr>
        <w:t>,</w:t>
      </w:r>
      <w:r w:rsidR="00667063" w:rsidRPr="0012650D">
        <w:rPr>
          <w:rFonts w:cs="Arial"/>
          <w:color w:val="000000"/>
          <w:szCs w:val="22"/>
        </w:rPr>
        <w:t xml:space="preserve"> </w:t>
      </w:r>
      <w:r w:rsidR="00667063">
        <w:rPr>
          <w:rFonts w:cs="Arial"/>
          <w:color w:val="000000"/>
          <w:szCs w:val="22"/>
        </w:rPr>
        <w:t>with fatality rates around 20</w:t>
      </w:r>
      <w:r w:rsidR="00147D4D">
        <w:rPr>
          <w:rFonts w:cs="Arial"/>
          <w:color w:val="000000"/>
          <w:szCs w:val="22"/>
        </w:rPr>
        <w:t>–</w:t>
      </w:r>
      <w:r w:rsidR="00667063">
        <w:rPr>
          <w:rFonts w:cs="Arial"/>
          <w:color w:val="000000"/>
          <w:szCs w:val="22"/>
        </w:rPr>
        <w:t>30%</w:t>
      </w:r>
      <w:r w:rsidR="00667063" w:rsidRPr="0012650D">
        <w:rPr>
          <w:rFonts w:cs="Arial"/>
          <w:color w:val="000000"/>
          <w:szCs w:val="22"/>
        </w:rPr>
        <w:t>.</w:t>
      </w:r>
      <w:r w:rsidR="00667063">
        <w:rPr>
          <w:rFonts w:cs="Arial"/>
          <w:color w:val="000000"/>
          <w:szCs w:val="22"/>
        </w:rPr>
        <w:t xml:space="preserve"> Most often affecting individuals experiencing immunosuppression</w:t>
      </w:r>
      <w:r w:rsidR="00597E2D">
        <w:rPr>
          <w:rFonts w:cs="Arial"/>
          <w:color w:val="000000"/>
          <w:szCs w:val="22"/>
        </w:rPr>
        <w:t>,</w:t>
      </w:r>
      <w:r w:rsidR="00667063">
        <w:rPr>
          <w:rFonts w:cs="Arial"/>
          <w:color w:val="000000"/>
          <w:szCs w:val="22"/>
        </w:rPr>
        <w:t xml:space="preserve"> including those with chronic disease, listeriosis infection in otherwise healthy individuals generally exhibits few or no symptoms.</w:t>
      </w:r>
    </w:p>
    <w:p w:rsidR="00667063" w:rsidRDefault="00667063" w:rsidP="00667063"/>
    <w:p w:rsidR="00667063" w:rsidRDefault="00667063" w:rsidP="00667063">
      <w:pPr>
        <w:rPr>
          <w:rFonts w:cs="Arial"/>
          <w:color w:val="000000"/>
          <w:szCs w:val="22"/>
        </w:rPr>
      </w:pPr>
      <w:r>
        <w:rPr>
          <w:rFonts w:cs="Arial"/>
          <w:color w:val="000000"/>
          <w:szCs w:val="22"/>
        </w:rPr>
        <w:t xml:space="preserve">Foods associated with causing listeriosis have been overwhelmingly RTE products that are typically held for extended periods at refrigerated temperatures, in which </w:t>
      </w:r>
      <w:r w:rsidRPr="002551F3">
        <w:rPr>
          <w:rFonts w:cs="Arial"/>
          <w:i/>
          <w:color w:val="000000"/>
          <w:szCs w:val="22"/>
        </w:rPr>
        <w:t>L.</w:t>
      </w:r>
      <w:r>
        <w:rPr>
          <w:rFonts w:cs="Arial"/>
          <w:i/>
          <w:color w:val="000000"/>
          <w:szCs w:val="22"/>
        </w:rPr>
        <w:t> </w:t>
      </w:r>
      <w:r w:rsidRPr="002551F3">
        <w:rPr>
          <w:rFonts w:cs="Arial"/>
          <w:i/>
          <w:color w:val="000000"/>
          <w:szCs w:val="22"/>
        </w:rPr>
        <w:t>monocytogenes</w:t>
      </w:r>
      <w:r>
        <w:rPr>
          <w:rFonts w:cs="Arial"/>
          <w:color w:val="000000"/>
          <w:szCs w:val="22"/>
        </w:rPr>
        <w:t xml:space="preserve"> can grow to levels that can present a risk to consumers.</w:t>
      </w:r>
    </w:p>
    <w:p w:rsidR="00667063" w:rsidRDefault="00667063" w:rsidP="00667063"/>
    <w:p w:rsidR="00667063" w:rsidRDefault="00667063" w:rsidP="00667063">
      <w:r>
        <w:t>Several extensive i</w:t>
      </w:r>
      <w:r w:rsidRPr="002B3EEA">
        <w:t xml:space="preserve">nternational risk assessments </w:t>
      </w:r>
      <w:r>
        <w:t xml:space="preserve">have </w:t>
      </w:r>
      <w:r w:rsidRPr="002B3EEA">
        <w:t>demonstrate</w:t>
      </w:r>
      <w:r>
        <w:t>d</w:t>
      </w:r>
      <w:r w:rsidRPr="002B3EEA">
        <w:t xml:space="preserve"> that the risk of illness is strongly influenced by the ability of the food to support the growth of </w:t>
      </w:r>
      <w:r w:rsidRPr="002B3EEA">
        <w:rPr>
          <w:i/>
        </w:rPr>
        <w:t>L. monocytogenes</w:t>
      </w:r>
      <w:r w:rsidRPr="002B3EEA">
        <w:t xml:space="preserve"> to high levels. </w:t>
      </w:r>
      <w:r>
        <w:t>Foods containing low levels (&lt;100 cfu/g) pose very little risk, even when consumed by vulnerable individuals.</w:t>
      </w:r>
    </w:p>
    <w:p w:rsidR="00667063" w:rsidRDefault="00667063" w:rsidP="00667063"/>
    <w:p w:rsidR="00667063" w:rsidRDefault="00667063" w:rsidP="00667063">
      <w:pPr>
        <w:rPr>
          <w:lang w:bidi="ar-SA"/>
        </w:rPr>
      </w:pPr>
      <w:r w:rsidRPr="008C0C3B">
        <w:rPr>
          <w:lang w:bidi="ar-SA"/>
        </w:rPr>
        <w:t xml:space="preserve">A summary of the science/risk assessment work underpinning the criteria proposed for </w:t>
      </w:r>
      <w:r w:rsidR="00DA10E9">
        <w:rPr>
          <w:lang w:bidi="ar-SA"/>
        </w:rPr>
        <w:br w:type="textWrapping" w:clear="all"/>
      </w:r>
      <w:r w:rsidRPr="008C0C3B">
        <w:rPr>
          <w:i/>
          <w:lang w:bidi="ar-SA"/>
        </w:rPr>
        <w:t>L. monocytogenes</w:t>
      </w:r>
      <w:r w:rsidRPr="008C0C3B">
        <w:rPr>
          <w:lang w:bidi="ar-SA"/>
        </w:rPr>
        <w:t xml:space="preserve"> in RTE foods is provided in Supporting Document </w:t>
      </w:r>
      <w:r>
        <w:rPr>
          <w:lang w:bidi="ar-SA"/>
        </w:rPr>
        <w:t xml:space="preserve">2 </w:t>
      </w:r>
      <w:r w:rsidR="002B6E39">
        <w:rPr>
          <w:lang w:bidi="ar-SA"/>
        </w:rPr>
        <w:t xml:space="preserve">to the </w:t>
      </w:r>
      <w:r w:rsidR="00597E2D">
        <w:rPr>
          <w:lang w:bidi="ar-SA"/>
        </w:rPr>
        <w:t>2</w:t>
      </w:r>
      <w:r w:rsidR="00597E2D" w:rsidRPr="005A31E6">
        <w:rPr>
          <w:vertAlign w:val="superscript"/>
          <w:lang w:bidi="ar-SA"/>
        </w:rPr>
        <w:t>nd</w:t>
      </w:r>
      <w:r w:rsidR="00597E2D">
        <w:rPr>
          <w:lang w:bidi="ar-SA"/>
        </w:rPr>
        <w:t xml:space="preserve"> C</w:t>
      </w:r>
      <w:r w:rsidR="002B6E39">
        <w:rPr>
          <w:lang w:bidi="ar-SA"/>
        </w:rPr>
        <w:t xml:space="preserve">all for </w:t>
      </w:r>
      <w:r w:rsidR="00597E2D">
        <w:rPr>
          <w:lang w:bidi="ar-SA"/>
        </w:rPr>
        <w:t>S</w:t>
      </w:r>
      <w:r w:rsidR="002B6E39">
        <w:rPr>
          <w:lang w:bidi="ar-SA"/>
        </w:rPr>
        <w:t>ubmissions document</w:t>
      </w:r>
      <w:r w:rsidRPr="008C0C3B">
        <w:rPr>
          <w:lang w:bidi="ar-SA"/>
        </w:rPr>
        <w:t>.</w:t>
      </w:r>
    </w:p>
    <w:p w:rsidR="002C1A3B" w:rsidRPr="00932F14" w:rsidRDefault="002C1A3B" w:rsidP="002C1A3B">
      <w:pPr>
        <w:pStyle w:val="Heading2"/>
      </w:pPr>
      <w:bookmarkStart w:id="51" w:name="_Toc370223473"/>
      <w:bookmarkStart w:id="52" w:name="_Toc370225388"/>
      <w:bookmarkStart w:id="53" w:name="_Toc387927827"/>
      <w:bookmarkStart w:id="54" w:name="_Toc175381450"/>
      <w:bookmarkEnd w:id="49"/>
      <w:bookmarkEnd w:id="50"/>
      <w:r>
        <w:t>2.3</w:t>
      </w:r>
      <w:r>
        <w:tab/>
        <w:t>Risk management</w:t>
      </w:r>
      <w:bookmarkEnd w:id="51"/>
      <w:bookmarkEnd w:id="52"/>
      <w:bookmarkEnd w:id="53"/>
    </w:p>
    <w:p w:rsidR="00CA1FE7" w:rsidRDefault="00993825" w:rsidP="006056DC">
      <w:r>
        <w:t>Following consideration of the assessment findings</w:t>
      </w:r>
      <w:r w:rsidR="0045707C">
        <w:t>, a</w:t>
      </w:r>
      <w:r w:rsidR="00CA1FE7">
        <w:t xml:space="preserve"> basic cost-benefit analysis</w:t>
      </w:r>
      <w:r>
        <w:t xml:space="preserve"> and the issues raised during consultation, </w:t>
      </w:r>
      <w:r w:rsidR="006056DC">
        <w:t>FSANZ has approved the draft variation to Standard 1.6.1</w:t>
      </w:r>
      <w:r w:rsidR="00A31543">
        <w:t xml:space="preserve">. </w:t>
      </w:r>
      <w:r w:rsidR="00AD6267">
        <w:t>The vari</w:t>
      </w:r>
      <w:r w:rsidR="009B12C1">
        <w:t>at</w:t>
      </w:r>
      <w:r w:rsidR="00AD6267">
        <w:t>ion</w:t>
      </w:r>
      <w:r w:rsidR="006056DC">
        <w:t xml:space="preserve"> include</w:t>
      </w:r>
      <w:r w:rsidR="00AD6267">
        <w:t>s</w:t>
      </w:r>
      <w:r w:rsidR="006056DC">
        <w:t xml:space="preserve"> microbiological criteria for </w:t>
      </w:r>
      <w:r w:rsidR="006056DC" w:rsidRPr="00CA3BE9">
        <w:rPr>
          <w:i/>
        </w:rPr>
        <w:t>L. monocytogenes</w:t>
      </w:r>
      <w:r w:rsidR="006056DC">
        <w:t xml:space="preserve"> on the basis of whether the food is ready-to-eat and can or cannot support its growth</w:t>
      </w:r>
      <w:r w:rsidR="00C53DAB">
        <w:t>.</w:t>
      </w:r>
    </w:p>
    <w:p w:rsidR="00B93FB3" w:rsidRDefault="00B93FB3" w:rsidP="006056DC"/>
    <w:p w:rsidR="00147D4D" w:rsidRDefault="00993825" w:rsidP="002B2E4C">
      <w:r>
        <w:t>Th</w:t>
      </w:r>
      <w:r w:rsidR="009B12C1">
        <w:t>is</w:t>
      </w:r>
      <w:r>
        <w:t xml:space="preserve"> draft variation to Standard 1.6.1: </w:t>
      </w:r>
    </w:p>
    <w:p w:rsidR="005B6430" w:rsidRDefault="005B6430" w:rsidP="002B2E4C"/>
    <w:p w:rsidR="002B2E4C" w:rsidRPr="005B6430" w:rsidRDefault="002B2E4C" w:rsidP="005B6430">
      <w:pPr>
        <w:pStyle w:val="FSBullet1"/>
      </w:pPr>
      <w:r>
        <w:t>is supported by t</w:t>
      </w:r>
      <w:r w:rsidRPr="005B6430">
        <w:t>he available science and is risk</w:t>
      </w:r>
      <w:r w:rsidR="00597E2D">
        <w:t>-</w:t>
      </w:r>
      <w:r w:rsidRPr="005B6430">
        <w:t>based</w:t>
      </w:r>
    </w:p>
    <w:p w:rsidR="002B2E4C" w:rsidRPr="005B6430" w:rsidRDefault="002B2E4C" w:rsidP="005B6430">
      <w:pPr>
        <w:pStyle w:val="FSBullet1"/>
      </w:pPr>
      <w:r w:rsidRPr="005B6430">
        <w:t xml:space="preserve">harmonises with international approaches to applying limits for </w:t>
      </w:r>
      <w:r w:rsidRPr="000F39DA">
        <w:rPr>
          <w:i/>
        </w:rPr>
        <w:t>L. monocytogenes</w:t>
      </w:r>
    </w:p>
    <w:p w:rsidR="002B2E4C" w:rsidRPr="005B6430" w:rsidRDefault="002B2E4C" w:rsidP="005B6430">
      <w:pPr>
        <w:pStyle w:val="FSBullet1"/>
      </w:pPr>
      <w:r w:rsidRPr="005B6430">
        <w:t xml:space="preserve">moves from a product-by-product vertical approach to </w:t>
      </w:r>
      <w:r w:rsidR="006056DC" w:rsidRPr="005B6430">
        <w:t>a</w:t>
      </w:r>
      <w:r w:rsidRPr="005B6430">
        <w:t xml:space="preserve"> holistic</w:t>
      </w:r>
      <w:r w:rsidR="0045707C">
        <w:t>, risk</w:t>
      </w:r>
      <w:r w:rsidR="00597E2D">
        <w:t>-</w:t>
      </w:r>
      <w:r w:rsidR="0045707C">
        <w:t>based</w:t>
      </w:r>
      <w:r w:rsidRPr="005B6430">
        <w:t xml:space="preserve"> approach for the management of </w:t>
      </w:r>
      <w:r w:rsidRPr="001252A0">
        <w:rPr>
          <w:i/>
        </w:rPr>
        <w:t>L. monocytogenes</w:t>
      </w:r>
      <w:r w:rsidRPr="000F39DA">
        <w:t xml:space="preserve">. </w:t>
      </w:r>
      <w:r w:rsidR="0045707C">
        <w:t xml:space="preserve">Taking into account individual product and processing characteristics. </w:t>
      </w:r>
      <w:r w:rsidRPr="005B6430">
        <w:t>Establishing limits across all RTE foods for</w:t>
      </w:r>
      <w:r w:rsidR="0045707C">
        <w:t xml:space="preserve"> </w:t>
      </w:r>
      <w:r w:rsidR="0045707C">
        <w:br w:type="textWrapping" w:clear="all"/>
      </w:r>
      <w:r w:rsidRPr="001252A0">
        <w:rPr>
          <w:i/>
        </w:rPr>
        <w:t>L. monocytogenes</w:t>
      </w:r>
      <w:r w:rsidRPr="000F39DA">
        <w:t xml:space="preserve"> </w:t>
      </w:r>
      <w:r w:rsidRPr="005B6430">
        <w:t xml:space="preserve">will provide greater certainty to businesses as to when actions (such as a recall) may be required. </w:t>
      </w:r>
    </w:p>
    <w:p w:rsidR="002B2E4C" w:rsidRDefault="002B2E4C" w:rsidP="005B6430">
      <w:pPr>
        <w:pStyle w:val="FSBullet1"/>
      </w:pPr>
      <w:r w:rsidRPr="005B6430">
        <w:t>removes the cu</w:t>
      </w:r>
      <w:r>
        <w:t xml:space="preserve">rrent inconsistency between guidance documents (e.g. Recall Guidelines) and </w:t>
      </w:r>
      <w:r w:rsidR="00545614">
        <w:t xml:space="preserve">microbiological </w:t>
      </w:r>
      <w:r>
        <w:t>limits in Standard 1.6.1.</w:t>
      </w:r>
    </w:p>
    <w:p w:rsidR="00CA1FE7" w:rsidRDefault="00CA1FE7" w:rsidP="00CA1FE7">
      <w:pPr>
        <w:rPr>
          <w:color w:val="1F497D"/>
          <w:szCs w:val="22"/>
        </w:rPr>
      </w:pPr>
    </w:p>
    <w:p w:rsidR="00CA1FE7" w:rsidRPr="00CA1FE7" w:rsidRDefault="00CA1FE7" w:rsidP="00205717">
      <w:pPr>
        <w:ind w:right="-286"/>
      </w:pPr>
      <w:r w:rsidRPr="00CA1FE7">
        <w:t xml:space="preserve">A definition for “ready-to-eat food’ has now been included within Standard 1.6.1 </w:t>
      </w:r>
      <w:r w:rsidR="00545614">
        <w:t>which</w:t>
      </w:r>
      <w:r w:rsidRPr="00CA1FE7">
        <w:t xml:space="preserve"> excludes foods that have clearly received a processing step to reduce potential </w:t>
      </w:r>
      <w:r w:rsidRPr="00CA1FE7">
        <w:rPr>
          <w:i/>
        </w:rPr>
        <w:t>L. monocytogenes</w:t>
      </w:r>
      <w:r w:rsidRPr="00CA1FE7">
        <w:t xml:space="preserve"> contamination to safe levels (e.g. canned/retorted products), or are not intended to be captured due to their inherent characteristics (e.g. dry products such as biscuits, nuts). This </w:t>
      </w:r>
      <w:r w:rsidR="00545614">
        <w:t>inclusion is</w:t>
      </w:r>
      <w:r w:rsidRPr="00CA1FE7">
        <w:t xml:space="preserve"> intended </w:t>
      </w:r>
      <w:r w:rsidR="00545614">
        <w:t xml:space="preserve">to </w:t>
      </w:r>
      <w:r w:rsidRPr="00CA1FE7">
        <w:t>provide clarity that the intent of th</w:t>
      </w:r>
      <w:r w:rsidR="00545614">
        <w:t>e Standard is to capture higher-</w:t>
      </w:r>
      <w:r w:rsidRPr="00CA1FE7">
        <w:t xml:space="preserve">risk </w:t>
      </w:r>
      <w:r w:rsidR="005B6430">
        <w:t>RTE</w:t>
      </w:r>
      <w:r w:rsidRPr="00CA1FE7">
        <w:t xml:space="preserve"> foods.</w:t>
      </w:r>
    </w:p>
    <w:p w:rsidR="00CA1FE7" w:rsidRPr="00CA1FE7" w:rsidRDefault="00CA1FE7" w:rsidP="00CA1FE7"/>
    <w:p w:rsidR="00545614" w:rsidRDefault="00CA1FE7" w:rsidP="00CA1FE7">
      <w:r w:rsidRPr="00CA1FE7">
        <w:t>FSANZ has</w:t>
      </w:r>
      <w:r w:rsidR="00545614">
        <w:t xml:space="preserve"> also included reference to </w:t>
      </w:r>
      <w:r w:rsidRPr="00CA1FE7">
        <w:t>ISO standards</w:t>
      </w:r>
      <w:r w:rsidR="00545614">
        <w:t xml:space="preserve"> as prescribed by </w:t>
      </w:r>
      <w:r w:rsidR="00545614" w:rsidRPr="00545614">
        <w:t>the International O</w:t>
      </w:r>
      <w:r w:rsidR="00545614">
        <w:t xml:space="preserve">rganization for Standardization </w:t>
      </w:r>
      <w:r w:rsidRPr="00CA1FE7">
        <w:t>(</w:t>
      </w:r>
      <w:r w:rsidR="00545614">
        <w:t>o</w:t>
      </w:r>
      <w:r w:rsidR="005B6430">
        <w:t>n</w:t>
      </w:r>
      <w:r w:rsidRPr="00CA1FE7">
        <w:t xml:space="preserve"> which</w:t>
      </w:r>
      <w:r w:rsidR="00545614">
        <w:t xml:space="preserve"> the</w:t>
      </w:r>
      <w:r w:rsidRPr="00CA1FE7">
        <w:t xml:space="preserve"> Australian Standards are based)</w:t>
      </w:r>
      <w:r w:rsidR="005B6430">
        <w:t>,</w:t>
      </w:r>
      <w:r w:rsidRPr="00CA1FE7">
        <w:t xml:space="preserve"> in addition to</w:t>
      </w:r>
      <w:r w:rsidR="00C14375">
        <w:t xml:space="preserve"> the</w:t>
      </w:r>
      <w:r w:rsidR="00545614">
        <w:t xml:space="preserve"> specification of</w:t>
      </w:r>
      <w:r w:rsidRPr="00CA1FE7">
        <w:t xml:space="preserve"> </w:t>
      </w:r>
      <w:r w:rsidR="00545614">
        <w:t xml:space="preserve">the </w:t>
      </w:r>
      <w:r w:rsidRPr="00CA1FE7">
        <w:t xml:space="preserve">Australia Standards </w:t>
      </w:r>
      <w:r w:rsidR="00545614">
        <w:t>AS</w:t>
      </w:r>
      <w:r w:rsidRPr="00CA1FE7">
        <w:t>5013 series</w:t>
      </w:r>
      <w:r w:rsidR="0045707C">
        <w:t xml:space="preserve">. </w:t>
      </w:r>
    </w:p>
    <w:p w:rsidR="005B6430" w:rsidRDefault="005B6430" w:rsidP="00CA1FE7"/>
    <w:p w:rsidR="00205717" w:rsidRDefault="00545614" w:rsidP="00CA1FE7">
      <w:r>
        <w:t xml:space="preserve">FSANZ has also </w:t>
      </w:r>
      <w:r w:rsidR="00CA1FE7" w:rsidRPr="00CA1FE7">
        <w:t xml:space="preserve">replaced the </w:t>
      </w:r>
      <w:r w:rsidR="00205717">
        <w:t xml:space="preserve">proposed </w:t>
      </w:r>
      <w:r w:rsidR="00CA1FE7" w:rsidRPr="00CA1FE7">
        <w:t xml:space="preserve">definition of listericidal treatment with a definition of </w:t>
      </w:r>
      <w:r w:rsidR="005B6430">
        <w:t>“</w:t>
      </w:r>
      <w:r w:rsidR="00CA1FE7" w:rsidRPr="00CA1FE7">
        <w:t>listericidal process</w:t>
      </w:r>
      <w:r w:rsidR="005B6430">
        <w:t>”</w:t>
      </w:r>
      <w:r w:rsidR="00205717">
        <w:t>, being defined as</w:t>
      </w:r>
      <w:r w:rsidR="00CA1FE7" w:rsidRPr="00CA1FE7">
        <w:t xml:space="preserve"> </w:t>
      </w:r>
      <w:r w:rsidR="00205717" w:rsidRPr="00205717">
        <w:rPr>
          <w:i/>
        </w:rPr>
        <w:t>“</w:t>
      </w:r>
      <w:r w:rsidR="00CA1FE7" w:rsidRPr="00545614">
        <w:rPr>
          <w:i/>
        </w:rPr>
        <w:t xml:space="preserve">a process that reduces </w:t>
      </w:r>
      <w:r w:rsidR="00CA1FE7" w:rsidRPr="00205717">
        <w:t>Listeria monocytogenes</w:t>
      </w:r>
      <w:r w:rsidR="00CA1FE7" w:rsidRPr="00545614">
        <w:rPr>
          <w:i/>
        </w:rPr>
        <w:t xml:space="preserve"> microorganisms to a safe level</w:t>
      </w:r>
      <w:r w:rsidR="00205717">
        <w:rPr>
          <w:i/>
        </w:rPr>
        <w:t>”</w:t>
      </w:r>
      <w:r w:rsidR="00205717" w:rsidRPr="00205717">
        <w:t>.</w:t>
      </w:r>
      <w:r w:rsidR="00CA1FE7" w:rsidRPr="00CA1FE7">
        <w:t xml:space="preserve"> </w:t>
      </w:r>
    </w:p>
    <w:p w:rsidR="00A31543" w:rsidRDefault="00A31543" w:rsidP="00CA1FE7">
      <w:r>
        <w:br w:type="page"/>
      </w:r>
    </w:p>
    <w:p w:rsidR="00CA1FE7" w:rsidRPr="00CA1FE7" w:rsidRDefault="00205717" w:rsidP="00CA1FE7">
      <w:r>
        <w:lastRenderedPageBreak/>
        <w:t xml:space="preserve">FSANZ has </w:t>
      </w:r>
      <w:r w:rsidR="00CA1FE7" w:rsidRPr="00CA1FE7">
        <w:t xml:space="preserve">revised the </w:t>
      </w:r>
      <w:r w:rsidR="00041500">
        <w:t>sub</w:t>
      </w:r>
      <w:r w:rsidR="00CA1FE7" w:rsidRPr="0006607F">
        <w:t>clause</w:t>
      </w:r>
      <w:r w:rsidR="00CA1FE7" w:rsidRPr="00CA1FE7">
        <w:t xml:space="preserve"> (in </w:t>
      </w:r>
      <w:r w:rsidR="00041500">
        <w:t>c</w:t>
      </w:r>
      <w:r w:rsidR="00CA1FE7" w:rsidRPr="00CA1FE7">
        <w:t xml:space="preserve">lause 6) to more clearly capture products such as fresh cut horticultural produce and </w:t>
      </w:r>
      <w:r w:rsidR="005B6430">
        <w:t>RTE</w:t>
      </w:r>
      <w:r w:rsidR="00C14375">
        <w:t xml:space="preserve"> refrigerated</w:t>
      </w:r>
      <w:r w:rsidR="00CA1FE7" w:rsidRPr="00CA1FE7">
        <w:t xml:space="preserve"> processed finfish</w:t>
      </w:r>
      <w:r w:rsidR="005B6430">
        <w:t>, t</w:t>
      </w:r>
      <w:r w:rsidR="00545614">
        <w:t>hereby p</w:t>
      </w:r>
      <w:r w:rsidR="00C14375">
        <w:t>roviding examples of products</w:t>
      </w:r>
      <w:r w:rsidR="00CA1FE7" w:rsidRPr="00CA1FE7">
        <w:t xml:space="preserve"> that </w:t>
      </w:r>
      <w:r w:rsidR="00C14375">
        <w:t>are not expected to</w:t>
      </w:r>
      <w:r w:rsidR="00CA1FE7" w:rsidRPr="00CA1FE7">
        <w:t xml:space="preserve"> support the growth of </w:t>
      </w:r>
      <w:r w:rsidR="00CA1FE7" w:rsidRPr="00CA1FE7">
        <w:rPr>
          <w:i/>
        </w:rPr>
        <w:t>L. monocytogenes</w:t>
      </w:r>
      <w:r w:rsidR="00CA1FE7" w:rsidRPr="00CA1FE7">
        <w:t xml:space="preserve"> to levels over 100 cfu/g. </w:t>
      </w:r>
    </w:p>
    <w:p w:rsidR="00CA1FE7" w:rsidRPr="00CA1FE7" w:rsidRDefault="00CA1FE7" w:rsidP="00CA1FE7"/>
    <w:p w:rsidR="004738E6" w:rsidRDefault="00F9712B" w:rsidP="004738E6">
      <w:r>
        <w:t>The draft variation</w:t>
      </w:r>
      <w:r w:rsidR="00545614">
        <w:t>s</w:t>
      </w:r>
      <w:r>
        <w:t xml:space="preserve"> to </w:t>
      </w:r>
      <w:r w:rsidRPr="00545614">
        <w:t>Standard</w:t>
      </w:r>
      <w:r w:rsidR="00545614" w:rsidRPr="00545614">
        <w:t xml:space="preserve"> 1.6.1 </w:t>
      </w:r>
      <w:r w:rsidRPr="00545614">
        <w:t xml:space="preserve">also included </w:t>
      </w:r>
      <w:r w:rsidR="005407C4" w:rsidRPr="00545614">
        <w:t xml:space="preserve">consequential </w:t>
      </w:r>
      <w:r w:rsidRPr="00545614">
        <w:t>a</w:t>
      </w:r>
      <w:r w:rsidR="004738E6" w:rsidRPr="00545614">
        <w:t>mend</w:t>
      </w:r>
      <w:r w:rsidRPr="00545614">
        <w:t xml:space="preserve">ments </w:t>
      </w:r>
      <w:r w:rsidR="0006607F">
        <w:t xml:space="preserve">due </w:t>
      </w:r>
      <w:r w:rsidRPr="00545614">
        <w:t xml:space="preserve">to </w:t>
      </w:r>
      <w:r w:rsidR="004738E6" w:rsidRPr="00545614">
        <w:t>other elements that were out-dated</w:t>
      </w:r>
      <w:r w:rsidR="006526A5" w:rsidRPr="00545614">
        <w:t>, inconsistent</w:t>
      </w:r>
      <w:r w:rsidR="004738E6" w:rsidRPr="00545614">
        <w:t xml:space="preserve"> or unclear such as </w:t>
      </w:r>
      <w:r w:rsidR="006526A5" w:rsidRPr="00545614">
        <w:t xml:space="preserve">definitions, </w:t>
      </w:r>
      <w:r w:rsidR="004738E6" w:rsidRPr="00545614">
        <w:t>reference methods of analysis and the purpose of Standard 1.6.1</w:t>
      </w:r>
      <w:r w:rsidR="003D6084">
        <w:t xml:space="preserve">. </w:t>
      </w:r>
      <w:r w:rsidR="009B12C1">
        <w:t>A</w:t>
      </w:r>
      <w:r w:rsidR="0006607F">
        <w:t xml:space="preserve"> </w:t>
      </w:r>
      <w:r w:rsidR="00545614" w:rsidRPr="00545614">
        <w:t>clarification of an editorial note in Standard 4.2.5</w:t>
      </w:r>
      <w:r w:rsidR="009B12C1">
        <w:t xml:space="preserve"> is also included.</w:t>
      </w:r>
    </w:p>
    <w:p w:rsidR="008D3BB0" w:rsidRPr="008D3BB0" w:rsidRDefault="008D3BB0" w:rsidP="008D3BB0">
      <w:pPr>
        <w:pStyle w:val="Heading3"/>
      </w:pPr>
      <w:bookmarkStart w:id="55" w:name="_Toc387927828"/>
      <w:r w:rsidRPr="008D3BB0">
        <w:t xml:space="preserve">2.3.1 </w:t>
      </w:r>
      <w:r w:rsidR="00D277FF">
        <w:t>Guidance document</w:t>
      </w:r>
      <w:bookmarkEnd w:id="55"/>
    </w:p>
    <w:p w:rsidR="008D3BB0" w:rsidRDefault="008D3BB0" w:rsidP="004738E6">
      <w:r>
        <w:t xml:space="preserve">To support the limits for </w:t>
      </w:r>
      <w:r w:rsidRPr="0006607F">
        <w:rPr>
          <w:i/>
        </w:rPr>
        <w:t>L. monocytogenes</w:t>
      </w:r>
      <w:r>
        <w:t xml:space="preserve"> in </w:t>
      </w:r>
      <w:r w:rsidR="003A01BC">
        <w:t>RTE foods</w:t>
      </w:r>
      <w:r>
        <w:t xml:space="preserve">, </w:t>
      </w:r>
      <w:r w:rsidR="004D304D">
        <w:t>a</w:t>
      </w:r>
      <w:r>
        <w:t xml:space="preserve"> guidance document </w:t>
      </w:r>
      <w:r w:rsidR="004D304D">
        <w:t xml:space="preserve">was </w:t>
      </w:r>
      <w:r w:rsidR="004D304D" w:rsidRPr="00127F88">
        <w:rPr>
          <w:rFonts w:cs="Arial"/>
        </w:rPr>
        <w:t>provide</w:t>
      </w:r>
      <w:r w:rsidR="004D304D">
        <w:rPr>
          <w:rFonts w:cs="Arial"/>
        </w:rPr>
        <w:t>d</w:t>
      </w:r>
      <w:r w:rsidR="004D304D" w:rsidRPr="00127F88">
        <w:rPr>
          <w:rFonts w:cs="Arial"/>
        </w:rPr>
        <w:t xml:space="preserve"> </w:t>
      </w:r>
      <w:r w:rsidR="004D304D">
        <w:rPr>
          <w:rFonts w:cs="Arial"/>
        </w:rPr>
        <w:t>for authorities and producers of</w:t>
      </w:r>
      <w:r w:rsidR="004D304D" w:rsidRPr="001C2994">
        <w:t xml:space="preserve"> RTE</w:t>
      </w:r>
      <w:r w:rsidR="004D304D">
        <w:t xml:space="preserve"> </w:t>
      </w:r>
      <w:r w:rsidR="004D304D" w:rsidRPr="001C2994">
        <w:t>food</w:t>
      </w:r>
      <w:r w:rsidR="00A31543">
        <w:t xml:space="preserve">. </w:t>
      </w:r>
      <w:r w:rsidR="004D304D">
        <w:t>Following consultation, it was</w:t>
      </w:r>
      <w:r>
        <w:t xml:space="preserve"> amended </w:t>
      </w:r>
      <w:r w:rsidRPr="00CA1FE7">
        <w:t xml:space="preserve">to further clarify the purpose </w:t>
      </w:r>
      <w:r w:rsidR="003A01BC">
        <w:t xml:space="preserve">and application </w:t>
      </w:r>
      <w:r w:rsidRPr="00CA1FE7">
        <w:t>of these limits</w:t>
      </w:r>
      <w:r>
        <w:t xml:space="preserve">. This document is provided as SD1. </w:t>
      </w:r>
    </w:p>
    <w:p w:rsidR="002C1A3B" w:rsidRPr="008C301D" w:rsidRDefault="002C1A3B" w:rsidP="002C1A3B">
      <w:pPr>
        <w:pStyle w:val="Heading2"/>
      </w:pPr>
      <w:bookmarkStart w:id="56" w:name="_Toc309291814"/>
      <w:bookmarkStart w:id="57" w:name="_Toc370225389"/>
      <w:bookmarkStart w:id="58" w:name="_Toc387927829"/>
      <w:bookmarkStart w:id="59" w:name="_Toc286391012"/>
      <w:bookmarkEnd w:id="54"/>
      <w:r>
        <w:t>2</w:t>
      </w:r>
      <w:r w:rsidRPr="008C301D">
        <w:t>.</w:t>
      </w:r>
      <w:r>
        <w:t>4</w:t>
      </w:r>
      <w:r w:rsidRPr="008C301D">
        <w:tab/>
        <w:t>Risk communication</w:t>
      </w:r>
      <w:bookmarkEnd w:id="56"/>
      <w:bookmarkEnd w:id="57"/>
      <w:bookmarkEnd w:id="58"/>
      <w:r w:rsidRPr="008C301D">
        <w:t xml:space="preserve"> </w:t>
      </w:r>
    </w:p>
    <w:p w:rsidR="002C1A3B" w:rsidRPr="00C11A20" w:rsidRDefault="002C1A3B" w:rsidP="002C1A3B">
      <w:pPr>
        <w:pStyle w:val="Heading3"/>
      </w:pPr>
      <w:bookmarkStart w:id="60" w:name="_Toc300933437"/>
      <w:bookmarkStart w:id="61" w:name="_Toc370223475"/>
      <w:bookmarkStart w:id="62" w:name="_Toc370225390"/>
      <w:bookmarkStart w:id="63" w:name="_Toc387927830"/>
      <w:r w:rsidRPr="00C11A20">
        <w:t>2.4.1</w:t>
      </w:r>
      <w:r w:rsidRPr="00C11A20">
        <w:tab/>
        <w:t>Consultation</w:t>
      </w:r>
      <w:bookmarkEnd w:id="60"/>
      <w:bookmarkEnd w:id="61"/>
      <w:bookmarkEnd w:id="62"/>
      <w:bookmarkEnd w:id="63"/>
    </w:p>
    <w:p w:rsidR="00CC721D" w:rsidRPr="00C11A20" w:rsidRDefault="00CC721D" w:rsidP="002C1A3B">
      <w:pPr>
        <w:rPr>
          <w:szCs w:val="22"/>
        </w:rPr>
      </w:pPr>
      <w:r w:rsidRPr="00C11A20">
        <w:rPr>
          <w:szCs w:val="22"/>
        </w:rPr>
        <w:t>FSANZ developed a communication strategy for this proposal. As part of this strategy web material was prepared and updated as ne</w:t>
      </w:r>
      <w:r w:rsidR="00613D7B" w:rsidRPr="00C11A20">
        <w:rPr>
          <w:szCs w:val="22"/>
        </w:rPr>
        <w:t>eded</w:t>
      </w:r>
      <w:r w:rsidRPr="00C11A20">
        <w:rPr>
          <w:szCs w:val="22"/>
        </w:rPr>
        <w:t xml:space="preserve"> to communicate proposed changes to stakeholders. </w:t>
      </w:r>
    </w:p>
    <w:p w:rsidR="00613D7B" w:rsidRPr="00C11A20" w:rsidRDefault="00613D7B" w:rsidP="002C1A3B">
      <w:pPr>
        <w:rPr>
          <w:szCs w:val="22"/>
        </w:rPr>
      </w:pPr>
    </w:p>
    <w:p w:rsidR="00CC721D" w:rsidRPr="00C11A20" w:rsidRDefault="00CC721D" w:rsidP="00CC721D">
      <w:pPr>
        <w:rPr>
          <w:szCs w:val="22"/>
        </w:rPr>
      </w:pPr>
      <w:r w:rsidRPr="00C11A20">
        <w:rPr>
          <w:szCs w:val="22"/>
        </w:rPr>
        <w:t xml:space="preserve">Calls for submissions were promoted using media releases, social media and publications, such as Food Standards News. </w:t>
      </w:r>
    </w:p>
    <w:p w:rsidR="00CC721D" w:rsidRPr="00C11A20" w:rsidRDefault="00CC721D" w:rsidP="002C1A3B">
      <w:pPr>
        <w:rPr>
          <w:szCs w:val="22"/>
        </w:rPr>
      </w:pPr>
    </w:p>
    <w:p w:rsidR="002C1A3B" w:rsidRPr="00C11A20" w:rsidRDefault="002C1A3B" w:rsidP="002C1A3B">
      <w:pPr>
        <w:rPr>
          <w:szCs w:val="22"/>
        </w:rPr>
      </w:pPr>
      <w:r w:rsidRPr="00C11A20">
        <w:rPr>
          <w:szCs w:val="22"/>
        </w:rPr>
        <w:t xml:space="preserve">Consultation is a key part of FSANZ’s standards development process. </w:t>
      </w:r>
    </w:p>
    <w:p w:rsidR="00C4569D" w:rsidRPr="00C11A20" w:rsidRDefault="00C4569D" w:rsidP="00C4569D"/>
    <w:p w:rsidR="007277CB" w:rsidRPr="00C11A20" w:rsidRDefault="003443DE" w:rsidP="007277CB">
      <w:pPr>
        <w:rPr>
          <w:rFonts w:cs="Arial"/>
          <w:szCs w:val="22"/>
        </w:rPr>
      </w:pPr>
      <w:r w:rsidRPr="00C11A20">
        <w:t>The process by which FSANZ considers standards matters is open, accountable, consultative and transparent. Public submissions are called to obtain the views of interested parties on the draft variation to the Code. FSANZ place</w:t>
      </w:r>
      <w:r w:rsidR="00142C0C" w:rsidRPr="00C11A20">
        <w:t>s all p</w:t>
      </w:r>
      <w:r w:rsidRPr="00C11A20">
        <w:t>roposal documents and submissions on the FSANZ website. All public comments received are reviewed and considered before approval of the variation to the Code by the FSANZ Board</w:t>
      </w:r>
      <w:r w:rsidR="00A31543">
        <w:t xml:space="preserve">. </w:t>
      </w:r>
    </w:p>
    <w:p w:rsidR="003443DE" w:rsidRPr="00C11A20" w:rsidRDefault="003443DE" w:rsidP="007277CB"/>
    <w:p w:rsidR="007277CB" w:rsidRPr="00C11A20" w:rsidRDefault="007277CB" w:rsidP="007277CB">
      <w:pPr>
        <w:rPr>
          <w:szCs w:val="22"/>
        </w:rPr>
      </w:pPr>
      <w:r w:rsidRPr="00C11A20">
        <w:rPr>
          <w:szCs w:val="22"/>
        </w:rPr>
        <w:t>FSANZ acknowledges the time taken by individuals and organisatio</w:t>
      </w:r>
      <w:r w:rsidR="00041500" w:rsidRPr="00C11A20">
        <w:rPr>
          <w:szCs w:val="22"/>
        </w:rPr>
        <w:t>ns to make submissions on this p</w:t>
      </w:r>
      <w:r w:rsidRPr="00C11A20">
        <w:rPr>
          <w:szCs w:val="22"/>
        </w:rPr>
        <w:t xml:space="preserve">roposal. </w:t>
      </w:r>
      <w:r w:rsidR="00C4569D" w:rsidRPr="00C11A20">
        <w:rPr>
          <w:szCs w:val="22"/>
        </w:rPr>
        <w:t xml:space="preserve">Every submission </w:t>
      </w:r>
      <w:r w:rsidR="00927181" w:rsidRPr="00C11A20">
        <w:rPr>
          <w:szCs w:val="22"/>
        </w:rPr>
        <w:t>was c</w:t>
      </w:r>
      <w:r w:rsidR="00C4569D" w:rsidRPr="00C11A20">
        <w:rPr>
          <w:szCs w:val="22"/>
        </w:rPr>
        <w:t>onsidered by the FSANZ Board. All comments are valued and contribute t</w:t>
      </w:r>
      <w:r w:rsidR="003443DE" w:rsidRPr="00C11A20">
        <w:rPr>
          <w:szCs w:val="22"/>
        </w:rPr>
        <w:t xml:space="preserve">o the rigour of our assessment. </w:t>
      </w:r>
      <w:r w:rsidRPr="00C11A20">
        <w:rPr>
          <w:szCs w:val="22"/>
        </w:rPr>
        <w:t xml:space="preserve">Where relevant, the submissions and responses have been discussed in the body of this report and a summary of all the submissions and the response to these submissions is provided in Table </w:t>
      </w:r>
      <w:r w:rsidR="006056DC" w:rsidRPr="00C11A20">
        <w:rPr>
          <w:szCs w:val="22"/>
        </w:rPr>
        <w:t>1</w:t>
      </w:r>
      <w:r w:rsidRPr="00C11A20">
        <w:t xml:space="preserve">. </w:t>
      </w:r>
    </w:p>
    <w:p w:rsidR="009B57CE" w:rsidRPr="00C11A20" w:rsidRDefault="009B57CE" w:rsidP="007277CB"/>
    <w:p w:rsidR="009B57CE" w:rsidRPr="00C11A20" w:rsidRDefault="009B57CE" w:rsidP="009B57CE">
      <w:r w:rsidRPr="00C11A20">
        <w:rPr>
          <w:szCs w:val="22"/>
        </w:rPr>
        <w:t xml:space="preserve">FSANZ also acknowledges the expertise of members of a technical advisory </w:t>
      </w:r>
      <w:r w:rsidR="00B93FB3" w:rsidRPr="00C11A20">
        <w:rPr>
          <w:szCs w:val="22"/>
        </w:rPr>
        <w:t>group, c</w:t>
      </w:r>
      <w:r w:rsidR="00B93FB3" w:rsidRPr="00C11A20">
        <w:t>omprised</w:t>
      </w:r>
      <w:r w:rsidRPr="00C11A20">
        <w:t xml:space="preserve"> of experts from government, industry (including meat, dairy, smoked finfish and horticulture) and public health laboratories. This group was convened in September 2012 and </w:t>
      </w:r>
      <w:r w:rsidR="0006607F" w:rsidRPr="00C11A20">
        <w:t xml:space="preserve">again </w:t>
      </w:r>
      <w:r w:rsidRPr="00C11A20">
        <w:t>in September 2013</w:t>
      </w:r>
      <w:r w:rsidR="0006607F" w:rsidRPr="00C11A20">
        <w:t>,</w:t>
      </w:r>
      <w:r w:rsidRPr="00C11A20">
        <w:t xml:space="preserve"> to provide technical input</w:t>
      </w:r>
      <w:r w:rsidR="00597E2D">
        <w:t xml:space="preserve"> </w:t>
      </w:r>
      <w:r w:rsidRPr="00C11A20">
        <w:t xml:space="preserve">to the assessment process, particularly in relation to the supporting guidance documents. </w:t>
      </w:r>
    </w:p>
    <w:p w:rsidR="00D277FF" w:rsidRPr="007155D7" w:rsidRDefault="00D277FF" w:rsidP="007155D7">
      <w:pPr>
        <w:keepNext/>
        <w:spacing w:before="240" w:after="240"/>
        <w:ind w:left="851" w:hanging="851"/>
        <w:outlineLvl w:val="2"/>
        <w:rPr>
          <w:b/>
          <w:bCs/>
          <w:color w:val="000000" w:themeColor="text1"/>
          <w:lang w:val="en-AU" w:eastAsia="en-AU" w:bidi="ar-SA"/>
        </w:rPr>
      </w:pPr>
      <w:bookmarkStart w:id="64" w:name="_Toc371585218"/>
      <w:bookmarkStart w:id="65" w:name="_Toc370225391"/>
      <w:bookmarkStart w:id="66" w:name="_Toc370226369"/>
      <w:bookmarkStart w:id="67" w:name="_Toc175381455"/>
      <w:r w:rsidRPr="00D277FF">
        <w:rPr>
          <w:b/>
          <w:bCs/>
          <w:color w:val="000000" w:themeColor="text1"/>
          <w:lang w:val="en-AU" w:eastAsia="en-AU" w:bidi="ar-SA"/>
        </w:rPr>
        <w:t>2.4.2</w:t>
      </w:r>
      <w:r w:rsidRPr="00D277FF">
        <w:rPr>
          <w:b/>
          <w:bCs/>
          <w:color w:val="000000" w:themeColor="text1"/>
          <w:lang w:val="en-AU" w:eastAsia="en-AU" w:bidi="ar-SA"/>
        </w:rPr>
        <w:tab/>
        <w:t>Communication</w:t>
      </w:r>
      <w:bookmarkEnd w:id="64"/>
    </w:p>
    <w:p w:rsidR="00A31543" w:rsidRDefault="00D277FF" w:rsidP="00D277FF">
      <w:pPr>
        <w:rPr>
          <w:lang w:val="en-AU"/>
        </w:rPr>
      </w:pPr>
      <w:r w:rsidRPr="00D277FF">
        <w:rPr>
          <w:lang w:val="en-AU"/>
        </w:rPr>
        <w:t>The key message for vulnerable populations to avoid certain foods—such as cold meats, p</w:t>
      </w:r>
      <w:r w:rsidRPr="00D277FF">
        <w:rPr>
          <w:rFonts w:cs="Arial"/>
          <w:lang w:val="en-AU"/>
        </w:rPr>
        <w:t>â</w:t>
      </w:r>
      <w:r w:rsidRPr="00D277FF">
        <w:rPr>
          <w:lang w:val="en-AU"/>
        </w:rPr>
        <w:t>té, pre-packaged salads and soft cheeses—because they have a higher risk of</w:t>
      </w:r>
      <w:r w:rsidRPr="00D277FF">
        <w:rPr>
          <w:i/>
          <w:lang w:val="en-AU"/>
        </w:rPr>
        <w:t xml:space="preserve"> Listeria</w:t>
      </w:r>
      <w:r w:rsidRPr="00D277FF">
        <w:rPr>
          <w:lang w:val="en-AU"/>
        </w:rPr>
        <w:t xml:space="preserve"> contamination, remains unchanged. </w:t>
      </w:r>
      <w:r w:rsidR="000F1326">
        <w:rPr>
          <w:lang w:val="en-AU"/>
        </w:rPr>
        <w:t xml:space="preserve">A review of existing materials, such as ‘Listeria in food – advice for people at risk’ is proposed. </w:t>
      </w:r>
      <w:r w:rsidR="00A31543">
        <w:rPr>
          <w:lang w:val="en-AU"/>
        </w:rPr>
        <w:br w:type="page"/>
      </w:r>
    </w:p>
    <w:p w:rsidR="00D277FF" w:rsidRPr="00D277FF" w:rsidRDefault="00D277FF" w:rsidP="00D277FF">
      <w:pPr>
        <w:rPr>
          <w:lang w:val="en-AU"/>
        </w:rPr>
      </w:pPr>
      <w:r w:rsidRPr="00D277FF">
        <w:rPr>
          <w:lang w:val="en-AU"/>
        </w:rPr>
        <w:lastRenderedPageBreak/>
        <w:t xml:space="preserve">In addition, specific key messages about the Proposal </w:t>
      </w:r>
      <w:r>
        <w:rPr>
          <w:lang w:val="en-AU"/>
        </w:rPr>
        <w:t>were</w:t>
      </w:r>
      <w:r w:rsidRPr="00D277FF">
        <w:rPr>
          <w:lang w:val="en-AU"/>
        </w:rPr>
        <w:t xml:space="preserve"> prepared to ensure stakeholders clearly understand the proposed changes. FSANZ </w:t>
      </w:r>
      <w:r>
        <w:rPr>
          <w:lang w:val="en-AU"/>
        </w:rPr>
        <w:t>ha</w:t>
      </w:r>
      <w:r w:rsidRPr="00D277FF">
        <w:rPr>
          <w:lang w:val="en-AU"/>
        </w:rPr>
        <w:t>s work</w:t>
      </w:r>
      <w:r>
        <w:rPr>
          <w:lang w:val="en-AU"/>
        </w:rPr>
        <w:t>ed</w:t>
      </w:r>
      <w:r w:rsidRPr="00D277FF">
        <w:rPr>
          <w:lang w:val="en-AU"/>
        </w:rPr>
        <w:t xml:space="preserve"> with jurisdictions on these key messages to ensure consistency. </w:t>
      </w:r>
    </w:p>
    <w:p w:rsidR="00205717" w:rsidRPr="00205717" w:rsidRDefault="00205717" w:rsidP="00205717">
      <w:pPr>
        <w:pStyle w:val="Heading3"/>
      </w:pPr>
      <w:bookmarkStart w:id="68" w:name="_Toc387927831"/>
      <w:r w:rsidRPr="008D3BB0">
        <w:t>2.4.</w:t>
      </w:r>
      <w:r w:rsidR="00D277FF">
        <w:t>3</w:t>
      </w:r>
      <w:r w:rsidRPr="008D3BB0">
        <w:tab/>
        <w:t>World Trade Organization (WTO)</w:t>
      </w:r>
      <w:bookmarkEnd w:id="65"/>
      <w:bookmarkEnd w:id="66"/>
      <w:bookmarkEnd w:id="68"/>
    </w:p>
    <w:p w:rsidR="00205717" w:rsidRPr="00205717" w:rsidRDefault="00205717" w:rsidP="00205717">
      <w:pPr>
        <w:rPr>
          <w:rFonts w:cs="Arial"/>
        </w:rPr>
      </w:pPr>
      <w:r w:rsidRPr="00205717">
        <w:rPr>
          <w:rFonts w:cs="Arial"/>
        </w:rPr>
        <w:t xml:space="preserve">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 </w:t>
      </w:r>
      <w:r w:rsidRPr="00205717">
        <w:rPr>
          <w:lang w:bidi="ar-SA"/>
        </w:rPr>
        <w:t>The draft variation to Standard 1.6.1 is consistent with the risk management approach agreed internationally (through Codex) and therefore it was considered not necessary to consult WTO.</w:t>
      </w:r>
    </w:p>
    <w:p w:rsidR="002C1A3B" w:rsidRPr="002C1A3B" w:rsidRDefault="002C1A3B" w:rsidP="002C1A3B">
      <w:pPr>
        <w:pStyle w:val="Heading2"/>
      </w:pPr>
      <w:bookmarkStart w:id="69" w:name="_Toc370223477"/>
      <w:bookmarkStart w:id="70" w:name="_Toc370225392"/>
      <w:bookmarkStart w:id="71" w:name="_Toc387927832"/>
      <w:bookmarkStart w:id="72" w:name="_Toc309291816"/>
      <w:bookmarkStart w:id="73" w:name="_Toc300933448"/>
      <w:bookmarkStart w:id="74" w:name="_Toc300933577"/>
      <w:bookmarkStart w:id="75" w:name="_Toc301535601"/>
      <w:bookmarkStart w:id="76" w:name="_Toc309385464"/>
      <w:bookmarkStart w:id="77" w:name="_Toc175381456"/>
      <w:bookmarkEnd w:id="67"/>
      <w:bookmarkEnd w:id="30"/>
      <w:bookmarkEnd w:id="31"/>
      <w:bookmarkEnd w:id="32"/>
      <w:bookmarkEnd w:id="33"/>
      <w:bookmarkEnd w:id="34"/>
      <w:bookmarkEnd w:id="35"/>
      <w:bookmarkEnd w:id="59"/>
      <w:r w:rsidRPr="002C1A3B">
        <w:t>2.5</w:t>
      </w:r>
      <w:r w:rsidRPr="002C1A3B">
        <w:tab/>
        <w:t>FSANZ Act assessment requirements</w:t>
      </w:r>
      <w:bookmarkEnd w:id="69"/>
      <w:bookmarkEnd w:id="70"/>
      <w:bookmarkEnd w:id="71"/>
    </w:p>
    <w:p w:rsidR="002C1A3B" w:rsidRPr="002C1A3B" w:rsidRDefault="002C1A3B" w:rsidP="002C1A3B">
      <w:pPr>
        <w:pStyle w:val="Heading3"/>
      </w:pPr>
      <w:bookmarkStart w:id="78" w:name="_Toc370223478"/>
      <w:bookmarkStart w:id="79" w:name="_Toc370225393"/>
      <w:bookmarkStart w:id="80" w:name="_Toc387927833"/>
      <w:bookmarkEnd w:id="72"/>
      <w:bookmarkEnd w:id="73"/>
      <w:bookmarkEnd w:id="74"/>
      <w:bookmarkEnd w:id="75"/>
      <w:bookmarkEnd w:id="76"/>
      <w:r w:rsidRPr="002C1A3B">
        <w:t>2.5.1</w:t>
      </w:r>
      <w:r w:rsidRPr="002C1A3B">
        <w:tab/>
        <w:t xml:space="preserve">Section </w:t>
      </w:r>
      <w:r w:rsidRPr="0085628C">
        <w:t>59</w:t>
      </w:r>
      <w:bookmarkEnd w:id="78"/>
      <w:bookmarkEnd w:id="79"/>
      <w:bookmarkEnd w:id="80"/>
    </w:p>
    <w:p w:rsidR="00C4569D" w:rsidRPr="00E56CB8" w:rsidRDefault="002C1A3B" w:rsidP="00930C34">
      <w:pPr>
        <w:pStyle w:val="Heading4"/>
      </w:pPr>
      <w:r w:rsidRPr="00E56CB8">
        <w:t>2.5.1.1</w:t>
      </w:r>
      <w:r w:rsidRPr="00E56CB8">
        <w:tab/>
        <w:t>Cost benefit analysis</w:t>
      </w:r>
    </w:p>
    <w:p w:rsidR="006D20F6" w:rsidRPr="00E56CB8" w:rsidRDefault="00BA39AC" w:rsidP="006D20F6">
      <w:r w:rsidRPr="00E56CB8">
        <w:rPr>
          <w:rFonts w:eastAsia="Calibri"/>
        </w:rPr>
        <w:t>FSANZ</w:t>
      </w:r>
      <w:r w:rsidR="006D20F6" w:rsidRPr="00E56CB8">
        <w:rPr>
          <w:rFonts w:eastAsia="Calibri"/>
        </w:rPr>
        <w:t xml:space="preserve"> is required to have regard to whether </w:t>
      </w:r>
      <w:r w:rsidR="00930C34" w:rsidRPr="00E56CB8">
        <w:t xml:space="preserve">the direct and indirect benefits that would arise from a food regulatory measure developed or varied as a result of this proposal outweigh the costs to the community, Government or industry of the proposed measure. </w:t>
      </w:r>
    </w:p>
    <w:p w:rsidR="006D20F6" w:rsidRPr="00E56CB8" w:rsidRDefault="006D20F6" w:rsidP="006D20F6"/>
    <w:p w:rsidR="00EB25BB" w:rsidRPr="00E56CB8" w:rsidRDefault="00147D4D" w:rsidP="006D20F6">
      <w:r w:rsidRPr="00E56CB8">
        <w:t>T</w:t>
      </w:r>
      <w:r w:rsidR="006D20F6" w:rsidRPr="00E56CB8">
        <w:t xml:space="preserve">he Office of Best Practice Regulation (OBPR) (reference 13573) </w:t>
      </w:r>
      <w:r w:rsidRPr="00E56CB8">
        <w:t xml:space="preserve">advised </w:t>
      </w:r>
      <w:r w:rsidR="006D20F6" w:rsidRPr="00E56CB8">
        <w:t xml:space="preserve">that a </w:t>
      </w:r>
      <w:r w:rsidRPr="00E56CB8">
        <w:t xml:space="preserve">Regulation </w:t>
      </w:r>
      <w:r w:rsidR="006D20F6" w:rsidRPr="00E56CB8">
        <w:t xml:space="preserve">Impact </w:t>
      </w:r>
      <w:r w:rsidR="00C14375" w:rsidRPr="00E56CB8">
        <w:t>Statement was</w:t>
      </w:r>
      <w:r w:rsidR="006D20F6" w:rsidRPr="00E56CB8">
        <w:t xml:space="preserve"> not needed for the proposed amendments to Standard 1.6.1 as they </w:t>
      </w:r>
      <w:r w:rsidRPr="00E56CB8">
        <w:t>we</w:t>
      </w:r>
      <w:r w:rsidR="006D20F6" w:rsidRPr="00E56CB8">
        <w:t>re unlikely to result in changes for business</w:t>
      </w:r>
      <w:r w:rsidR="00A03703" w:rsidRPr="00E56CB8">
        <w:t xml:space="preserve"> and likely to have a minor regulatory impact on business and individuals. </w:t>
      </w:r>
      <w:r w:rsidR="006D20F6" w:rsidRPr="00E56CB8">
        <w:t xml:space="preserve">This </w:t>
      </w:r>
      <w:r w:rsidRPr="00E56CB8">
        <w:t>wa</w:t>
      </w:r>
      <w:r w:rsidR="006D20F6" w:rsidRPr="00E56CB8">
        <w:t>s based on the following considerations:</w:t>
      </w:r>
      <w:r w:rsidR="00A03703" w:rsidRPr="00E56CB8">
        <w:t xml:space="preserve"> </w:t>
      </w:r>
    </w:p>
    <w:p w:rsidR="00A03703" w:rsidRPr="00E56CB8" w:rsidRDefault="00A03703" w:rsidP="006D20F6"/>
    <w:p w:rsidR="006D20F6" w:rsidRPr="00E56CB8" w:rsidRDefault="006D20F6" w:rsidP="00D7367C">
      <w:pPr>
        <w:pStyle w:val="FSBullet1"/>
        <w:numPr>
          <w:ilvl w:val="0"/>
          <w:numId w:val="6"/>
        </w:numPr>
        <w:ind w:left="567" w:hanging="567"/>
      </w:pPr>
      <w:r w:rsidRPr="00E56CB8">
        <w:t xml:space="preserve">All food businesses manufacturing </w:t>
      </w:r>
      <w:r w:rsidR="00927181" w:rsidRPr="00E56CB8">
        <w:t>RTE</w:t>
      </w:r>
      <w:r w:rsidRPr="00E56CB8">
        <w:t xml:space="preserve"> foods already have obligations to produce and sell safe food. </w:t>
      </w:r>
    </w:p>
    <w:p w:rsidR="006D20F6" w:rsidRPr="00E56CB8" w:rsidRDefault="006D20F6" w:rsidP="00D7367C">
      <w:pPr>
        <w:pStyle w:val="FSBullet1"/>
        <w:numPr>
          <w:ilvl w:val="0"/>
          <w:numId w:val="6"/>
        </w:numPr>
        <w:ind w:left="567" w:hanging="567"/>
      </w:pPr>
      <w:r w:rsidRPr="00E56CB8">
        <w:t xml:space="preserve">Limits for </w:t>
      </w:r>
      <w:r w:rsidRPr="00E56CB8">
        <w:rPr>
          <w:i/>
        </w:rPr>
        <w:t>L.</w:t>
      </w:r>
      <w:r w:rsidRPr="00E56CB8">
        <w:t xml:space="preserve"> </w:t>
      </w:r>
      <w:r w:rsidRPr="00E56CB8">
        <w:rPr>
          <w:i/>
        </w:rPr>
        <w:t>monocytogenes</w:t>
      </w:r>
      <w:r w:rsidRPr="00E56CB8">
        <w:t xml:space="preserve"> in RTE foods provides clarity primarily to enforcement agencies as to acceptable levels of </w:t>
      </w:r>
      <w:r w:rsidRPr="00E56CB8">
        <w:rPr>
          <w:i/>
        </w:rPr>
        <w:t>L. monocytogenes</w:t>
      </w:r>
      <w:r w:rsidRPr="00E56CB8">
        <w:t xml:space="preserve"> in RTE foods for sale, taking into consideration the nature of the product and processing factors. </w:t>
      </w:r>
    </w:p>
    <w:p w:rsidR="006D20F6" w:rsidRPr="00E56CB8" w:rsidRDefault="006D20F6" w:rsidP="006D20F6"/>
    <w:p w:rsidR="006D20F6" w:rsidRPr="00E56CB8" w:rsidRDefault="006D20F6" w:rsidP="006D20F6">
      <w:r w:rsidRPr="00E56CB8">
        <w:rPr>
          <w:rFonts w:cs="Arial"/>
        </w:rPr>
        <w:t xml:space="preserve">Notwithstanding the above OPBR advice, </w:t>
      </w:r>
      <w:r w:rsidR="00AE78D0">
        <w:rPr>
          <w:rFonts w:cs="Arial"/>
        </w:rPr>
        <w:t>a</w:t>
      </w:r>
      <w:r w:rsidR="00817064" w:rsidRPr="00E56CB8">
        <w:rPr>
          <w:rFonts w:cs="Arial"/>
        </w:rPr>
        <w:t xml:space="preserve"> </w:t>
      </w:r>
      <w:r w:rsidRPr="00E56CB8">
        <w:rPr>
          <w:rFonts w:eastAsia="Calibri"/>
        </w:rPr>
        <w:t xml:space="preserve">basic </w:t>
      </w:r>
      <w:r w:rsidR="00817064" w:rsidRPr="00E56CB8">
        <w:rPr>
          <w:rFonts w:eastAsia="Calibri"/>
        </w:rPr>
        <w:t xml:space="preserve">qualitative </w:t>
      </w:r>
      <w:r w:rsidRPr="00E56CB8">
        <w:rPr>
          <w:rFonts w:eastAsia="Calibri"/>
        </w:rPr>
        <w:t xml:space="preserve">cost benefit analysis </w:t>
      </w:r>
      <w:r w:rsidR="005E2742" w:rsidRPr="00E56CB8">
        <w:rPr>
          <w:rFonts w:eastAsia="Calibri"/>
        </w:rPr>
        <w:t>w</w:t>
      </w:r>
      <w:r w:rsidRPr="00E56CB8">
        <w:rPr>
          <w:rFonts w:eastAsia="Calibri"/>
        </w:rPr>
        <w:t>as undertaken for the purposes of section 59.</w:t>
      </w:r>
      <w:r w:rsidRPr="00E56CB8">
        <w:rPr>
          <w:rFonts w:cs="Arial"/>
        </w:rPr>
        <w:t xml:space="preserve"> This </w:t>
      </w:r>
      <w:r w:rsidR="00817064" w:rsidRPr="00E56CB8">
        <w:t>analysis is</w:t>
      </w:r>
      <w:r w:rsidR="00E56CB8">
        <w:t xml:space="preserve"> not intended to be </w:t>
      </w:r>
      <w:r w:rsidRPr="00E56CB8">
        <w:t>exhaustive</w:t>
      </w:r>
      <w:r w:rsidR="00817064" w:rsidRPr="00E56CB8">
        <w:t xml:space="preserve"> and quantification</w:t>
      </w:r>
      <w:r w:rsidRPr="00E56CB8">
        <w:t xml:space="preserve"> </w:t>
      </w:r>
      <w:r w:rsidR="00031814" w:rsidRPr="00E56CB8">
        <w:t>of alternatives</w:t>
      </w:r>
      <w:r w:rsidR="00817064" w:rsidRPr="00E56CB8">
        <w:t xml:space="preserve"> has not been undertaken</w:t>
      </w:r>
      <w:r w:rsidRPr="00E56CB8">
        <w:t>.</w:t>
      </w:r>
      <w:r w:rsidR="005E2742" w:rsidRPr="00E56CB8">
        <w:t xml:space="preserve"> </w:t>
      </w:r>
      <w:r w:rsidR="00A62DAB" w:rsidRPr="00E56CB8">
        <w:t>The following benefits and costs</w:t>
      </w:r>
      <w:r w:rsidR="00817064" w:rsidRPr="00E56CB8">
        <w:t xml:space="preserve"> appear to exist for the following groups when the </w:t>
      </w:r>
      <w:r w:rsidR="00031814" w:rsidRPr="00E56CB8">
        <w:t xml:space="preserve">proposed approach </w:t>
      </w:r>
      <w:r w:rsidR="00817064" w:rsidRPr="00E56CB8">
        <w:t>is compare</w:t>
      </w:r>
      <w:r w:rsidR="00031814" w:rsidRPr="00E56CB8">
        <w:t>d</w:t>
      </w:r>
      <w:r w:rsidR="00817064" w:rsidRPr="00E56CB8">
        <w:t xml:space="preserve"> against the status quo.</w:t>
      </w:r>
    </w:p>
    <w:p w:rsidR="00147D4D" w:rsidRPr="00E56CB8" w:rsidRDefault="00147D4D" w:rsidP="006D20F6">
      <w:pPr>
        <w:ind w:left="1418" w:hanging="1418"/>
        <w:rPr>
          <w:i/>
        </w:rPr>
      </w:pPr>
    </w:p>
    <w:p w:rsidR="00E56CB8" w:rsidRDefault="006D20F6" w:rsidP="006D20F6">
      <w:pPr>
        <w:ind w:left="1418" w:hanging="1418"/>
        <w:rPr>
          <w:rFonts w:cs="Arial"/>
        </w:rPr>
      </w:pPr>
      <w:r w:rsidRPr="00E56CB8">
        <w:rPr>
          <w:i/>
        </w:rPr>
        <w:t>Consumers:</w:t>
      </w:r>
      <w:r w:rsidRPr="00E56CB8">
        <w:tab/>
      </w:r>
      <w:r w:rsidR="00A62DAB" w:rsidRPr="00E56CB8">
        <w:t xml:space="preserve">Benefits </w:t>
      </w:r>
      <w:r w:rsidR="00537E94">
        <w:t>–</w:t>
      </w:r>
      <w:r w:rsidR="00A62DAB" w:rsidRPr="00E56CB8">
        <w:t xml:space="preserve"> </w:t>
      </w:r>
      <w:r w:rsidR="00895FFA" w:rsidRPr="00E56CB8">
        <w:t xml:space="preserve">The amended Standard </w:t>
      </w:r>
      <w:r w:rsidRPr="00E56CB8">
        <w:rPr>
          <w:rFonts w:cs="Arial"/>
        </w:rPr>
        <w:t xml:space="preserve">will ensure that limits for </w:t>
      </w:r>
      <w:r w:rsidRPr="00E56CB8">
        <w:rPr>
          <w:rFonts w:cs="Arial"/>
          <w:i/>
        </w:rPr>
        <w:t>L. monocytogenes</w:t>
      </w:r>
      <w:r w:rsidRPr="00E56CB8">
        <w:rPr>
          <w:rFonts w:cs="Arial"/>
        </w:rPr>
        <w:t xml:space="preserve"> are applied consistently across all RTE foods. This benefits consumers as limits for </w:t>
      </w:r>
      <w:r w:rsidRPr="00E56CB8">
        <w:rPr>
          <w:rFonts w:cs="Arial"/>
          <w:i/>
        </w:rPr>
        <w:t>L. monocytogenes</w:t>
      </w:r>
      <w:r w:rsidRPr="00E56CB8">
        <w:rPr>
          <w:rFonts w:cs="Arial"/>
        </w:rPr>
        <w:t xml:space="preserve"> in Standard 1.6.1 can provide an important risk management tool for reducing exposure to </w:t>
      </w:r>
      <w:r w:rsidRPr="00E56CB8">
        <w:rPr>
          <w:rFonts w:cs="Arial"/>
          <w:i/>
        </w:rPr>
        <w:t>L. monocytogenes</w:t>
      </w:r>
      <w:r w:rsidRPr="00E56CB8">
        <w:rPr>
          <w:rFonts w:cs="Arial"/>
        </w:rPr>
        <w:t xml:space="preserve"> and the incidence of listeriosis. </w:t>
      </w:r>
    </w:p>
    <w:p w:rsidR="006D20F6" w:rsidRPr="00E56CB8" w:rsidRDefault="00A62DAB" w:rsidP="00E56CB8">
      <w:pPr>
        <w:ind w:left="1418"/>
        <w:rPr>
          <w:rFonts w:cs="Arial"/>
        </w:rPr>
      </w:pPr>
      <w:r w:rsidRPr="00E56CB8">
        <w:rPr>
          <w:rFonts w:cs="Arial"/>
        </w:rPr>
        <w:t xml:space="preserve">Costs – </w:t>
      </w:r>
      <w:r w:rsidR="00E56CB8">
        <w:rPr>
          <w:rFonts w:cs="Arial"/>
        </w:rPr>
        <w:t>A</w:t>
      </w:r>
      <w:r w:rsidRPr="00E56CB8">
        <w:rPr>
          <w:rFonts w:cs="Arial"/>
        </w:rPr>
        <w:t>dditional costs are unlikely to be experienced by consumers.</w:t>
      </w:r>
    </w:p>
    <w:p w:rsidR="00A62DAB" w:rsidRPr="00E56CB8" w:rsidRDefault="00A62DAB" w:rsidP="006D20F6">
      <w:pPr>
        <w:ind w:left="1418" w:hanging="1418"/>
        <w:rPr>
          <w:rFonts w:cs="Arial"/>
        </w:rPr>
      </w:pPr>
    </w:p>
    <w:p w:rsidR="00537E94" w:rsidRDefault="006D20F6" w:rsidP="006D20F6">
      <w:pPr>
        <w:ind w:left="1418" w:hanging="1418"/>
      </w:pPr>
      <w:r w:rsidRPr="00E56CB8">
        <w:rPr>
          <w:i/>
        </w:rPr>
        <w:t>Government:</w:t>
      </w:r>
      <w:r w:rsidRPr="00E56CB8">
        <w:rPr>
          <w:i/>
        </w:rPr>
        <w:tab/>
      </w:r>
      <w:r w:rsidR="00A62DAB" w:rsidRPr="00E56CB8">
        <w:t xml:space="preserve">Benefits </w:t>
      </w:r>
      <w:r w:rsidR="00537E94">
        <w:t>–</w:t>
      </w:r>
      <w:r w:rsidR="00A62DAB" w:rsidRPr="00E56CB8">
        <w:rPr>
          <w:i/>
        </w:rPr>
        <w:t xml:space="preserve"> </w:t>
      </w:r>
      <w:r w:rsidRPr="00E56CB8">
        <w:t xml:space="preserve">Enforcement agencies are currently able to refer to the Recall Guidelines when </w:t>
      </w:r>
      <w:r w:rsidRPr="00E56CB8">
        <w:rPr>
          <w:i/>
        </w:rPr>
        <w:t>L. monocytogenes</w:t>
      </w:r>
      <w:r w:rsidRPr="00E56CB8">
        <w:t xml:space="preserve"> is detected in foods for which there are no limits currently specified in Standard 1.6.1. This has led to an inconsistent approach and lack of certainty in enforcement and corrective actions to be applied (e.g. </w:t>
      </w:r>
      <w:r w:rsidR="005407C4" w:rsidRPr="00E56CB8">
        <w:t xml:space="preserve">food </w:t>
      </w:r>
      <w:r w:rsidRPr="00E56CB8">
        <w:t xml:space="preserve">recall). </w:t>
      </w:r>
      <w:r w:rsidR="00D80419" w:rsidRPr="00E56CB8">
        <w:t xml:space="preserve">The draft variation </w:t>
      </w:r>
      <w:r w:rsidRPr="00E56CB8">
        <w:t xml:space="preserve">provides regulators and industry with a clear approach that can be consistently applied, particularly as to corrective actions required when </w:t>
      </w:r>
      <w:r w:rsidRPr="00E56CB8">
        <w:rPr>
          <w:i/>
        </w:rPr>
        <w:t>L. monocytogenes</w:t>
      </w:r>
      <w:r w:rsidRPr="00E56CB8">
        <w:t xml:space="preserve"> is detected at low levels</w:t>
      </w:r>
      <w:r w:rsidRPr="00E56CB8">
        <w:rPr>
          <w:i/>
        </w:rPr>
        <w:t xml:space="preserve"> </w:t>
      </w:r>
      <w:r w:rsidRPr="00E56CB8">
        <w:t>(e.g. if recall is required).</w:t>
      </w:r>
      <w:r w:rsidR="00537E94">
        <w:br w:type="page"/>
      </w:r>
    </w:p>
    <w:p w:rsidR="006D20F6" w:rsidRPr="00E56CB8" w:rsidRDefault="00A62DAB" w:rsidP="00E56CB8">
      <w:pPr>
        <w:ind w:left="1418"/>
      </w:pPr>
      <w:r w:rsidRPr="00E56CB8">
        <w:lastRenderedPageBreak/>
        <w:t xml:space="preserve">Costs – </w:t>
      </w:r>
      <w:r w:rsidR="00E56CB8">
        <w:t>R</w:t>
      </w:r>
      <w:r w:rsidRPr="00E56CB8">
        <w:t>egulators are unlikely to experience</w:t>
      </w:r>
      <w:r w:rsidR="00AE78D0">
        <w:t xml:space="preserve"> additional</w:t>
      </w:r>
      <w:r w:rsidRPr="00E56CB8">
        <w:t xml:space="preserve"> costs</w:t>
      </w:r>
      <w:r w:rsidR="00E56CB8">
        <w:t xml:space="preserve"> associated with enforcing the amended limits</w:t>
      </w:r>
      <w:r w:rsidR="00A31543">
        <w:t xml:space="preserve">. </w:t>
      </w:r>
    </w:p>
    <w:p w:rsidR="006D20F6" w:rsidRPr="00E56CB8" w:rsidRDefault="006D20F6" w:rsidP="006D20F6"/>
    <w:p w:rsidR="00E56CB8" w:rsidRDefault="006D20F6" w:rsidP="00AF21BD">
      <w:pPr>
        <w:ind w:left="1418" w:hanging="1418"/>
      </w:pPr>
      <w:r w:rsidRPr="00E56CB8">
        <w:rPr>
          <w:i/>
        </w:rPr>
        <w:t>Industry:</w:t>
      </w:r>
      <w:r w:rsidRPr="00E56CB8">
        <w:tab/>
      </w:r>
      <w:r w:rsidR="00A62DAB" w:rsidRPr="00E56CB8">
        <w:t xml:space="preserve">Benefits </w:t>
      </w:r>
      <w:r w:rsidR="00537E94">
        <w:t>–</w:t>
      </w:r>
      <w:r w:rsidR="00A62DAB" w:rsidRPr="00E56CB8">
        <w:t xml:space="preserve"> </w:t>
      </w:r>
      <w:r w:rsidR="00895FFA" w:rsidRPr="00E56CB8">
        <w:t xml:space="preserve">The amended Standard </w:t>
      </w:r>
      <w:r w:rsidRPr="00E56CB8">
        <w:rPr>
          <w:rFonts w:cs="Arial"/>
        </w:rPr>
        <w:t>provides industry with certainty as to the level of</w:t>
      </w:r>
      <w:r w:rsidR="00AE78D0">
        <w:rPr>
          <w:rFonts w:cs="Arial"/>
        </w:rPr>
        <w:t xml:space="preserve"> </w:t>
      </w:r>
      <w:r w:rsidRPr="00E56CB8">
        <w:rPr>
          <w:rFonts w:cs="Arial"/>
          <w:i/>
        </w:rPr>
        <w:t>L. monocytogenes</w:t>
      </w:r>
      <w:r w:rsidRPr="00E56CB8">
        <w:rPr>
          <w:rFonts w:cs="Arial"/>
        </w:rPr>
        <w:t xml:space="preserve"> that must not be exceeded to ensure food is safe and the corrective actions required. It </w:t>
      </w:r>
      <w:r w:rsidRPr="00E56CB8">
        <w:t>allows the particular properties of a food</w:t>
      </w:r>
      <w:r w:rsidR="001509D6" w:rsidRPr="00E56CB8">
        <w:t xml:space="preserve"> providing a risk</w:t>
      </w:r>
      <w:r w:rsidR="00B45DD0">
        <w:t>-</w:t>
      </w:r>
      <w:r w:rsidR="001509D6" w:rsidRPr="00E56CB8">
        <w:t>based approach</w:t>
      </w:r>
      <w:r w:rsidRPr="00E56CB8">
        <w:t xml:space="preserve"> and processing factors to be taken into account, providing industry with flexibility and greater incentive to, for example, reformulate products so they don’t support the growth of </w:t>
      </w:r>
      <w:r w:rsidRPr="00E56CB8">
        <w:rPr>
          <w:i/>
        </w:rPr>
        <w:t>L. monocytogenes</w:t>
      </w:r>
      <w:r w:rsidRPr="00E56CB8">
        <w:t xml:space="preserve">. </w:t>
      </w:r>
      <w:r w:rsidR="00DC6274" w:rsidRPr="00E56CB8">
        <w:t xml:space="preserve">This approach is also consistent </w:t>
      </w:r>
      <w:r w:rsidR="00AF21BD" w:rsidRPr="00E56CB8">
        <w:t>with internationally agreed criteria</w:t>
      </w:r>
      <w:r w:rsidR="00A31543">
        <w:t xml:space="preserve">. </w:t>
      </w:r>
    </w:p>
    <w:p w:rsidR="00AF21BD" w:rsidRDefault="00A62DAB" w:rsidP="00E56CB8">
      <w:pPr>
        <w:ind w:left="1418"/>
      </w:pPr>
      <w:r w:rsidRPr="00E56CB8">
        <w:t xml:space="preserve">Costs – </w:t>
      </w:r>
      <w:r w:rsidR="00E56CB8">
        <w:t>I</w:t>
      </w:r>
      <w:r w:rsidRPr="00E56CB8">
        <w:t>ndustry is unlikely to incur additional</w:t>
      </w:r>
      <w:r>
        <w:t xml:space="preserve"> costs</w:t>
      </w:r>
      <w:r w:rsidR="00A31543">
        <w:t xml:space="preserve">. </w:t>
      </w:r>
    </w:p>
    <w:p w:rsidR="00A62DAB" w:rsidRDefault="00A62DAB" w:rsidP="00AF21BD">
      <w:pPr>
        <w:ind w:left="1418" w:hanging="1418"/>
        <w:rPr>
          <w:i/>
        </w:rPr>
      </w:pPr>
    </w:p>
    <w:p w:rsidR="00A62DAB" w:rsidRPr="00A62DAB" w:rsidRDefault="00A62DAB" w:rsidP="00AF21BD">
      <w:pPr>
        <w:ind w:left="1418" w:hanging="1418"/>
      </w:pPr>
      <w:r w:rsidRPr="00E56CB8">
        <w:t>On the basis of the simple analysis above</w:t>
      </w:r>
      <w:r w:rsidR="00B45DD0">
        <w:t>,</w:t>
      </w:r>
      <w:r w:rsidRPr="00E56CB8">
        <w:t xml:space="preserve"> benefits will almost certainly exceed costs.</w:t>
      </w:r>
    </w:p>
    <w:p w:rsidR="002C1A3B" w:rsidRPr="002C1A3B" w:rsidRDefault="002C1A3B" w:rsidP="00AF21BD">
      <w:pPr>
        <w:pStyle w:val="Heading4"/>
      </w:pPr>
      <w:r w:rsidRPr="002C1A3B">
        <w:t>2.5.1.2</w:t>
      </w:r>
      <w:r w:rsidRPr="002C1A3B">
        <w:tab/>
        <w:t>Other measures</w:t>
      </w:r>
    </w:p>
    <w:p w:rsidR="002C1A3B" w:rsidRDefault="002C1A3B" w:rsidP="002C1A3B">
      <w:r w:rsidRPr="002C1A3B">
        <w:t xml:space="preserve">There are no other measures (whether available to FSANZ or not) that would be more cost-effective than a food regulatory measure developed or varied as a result of </w:t>
      </w:r>
      <w:r w:rsidR="00142C0C">
        <w:t>the p</w:t>
      </w:r>
      <w:r w:rsidRPr="00D7367C">
        <w:t>roposal.</w:t>
      </w:r>
      <w:r w:rsidR="005E2742">
        <w:t xml:space="preserve"> </w:t>
      </w:r>
    </w:p>
    <w:p w:rsidR="002C1A3B" w:rsidRPr="002C1A3B" w:rsidRDefault="002C1A3B" w:rsidP="002C1A3B">
      <w:pPr>
        <w:pStyle w:val="Heading4"/>
      </w:pPr>
      <w:r w:rsidRPr="002C1A3B">
        <w:t>2.5.1.3</w:t>
      </w:r>
      <w:r w:rsidRPr="002C1A3B">
        <w:tab/>
        <w:t>Any relevant New Zealand standards</w:t>
      </w:r>
    </w:p>
    <w:p w:rsidR="00D7367C" w:rsidRDefault="00D7367C" w:rsidP="00D7367C">
      <w:pPr>
        <w:rPr>
          <w:lang w:bidi="ar-SA"/>
        </w:rPr>
      </w:pPr>
      <w:r>
        <w:rPr>
          <w:lang w:bidi="ar-SA"/>
        </w:rPr>
        <w:t>Standard 1.6.1 establishes microbiological limits for food for sale in Australia and New Zealand.</w:t>
      </w:r>
    </w:p>
    <w:p w:rsidR="002C1A3B" w:rsidRPr="002C1A3B" w:rsidRDefault="002C1A3B" w:rsidP="002C1A3B">
      <w:pPr>
        <w:pStyle w:val="Heading4"/>
      </w:pPr>
      <w:r w:rsidRPr="002C1A3B">
        <w:t>2.5.1.4</w:t>
      </w:r>
      <w:r w:rsidRPr="002C1A3B">
        <w:tab/>
        <w:t>Any other relevant matters</w:t>
      </w:r>
    </w:p>
    <w:p w:rsidR="00E63CFD" w:rsidRPr="002C1A3B" w:rsidRDefault="00E63CFD" w:rsidP="00E63CFD">
      <w:pPr>
        <w:rPr>
          <w:lang w:bidi="ar-SA"/>
        </w:rPr>
      </w:pPr>
      <w:bookmarkStart w:id="81" w:name="_Toc370223479"/>
      <w:bookmarkStart w:id="82" w:name="_Toc370225394"/>
      <w:bookmarkStart w:id="83" w:name="_Toc300761897"/>
      <w:bookmarkStart w:id="84" w:name="_Toc300933440"/>
      <w:r w:rsidRPr="002C1A3B">
        <w:rPr>
          <w:lang w:bidi="ar-SA"/>
        </w:rPr>
        <w:t>There are no other relevant matters.</w:t>
      </w:r>
      <w:r w:rsidR="00D54224">
        <w:rPr>
          <w:lang w:bidi="ar-SA"/>
        </w:rPr>
        <w:t xml:space="preserve"> </w:t>
      </w:r>
    </w:p>
    <w:p w:rsidR="002C1A3B" w:rsidRPr="002C1A3B" w:rsidRDefault="00AF21BD" w:rsidP="002C1A3B">
      <w:pPr>
        <w:pStyle w:val="Heading3"/>
      </w:pPr>
      <w:bookmarkStart w:id="85" w:name="_Toc387927834"/>
      <w:r>
        <w:t>2.5.2</w:t>
      </w:r>
      <w:r w:rsidR="002C1A3B" w:rsidRPr="002C1A3B">
        <w:tab/>
        <w:t>Subsection 18(1)</w:t>
      </w:r>
      <w:bookmarkEnd w:id="81"/>
      <w:bookmarkEnd w:id="82"/>
      <w:bookmarkEnd w:id="85"/>
      <w:r w:rsidR="002C1A3B" w:rsidRPr="002C1A3B">
        <w:t xml:space="preserve"> </w:t>
      </w:r>
      <w:bookmarkEnd w:id="83"/>
      <w:bookmarkEnd w:id="84"/>
    </w:p>
    <w:p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rsidR="002C1A3B" w:rsidRPr="002C1A3B" w:rsidRDefault="002C1A3B" w:rsidP="002C1A3B">
      <w:pPr>
        <w:pStyle w:val="Heading4"/>
        <w:rPr>
          <w:lang w:eastAsia="en-AU"/>
        </w:rPr>
      </w:pPr>
      <w:bookmarkStart w:id="86" w:name="_Toc297029117"/>
      <w:bookmarkStart w:id="87" w:name="_Toc300761898"/>
      <w:bookmarkStart w:id="88" w:name="_Toc300933441"/>
      <w:r w:rsidRPr="002C1A3B">
        <w:rPr>
          <w:lang w:eastAsia="en-AU"/>
        </w:rPr>
        <w:t>2.5.2.1</w:t>
      </w:r>
      <w:r w:rsidRPr="002C1A3B">
        <w:rPr>
          <w:lang w:eastAsia="en-AU"/>
        </w:rPr>
        <w:tab/>
        <w:t>Protection of public health and safety</w:t>
      </w:r>
      <w:bookmarkEnd w:id="86"/>
      <w:bookmarkEnd w:id="87"/>
      <w:bookmarkEnd w:id="88"/>
    </w:p>
    <w:p w:rsidR="00B45DD0" w:rsidRDefault="00D7367C" w:rsidP="00D7367C">
      <w:bookmarkStart w:id="89" w:name="_Toc300761899"/>
      <w:bookmarkStart w:id="90" w:name="_Toc300933442"/>
      <w:r>
        <w:t xml:space="preserve">FSANZ considered the preparation of the draft variation to be consistent with this objective. </w:t>
      </w:r>
      <w:r w:rsidRPr="002B3EEA">
        <w:t xml:space="preserve">Infection by </w:t>
      </w:r>
      <w:r w:rsidRPr="002B3EEA">
        <w:rPr>
          <w:i/>
        </w:rPr>
        <w:t>L. monocytogenes</w:t>
      </w:r>
      <w:r w:rsidRPr="002B3EEA">
        <w:t xml:space="preserve"> can be very serious for people whose immune systems are weakened by disease or illness as well as pregnant women and their unborn children, new</w:t>
      </w:r>
      <w:r w:rsidR="003D6084">
        <w:noBreakHyphen/>
      </w:r>
      <w:r w:rsidRPr="002B3EEA">
        <w:t>born babies and the elderly. Establishing app</w:t>
      </w:r>
      <w:r>
        <w:t>ropriate microbiological limits</w:t>
      </w:r>
      <w:r w:rsidRPr="002B3EEA">
        <w:t xml:space="preserve"> for foods is an important </w:t>
      </w:r>
      <w:r>
        <w:t>element</w:t>
      </w:r>
      <w:r w:rsidRPr="002B3EEA">
        <w:t xml:space="preserve"> within a </w:t>
      </w:r>
      <w:r w:rsidR="00B45DD0">
        <w:t xml:space="preserve">wider </w:t>
      </w:r>
      <w:r w:rsidRPr="002B3EEA">
        <w:t>risk management framework for managing</w:t>
      </w:r>
    </w:p>
    <w:p w:rsidR="00D7367C" w:rsidRDefault="00D7367C" w:rsidP="00D7367C">
      <w:r w:rsidRPr="002B3EEA">
        <w:rPr>
          <w:i/>
        </w:rPr>
        <w:t>L</w:t>
      </w:r>
      <w:r w:rsidRPr="002B3EEA">
        <w:t>.</w:t>
      </w:r>
      <w:r w:rsidRPr="002B3EEA">
        <w:rPr>
          <w:i/>
        </w:rPr>
        <w:t xml:space="preserve"> monocytogenes </w:t>
      </w:r>
      <w:r w:rsidRPr="002B3EEA">
        <w:t>in the food supply</w:t>
      </w:r>
      <w:r w:rsidRPr="002B3EEA">
        <w:rPr>
          <w:i/>
        </w:rPr>
        <w:t>.</w:t>
      </w:r>
      <w:r w:rsidRPr="002B3EEA">
        <w:t xml:space="preserve"> </w:t>
      </w:r>
    </w:p>
    <w:p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89"/>
      <w:bookmarkEnd w:id="90"/>
    </w:p>
    <w:p w:rsidR="00537E94" w:rsidRDefault="00D7367C" w:rsidP="00D7367C">
      <w:bookmarkStart w:id="91" w:name="_Toc300761900"/>
      <w:bookmarkStart w:id="92" w:name="_Toc300933443"/>
      <w:r>
        <w:t>The provision of adequate information relating to food is not directly relevant to the draft variation to Standard 1.6.1. However, c</w:t>
      </w:r>
      <w:r w:rsidRPr="002B3EEA">
        <w:t xml:space="preserve">onsumer education and advice is also an important component of a risk management framework for </w:t>
      </w:r>
      <w:r w:rsidRPr="002B3EEA">
        <w:rPr>
          <w:i/>
        </w:rPr>
        <w:t>L. monocytogenes</w:t>
      </w:r>
      <w:r w:rsidRPr="002B3EEA">
        <w:t>. FSANZ has developed consumer advice which it provides electronically via the FSANZ website as well as publishing and distributing brochures</w:t>
      </w:r>
      <w:r>
        <w:t xml:space="preserve"> such as </w:t>
      </w:r>
      <w:r>
        <w:rPr>
          <w:lang w:eastAsia="en-AU" w:bidi="ar-SA"/>
        </w:rPr>
        <w:t>‘</w:t>
      </w:r>
      <w:r w:rsidRPr="00537E94">
        <w:rPr>
          <w:lang w:eastAsia="en-AU" w:bidi="ar-SA"/>
        </w:rPr>
        <w:t>Listeria and food advice for people at risk</w:t>
      </w:r>
      <w:r>
        <w:rPr>
          <w:lang w:eastAsia="en-AU" w:bidi="ar-SA"/>
        </w:rPr>
        <w:t>’</w:t>
      </w:r>
      <w:r w:rsidR="00537E94">
        <w:rPr>
          <w:rStyle w:val="FootnoteReference"/>
          <w:lang w:eastAsia="en-AU" w:bidi="ar-SA"/>
        </w:rPr>
        <w:footnoteReference w:id="6"/>
      </w:r>
      <w:r w:rsidRPr="002B3EEA">
        <w:t xml:space="preserve">. </w:t>
      </w:r>
      <w:r>
        <w:t xml:space="preserve">The amendment of limits for </w:t>
      </w:r>
      <w:r w:rsidRPr="00713C58">
        <w:rPr>
          <w:i/>
        </w:rPr>
        <w:t>L. monocytogenes</w:t>
      </w:r>
      <w:r>
        <w:t xml:space="preserve"> in Standard 1.6.1 does not impact consumer messages in relation to </w:t>
      </w:r>
      <w:r w:rsidRPr="0006607F">
        <w:rPr>
          <w:i/>
        </w:rPr>
        <w:t>Listeria</w:t>
      </w:r>
      <w:r>
        <w:t xml:space="preserve">. However, this assessment process has identified an opportunity to review and update existing advice. </w:t>
      </w:r>
      <w:r w:rsidR="00537E94">
        <w:br w:type="page"/>
      </w:r>
    </w:p>
    <w:p w:rsidR="00D7367C" w:rsidRPr="00A2589A" w:rsidRDefault="00D7367C" w:rsidP="00D7367C">
      <w:pPr>
        <w:rPr>
          <w:lang w:eastAsia="en-AU" w:bidi="ar-SA"/>
        </w:rPr>
      </w:pPr>
      <w:r>
        <w:lastRenderedPageBreak/>
        <w:t xml:space="preserve">FSANZ will progress this in </w:t>
      </w:r>
      <w:r>
        <w:rPr>
          <w:lang w:eastAsia="en-AU" w:bidi="ar-SA"/>
        </w:rPr>
        <w:t>collaboration with</w:t>
      </w:r>
      <w:r w:rsidR="00AE78D0">
        <w:rPr>
          <w:lang w:eastAsia="en-AU" w:bidi="ar-SA"/>
        </w:rPr>
        <w:t xml:space="preserve"> </w:t>
      </w:r>
      <w:r>
        <w:rPr>
          <w:lang w:eastAsia="en-AU" w:bidi="ar-SA"/>
        </w:rPr>
        <w:t xml:space="preserve">state and territory jurisdictions. </w:t>
      </w:r>
    </w:p>
    <w:p w:rsidR="002C1A3B" w:rsidRPr="002C1A3B" w:rsidRDefault="002C1A3B" w:rsidP="002C1A3B">
      <w:pPr>
        <w:pStyle w:val="Heading4"/>
        <w:rPr>
          <w:lang w:eastAsia="en-AU"/>
        </w:rPr>
      </w:pPr>
      <w:r w:rsidRPr="002C1A3B">
        <w:rPr>
          <w:lang w:eastAsia="en-AU"/>
        </w:rPr>
        <w:t>2.5.2.3</w:t>
      </w:r>
      <w:r w:rsidRPr="002C1A3B">
        <w:rPr>
          <w:lang w:eastAsia="en-AU"/>
        </w:rPr>
        <w:tab/>
        <w:t>The prevention of misleading or deceptive conduct</w:t>
      </w:r>
      <w:bookmarkEnd w:id="91"/>
      <w:bookmarkEnd w:id="92"/>
    </w:p>
    <w:p w:rsidR="00D7367C" w:rsidRPr="006A34CD" w:rsidRDefault="00D7367C" w:rsidP="00D7367C">
      <w:bookmarkStart w:id="93" w:name="_Toc300761901"/>
      <w:bookmarkStart w:id="94" w:name="_Toc300933444"/>
      <w:bookmarkStart w:id="95" w:name="_Toc370223480"/>
      <w:bookmarkStart w:id="96" w:name="_Toc370225395"/>
      <w:r w:rsidRPr="006A34CD">
        <w:t>No issues were identified.</w:t>
      </w:r>
    </w:p>
    <w:p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93"/>
      <w:bookmarkEnd w:id="94"/>
      <w:r w:rsidRPr="002C1A3B">
        <w:rPr>
          <w:b/>
          <w:bCs/>
          <w:lang w:eastAsia="en-AU" w:bidi="ar-SA"/>
        </w:rPr>
        <w:t>considerations</w:t>
      </w:r>
      <w:bookmarkEnd w:id="95"/>
      <w:bookmarkEnd w:id="96"/>
    </w:p>
    <w:p w:rsidR="002C1A3B" w:rsidRPr="002C1A3B" w:rsidRDefault="002C1A3B" w:rsidP="002C1A3B">
      <w:pPr>
        <w:rPr>
          <w:rFonts w:cs="Arial"/>
        </w:rPr>
      </w:pPr>
      <w:r w:rsidRPr="002C1A3B">
        <w:rPr>
          <w:rFonts w:cs="Arial"/>
        </w:rPr>
        <w:t>FSANZ has also had regard to:</w:t>
      </w:r>
    </w:p>
    <w:p w:rsidR="002C1A3B" w:rsidRPr="002C1A3B" w:rsidRDefault="002C1A3B" w:rsidP="002C1A3B">
      <w:pPr>
        <w:rPr>
          <w:rFonts w:cs="Arial"/>
        </w:rPr>
      </w:pPr>
    </w:p>
    <w:p w:rsidR="002C1A3B" w:rsidRPr="002C1A3B" w:rsidRDefault="002C1A3B" w:rsidP="002C1A3B">
      <w:pPr>
        <w:pStyle w:val="FSBullet1"/>
        <w:rPr>
          <w:b/>
        </w:rPr>
      </w:pPr>
      <w:r w:rsidRPr="002C1A3B">
        <w:rPr>
          <w:b/>
        </w:rPr>
        <w:t>the need for standards to be based on risk analysis using the best available scientific evidence</w:t>
      </w:r>
    </w:p>
    <w:p w:rsidR="002C1A3B" w:rsidRPr="002C1A3B" w:rsidRDefault="002C1A3B" w:rsidP="002C1A3B">
      <w:pPr>
        <w:rPr>
          <w:lang w:bidi="ar-SA"/>
        </w:rPr>
      </w:pPr>
    </w:p>
    <w:p w:rsidR="005E2742" w:rsidRDefault="00D7367C" w:rsidP="00D7367C">
      <w:pPr>
        <w:rPr>
          <w:lang w:bidi="ar-SA"/>
        </w:rPr>
      </w:pPr>
      <w:r>
        <w:rPr>
          <w:lang w:bidi="ar-SA"/>
        </w:rPr>
        <w:t xml:space="preserve">FSANZ has had regard to </w:t>
      </w:r>
      <w:r w:rsidR="003A5700">
        <w:rPr>
          <w:lang w:bidi="ar-SA"/>
        </w:rPr>
        <w:t>international</w:t>
      </w:r>
      <w:r>
        <w:rPr>
          <w:lang w:bidi="ar-SA"/>
        </w:rPr>
        <w:t xml:space="preserve"> risk assessment work when assessing P1017 and is satisfied that it reflects the best available scientific evidence.</w:t>
      </w:r>
    </w:p>
    <w:p w:rsidR="005E2742" w:rsidRDefault="005E2742" w:rsidP="00D7367C">
      <w:pPr>
        <w:rPr>
          <w:lang w:bidi="ar-SA"/>
        </w:rPr>
      </w:pPr>
    </w:p>
    <w:p w:rsidR="00D7367C" w:rsidRDefault="00D7367C" w:rsidP="00D7367C">
      <w:pPr>
        <w:rPr>
          <w:lang w:bidi="ar-SA"/>
        </w:rPr>
      </w:pPr>
      <w:r>
        <w:rPr>
          <w:lang w:bidi="ar-SA"/>
        </w:rPr>
        <w:t>Several quantitative risk assessments have been undertaken internationally that have assessed:</w:t>
      </w:r>
    </w:p>
    <w:p w:rsidR="00537E94" w:rsidRDefault="00537E94" w:rsidP="00D7367C">
      <w:pPr>
        <w:rPr>
          <w:lang w:bidi="ar-SA"/>
        </w:rPr>
      </w:pPr>
    </w:p>
    <w:p w:rsidR="00D7367C" w:rsidRPr="00927181" w:rsidRDefault="00D7367C" w:rsidP="00537E94">
      <w:pPr>
        <w:pStyle w:val="FSBullet2"/>
      </w:pPr>
      <w:r>
        <w:t>how d</w:t>
      </w:r>
      <w:r w:rsidRPr="00927181">
        <w:t>ifferent factors interact to affect the risk of acquiring listeriosis</w:t>
      </w:r>
    </w:p>
    <w:p w:rsidR="00D7367C" w:rsidRPr="00927181" w:rsidRDefault="00D7367C" w:rsidP="00537E94">
      <w:pPr>
        <w:pStyle w:val="FSBullet2"/>
      </w:pPr>
      <w:r w:rsidRPr="00927181">
        <w:t xml:space="preserve">the association between the growth of </w:t>
      </w:r>
      <w:r w:rsidRPr="003D6084">
        <w:rPr>
          <w:i/>
        </w:rPr>
        <w:t>L. monocytogenes</w:t>
      </w:r>
      <w:r w:rsidRPr="00927181">
        <w:t xml:space="preserve"> and subsequent risk of listeriosis</w:t>
      </w:r>
    </w:p>
    <w:p w:rsidR="00D7367C" w:rsidRDefault="00D7367C" w:rsidP="00537E94">
      <w:pPr>
        <w:pStyle w:val="FSBullet2"/>
      </w:pPr>
      <w:r w:rsidRPr="00927181">
        <w:t>the as</w:t>
      </w:r>
      <w:r>
        <w:t xml:space="preserve">sociation between standards for </w:t>
      </w:r>
      <w:r w:rsidRPr="0006607F">
        <w:rPr>
          <w:i/>
        </w:rPr>
        <w:t>L. monocytogenes</w:t>
      </w:r>
      <w:r w:rsidR="00D80419">
        <w:t xml:space="preserve"> in foods and listeriosis cases</w:t>
      </w:r>
    </w:p>
    <w:p w:rsidR="002C1A3B" w:rsidRPr="002C1A3B" w:rsidRDefault="002C1A3B" w:rsidP="002C1A3B">
      <w:pPr>
        <w:rPr>
          <w:lang w:bidi="ar-SA"/>
        </w:rPr>
      </w:pPr>
    </w:p>
    <w:p w:rsidR="002C1A3B" w:rsidRPr="002C1A3B" w:rsidRDefault="002C1A3B" w:rsidP="00D80419">
      <w:pPr>
        <w:pStyle w:val="FSBullet1"/>
        <w:rPr>
          <w:b/>
        </w:rPr>
      </w:pPr>
      <w:r w:rsidRPr="002C1A3B">
        <w:rPr>
          <w:b/>
        </w:rPr>
        <w:t>the promotion of consistency between domestic and international food standards</w:t>
      </w:r>
    </w:p>
    <w:p w:rsidR="002C1A3B" w:rsidRPr="002C1A3B" w:rsidRDefault="002C1A3B" w:rsidP="002C1A3B">
      <w:pPr>
        <w:rPr>
          <w:lang w:bidi="ar-SA"/>
        </w:rPr>
      </w:pPr>
    </w:p>
    <w:p w:rsidR="00927181" w:rsidRDefault="00D7367C" w:rsidP="005E2742">
      <w:pPr>
        <w:rPr>
          <w:lang w:bidi="ar-SA"/>
        </w:rPr>
      </w:pPr>
      <w:r>
        <w:rPr>
          <w:lang w:bidi="ar-SA"/>
        </w:rPr>
        <w:t xml:space="preserve">The draft variation to Standard 1.6.1 </w:t>
      </w:r>
      <w:r w:rsidR="002D7DB0">
        <w:rPr>
          <w:lang w:bidi="ar-SA"/>
        </w:rPr>
        <w:t xml:space="preserve">is consistent with the risk management </w:t>
      </w:r>
      <w:r w:rsidR="0006607F">
        <w:rPr>
          <w:lang w:bidi="ar-SA"/>
        </w:rPr>
        <w:t>approach agreed</w:t>
      </w:r>
      <w:r>
        <w:rPr>
          <w:lang w:bidi="ar-SA"/>
        </w:rPr>
        <w:t xml:space="preserve"> internationally (through Codex).</w:t>
      </w:r>
    </w:p>
    <w:p w:rsidR="005E2742" w:rsidRDefault="005E2742" w:rsidP="005E2742">
      <w:pPr>
        <w:rPr>
          <w:b/>
        </w:rPr>
      </w:pPr>
    </w:p>
    <w:p w:rsidR="002C1A3B" w:rsidRPr="002C1A3B" w:rsidRDefault="002C1A3B" w:rsidP="002C1A3B">
      <w:pPr>
        <w:pStyle w:val="FSBullet1"/>
        <w:rPr>
          <w:b/>
        </w:rPr>
      </w:pPr>
      <w:r w:rsidRPr="002C1A3B">
        <w:rPr>
          <w:b/>
        </w:rPr>
        <w:t>the desirability of an efficient and internationally competitive food industry</w:t>
      </w:r>
    </w:p>
    <w:p w:rsidR="002C1A3B" w:rsidRPr="002C1A3B" w:rsidRDefault="002C1A3B" w:rsidP="002C1A3B">
      <w:pPr>
        <w:rPr>
          <w:lang w:bidi="ar-SA"/>
        </w:rPr>
      </w:pPr>
    </w:p>
    <w:p w:rsidR="00D7367C" w:rsidRPr="002B3EEA" w:rsidRDefault="00D7367C" w:rsidP="00D7367C">
      <w:pPr>
        <w:rPr>
          <w:lang w:bidi="ar-SA"/>
        </w:rPr>
      </w:pPr>
      <w:r w:rsidRPr="002B3EEA">
        <w:rPr>
          <w:lang w:bidi="ar-SA"/>
        </w:rPr>
        <w:t xml:space="preserve">Aligning microbiological criteria with an internationally agreed approach is supportive of an efficient and internationally competitive food industry. </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fair trading in food</w:t>
      </w:r>
    </w:p>
    <w:p w:rsidR="002C1A3B" w:rsidRPr="002C1A3B" w:rsidRDefault="002C1A3B" w:rsidP="002C1A3B">
      <w:pPr>
        <w:rPr>
          <w:lang w:bidi="ar-SA"/>
        </w:rPr>
      </w:pPr>
    </w:p>
    <w:p w:rsidR="00D7367C" w:rsidRPr="002B3EEA" w:rsidRDefault="00D7367C" w:rsidP="00D7367C">
      <w:pPr>
        <w:rPr>
          <w:lang w:bidi="ar-SA"/>
        </w:rPr>
      </w:pPr>
      <w:r>
        <w:rPr>
          <w:lang w:bidi="ar-SA"/>
        </w:rPr>
        <w:t>No issues were identified.</w:t>
      </w:r>
    </w:p>
    <w:p w:rsidR="002C1A3B" w:rsidRPr="002C1A3B" w:rsidRDefault="002C1A3B" w:rsidP="002C1A3B">
      <w:pPr>
        <w:rPr>
          <w:lang w:bidi="ar-SA"/>
        </w:rPr>
      </w:pPr>
    </w:p>
    <w:p w:rsidR="002C1A3B" w:rsidRPr="002C1A3B" w:rsidRDefault="002C1A3B" w:rsidP="002C1A3B">
      <w:pPr>
        <w:pStyle w:val="FSBullet1"/>
        <w:rPr>
          <w:b/>
        </w:rPr>
      </w:pPr>
      <w:r w:rsidRPr="002C1A3B">
        <w:rPr>
          <w:b/>
        </w:rPr>
        <w:t>any written policy guidelines formulated by the Ministerial Council</w:t>
      </w:r>
      <w:r w:rsidRPr="002C1A3B">
        <w:rPr>
          <w:b/>
          <w:vertAlign w:val="superscript"/>
        </w:rPr>
        <w:footnoteReference w:id="7"/>
      </w:r>
      <w:r w:rsidRPr="002C1A3B">
        <w:rPr>
          <w:b/>
        </w:rPr>
        <w:t>.</w:t>
      </w:r>
    </w:p>
    <w:p w:rsidR="002C1A3B" w:rsidRPr="002C1A3B" w:rsidRDefault="002C1A3B" w:rsidP="002C1A3B">
      <w:pPr>
        <w:rPr>
          <w:lang w:bidi="ar-SA"/>
        </w:rPr>
      </w:pPr>
    </w:p>
    <w:p w:rsidR="005A31E6" w:rsidRDefault="00D7367C" w:rsidP="00D7367C">
      <w:r w:rsidRPr="002B3EEA">
        <w:t xml:space="preserve">There are no written policy guidelines relevant to the assessment of this </w:t>
      </w:r>
      <w:r w:rsidR="002D7DB0">
        <w:t>p</w:t>
      </w:r>
      <w:r w:rsidRPr="002B3EEA">
        <w:t>roposal.</w:t>
      </w:r>
    </w:p>
    <w:p w:rsidR="001122EC" w:rsidRPr="00125262" w:rsidRDefault="002C1A3B" w:rsidP="001122EC">
      <w:pPr>
        <w:pStyle w:val="Heading1"/>
      </w:pPr>
      <w:bookmarkStart w:id="97" w:name="_Toc387927835"/>
      <w:bookmarkStart w:id="98" w:name="_Toc11735643"/>
      <w:bookmarkStart w:id="99" w:name="_Toc29883130"/>
      <w:bookmarkStart w:id="100" w:name="_Toc41906817"/>
      <w:bookmarkStart w:id="101" w:name="_Toc41907564"/>
      <w:bookmarkStart w:id="102" w:name="_Toc43112360"/>
      <w:bookmarkEnd w:id="77"/>
      <w:r w:rsidRPr="00125262">
        <w:t>6</w:t>
      </w:r>
      <w:r w:rsidR="001122EC" w:rsidRPr="00125262">
        <w:tab/>
        <w:t>R</w:t>
      </w:r>
      <w:r w:rsidR="000B427A" w:rsidRPr="00125262">
        <w:t>eferences</w:t>
      </w:r>
      <w:bookmarkEnd w:id="97"/>
    </w:p>
    <w:p w:rsidR="00D4123F" w:rsidRPr="00D4123F" w:rsidRDefault="00D4123F" w:rsidP="00D4123F">
      <w:pPr>
        <w:tabs>
          <w:tab w:val="left" w:pos="0"/>
        </w:tabs>
        <w:rPr>
          <w:rFonts w:cs="Arial"/>
          <w:noProof/>
          <w:sz w:val="20"/>
          <w:szCs w:val="20"/>
        </w:rPr>
      </w:pPr>
      <w:r w:rsidRPr="00D4123F">
        <w:rPr>
          <w:rFonts w:cs="Arial"/>
          <w:noProof/>
          <w:sz w:val="20"/>
          <w:szCs w:val="20"/>
        </w:rPr>
        <w:t xml:space="preserve">FSANZ (2012) Our proposals to change the Code- Proposal P1017 - Criteria for </w:t>
      </w:r>
      <w:r w:rsidRPr="00DA10E9">
        <w:rPr>
          <w:rFonts w:cs="Arial"/>
          <w:i/>
          <w:noProof/>
          <w:sz w:val="20"/>
          <w:szCs w:val="20"/>
        </w:rPr>
        <w:t>Listeria monocytogenes</w:t>
      </w:r>
      <w:r w:rsidRPr="00D4123F">
        <w:rPr>
          <w:rFonts w:cs="Arial"/>
          <w:noProof/>
          <w:sz w:val="20"/>
          <w:szCs w:val="20"/>
        </w:rPr>
        <w:t xml:space="preserve"> – Microbiological Limits for Foods. Food Standards Australia New Zealand, Barton, ACT, Australia.</w:t>
      </w:r>
    </w:p>
    <w:p w:rsidR="00D4123F" w:rsidRPr="00D4123F" w:rsidRDefault="00236B55" w:rsidP="00D4123F">
      <w:pPr>
        <w:tabs>
          <w:tab w:val="left" w:pos="0"/>
        </w:tabs>
        <w:rPr>
          <w:rFonts w:cs="Arial"/>
          <w:noProof/>
          <w:sz w:val="20"/>
          <w:szCs w:val="20"/>
        </w:rPr>
      </w:pPr>
      <w:hyperlink r:id="rId17" w:history="1">
        <w:r w:rsidR="00D4123F" w:rsidRPr="00E15EC7">
          <w:rPr>
            <w:rStyle w:val="Hyperlink"/>
            <w:sz w:val="20"/>
            <w:szCs w:val="20"/>
          </w:rPr>
          <w:t>http://www.foodstandards.gov.au/code/proposals/Pages/proposalp1017criteri5439.aspx</w:t>
        </w:r>
      </w:hyperlink>
      <w:r w:rsidR="00D4123F" w:rsidRPr="00D4123F">
        <w:rPr>
          <w:rFonts w:cs="Arial"/>
          <w:noProof/>
          <w:sz w:val="20"/>
          <w:szCs w:val="20"/>
        </w:rPr>
        <w:t>. Accessed 6 November 2013</w:t>
      </w:r>
    </w:p>
    <w:p w:rsidR="00D4123F" w:rsidRPr="00D4123F" w:rsidRDefault="00D4123F" w:rsidP="00D4123F">
      <w:pPr>
        <w:tabs>
          <w:tab w:val="left" w:pos="0"/>
        </w:tabs>
        <w:rPr>
          <w:rFonts w:cs="Arial"/>
          <w:noProof/>
          <w:sz w:val="20"/>
          <w:szCs w:val="20"/>
        </w:rPr>
      </w:pPr>
    </w:p>
    <w:p w:rsidR="00537E94" w:rsidRDefault="00537E94" w:rsidP="00D4123F">
      <w:pPr>
        <w:tabs>
          <w:tab w:val="left" w:pos="0"/>
        </w:tabs>
        <w:rPr>
          <w:sz w:val="20"/>
          <w:szCs w:val="20"/>
        </w:rPr>
      </w:pPr>
      <w:r>
        <w:rPr>
          <w:sz w:val="20"/>
          <w:szCs w:val="20"/>
        </w:rPr>
        <w:br w:type="page"/>
      </w:r>
    </w:p>
    <w:p w:rsidR="00537E94" w:rsidRDefault="00D4123F" w:rsidP="00D4123F">
      <w:pPr>
        <w:tabs>
          <w:tab w:val="left" w:pos="0"/>
        </w:tabs>
        <w:rPr>
          <w:rFonts w:cs="Arial"/>
          <w:noProof/>
          <w:sz w:val="20"/>
          <w:szCs w:val="20"/>
        </w:rPr>
      </w:pPr>
      <w:r w:rsidRPr="00D4123F">
        <w:rPr>
          <w:sz w:val="20"/>
          <w:szCs w:val="20"/>
        </w:rPr>
        <w:lastRenderedPageBreak/>
        <w:t xml:space="preserve">FSANZ (2012) Review of microbiological limits specified in Standard 1.6.1 background paper. </w:t>
      </w:r>
      <w:r w:rsidRPr="00D4123F">
        <w:rPr>
          <w:rFonts w:cs="Arial"/>
          <w:noProof/>
          <w:sz w:val="20"/>
          <w:szCs w:val="20"/>
        </w:rPr>
        <w:t>Food Standards Australia New Zealand, Barton, ACT, Australia.</w:t>
      </w:r>
    </w:p>
    <w:p w:rsidR="00537E94" w:rsidRDefault="00537E94" w:rsidP="00D4123F">
      <w:pPr>
        <w:tabs>
          <w:tab w:val="left" w:pos="0"/>
        </w:tabs>
        <w:rPr>
          <w:rFonts w:cs="Arial"/>
          <w:noProof/>
          <w:sz w:val="20"/>
          <w:szCs w:val="20"/>
        </w:rPr>
      </w:pPr>
    </w:p>
    <w:p w:rsidR="00D4123F" w:rsidRPr="00D4123F" w:rsidRDefault="00236B55" w:rsidP="00D4123F">
      <w:pPr>
        <w:tabs>
          <w:tab w:val="left" w:pos="0"/>
        </w:tabs>
        <w:rPr>
          <w:rStyle w:val="Hyperlink"/>
          <w:color w:val="auto"/>
          <w:sz w:val="20"/>
          <w:szCs w:val="20"/>
          <w:u w:val="none"/>
        </w:rPr>
      </w:pPr>
      <w:hyperlink r:id="rId18" w:history="1">
        <w:r w:rsidR="00D4123F" w:rsidRPr="00D4123F">
          <w:rPr>
            <w:rStyle w:val="Hyperlink"/>
            <w:sz w:val="20"/>
            <w:szCs w:val="20"/>
          </w:rPr>
          <w:t>www.foodstandards.gov.au/code/microbiollimits/</w:t>
        </w:r>
      </w:hyperlink>
      <w:r w:rsidR="00D4123F" w:rsidRPr="00D4123F">
        <w:rPr>
          <w:rStyle w:val="Hyperlink"/>
          <w:sz w:val="20"/>
          <w:szCs w:val="20"/>
        </w:rPr>
        <w:t xml:space="preserve"> </w:t>
      </w:r>
      <w:r w:rsidR="007277CB" w:rsidRPr="007277CB">
        <w:rPr>
          <w:rStyle w:val="Hyperlink"/>
          <w:color w:val="auto"/>
          <w:sz w:val="20"/>
          <w:szCs w:val="20"/>
          <w:u w:val="none"/>
        </w:rPr>
        <w:t xml:space="preserve">. </w:t>
      </w:r>
      <w:r w:rsidR="00D4123F" w:rsidRPr="00D4123F">
        <w:rPr>
          <w:rStyle w:val="Hyperlink"/>
          <w:color w:val="auto"/>
          <w:sz w:val="20"/>
          <w:szCs w:val="20"/>
          <w:u w:val="none"/>
        </w:rPr>
        <w:t>Accessed 6 November 2013</w:t>
      </w:r>
    </w:p>
    <w:p w:rsidR="00D4123F" w:rsidRDefault="00D4123F" w:rsidP="00D4123F">
      <w:pPr>
        <w:tabs>
          <w:tab w:val="left" w:pos="0"/>
        </w:tabs>
        <w:rPr>
          <w:rStyle w:val="Hyperlink"/>
          <w:sz w:val="20"/>
          <w:szCs w:val="20"/>
        </w:rPr>
      </w:pPr>
    </w:p>
    <w:p w:rsidR="00D4123F" w:rsidRPr="00D4123F" w:rsidRDefault="00D4123F" w:rsidP="00D4123F">
      <w:pPr>
        <w:tabs>
          <w:tab w:val="left" w:pos="0"/>
        </w:tabs>
        <w:rPr>
          <w:rStyle w:val="Hyperlink"/>
          <w:color w:val="auto"/>
          <w:sz w:val="20"/>
          <w:szCs w:val="20"/>
          <w:u w:val="none"/>
        </w:rPr>
      </w:pPr>
      <w:r w:rsidRPr="00D4123F">
        <w:rPr>
          <w:rStyle w:val="Hyperlink"/>
          <w:color w:val="auto"/>
          <w:sz w:val="20"/>
          <w:szCs w:val="20"/>
          <w:u w:val="none"/>
        </w:rPr>
        <w:t xml:space="preserve">Food Regulation Sub Committee (2003) Ministerial Policy Guidelines on Food Safety Management in Australia. </w:t>
      </w:r>
    </w:p>
    <w:p w:rsidR="00D4123F" w:rsidRPr="00D4123F" w:rsidRDefault="00236B55" w:rsidP="00D4123F">
      <w:pPr>
        <w:tabs>
          <w:tab w:val="left" w:pos="0"/>
        </w:tabs>
        <w:rPr>
          <w:rFonts w:cs="Arial"/>
          <w:noProof/>
          <w:sz w:val="20"/>
          <w:szCs w:val="20"/>
        </w:rPr>
      </w:pPr>
      <w:hyperlink r:id="rId19" w:history="1">
        <w:r w:rsidR="00D4123F" w:rsidRPr="00D4123F">
          <w:rPr>
            <w:rStyle w:val="Hyperlink"/>
            <w:rFonts w:cs="Arial"/>
            <w:noProof/>
            <w:sz w:val="20"/>
            <w:szCs w:val="20"/>
          </w:rPr>
          <w:t>http://www.foodstandards.gov.au/industry/safetystandards/programs/documents/Food_Safety_Management_in_Aust_Policy_Guidelines.pdf</w:t>
        </w:r>
      </w:hyperlink>
      <w:r w:rsidR="00D4123F" w:rsidRPr="00D4123F">
        <w:rPr>
          <w:rFonts w:cs="Arial"/>
          <w:noProof/>
          <w:sz w:val="20"/>
          <w:szCs w:val="20"/>
        </w:rPr>
        <w:t>. Accessed 6 November 2013</w:t>
      </w:r>
    </w:p>
    <w:p w:rsidR="00D4123F" w:rsidRPr="00D4123F" w:rsidRDefault="00D4123F" w:rsidP="00D4123F">
      <w:pPr>
        <w:tabs>
          <w:tab w:val="left" w:pos="0"/>
        </w:tabs>
        <w:rPr>
          <w:rFonts w:cs="Arial"/>
          <w:noProof/>
          <w:sz w:val="20"/>
          <w:szCs w:val="20"/>
        </w:rPr>
      </w:pPr>
    </w:p>
    <w:p w:rsidR="00D4123F" w:rsidRPr="00D4123F" w:rsidRDefault="00D4123F" w:rsidP="00D4123F">
      <w:pPr>
        <w:tabs>
          <w:tab w:val="left" w:pos="0"/>
        </w:tabs>
        <w:rPr>
          <w:rFonts w:cs="Arial"/>
          <w:noProof/>
          <w:sz w:val="20"/>
          <w:szCs w:val="20"/>
        </w:rPr>
      </w:pPr>
      <w:r w:rsidRPr="00D4123F">
        <w:rPr>
          <w:rFonts w:cs="Arial"/>
          <w:noProof/>
          <w:sz w:val="20"/>
          <w:szCs w:val="20"/>
        </w:rPr>
        <w:t xml:space="preserve">FSANZ (2001a) Recall guidelines for packaged ready-to-eat foods found to contain </w:t>
      </w:r>
      <w:r w:rsidRPr="00D4123F">
        <w:rPr>
          <w:rFonts w:cs="Arial"/>
          <w:i/>
          <w:noProof/>
          <w:sz w:val="20"/>
          <w:szCs w:val="20"/>
        </w:rPr>
        <w:t>Listeria monocytogenes</w:t>
      </w:r>
      <w:r w:rsidRPr="00D4123F">
        <w:rPr>
          <w:rFonts w:cs="Arial"/>
          <w:noProof/>
          <w:sz w:val="20"/>
          <w:szCs w:val="20"/>
        </w:rPr>
        <w:t xml:space="preserve"> at point of sale. Food Standards Australia New Zealand, Barton, ACT, Australia.</w:t>
      </w:r>
    </w:p>
    <w:p w:rsidR="00D4123F" w:rsidRPr="00D4123F" w:rsidRDefault="00236B55" w:rsidP="00D4123F">
      <w:pPr>
        <w:tabs>
          <w:tab w:val="left" w:pos="0"/>
        </w:tabs>
        <w:spacing w:after="240"/>
        <w:rPr>
          <w:sz w:val="20"/>
          <w:szCs w:val="20"/>
        </w:rPr>
      </w:pPr>
      <w:hyperlink r:id="rId20" w:history="1">
        <w:r w:rsidR="00D4123F" w:rsidRPr="00D4123F">
          <w:rPr>
            <w:rStyle w:val="Hyperlink"/>
            <w:sz w:val="20"/>
            <w:szCs w:val="20"/>
          </w:rPr>
          <w:t>http://www.foodstandards.gov.au/publications/Pages/listeriarecallguidel5618.aspx</w:t>
        </w:r>
      </w:hyperlink>
      <w:r w:rsidR="00A31543">
        <w:rPr>
          <w:rFonts w:cs="Arial"/>
          <w:noProof/>
          <w:sz w:val="20"/>
          <w:szCs w:val="20"/>
        </w:rPr>
        <w:t xml:space="preserve">. </w:t>
      </w:r>
      <w:r w:rsidR="00D4123F" w:rsidRPr="00D4123F">
        <w:rPr>
          <w:rFonts w:cs="Arial"/>
          <w:noProof/>
          <w:sz w:val="20"/>
          <w:szCs w:val="20"/>
        </w:rPr>
        <w:t>Accessed 16 September  2013</w:t>
      </w:r>
    </w:p>
    <w:p w:rsidR="00D4123F" w:rsidRPr="00D4123F" w:rsidRDefault="00D4123F" w:rsidP="00D4123F">
      <w:pPr>
        <w:tabs>
          <w:tab w:val="left" w:pos="0"/>
        </w:tabs>
        <w:rPr>
          <w:rFonts w:cs="Arial"/>
          <w:noProof/>
          <w:sz w:val="20"/>
          <w:szCs w:val="20"/>
        </w:rPr>
      </w:pPr>
      <w:r w:rsidRPr="00D4123F">
        <w:rPr>
          <w:rFonts w:cs="Arial"/>
          <w:noProof/>
          <w:sz w:val="20"/>
          <w:szCs w:val="20"/>
        </w:rPr>
        <w:t>FSANZ (2001b) Guidelines for the microbiological examination of ready-to- eat foods. Food Standards Australia New Zealand, Barton, ACT.</w:t>
      </w:r>
    </w:p>
    <w:p w:rsidR="00D4123F" w:rsidRPr="00D4123F" w:rsidRDefault="00236B55" w:rsidP="00D4123F">
      <w:pPr>
        <w:tabs>
          <w:tab w:val="left" w:pos="0"/>
        </w:tabs>
        <w:spacing w:after="240"/>
        <w:rPr>
          <w:rFonts w:cs="Arial"/>
          <w:noProof/>
          <w:sz w:val="20"/>
          <w:szCs w:val="20"/>
        </w:rPr>
      </w:pPr>
      <w:hyperlink r:id="rId21" w:history="1">
        <w:r w:rsidR="00D4123F" w:rsidRPr="00D4123F">
          <w:rPr>
            <w:rStyle w:val="Hyperlink"/>
            <w:rFonts w:cs="Arial"/>
            <w:noProof/>
            <w:sz w:val="20"/>
            <w:szCs w:val="20"/>
          </w:rPr>
          <w:t>http://www.foodstandards.gov.au/publications/pages/guidelinesformicrobi1306.aspx</w:t>
        </w:r>
      </w:hyperlink>
      <w:r w:rsidR="00D4123F" w:rsidRPr="00D4123F">
        <w:rPr>
          <w:rFonts w:cs="Arial"/>
          <w:noProof/>
          <w:sz w:val="20"/>
          <w:szCs w:val="20"/>
        </w:rPr>
        <w:t xml:space="preserve"> . Accessed 16 September 2013</w:t>
      </w:r>
    </w:p>
    <w:p w:rsidR="00D4123F" w:rsidRPr="00D4123F" w:rsidRDefault="00D4123F" w:rsidP="00D4123F">
      <w:pPr>
        <w:tabs>
          <w:tab w:val="left" w:pos="0"/>
        </w:tabs>
        <w:spacing w:after="240"/>
        <w:rPr>
          <w:rFonts w:cs="Arial"/>
          <w:noProof/>
          <w:sz w:val="20"/>
          <w:szCs w:val="20"/>
        </w:rPr>
      </w:pPr>
      <w:r w:rsidRPr="00D4123F">
        <w:rPr>
          <w:rFonts w:cs="Arial"/>
          <w:noProof/>
          <w:sz w:val="20"/>
          <w:szCs w:val="20"/>
        </w:rPr>
        <w:t>FSANZ  (2012) P1017 1</w:t>
      </w:r>
      <w:r w:rsidRPr="00D4123F">
        <w:rPr>
          <w:rFonts w:cs="Arial"/>
          <w:noProof/>
          <w:sz w:val="20"/>
          <w:szCs w:val="20"/>
          <w:vertAlign w:val="superscript"/>
        </w:rPr>
        <w:t>st</w:t>
      </w:r>
      <w:r w:rsidRPr="00D4123F">
        <w:rPr>
          <w:rFonts w:cs="Arial"/>
          <w:noProof/>
          <w:sz w:val="20"/>
          <w:szCs w:val="20"/>
        </w:rPr>
        <w:t xml:space="preserve"> call for submissions report. Food Standards Australia New Zealand, Barton, ACT. </w:t>
      </w:r>
      <w:hyperlink r:id="rId22" w:history="1">
        <w:r w:rsidRPr="00D4123F">
          <w:rPr>
            <w:rStyle w:val="Hyperlink"/>
            <w:rFonts w:cs="Arial"/>
            <w:noProof/>
            <w:sz w:val="20"/>
            <w:szCs w:val="20"/>
          </w:rPr>
          <w:t>http://www.foodstandards.gov.au/code/proposals/documents/P1017_CFS.pdf</w:t>
        </w:r>
      </w:hyperlink>
      <w:r w:rsidRPr="00D4123F">
        <w:rPr>
          <w:rFonts w:cs="Arial"/>
          <w:noProof/>
          <w:sz w:val="20"/>
          <w:szCs w:val="20"/>
        </w:rPr>
        <w:t xml:space="preserve"> . Accessed 14 October 2013</w:t>
      </w:r>
    </w:p>
    <w:p w:rsidR="00D4123F" w:rsidRPr="007277CB" w:rsidRDefault="00D4123F" w:rsidP="00D4123F">
      <w:pPr>
        <w:tabs>
          <w:tab w:val="left" w:pos="0"/>
        </w:tabs>
        <w:spacing w:after="240"/>
        <w:rPr>
          <w:rStyle w:val="Hyperlink"/>
          <w:color w:val="auto"/>
          <w:sz w:val="20"/>
          <w:szCs w:val="20"/>
          <w:u w:val="none"/>
        </w:rPr>
      </w:pPr>
      <w:r w:rsidRPr="00D4123F">
        <w:rPr>
          <w:rFonts w:cs="Arial"/>
          <w:noProof/>
          <w:sz w:val="20"/>
          <w:szCs w:val="20"/>
        </w:rPr>
        <w:t xml:space="preserve">FSANZ (2012) P1017 submissions. Food Standards Australia New Zealand, Barton, ACT. </w:t>
      </w:r>
      <w:hyperlink r:id="rId23" w:history="1">
        <w:r w:rsidRPr="00D4123F">
          <w:rPr>
            <w:rStyle w:val="Hyperlink"/>
            <w:sz w:val="20"/>
            <w:szCs w:val="20"/>
          </w:rPr>
          <w:t>www.foodstandards.gov.au/code/proposals/Documents/P1017%20Submissions.zip</w:t>
        </w:r>
      </w:hyperlink>
      <w:r w:rsidRPr="00D4123F">
        <w:rPr>
          <w:rStyle w:val="Hyperlink"/>
          <w:sz w:val="20"/>
          <w:szCs w:val="20"/>
        </w:rPr>
        <w:t xml:space="preserve"> </w:t>
      </w:r>
      <w:r w:rsidRPr="007277CB">
        <w:rPr>
          <w:rStyle w:val="Hyperlink"/>
          <w:color w:val="auto"/>
          <w:sz w:val="20"/>
          <w:szCs w:val="20"/>
          <w:u w:val="none"/>
        </w:rPr>
        <w:t>. Accessed 6 November 2013</w:t>
      </w:r>
    </w:p>
    <w:p w:rsidR="00D4123F" w:rsidRDefault="00D4123F" w:rsidP="00D4123F">
      <w:pPr>
        <w:tabs>
          <w:tab w:val="left" w:pos="0"/>
        </w:tabs>
        <w:spacing w:after="240"/>
        <w:rPr>
          <w:rStyle w:val="Hyperlink"/>
          <w:color w:val="auto"/>
          <w:sz w:val="20"/>
          <w:szCs w:val="20"/>
          <w:u w:val="none"/>
        </w:rPr>
      </w:pPr>
      <w:r w:rsidRPr="00D4123F">
        <w:rPr>
          <w:sz w:val="20"/>
          <w:szCs w:val="20"/>
        </w:rPr>
        <w:t xml:space="preserve">Codex (1997) </w:t>
      </w:r>
      <w:r w:rsidRPr="00D4123F">
        <w:rPr>
          <w:i/>
          <w:sz w:val="20"/>
          <w:szCs w:val="20"/>
        </w:rPr>
        <w:t>Principles for the Establishment and Application of Microbiological Criteria for Foods:</w:t>
      </w:r>
      <w:r w:rsidRPr="00D4123F">
        <w:rPr>
          <w:sz w:val="20"/>
          <w:szCs w:val="20"/>
        </w:rPr>
        <w:t xml:space="preserve"> </w:t>
      </w:r>
      <w:hyperlink r:id="rId24" w:history="1">
        <w:r w:rsidRPr="00D4123F">
          <w:rPr>
            <w:rStyle w:val="Hyperlink"/>
            <w:sz w:val="20"/>
            <w:szCs w:val="20"/>
          </w:rPr>
          <w:t>www.codexalimentarius.org/download/standards/394/CXG_021e.pdf</w:t>
        </w:r>
      </w:hyperlink>
      <w:r w:rsidRPr="00D4123F">
        <w:rPr>
          <w:rStyle w:val="Hyperlink"/>
          <w:sz w:val="20"/>
          <w:szCs w:val="20"/>
        </w:rPr>
        <w:t xml:space="preserve"> </w:t>
      </w:r>
      <w:r w:rsidRPr="007277CB">
        <w:rPr>
          <w:rStyle w:val="Hyperlink"/>
          <w:color w:val="auto"/>
          <w:sz w:val="20"/>
          <w:szCs w:val="20"/>
          <w:u w:val="none"/>
        </w:rPr>
        <w:t>. Accessed 6 November 2013</w:t>
      </w:r>
    </w:p>
    <w:p w:rsidR="0012388D" w:rsidRDefault="00D15A08" w:rsidP="006C22A7">
      <w:pPr>
        <w:spacing w:before="240"/>
        <w:rPr>
          <w:b/>
          <w:sz w:val="28"/>
          <w:szCs w:val="28"/>
        </w:rPr>
      </w:pPr>
      <w:r w:rsidRPr="006C22A7">
        <w:rPr>
          <w:b/>
          <w:sz w:val="28"/>
          <w:szCs w:val="28"/>
        </w:rPr>
        <w:t>A</w:t>
      </w:r>
      <w:bookmarkEnd w:id="98"/>
      <w:bookmarkEnd w:id="99"/>
      <w:bookmarkEnd w:id="100"/>
      <w:bookmarkEnd w:id="101"/>
      <w:bookmarkEnd w:id="102"/>
      <w:r w:rsidR="00B21055">
        <w:rPr>
          <w:b/>
          <w:sz w:val="28"/>
          <w:szCs w:val="28"/>
        </w:rPr>
        <w:t>ttachments</w:t>
      </w:r>
    </w:p>
    <w:p w:rsidR="006C22A7" w:rsidRDefault="006C22A7" w:rsidP="00755F02"/>
    <w:p w:rsidR="0012388D" w:rsidRDefault="00755F02" w:rsidP="009A2699">
      <w:pPr>
        <w:ind w:left="567" w:hanging="567"/>
      </w:pPr>
      <w:r>
        <w:t>A.</w:t>
      </w:r>
      <w:r>
        <w:tab/>
      </w:r>
      <w:r w:rsidR="009A2699" w:rsidRPr="009A2699">
        <w:t xml:space="preserve">Approved </w:t>
      </w:r>
      <w:r w:rsidR="00E47D3B">
        <w:t xml:space="preserve">draft </w:t>
      </w:r>
      <w:r w:rsidR="000576EB" w:rsidRPr="00125262">
        <w:t xml:space="preserve">variations to </w:t>
      </w:r>
      <w:r w:rsidR="000576EB">
        <w:t xml:space="preserve">the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486C66">
        <w:t xml:space="preserve"> </w:t>
      </w:r>
      <w:r w:rsidR="00875657">
        <w:t>(final version)</w:t>
      </w:r>
    </w:p>
    <w:p w:rsidR="00795D86" w:rsidRDefault="00795D86" w:rsidP="00755F02">
      <w:r>
        <w:t>B.</w:t>
      </w:r>
      <w:r>
        <w:tab/>
        <w:t>Explanatory Statement</w:t>
      </w:r>
    </w:p>
    <w:p w:rsidR="006C22A7" w:rsidRDefault="00795D86" w:rsidP="00E47D3B">
      <w:pPr>
        <w:ind w:left="567" w:hanging="567"/>
      </w:pPr>
      <w:r w:rsidRPr="00EB25BB">
        <w:t>C</w:t>
      </w:r>
      <w:r w:rsidR="00755F02" w:rsidRPr="00EB25BB">
        <w:t>.</w:t>
      </w:r>
      <w:r w:rsidR="00755F02" w:rsidRPr="00EB25BB">
        <w:tab/>
      </w:r>
      <w:r w:rsidR="00E47D3B" w:rsidRPr="00EB25BB">
        <w:t>D</w:t>
      </w:r>
      <w:r w:rsidR="00EB25BB" w:rsidRPr="00EB25BB">
        <w:t>raft variation</w:t>
      </w:r>
      <w:r w:rsidR="00E47D3B" w:rsidRPr="00EB25BB">
        <w:t xml:space="preserve">s to the </w:t>
      </w:r>
      <w:r w:rsidR="00E47D3B" w:rsidRPr="00EB25BB">
        <w:rPr>
          <w:i/>
        </w:rPr>
        <w:t xml:space="preserve">Australia New Zealand Food Standards Code </w:t>
      </w:r>
      <w:r w:rsidR="00E47D3B" w:rsidRPr="00EB25BB">
        <w:t>(call for submissions</w:t>
      </w:r>
      <w:r w:rsidR="0087075E">
        <w:t xml:space="preserve"> </w:t>
      </w:r>
      <w:r w:rsidR="00875657">
        <w:t>version</w:t>
      </w:r>
      <w:r w:rsidR="00E47D3B" w:rsidRPr="00EB25BB">
        <w:t>)</w:t>
      </w:r>
      <w:r w:rsidR="00F5347D">
        <w:t xml:space="preserve"> </w:t>
      </w:r>
    </w:p>
    <w:p w:rsidR="00A815AE" w:rsidRPr="00EB25BB" w:rsidRDefault="00A815AE" w:rsidP="00E47D3B">
      <w:pPr>
        <w:ind w:left="567" w:hanging="567"/>
      </w:pPr>
      <w:r>
        <w:t>D.</w:t>
      </w:r>
      <w:r>
        <w:tab/>
      </w:r>
      <w:r w:rsidR="00F5347D" w:rsidRPr="00F5347D">
        <w:t xml:space="preserve">Draft variation to the </w:t>
      </w:r>
      <w:r w:rsidR="00F5347D" w:rsidRPr="00F5347D">
        <w:rPr>
          <w:i/>
        </w:rPr>
        <w:t>Australia New Zealand Food Standards Code</w:t>
      </w:r>
      <w:r w:rsidR="00F5347D" w:rsidRPr="00F5347D">
        <w:t xml:space="preserve"> in March 2015 following P1025</w:t>
      </w:r>
    </w:p>
    <w:p w:rsidR="0012388D" w:rsidRPr="00795D86" w:rsidRDefault="003C4969" w:rsidP="007D0189">
      <w:pPr>
        <w:pStyle w:val="Heading2"/>
        <w:ind w:left="0" w:firstLine="0"/>
      </w:pPr>
      <w:r w:rsidRPr="00932F14">
        <w:br w:type="page"/>
      </w:r>
    </w:p>
    <w:p w:rsidR="00EB25BB" w:rsidRPr="005E32E5" w:rsidRDefault="00EB25BB" w:rsidP="00EB25BB">
      <w:pPr>
        <w:pStyle w:val="Heading2"/>
        <w:ind w:left="0" w:firstLine="0"/>
      </w:pPr>
      <w:bookmarkStart w:id="103" w:name="_Toc370226377"/>
      <w:bookmarkStart w:id="104" w:name="_Toc387927836"/>
      <w:r w:rsidRPr="00932F14">
        <w:lastRenderedPageBreak/>
        <w:t xml:space="preserve">Attachment </w:t>
      </w:r>
      <w:r>
        <w:t>A – Approved</w:t>
      </w:r>
      <w:r w:rsidRPr="00932F14">
        <w:t xml:space="preserve"> </w:t>
      </w:r>
      <w:r>
        <w:t xml:space="preserve">draft </w:t>
      </w:r>
      <w:r w:rsidRPr="00932F14">
        <w:t>variation</w:t>
      </w:r>
      <w:r w:rsidRPr="00EB25BB">
        <w:t>s</w:t>
      </w:r>
      <w:r w:rsidRPr="00932F14">
        <w:t xml:space="preserve"> to the</w:t>
      </w:r>
      <w:r w:rsidRPr="00755F02">
        <w:t xml:space="preserve"> </w:t>
      </w:r>
      <w:r w:rsidRPr="00795D86">
        <w:rPr>
          <w:i/>
        </w:rPr>
        <w:t>Australia New Zealand Food Standards Code</w:t>
      </w:r>
      <w:bookmarkEnd w:id="103"/>
      <w:bookmarkEnd w:id="104"/>
      <w:r w:rsidR="005E32E5">
        <w:t xml:space="preserve"> </w:t>
      </w:r>
    </w:p>
    <w:p w:rsidR="00CA7A32" w:rsidRPr="00C0014E" w:rsidRDefault="00CA7A32" w:rsidP="00CA7A32">
      <w:pPr>
        <w:rPr>
          <w:noProof/>
          <w:sz w:val="20"/>
          <w:lang w:eastAsia="en-AU"/>
        </w:rPr>
      </w:pPr>
      <w:r w:rsidRPr="00C0014E">
        <w:rPr>
          <w:noProof/>
          <w:sz w:val="20"/>
          <w:lang w:eastAsia="en-GB" w:bidi="ar-SA"/>
        </w:rPr>
        <w:drawing>
          <wp:inline distT="0" distB="0" distL="0" distR="0" wp14:anchorId="5CC162CE" wp14:editId="01F85EB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CA7A32" w:rsidRPr="006153A1" w:rsidRDefault="00CA7A32" w:rsidP="00CA7A32">
      <w:pPr>
        <w:pStyle w:val="Title"/>
        <w:pBdr>
          <w:bottom w:val="single" w:sz="4" w:space="1" w:color="auto"/>
        </w:pBdr>
        <w:rPr>
          <w:b w:val="0"/>
          <w:bCs w:val="0"/>
          <w:szCs w:val="20"/>
          <w:lang w:val="en-GB"/>
        </w:rPr>
      </w:pPr>
    </w:p>
    <w:p w:rsidR="00CA7A32" w:rsidRDefault="00CA7A32" w:rsidP="00CA7A32">
      <w:pPr>
        <w:pBdr>
          <w:bottom w:val="single" w:sz="4" w:space="1" w:color="auto"/>
        </w:pBdr>
        <w:rPr>
          <w:b/>
          <w:sz w:val="20"/>
        </w:rPr>
      </w:pPr>
      <w:r w:rsidRPr="006153A1">
        <w:rPr>
          <w:b/>
          <w:sz w:val="20"/>
        </w:rPr>
        <w:t>Food Standards (</w:t>
      </w:r>
      <w:r w:rsidRPr="00F618DF">
        <w:rPr>
          <w:b/>
          <w:sz w:val="20"/>
        </w:rPr>
        <w:t>Proposal P</w:t>
      </w:r>
      <w:r>
        <w:rPr>
          <w:b/>
          <w:sz w:val="20"/>
        </w:rPr>
        <w:t>1017</w:t>
      </w:r>
      <w:r w:rsidRPr="00F618DF">
        <w:rPr>
          <w:b/>
          <w:sz w:val="20"/>
        </w:rPr>
        <w:t xml:space="preserve"> </w:t>
      </w:r>
      <w:r w:rsidRPr="00A32232">
        <w:rPr>
          <w:b/>
          <w:sz w:val="20"/>
        </w:rPr>
        <w:t xml:space="preserve">– </w:t>
      </w:r>
      <w:r>
        <w:rPr>
          <w:b/>
          <w:sz w:val="20"/>
        </w:rPr>
        <w:t xml:space="preserve">Criteria for </w:t>
      </w:r>
      <w:r w:rsidRPr="00FD5AFA">
        <w:rPr>
          <w:b/>
          <w:i/>
          <w:sz w:val="20"/>
        </w:rPr>
        <w:t>Listeria monocytogenes</w:t>
      </w:r>
      <w:r>
        <w:rPr>
          <w:b/>
          <w:sz w:val="20"/>
        </w:rPr>
        <w:t xml:space="preserve"> – Microbiological Limits for Foods)</w:t>
      </w:r>
      <w:r w:rsidRPr="00C0014E">
        <w:rPr>
          <w:b/>
          <w:sz w:val="20"/>
        </w:rPr>
        <w:t xml:space="preserve"> Variation</w:t>
      </w:r>
    </w:p>
    <w:p w:rsidR="00CA7A32" w:rsidRPr="00C0014E" w:rsidRDefault="00CA7A32" w:rsidP="00CA7A32">
      <w:pPr>
        <w:pBdr>
          <w:bottom w:val="single" w:sz="4" w:space="1" w:color="auto"/>
        </w:pBdr>
        <w:rPr>
          <w:b/>
          <w:sz w:val="20"/>
        </w:rPr>
      </w:pPr>
    </w:p>
    <w:p w:rsidR="00CA7A32" w:rsidRPr="008F2616" w:rsidRDefault="00CA7A32" w:rsidP="00CA7A32">
      <w:pPr>
        <w:rPr>
          <w:sz w:val="20"/>
        </w:rPr>
      </w:pPr>
    </w:p>
    <w:p w:rsidR="00CA7A32" w:rsidRPr="008F2616" w:rsidRDefault="00CA7A32" w:rsidP="00CA7A32">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00A31543">
        <w:rPr>
          <w:sz w:val="20"/>
        </w:rPr>
        <w:t xml:space="preserve">. </w:t>
      </w:r>
      <w:r w:rsidRPr="008F2616">
        <w:rPr>
          <w:sz w:val="20"/>
        </w:rPr>
        <w:t>The Standard commences on the date specified in clause 3 of this variation.</w:t>
      </w:r>
    </w:p>
    <w:p w:rsidR="00CA7A32" w:rsidRPr="008F2616" w:rsidRDefault="00CA7A32" w:rsidP="00CA7A32">
      <w:pPr>
        <w:rPr>
          <w:sz w:val="20"/>
        </w:rPr>
      </w:pPr>
    </w:p>
    <w:p w:rsidR="00CA7A32" w:rsidRPr="008F2616" w:rsidRDefault="00CA7A32" w:rsidP="00CA7A32">
      <w:pPr>
        <w:rPr>
          <w:sz w:val="20"/>
        </w:rPr>
      </w:pPr>
      <w:r w:rsidRPr="008F2616">
        <w:rPr>
          <w:sz w:val="20"/>
        </w:rPr>
        <w:t xml:space="preserve">Dated </w:t>
      </w:r>
      <w:r>
        <w:rPr>
          <w:sz w:val="20"/>
        </w:rPr>
        <w:t>[To be completed by Standards Management Officer]</w:t>
      </w:r>
    </w:p>
    <w:p w:rsidR="00CA7A32" w:rsidRPr="008F2616" w:rsidRDefault="00CA7A32" w:rsidP="00CA7A32">
      <w:pPr>
        <w:rPr>
          <w:sz w:val="20"/>
        </w:rPr>
      </w:pPr>
    </w:p>
    <w:p w:rsidR="00CA7A32" w:rsidRDefault="00CA7A32" w:rsidP="00CA7A32">
      <w:pPr>
        <w:rPr>
          <w:sz w:val="20"/>
        </w:rPr>
      </w:pPr>
    </w:p>
    <w:p w:rsidR="00CA7A32" w:rsidRDefault="00CA7A32" w:rsidP="00CA7A32">
      <w:pPr>
        <w:rPr>
          <w:sz w:val="20"/>
        </w:rPr>
      </w:pPr>
    </w:p>
    <w:p w:rsidR="00CA7A32" w:rsidRPr="008F2616" w:rsidRDefault="00CA7A32" w:rsidP="00CA7A32">
      <w:pPr>
        <w:rPr>
          <w:sz w:val="20"/>
        </w:rPr>
      </w:pPr>
    </w:p>
    <w:p w:rsidR="00CA7A32" w:rsidRPr="008F2616" w:rsidRDefault="00CA7A32" w:rsidP="00CA7A32">
      <w:pPr>
        <w:rPr>
          <w:sz w:val="20"/>
        </w:rPr>
      </w:pPr>
    </w:p>
    <w:p w:rsidR="00CA7A32" w:rsidRPr="008F2616" w:rsidRDefault="00CA7A32" w:rsidP="00CA7A32">
      <w:pPr>
        <w:rPr>
          <w:sz w:val="20"/>
        </w:rPr>
      </w:pPr>
      <w:r w:rsidRPr="008F2616">
        <w:rPr>
          <w:sz w:val="20"/>
        </w:rPr>
        <w:t>Standards Management Officer</w:t>
      </w:r>
    </w:p>
    <w:p w:rsidR="00CA7A32" w:rsidRPr="008F2616" w:rsidRDefault="00CA7A32" w:rsidP="00CA7A32">
      <w:pPr>
        <w:rPr>
          <w:sz w:val="20"/>
        </w:rPr>
      </w:pPr>
      <w:r w:rsidRPr="008F2616">
        <w:rPr>
          <w:sz w:val="20"/>
        </w:rPr>
        <w:t>Delegate of the Board of Food Standards Australia New Zealand</w:t>
      </w:r>
    </w:p>
    <w:p w:rsidR="00CA7A32" w:rsidRDefault="00CA7A32" w:rsidP="00CA7A32">
      <w:pPr>
        <w:rPr>
          <w:sz w:val="20"/>
        </w:rPr>
      </w:pPr>
    </w:p>
    <w:p w:rsidR="00CA7A32" w:rsidRDefault="00CA7A32" w:rsidP="00CA7A32">
      <w:pPr>
        <w:rPr>
          <w:sz w:val="20"/>
        </w:rPr>
      </w:pPr>
    </w:p>
    <w:p w:rsidR="00CA7A32" w:rsidRDefault="00CA7A32" w:rsidP="00CA7A32">
      <w:pPr>
        <w:rPr>
          <w:sz w:val="20"/>
        </w:rPr>
      </w:pPr>
    </w:p>
    <w:p w:rsidR="00CA7A32" w:rsidRDefault="00CA7A32" w:rsidP="00CA7A32">
      <w:pPr>
        <w:rPr>
          <w:sz w:val="20"/>
        </w:rPr>
      </w:pPr>
    </w:p>
    <w:p w:rsidR="00CA7A32" w:rsidRDefault="00CA7A32" w:rsidP="00CA7A32">
      <w:pPr>
        <w:rPr>
          <w:sz w:val="20"/>
        </w:rPr>
      </w:pPr>
    </w:p>
    <w:p w:rsidR="00CA7A32" w:rsidRPr="00574DE1" w:rsidRDefault="00CA7A32" w:rsidP="00CA7A32">
      <w:pPr>
        <w:pStyle w:val="EditorialNoteLine1"/>
      </w:pPr>
      <w:r w:rsidRPr="00574DE1">
        <w:t xml:space="preserve">Note:  </w:t>
      </w:r>
    </w:p>
    <w:p w:rsidR="00CA7A32" w:rsidRPr="00574DE1" w:rsidRDefault="00CA7A32" w:rsidP="00CA7A32">
      <w:pPr>
        <w:pStyle w:val="EditorialNotetext"/>
      </w:pPr>
    </w:p>
    <w:p w:rsidR="00CA7A32" w:rsidRDefault="00CA7A32" w:rsidP="00CA7A32">
      <w:pPr>
        <w:pStyle w:val="EditorialNotetext"/>
      </w:pPr>
      <w:r w:rsidRPr="00574DE1">
        <w:t xml:space="preserve">This variation will be published in the Commonwealth of Australia Gazette No. FSC </w:t>
      </w:r>
      <w:r w:rsidRPr="00574DE1">
        <w:rPr>
          <w:color w:val="FF0000"/>
        </w:rPr>
        <w:t>XX on XX Month 20XX</w:t>
      </w:r>
      <w:r w:rsidRPr="00574DE1">
        <w:t>. This means that this date is the gazettal date for the purposes of clause 3 of the variation.</w:t>
      </w:r>
      <w:r>
        <w:t xml:space="preserve"> </w:t>
      </w:r>
    </w:p>
    <w:p w:rsidR="00CA7A32" w:rsidRDefault="00CA7A32" w:rsidP="00CA7A32">
      <w:pPr>
        <w:rPr>
          <w:sz w:val="20"/>
        </w:rPr>
      </w:pPr>
    </w:p>
    <w:p w:rsidR="00CA7A32" w:rsidRDefault="00CA7A32" w:rsidP="00CA7A32">
      <w:pPr>
        <w:rPr>
          <w:sz w:val="20"/>
        </w:rPr>
      </w:pPr>
      <w:r>
        <w:rPr>
          <w:sz w:val="20"/>
        </w:rPr>
        <w:br w:type="page"/>
      </w:r>
    </w:p>
    <w:p w:rsidR="00CA7A32" w:rsidRPr="005D0056" w:rsidRDefault="00CA7A32" w:rsidP="00CA7A32">
      <w:pPr>
        <w:pStyle w:val="Clauseheading"/>
      </w:pPr>
      <w:r w:rsidRPr="005D0056">
        <w:lastRenderedPageBreak/>
        <w:t>1</w:t>
      </w:r>
      <w:r w:rsidRPr="005D0056">
        <w:tab/>
        <w:t>Name</w:t>
      </w:r>
    </w:p>
    <w:p w:rsidR="00CA7A32" w:rsidRPr="005D0056" w:rsidRDefault="00CA7A32" w:rsidP="00CA7A32">
      <w:pPr>
        <w:pStyle w:val="Clause"/>
      </w:pPr>
    </w:p>
    <w:p w:rsidR="00CA7A32" w:rsidRPr="005D0056" w:rsidRDefault="00CA7A32" w:rsidP="00CA7A32">
      <w:pPr>
        <w:pStyle w:val="Clause"/>
      </w:pPr>
      <w:r w:rsidRPr="005D0056">
        <w:t>This instrument is the Food Standards (</w:t>
      </w:r>
      <w:r w:rsidRPr="00D96C5C">
        <w:rPr>
          <w:i/>
        </w:rPr>
        <w:t>Proposal P1017 – Criteria for Listeria monocytogenes – Microbiological Limits for Foods</w:t>
      </w:r>
      <w:r w:rsidRPr="005D0056">
        <w:t>) Variation.</w:t>
      </w:r>
    </w:p>
    <w:p w:rsidR="00CA7A32" w:rsidRPr="005D0056" w:rsidRDefault="00CA7A32" w:rsidP="00CA7A32">
      <w:pPr>
        <w:pStyle w:val="Clause"/>
      </w:pPr>
    </w:p>
    <w:p w:rsidR="00CA7A32" w:rsidRPr="005D0056" w:rsidRDefault="00CA7A32" w:rsidP="00CA7A32">
      <w:pPr>
        <w:pStyle w:val="Clauseheading"/>
        <w:tabs>
          <w:tab w:val="clear" w:pos="851"/>
        </w:tabs>
        <w:ind w:left="851" w:hanging="851"/>
      </w:pPr>
      <w:r w:rsidRPr="005D0056">
        <w:t>2</w:t>
      </w:r>
      <w:r w:rsidRPr="005D0056">
        <w:tab/>
        <w:t>Variation</w:t>
      </w:r>
      <w:r>
        <w:t>s</w:t>
      </w:r>
      <w:r w:rsidRPr="005D0056">
        <w:t xml:space="preserve"> to Standards in the </w:t>
      </w:r>
      <w:r w:rsidRPr="005D0056">
        <w:rPr>
          <w:i/>
        </w:rPr>
        <w:t>Australia New Zealand Food Standards Code</w:t>
      </w:r>
    </w:p>
    <w:p w:rsidR="00CA7A32" w:rsidRPr="005D0056" w:rsidRDefault="00CA7A32" w:rsidP="00CA7A32">
      <w:pPr>
        <w:pStyle w:val="Clause"/>
      </w:pPr>
    </w:p>
    <w:p w:rsidR="00CA7A32" w:rsidRPr="005D0056" w:rsidRDefault="00CA7A32" w:rsidP="00CA7A32">
      <w:pPr>
        <w:pStyle w:val="Clause"/>
      </w:pPr>
      <w:r w:rsidRPr="005D0056">
        <w:t xml:space="preserve">The Schedule varies Standards in the </w:t>
      </w:r>
      <w:r w:rsidRPr="005D0056">
        <w:rPr>
          <w:i/>
        </w:rPr>
        <w:t>Australia New Zealand Food Standards Code</w:t>
      </w:r>
      <w:r w:rsidRPr="005D0056">
        <w:t>.</w:t>
      </w:r>
    </w:p>
    <w:p w:rsidR="00CA7A32" w:rsidRPr="005D0056" w:rsidRDefault="00CA7A32" w:rsidP="00CA7A32">
      <w:pPr>
        <w:rPr>
          <w:sz w:val="20"/>
        </w:rPr>
      </w:pPr>
    </w:p>
    <w:p w:rsidR="00CA7A32" w:rsidRPr="005D0056" w:rsidRDefault="00CA7A32" w:rsidP="00CA7A32">
      <w:pPr>
        <w:pStyle w:val="Clauseheading"/>
      </w:pPr>
      <w:r w:rsidRPr="005D0056">
        <w:t>3</w:t>
      </w:r>
      <w:r w:rsidRPr="005D0056">
        <w:tab/>
        <w:t>Commencement</w:t>
      </w:r>
    </w:p>
    <w:p w:rsidR="00CA7A32" w:rsidRPr="005D0056" w:rsidRDefault="00CA7A32" w:rsidP="00CA7A32">
      <w:pPr>
        <w:pStyle w:val="Clause"/>
      </w:pPr>
    </w:p>
    <w:p w:rsidR="00CA7A32" w:rsidRPr="005D0056" w:rsidRDefault="00CA7A32" w:rsidP="00CA7A32">
      <w:pPr>
        <w:pStyle w:val="Clause"/>
      </w:pPr>
      <w:r w:rsidRPr="005D0056">
        <w:t>The variation</w:t>
      </w:r>
      <w:r>
        <w:t>s</w:t>
      </w:r>
      <w:r w:rsidRPr="005D0056">
        <w:t xml:space="preserve"> commence on gazettal.</w:t>
      </w:r>
    </w:p>
    <w:p w:rsidR="00CA7A32" w:rsidRPr="00FD5AFA" w:rsidRDefault="00CA7A32" w:rsidP="00CA7A32">
      <w:pPr>
        <w:rPr>
          <w:sz w:val="20"/>
        </w:rPr>
      </w:pPr>
    </w:p>
    <w:p w:rsidR="00CA7A32" w:rsidRPr="005D0056" w:rsidRDefault="00CA7A32" w:rsidP="00CA7A32">
      <w:pPr>
        <w:pStyle w:val="ScheduleHeading"/>
      </w:pPr>
      <w:r w:rsidRPr="005D0056">
        <w:t>SCHEDULE</w:t>
      </w:r>
    </w:p>
    <w:p w:rsidR="00CA7A32" w:rsidRPr="00E6670E" w:rsidRDefault="00CA7A32" w:rsidP="00CA7A32">
      <w:pPr>
        <w:pStyle w:val="Clause"/>
      </w:pPr>
    </w:p>
    <w:p w:rsidR="00CA7A32" w:rsidRPr="005D0056" w:rsidRDefault="00CA7A32" w:rsidP="00CA7A32">
      <w:pPr>
        <w:pStyle w:val="Subclause"/>
      </w:pPr>
      <w:r w:rsidRPr="00B430BA">
        <w:rPr>
          <w:rStyle w:val="ClauseChar"/>
          <w:b/>
          <w:bCs/>
        </w:rPr>
        <w:t>[</w:t>
      </w:r>
      <w:r>
        <w:rPr>
          <w:rStyle w:val="ClauseChar"/>
          <w:b/>
          <w:bCs/>
        </w:rPr>
        <w:t>1</w:t>
      </w:r>
      <w:r w:rsidRPr="00B430BA">
        <w:rPr>
          <w:rStyle w:val="ClauseChar"/>
          <w:b/>
          <w:bCs/>
        </w:rPr>
        <w:t>]</w:t>
      </w:r>
      <w:r w:rsidRPr="00E6670E">
        <w:tab/>
      </w:r>
      <w:r w:rsidRPr="00BA1696">
        <w:rPr>
          <w:rStyle w:val="ClauseChar"/>
          <w:b/>
          <w:bCs/>
        </w:rPr>
        <w:t>Standard 1.6.1</w:t>
      </w:r>
      <w:r>
        <w:t xml:space="preserve"> is varied by</w:t>
      </w:r>
    </w:p>
    <w:p w:rsidR="00CA7A32" w:rsidRPr="00E6670E" w:rsidRDefault="00CA7A32" w:rsidP="00CA7A32">
      <w:pPr>
        <w:pStyle w:val="Clause"/>
      </w:pPr>
    </w:p>
    <w:p w:rsidR="00CA7A32" w:rsidRDefault="00CA7A32" w:rsidP="00CA7A32">
      <w:pPr>
        <w:pStyle w:val="Subclause"/>
      </w:pPr>
      <w:r>
        <w:t>[1.1]</w:t>
      </w:r>
      <w:r>
        <w:tab/>
      </w:r>
      <w:r w:rsidRPr="00BC3497">
        <w:t>omitting the heading of the Standard</w:t>
      </w:r>
      <w:r>
        <w:t xml:space="preserve"> “MICROBIOLOGICAL LIMITS FOR FOOD” and substituting “MICROBIOLOGICAL LIMITS IN FOOD”</w:t>
      </w:r>
    </w:p>
    <w:p w:rsidR="00CA7A32" w:rsidRPr="00695578" w:rsidRDefault="00CA7A32" w:rsidP="00CA7A32">
      <w:pPr>
        <w:pStyle w:val="Clause"/>
      </w:pPr>
    </w:p>
    <w:p w:rsidR="00CA7A32" w:rsidRDefault="00CA7A32" w:rsidP="00CA7A32">
      <w:pPr>
        <w:pStyle w:val="Clause"/>
      </w:pPr>
      <w:r w:rsidRPr="005D0056">
        <w:t>[</w:t>
      </w:r>
      <w:r>
        <w:t>1</w:t>
      </w:r>
      <w:r w:rsidRPr="005D0056">
        <w:t>.</w:t>
      </w:r>
      <w:r>
        <w:t>2</w:t>
      </w:r>
      <w:r w:rsidRPr="005D0056">
        <w:t>]</w:t>
      </w:r>
      <w:r w:rsidRPr="005D0056">
        <w:tab/>
        <w:t>omitting the Purpose</w:t>
      </w:r>
      <w:r>
        <w:t xml:space="preserve"> and substituting</w:t>
      </w:r>
    </w:p>
    <w:p w:rsidR="00CA7A32" w:rsidRPr="00695578" w:rsidRDefault="00CA7A32" w:rsidP="00CA7A32">
      <w:pPr>
        <w:pStyle w:val="Clause"/>
      </w:pPr>
    </w:p>
    <w:p w:rsidR="00CA7A32" w:rsidRDefault="00CA7A32" w:rsidP="00CA7A32">
      <w:pPr>
        <w:pStyle w:val="Clauseheading"/>
      </w:pPr>
      <w:r w:rsidRPr="00DA7808">
        <w:rPr>
          <w:b w:val="0"/>
        </w:rPr>
        <w:t>“</w:t>
      </w:r>
      <w:r w:rsidRPr="004E2CDB">
        <w:t>Purpose</w:t>
      </w:r>
    </w:p>
    <w:p w:rsidR="00CA7A32" w:rsidRPr="007572E5" w:rsidRDefault="00CA7A32" w:rsidP="00CA7A32">
      <w:pPr>
        <w:rPr>
          <w:sz w:val="20"/>
        </w:rPr>
      </w:pPr>
    </w:p>
    <w:p w:rsidR="00CA7A32" w:rsidRDefault="00CA7A32" w:rsidP="00CA7A32">
      <w:pPr>
        <w:rPr>
          <w:sz w:val="20"/>
        </w:rPr>
      </w:pPr>
      <w:r w:rsidRPr="00837D56">
        <w:rPr>
          <w:sz w:val="20"/>
        </w:rPr>
        <w:t xml:space="preserve">This Standard specifies </w:t>
      </w:r>
      <w:r>
        <w:rPr>
          <w:sz w:val="20"/>
        </w:rPr>
        <w:t xml:space="preserve">the </w:t>
      </w:r>
      <w:r w:rsidRPr="00837D56">
        <w:rPr>
          <w:sz w:val="20"/>
        </w:rPr>
        <w:t xml:space="preserve">microbiological food safety criteria which </w:t>
      </w:r>
      <w:r>
        <w:rPr>
          <w:sz w:val="20"/>
        </w:rPr>
        <w:t>determine</w:t>
      </w:r>
      <w:r w:rsidRPr="00837D56">
        <w:rPr>
          <w:sz w:val="20"/>
        </w:rPr>
        <w:t xml:space="preserve"> the acceptability of a lot or consignment of food for sale or intended for sale</w:t>
      </w:r>
      <w:r w:rsidR="00A31543">
        <w:rPr>
          <w:sz w:val="20"/>
        </w:rPr>
        <w:t xml:space="preserve">. </w:t>
      </w:r>
      <w:r w:rsidRPr="00837D56">
        <w:rPr>
          <w:sz w:val="20"/>
        </w:rPr>
        <w:t>The Schedule to the Standard sets out sampling plans and the limits that a lot or consignment of fo</w:t>
      </w:r>
      <w:r>
        <w:rPr>
          <w:sz w:val="20"/>
        </w:rPr>
        <w:t>od must comply with</w:t>
      </w:r>
      <w:r w:rsidR="00A31543">
        <w:rPr>
          <w:sz w:val="20"/>
        </w:rPr>
        <w:t xml:space="preserve">. </w:t>
      </w:r>
      <w:r w:rsidRPr="00837D56">
        <w:rPr>
          <w:sz w:val="20"/>
        </w:rPr>
        <w:t xml:space="preserve">Foods that fail to meet these limits may pose a risk to human health and </w:t>
      </w:r>
      <w:r>
        <w:rPr>
          <w:sz w:val="20"/>
        </w:rPr>
        <w:t>must</w:t>
      </w:r>
      <w:r w:rsidRPr="00837D56">
        <w:rPr>
          <w:sz w:val="20"/>
        </w:rPr>
        <w:t xml:space="preserve"> not be offered for sale.</w:t>
      </w:r>
      <w:r>
        <w:rPr>
          <w:sz w:val="20"/>
        </w:rPr>
        <w:t>”</w:t>
      </w:r>
    </w:p>
    <w:p w:rsidR="00CA7A32" w:rsidRDefault="00CA7A32" w:rsidP="00CA7A32">
      <w:pPr>
        <w:rPr>
          <w:sz w:val="20"/>
        </w:rPr>
      </w:pPr>
    </w:p>
    <w:p w:rsidR="00CA7A32" w:rsidRDefault="00CA7A32" w:rsidP="00CA7A32">
      <w:pPr>
        <w:pStyle w:val="Subclause"/>
      </w:pPr>
      <w:r>
        <w:t>[1.3]</w:t>
      </w:r>
      <w:r>
        <w:tab/>
        <w:t>inserting in clause 1, in alphabetical order</w:t>
      </w:r>
    </w:p>
    <w:p w:rsidR="00CA7A32" w:rsidRDefault="00CA7A32" w:rsidP="00CA7A32">
      <w:pPr>
        <w:pStyle w:val="Clause"/>
      </w:pPr>
    </w:p>
    <w:p w:rsidR="00CA7A32" w:rsidRDefault="00CA7A32" w:rsidP="00CA7A32">
      <w:pPr>
        <w:pStyle w:val="Definition"/>
        <w:rPr>
          <w:iCs/>
        </w:rPr>
      </w:pPr>
      <w:r w:rsidRPr="00AF173B">
        <w:t>“</w:t>
      </w:r>
      <w:r w:rsidRPr="00811C6E">
        <w:rPr>
          <w:b/>
        </w:rPr>
        <w:t xml:space="preserve">listericidal </w:t>
      </w:r>
      <w:r>
        <w:rPr>
          <w:b/>
        </w:rPr>
        <w:t>process</w:t>
      </w:r>
      <w:r>
        <w:t xml:space="preserve"> means a process that reduces </w:t>
      </w:r>
      <w:r w:rsidRPr="00A52EDC">
        <w:rPr>
          <w:i/>
          <w:iCs/>
        </w:rPr>
        <w:t>Listeria monocytogenes</w:t>
      </w:r>
      <w:r>
        <w:rPr>
          <w:iCs/>
        </w:rPr>
        <w:t xml:space="preserve"> microorganisms in the food to a safe level.”</w:t>
      </w:r>
    </w:p>
    <w:p w:rsidR="00CA7A32" w:rsidRPr="00F14061" w:rsidRDefault="00CA7A32" w:rsidP="00CA7A32"/>
    <w:p w:rsidR="00CA7A32" w:rsidRDefault="00CA7A32" w:rsidP="00CA7A32">
      <w:pPr>
        <w:pStyle w:val="Definition"/>
      </w:pPr>
      <w:r w:rsidRPr="00F44F46">
        <w:t>“</w:t>
      </w:r>
      <w:r w:rsidRPr="00F44F46">
        <w:rPr>
          <w:b/>
        </w:rPr>
        <w:t>ready-to-eat</w:t>
      </w:r>
      <w:r>
        <w:rPr>
          <w:b/>
        </w:rPr>
        <w:t xml:space="preserve"> </w:t>
      </w:r>
      <w:r w:rsidRPr="005728B5">
        <w:rPr>
          <w:b/>
        </w:rPr>
        <w:t>food</w:t>
      </w:r>
      <w:r w:rsidRPr="00F44F46">
        <w:t xml:space="preserve"> means a food that</w:t>
      </w:r>
      <w:r>
        <w:t xml:space="preserve"> –</w:t>
      </w:r>
    </w:p>
    <w:p w:rsidR="00CA7A32" w:rsidRPr="00FF49C9" w:rsidRDefault="00CA7A32" w:rsidP="00CA7A32"/>
    <w:p w:rsidR="00CA7A32" w:rsidRPr="00F44F46" w:rsidRDefault="00CA7A32" w:rsidP="00CA7A32">
      <w:pPr>
        <w:pStyle w:val="Subparagraph"/>
      </w:pPr>
      <w:r>
        <w:t>(a)</w:t>
      </w:r>
      <w:r>
        <w:tab/>
      </w:r>
      <w:r w:rsidRPr="00F44F46">
        <w:t>is ordinarily consumed in the same state as that in which it is sold;</w:t>
      </w:r>
      <w:r>
        <w:t xml:space="preserve"> and</w:t>
      </w:r>
    </w:p>
    <w:p w:rsidR="00CA7A32" w:rsidRPr="00F44F46" w:rsidRDefault="00CA7A32" w:rsidP="00CA7A32">
      <w:pPr>
        <w:pStyle w:val="Subparagraph"/>
      </w:pPr>
      <w:r>
        <w:t>(b)</w:t>
      </w:r>
      <w:r>
        <w:tab/>
      </w:r>
      <w:r w:rsidRPr="00F44F46">
        <w:t>will not be subject to a listericidal process before consumption; and</w:t>
      </w:r>
    </w:p>
    <w:p w:rsidR="00CA7A32" w:rsidRDefault="00CA7A32" w:rsidP="00CA7A32">
      <w:pPr>
        <w:pStyle w:val="Subparagraph"/>
      </w:pPr>
      <w:r>
        <w:t>(c)</w:t>
      </w:r>
      <w:r>
        <w:tab/>
      </w:r>
      <w:r w:rsidRPr="00F44F46">
        <w:t>is not one of the following</w:t>
      </w:r>
      <w:r>
        <w:t xml:space="preserve"> –</w:t>
      </w:r>
    </w:p>
    <w:p w:rsidR="00CA7A32" w:rsidRPr="00730E04" w:rsidRDefault="00CA7A32" w:rsidP="00CA7A32"/>
    <w:p w:rsidR="00CA7A32" w:rsidRPr="00F44F46" w:rsidRDefault="00CA7A32" w:rsidP="00CA7A32">
      <w:pPr>
        <w:pStyle w:val="Subparagraph"/>
        <w:ind w:left="3402"/>
      </w:pPr>
      <w:r>
        <w:t>(i)</w:t>
      </w:r>
      <w:r>
        <w:tab/>
      </w:r>
      <w:r w:rsidRPr="00F44F46">
        <w:t>shelf stable foods</w:t>
      </w:r>
      <w:r>
        <w:t>;</w:t>
      </w:r>
    </w:p>
    <w:p w:rsidR="00CA7A32" w:rsidRPr="00F44F46" w:rsidRDefault="00CA7A32" w:rsidP="00CA7A32">
      <w:pPr>
        <w:pStyle w:val="Subparagraph"/>
        <w:ind w:left="3402"/>
      </w:pPr>
      <w:r>
        <w:t>(ii)</w:t>
      </w:r>
      <w:r>
        <w:tab/>
      </w:r>
      <w:r w:rsidRPr="00F44F46">
        <w:t>whole raw fruits</w:t>
      </w:r>
      <w:r>
        <w:t>;</w:t>
      </w:r>
    </w:p>
    <w:p w:rsidR="00CA7A32" w:rsidRPr="00F44F46" w:rsidRDefault="00CA7A32" w:rsidP="00CA7A32">
      <w:pPr>
        <w:pStyle w:val="Subparagraph"/>
        <w:ind w:left="3402"/>
      </w:pPr>
      <w:r>
        <w:t>(iii)</w:t>
      </w:r>
      <w:r>
        <w:tab/>
      </w:r>
      <w:r w:rsidRPr="00F44F46">
        <w:t>whole</w:t>
      </w:r>
      <w:r>
        <w:t xml:space="preserve"> raw</w:t>
      </w:r>
      <w:r w:rsidRPr="00F44F46">
        <w:t xml:space="preserve"> vegetables </w:t>
      </w:r>
    </w:p>
    <w:p w:rsidR="00CA7A32" w:rsidRDefault="00CA7A32" w:rsidP="00CA7A32">
      <w:pPr>
        <w:pStyle w:val="Subparagraph"/>
        <w:ind w:left="3402"/>
      </w:pPr>
      <w:r>
        <w:t>(iv)</w:t>
      </w:r>
      <w:r>
        <w:tab/>
      </w:r>
      <w:r w:rsidRPr="00F44F46">
        <w:t>nuts</w:t>
      </w:r>
      <w:r>
        <w:t xml:space="preserve"> in the shell;</w:t>
      </w:r>
    </w:p>
    <w:p w:rsidR="00CA7A32" w:rsidRPr="005D0056" w:rsidRDefault="00CA7A32" w:rsidP="00CA7A32">
      <w:pPr>
        <w:pStyle w:val="Subparagraph"/>
        <w:ind w:left="3402"/>
      </w:pPr>
      <w:r>
        <w:t>(v)</w:t>
      </w:r>
      <w:r>
        <w:tab/>
      </w:r>
      <w:r w:rsidRPr="00D14BD6">
        <w:t>live bivalve molluscs</w:t>
      </w:r>
      <w:r w:rsidRPr="00F44F46">
        <w:t>.”</w:t>
      </w:r>
    </w:p>
    <w:p w:rsidR="00CA7A32" w:rsidRPr="00031DD4" w:rsidRDefault="00CA7A32" w:rsidP="00CA7A32">
      <w:pPr>
        <w:rPr>
          <w:sz w:val="20"/>
        </w:rPr>
      </w:pPr>
    </w:p>
    <w:p w:rsidR="00CA7A32" w:rsidRDefault="00CA7A32" w:rsidP="00CA7A32">
      <w:pPr>
        <w:pStyle w:val="Subclause"/>
      </w:pPr>
      <w:r>
        <w:t>[1.4]</w:t>
      </w:r>
      <w:r>
        <w:tab/>
        <w:t>omitting subclause 2(2) and substituting</w:t>
      </w:r>
    </w:p>
    <w:p w:rsidR="00CA7A32" w:rsidRDefault="00CA7A32" w:rsidP="00CA7A32"/>
    <w:p w:rsidR="00CA7A32" w:rsidRPr="008250D1" w:rsidRDefault="00CA7A32" w:rsidP="00CA7A32">
      <w:pPr>
        <w:pStyle w:val="Subclause"/>
      </w:pPr>
      <w:r w:rsidRPr="008250D1">
        <w:t>“(2)</w:t>
      </w:r>
      <w:r w:rsidRPr="008250D1">
        <w:tab/>
        <w:t>The limit for SPC in the Schedule does not apply to powdered infant formula products</w:t>
      </w:r>
      <w:r w:rsidRPr="008250D1" w:rsidDel="00DC20B6">
        <w:t xml:space="preserve"> </w:t>
      </w:r>
      <w:r w:rsidRPr="008250D1">
        <w:t>that contain lactic acid producing microorganisms.”</w:t>
      </w:r>
    </w:p>
    <w:p w:rsidR="00CA7A32" w:rsidRDefault="00CA7A32" w:rsidP="00CA7A32">
      <w:pPr>
        <w:pStyle w:val="Clause"/>
      </w:pPr>
    </w:p>
    <w:p w:rsidR="00CA7A32" w:rsidRPr="00F278A7" w:rsidRDefault="00CA7A32" w:rsidP="00CA7A32">
      <w:pPr>
        <w:pStyle w:val="Subclause"/>
      </w:pPr>
      <w:r>
        <w:t>[1.5]</w:t>
      </w:r>
      <w:r>
        <w:tab/>
        <w:t>omitting clause 4 and substituting</w:t>
      </w:r>
    </w:p>
    <w:p w:rsidR="00CA7A32" w:rsidRPr="009841E3" w:rsidRDefault="00CA7A32" w:rsidP="00CA7A32">
      <w:pPr>
        <w:rPr>
          <w:sz w:val="20"/>
        </w:rPr>
      </w:pPr>
    </w:p>
    <w:p w:rsidR="00CA7A32" w:rsidRPr="0085659B" w:rsidRDefault="00CA7A32" w:rsidP="00CA7A32">
      <w:pPr>
        <w:pStyle w:val="Clauseheading"/>
      </w:pPr>
      <w:r w:rsidRPr="009841E3">
        <w:rPr>
          <w:b w:val="0"/>
        </w:rPr>
        <w:t>“</w:t>
      </w:r>
      <w:r>
        <w:t>4</w:t>
      </w:r>
      <w:r w:rsidRPr="003E7F27">
        <w:tab/>
      </w:r>
      <w:r w:rsidRPr="00F278A7">
        <w:t xml:space="preserve">Reference methods </w:t>
      </w:r>
      <w:r w:rsidRPr="00D37B67">
        <w:t>of analysis</w:t>
      </w:r>
    </w:p>
    <w:p w:rsidR="00CA7A32" w:rsidRPr="00FD5AFA" w:rsidRDefault="00CA7A32" w:rsidP="00CA7A32">
      <w:pPr>
        <w:pStyle w:val="Clause"/>
      </w:pPr>
    </w:p>
    <w:p w:rsidR="00CA7A32" w:rsidRPr="006C4F10" w:rsidRDefault="00CA7A32" w:rsidP="00CA7A32">
      <w:pPr>
        <w:pStyle w:val="Subclause"/>
      </w:pPr>
      <w:r>
        <w:t>(1)</w:t>
      </w:r>
      <w:r>
        <w:tab/>
      </w:r>
      <w:r w:rsidRPr="006C4F10">
        <w:t>The following reference methods must be used to determine whether a food has exceeded the maximum permissible levels of microorganisms specified in the Schedule in relation to that food –</w:t>
      </w:r>
    </w:p>
    <w:p w:rsidR="00CA7A32" w:rsidRPr="006C4F10" w:rsidRDefault="00CA7A32" w:rsidP="00CA7A32">
      <w:pPr>
        <w:rPr>
          <w:sz w:val="20"/>
          <w:szCs w:val="20"/>
        </w:rPr>
      </w:pPr>
    </w:p>
    <w:p w:rsidR="00CA7A32" w:rsidRPr="006C4F10" w:rsidRDefault="00CA7A32" w:rsidP="00CA7A32">
      <w:pPr>
        <w:pStyle w:val="Paragraph"/>
        <w:widowControl/>
        <w:numPr>
          <w:ilvl w:val="0"/>
          <w:numId w:val="29"/>
        </w:numPr>
      </w:pPr>
      <w:r w:rsidRPr="006C4F10">
        <w:rPr>
          <w:color w:val="000000"/>
        </w:rPr>
        <w:t xml:space="preserve">for a food other than packaged water, packaged ice or mineral water </w:t>
      </w:r>
      <w:r w:rsidRPr="006C4F10">
        <w:t>–</w:t>
      </w:r>
    </w:p>
    <w:p w:rsidR="00CA7A32" w:rsidRPr="006C4F10" w:rsidRDefault="00CA7A32" w:rsidP="00CA7A32"/>
    <w:p w:rsidR="00CA7A32" w:rsidRPr="006C4F10" w:rsidRDefault="00CA7A32" w:rsidP="00CA7A32">
      <w:pPr>
        <w:pStyle w:val="Subparagraph"/>
      </w:pPr>
      <w:r>
        <w:lastRenderedPageBreak/>
        <w:t>(i)</w:t>
      </w:r>
      <w:r>
        <w:tab/>
      </w:r>
      <w:r w:rsidRPr="006C4F10">
        <w:t>the relevant method prescribed by Australian Standard AS5013; or</w:t>
      </w:r>
    </w:p>
    <w:p w:rsidR="00CA7A32" w:rsidRPr="006C4F10" w:rsidRDefault="00CA7A32" w:rsidP="00CA7A32">
      <w:pPr>
        <w:pStyle w:val="Subparagraph"/>
      </w:pPr>
      <w:r>
        <w:t>(ii)</w:t>
      </w:r>
      <w:r>
        <w:tab/>
      </w:r>
      <w:r w:rsidRPr="006C4F10">
        <w:t>the relevant method referenced by</w:t>
      </w:r>
      <w:r>
        <w:t xml:space="preserve"> </w:t>
      </w:r>
      <w:r w:rsidRPr="006C4F10">
        <w:t>Australian Standard AS5013 and prescribed by the International</w:t>
      </w:r>
      <w:r w:rsidRPr="006C4F10">
        <w:rPr>
          <w:color w:val="1F497D"/>
          <w:sz w:val="22"/>
          <w:szCs w:val="22"/>
        </w:rPr>
        <w:t xml:space="preserve"> </w:t>
      </w:r>
      <w:r w:rsidRPr="006C4F10">
        <w:t>Organization for Standardization; or</w:t>
      </w:r>
    </w:p>
    <w:p w:rsidR="00CA7A32" w:rsidRPr="006C4F10" w:rsidRDefault="00CA7A32" w:rsidP="00CA7A32">
      <w:pPr>
        <w:pStyle w:val="Subparagraph"/>
      </w:pPr>
      <w:r>
        <w:t>(iii)</w:t>
      </w:r>
      <w:r>
        <w:tab/>
      </w:r>
      <w:r w:rsidR="003654C9">
        <w:t>a</w:t>
      </w:r>
      <w:r w:rsidRPr="006C4F10">
        <w:t>ny equivalent method as determined by –</w:t>
      </w:r>
    </w:p>
    <w:p w:rsidR="00CA7A32" w:rsidRPr="006C4F10" w:rsidRDefault="00CA7A32" w:rsidP="00CA7A32"/>
    <w:p w:rsidR="00CA7A32" w:rsidRPr="006C4F10" w:rsidRDefault="00CA7A32" w:rsidP="00CA7A32">
      <w:pPr>
        <w:pStyle w:val="Subparagraph"/>
        <w:ind w:left="3402"/>
        <w:rPr>
          <w:rFonts w:cs="Arial"/>
        </w:rPr>
      </w:pPr>
      <w:r>
        <w:t>(A)</w:t>
      </w:r>
      <w:r>
        <w:tab/>
      </w:r>
      <w:r w:rsidRPr="006C4F10">
        <w:t xml:space="preserve">Australian New Zealand Standard </w:t>
      </w:r>
      <w:r w:rsidRPr="006C4F10">
        <w:rPr>
          <w:color w:val="000000"/>
        </w:rPr>
        <w:t xml:space="preserve">AS/NZS </w:t>
      </w:r>
      <w:r w:rsidRPr="006C4F10">
        <w:t>4659; or</w:t>
      </w:r>
    </w:p>
    <w:p w:rsidR="00CA7A32" w:rsidRPr="006C4F10" w:rsidRDefault="00CA7A32" w:rsidP="00CA7A32">
      <w:pPr>
        <w:pStyle w:val="Subparagraph"/>
        <w:ind w:left="3402"/>
        <w:rPr>
          <w:rFonts w:cs="Arial"/>
        </w:rPr>
      </w:pPr>
      <w:r>
        <w:t>(B)</w:t>
      </w:r>
      <w:r>
        <w:tab/>
      </w:r>
      <w:r w:rsidRPr="006C4F10">
        <w:t>ISO 16140:2003</w:t>
      </w:r>
      <w:r w:rsidRPr="006C4F10">
        <w:rPr>
          <w:rFonts w:cs="Arial"/>
        </w:rPr>
        <w:t>; and</w:t>
      </w:r>
    </w:p>
    <w:p w:rsidR="00CA7A32" w:rsidRPr="006C4F10" w:rsidRDefault="00CA7A32" w:rsidP="00CA7A32"/>
    <w:p w:rsidR="00CA7A32" w:rsidRPr="006C4F10" w:rsidRDefault="00CA7A32" w:rsidP="00CA7A32">
      <w:pPr>
        <w:pStyle w:val="Paragraph"/>
      </w:pPr>
      <w:r w:rsidRPr="006C4F10">
        <w:t>(b)</w:t>
      </w:r>
      <w:r w:rsidRPr="006C4F10">
        <w:tab/>
        <w:t>for packaged water, packaged ice or mineral water—the relevant method prescribed by</w:t>
      </w:r>
      <w:r>
        <w:t xml:space="preserve"> </w:t>
      </w:r>
      <w:r w:rsidRPr="006C4F10">
        <w:t xml:space="preserve">Australian New Zealand Standard </w:t>
      </w:r>
      <w:r w:rsidRPr="006C4F10">
        <w:rPr>
          <w:color w:val="000000"/>
        </w:rPr>
        <w:t xml:space="preserve">AS/NZS </w:t>
      </w:r>
      <w:r w:rsidRPr="006C4F10">
        <w:t>4276.</w:t>
      </w:r>
    </w:p>
    <w:p w:rsidR="00CA7A32" w:rsidRPr="006C4F10" w:rsidRDefault="00CA7A32" w:rsidP="00CA7A32">
      <w:pPr>
        <w:pStyle w:val="Subclause"/>
      </w:pPr>
    </w:p>
    <w:p w:rsidR="00CA7A32" w:rsidRPr="00A167D0" w:rsidRDefault="00CA7A32" w:rsidP="00CA7A32">
      <w:pPr>
        <w:pStyle w:val="Subclause"/>
      </w:pPr>
      <w:r w:rsidRPr="006C4F10">
        <w:t>(</w:t>
      </w:r>
      <w:r>
        <w:t>2</w:t>
      </w:r>
      <w:r w:rsidRPr="006C4F10">
        <w:t>)</w:t>
      </w:r>
      <w:r w:rsidRPr="006C4F10">
        <w:tab/>
        <w:t>A reference to a Standard in subclause (</w:t>
      </w:r>
      <w:r>
        <w:t>1</w:t>
      </w:r>
      <w:r w:rsidRPr="006C4F10">
        <w:t>) is a reference to that Standard as in force at the commencement of this provision.”</w:t>
      </w:r>
    </w:p>
    <w:p w:rsidR="00CA7A32" w:rsidRDefault="00CA7A32" w:rsidP="00CA7A32">
      <w:pPr>
        <w:pStyle w:val="Subclause"/>
      </w:pPr>
    </w:p>
    <w:p w:rsidR="00CA7A32" w:rsidRDefault="00CA7A32" w:rsidP="00CA7A32">
      <w:pPr>
        <w:pStyle w:val="Clause"/>
      </w:pPr>
      <w:r>
        <w:t>[1.6]</w:t>
      </w:r>
      <w:r>
        <w:tab/>
        <w:t>inserting after clause 5</w:t>
      </w:r>
    </w:p>
    <w:p w:rsidR="00CA7A32" w:rsidRPr="004B69BF" w:rsidRDefault="00CA7A32" w:rsidP="00CA7A32">
      <w:pPr>
        <w:rPr>
          <w:sz w:val="20"/>
        </w:rPr>
      </w:pPr>
    </w:p>
    <w:p w:rsidR="00CA7A32" w:rsidRPr="000D4D5D" w:rsidRDefault="00CA7A32" w:rsidP="00CA7A32">
      <w:pPr>
        <w:pStyle w:val="Clauseheading"/>
      </w:pPr>
      <w:r w:rsidRPr="009841E3">
        <w:rPr>
          <w:b w:val="0"/>
        </w:rPr>
        <w:t>“</w:t>
      </w:r>
      <w:r>
        <w:t>6</w:t>
      </w:r>
      <w:r w:rsidRPr="00FD5AFA">
        <w:tab/>
      </w:r>
      <w:r w:rsidRPr="005D0056">
        <w:t xml:space="preserve">Food </w:t>
      </w:r>
      <w:r>
        <w:t>in which</w:t>
      </w:r>
      <w:r w:rsidRPr="005D0056">
        <w:t xml:space="preserve"> growth of </w:t>
      </w:r>
      <w:r w:rsidRPr="00FD5AFA">
        <w:rPr>
          <w:i/>
        </w:rPr>
        <w:t>Listeria monocytogenes</w:t>
      </w:r>
      <w:r>
        <w:t xml:space="preserve"> will not occur</w:t>
      </w:r>
    </w:p>
    <w:p w:rsidR="00CA7A32" w:rsidRPr="00FD5AFA" w:rsidRDefault="00CA7A32" w:rsidP="00CA7A32">
      <w:pPr>
        <w:pStyle w:val="Clause"/>
      </w:pPr>
    </w:p>
    <w:p w:rsidR="00CA7A32" w:rsidRDefault="00CA7A32" w:rsidP="00CA7A32">
      <w:pPr>
        <w:pStyle w:val="Subclause"/>
      </w:pPr>
      <w:r w:rsidRPr="00890DE6">
        <w:t>(1</w:t>
      </w:r>
      <w:r>
        <w:t>)</w:t>
      </w:r>
      <w:r>
        <w:tab/>
      </w:r>
      <w:r w:rsidRPr="005D0056">
        <w:t xml:space="preserve">For the purposes of the Schedule, </w:t>
      </w:r>
      <w:r w:rsidRPr="00F278A7">
        <w:t xml:space="preserve">growth of </w:t>
      </w:r>
      <w:r w:rsidRPr="00FD5AFA">
        <w:rPr>
          <w:i/>
        </w:rPr>
        <w:t>Listeria monocytogenes</w:t>
      </w:r>
      <w:r w:rsidRPr="005D0056">
        <w:t xml:space="preserve"> </w:t>
      </w:r>
      <w:r>
        <w:t xml:space="preserve">will not occur in a ready-to-eat food </w:t>
      </w:r>
      <w:r w:rsidRPr="005D0056">
        <w:t>if</w:t>
      </w:r>
      <w:r>
        <w:t xml:space="preserve"> –</w:t>
      </w:r>
    </w:p>
    <w:p w:rsidR="00CA7A32" w:rsidRDefault="00CA7A32" w:rsidP="00CA7A32">
      <w:pPr>
        <w:pStyle w:val="Clause"/>
      </w:pPr>
    </w:p>
    <w:p w:rsidR="00CA7A32" w:rsidRPr="007A1435" w:rsidRDefault="00CA7A32" w:rsidP="00CA7A32">
      <w:pPr>
        <w:pStyle w:val="Paragraph"/>
      </w:pPr>
      <w:r>
        <w:t>(a)</w:t>
      </w:r>
      <w:r>
        <w:tab/>
        <w:t>the food</w:t>
      </w:r>
      <w:r w:rsidRPr="007A1435">
        <w:t xml:space="preserve"> has a pH </w:t>
      </w:r>
      <w:r>
        <w:t>less than</w:t>
      </w:r>
      <w:r w:rsidRPr="007A1435">
        <w:t xml:space="preserve"> 4.4 regardless of water activity; or</w:t>
      </w:r>
    </w:p>
    <w:p w:rsidR="00CA7A32" w:rsidRPr="007A1435" w:rsidRDefault="00CA7A32" w:rsidP="00CA7A32">
      <w:pPr>
        <w:pStyle w:val="Paragraph"/>
      </w:pPr>
      <w:r>
        <w:t>(b)</w:t>
      </w:r>
      <w:r>
        <w:tab/>
        <w:t>the food</w:t>
      </w:r>
      <w:r w:rsidRPr="007A1435">
        <w:t xml:space="preserve"> has a water ac</w:t>
      </w:r>
      <w:r>
        <w:t xml:space="preserve">tivity less than 0.92 regardless of pH; </w:t>
      </w:r>
      <w:r w:rsidRPr="007A1435">
        <w:t>or</w:t>
      </w:r>
    </w:p>
    <w:p w:rsidR="00CA7A32" w:rsidRPr="007A1435" w:rsidRDefault="00CA7A32" w:rsidP="00CA7A32">
      <w:pPr>
        <w:pStyle w:val="Paragraph"/>
      </w:pPr>
      <w:r>
        <w:t>(c)</w:t>
      </w:r>
      <w:r>
        <w:tab/>
        <w:t>the food</w:t>
      </w:r>
      <w:r w:rsidRPr="007A1435">
        <w:t xml:space="preserve"> has a pH </w:t>
      </w:r>
      <w:r>
        <w:t>less than</w:t>
      </w:r>
      <w:r w:rsidRPr="007A1435">
        <w:t xml:space="preserve"> 5.0 in combination with a water activity of </w:t>
      </w:r>
      <w:r>
        <w:t>less than</w:t>
      </w:r>
      <w:r w:rsidRPr="007A1435">
        <w:t xml:space="preserve"> 0.94; or</w:t>
      </w:r>
    </w:p>
    <w:p w:rsidR="00CA7A32" w:rsidRPr="007A1435" w:rsidRDefault="00CA7A32" w:rsidP="00CA7A32">
      <w:pPr>
        <w:pStyle w:val="Paragraph"/>
      </w:pPr>
      <w:r>
        <w:t>(d)</w:t>
      </w:r>
      <w:r>
        <w:tab/>
        <w:t>the food</w:t>
      </w:r>
      <w:r w:rsidRPr="007A1435">
        <w:t xml:space="preserve"> has a refrigerated shelf life </w:t>
      </w:r>
      <w:r>
        <w:t>no greater than</w:t>
      </w:r>
      <w:r w:rsidRPr="007A1435">
        <w:t xml:space="preserve"> 5 days</w:t>
      </w:r>
      <w:r>
        <w:t>; or</w:t>
      </w:r>
    </w:p>
    <w:p w:rsidR="00CA7A32" w:rsidRPr="007A1435" w:rsidRDefault="00CA7A32" w:rsidP="00CA7A32">
      <w:pPr>
        <w:pStyle w:val="Paragraph"/>
      </w:pPr>
      <w:r>
        <w:t>(e)</w:t>
      </w:r>
      <w:r>
        <w:tab/>
        <w:t>the food</w:t>
      </w:r>
      <w:r w:rsidRPr="007A1435">
        <w:t xml:space="preserve"> is frozen (including foods consumed frozen and those intended t</w:t>
      </w:r>
      <w:r>
        <w:t>o be thawed immediately before consumption)</w:t>
      </w:r>
      <w:r w:rsidRPr="007A1435">
        <w:t>; or</w:t>
      </w:r>
    </w:p>
    <w:p w:rsidR="00CA7A32" w:rsidRDefault="00CA7A32" w:rsidP="00CA7A32">
      <w:pPr>
        <w:pStyle w:val="Paragraph"/>
      </w:pPr>
      <w:r>
        <w:t>(f)</w:t>
      </w:r>
      <w:r>
        <w:tab/>
        <w:t>it</w:t>
      </w:r>
      <w:r w:rsidRPr="007A1435">
        <w:t xml:space="preserve"> can be validated that the level of </w:t>
      </w:r>
      <w:r w:rsidRPr="00FD5AFA">
        <w:rPr>
          <w:i/>
        </w:rPr>
        <w:t>Listeria monocytogenes</w:t>
      </w:r>
      <w:r w:rsidRPr="005D0056">
        <w:t xml:space="preserve"> </w:t>
      </w:r>
      <w:r w:rsidRPr="007A1435">
        <w:t xml:space="preserve">will not increase by </w:t>
      </w:r>
      <w:r>
        <w:t>greater than</w:t>
      </w:r>
      <w:r w:rsidRPr="007A1435">
        <w:t xml:space="preserve"> 0.5 log </w:t>
      </w:r>
      <w:r>
        <w:t xml:space="preserve">cfu/g </w:t>
      </w:r>
      <w:r w:rsidRPr="007A1435">
        <w:t xml:space="preserve">over the </w:t>
      </w:r>
      <w:r>
        <w:t xml:space="preserve">food’s </w:t>
      </w:r>
      <w:r w:rsidRPr="007A1435">
        <w:t>stated shelf life</w:t>
      </w:r>
      <w:r>
        <w:t>.</w:t>
      </w:r>
    </w:p>
    <w:p w:rsidR="00CA7A32" w:rsidRPr="00813786" w:rsidRDefault="00CA7A32" w:rsidP="00CA7A32"/>
    <w:p w:rsidR="00CA7A32" w:rsidRDefault="00CA7A32" w:rsidP="00CA7A32">
      <w:pPr>
        <w:pStyle w:val="Subclause"/>
      </w:pPr>
      <w:r>
        <w:t>(2)</w:t>
      </w:r>
      <w:r>
        <w:tab/>
      </w:r>
      <w:r w:rsidRPr="005D0056">
        <w:t xml:space="preserve">For the purposes of the Schedule, </w:t>
      </w:r>
      <w:r>
        <w:t xml:space="preserve">a ready-to-eat food that does not receive a listericidal process during manufacture is taken to be a food in which growth of </w:t>
      </w:r>
      <w:r w:rsidRPr="005A4A67">
        <w:rPr>
          <w:i/>
        </w:rPr>
        <w:t>Listeria monocytogenes</w:t>
      </w:r>
      <w:r w:rsidRPr="007A1435">
        <w:t xml:space="preserve"> will not</w:t>
      </w:r>
      <w:r>
        <w:t xml:space="preserve"> occur if the level of </w:t>
      </w:r>
      <w:r w:rsidRPr="005A4A67">
        <w:rPr>
          <w:i/>
        </w:rPr>
        <w:t>Listeria monocytogenes</w:t>
      </w:r>
      <w:r>
        <w:t xml:space="preserve"> will not exceed 100 </w:t>
      </w:r>
      <w:r w:rsidRPr="007A1435">
        <w:t xml:space="preserve">cfu/g </w:t>
      </w:r>
      <w:r>
        <w:t xml:space="preserve">within the food’s </w:t>
      </w:r>
      <w:r w:rsidRPr="00763F0B">
        <w:t>expected shelf life</w:t>
      </w:r>
      <w:r w:rsidRPr="007A1435">
        <w:t>.</w:t>
      </w:r>
    </w:p>
    <w:p w:rsidR="00CA7A32" w:rsidRDefault="00CA7A32" w:rsidP="00CA7A32">
      <w:pPr>
        <w:pStyle w:val="Subclause"/>
      </w:pPr>
    </w:p>
    <w:p w:rsidR="00CA7A32" w:rsidRDefault="00CA7A32" w:rsidP="00CA7A32">
      <w:pPr>
        <w:pStyle w:val="Subclause"/>
      </w:pPr>
      <w:r>
        <w:t>(3)</w:t>
      </w:r>
      <w:r>
        <w:tab/>
        <w:t xml:space="preserve">For the purposes of subclause (2), a ready-to-eat food that </w:t>
      </w:r>
      <w:r w:rsidRPr="00DC5383">
        <w:t>do</w:t>
      </w:r>
      <w:r>
        <w:t>es</w:t>
      </w:r>
      <w:r w:rsidRPr="00DC5383">
        <w:t xml:space="preserve"> not receive a </w:t>
      </w:r>
      <w:r w:rsidRPr="00AA508A">
        <w:rPr>
          <w:szCs w:val="22"/>
        </w:rPr>
        <w:t>listericida</w:t>
      </w:r>
      <w:r>
        <w:rPr>
          <w:szCs w:val="22"/>
        </w:rPr>
        <w:t>l</w:t>
      </w:r>
      <w:r w:rsidRPr="00DC5383">
        <w:t xml:space="preserve"> process</w:t>
      </w:r>
      <w:r>
        <w:t xml:space="preserve"> during manufacture is taken to include –</w:t>
      </w:r>
    </w:p>
    <w:p w:rsidR="00CA7A32" w:rsidRDefault="00CA7A32" w:rsidP="00CA7A32">
      <w:pPr>
        <w:pStyle w:val="Subclause"/>
      </w:pPr>
    </w:p>
    <w:p w:rsidR="00CA7A32" w:rsidRDefault="00CA7A32" w:rsidP="00CA7A32">
      <w:pPr>
        <w:pStyle w:val="Paragraph"/>
        <w:widowControl/>
        <w:numPr>
          <w:ilvl w:val="0"/>
          <w:numId w:val="30"/>
        </w:numPr>
        <w:ind w:left="1701" w:hanging="850"/>
      </w:pPr>
      <w:r w:rsidRPr="00DC5383">
        <w:t xml:space="preserve">ready-to-eat </w:t>
      </w:r>
      <w:r>
        <w:t>processed</w:t>
      </w:r>
      <w:r w:rsidRPr="00DC5383">
        <w:t xml:space="preserve"> finfish</w:t>
      </w:r>
      <w:r>
        <w:t>; and</w:t>
      </w:r>
    </w:p>
    <w:p w:rsidR="00CA7A32" w:rsidRPr="00C27340" w:rsidRDefault="00CA7A32" w:rsidP="00CA7A32">
      <w:pPr>
        <w:pStyle w:val="Paragraph"/>
        <w:widowControl/>
        <w:numPr>
          <w:ilvl w:val="0"/>
          <w:numId w:val="30"/>
        </w:numPr>
        <w:ind w:left="1701" w:hanging="850"/>
      </w:pPr>
      <w:r w:rsidRPr="00C27340">
        <w:t>fresh cut and packaged horticultural produce.</w:t>
      </w:r>
      <w:r>
        <w:t>”</w:t>
      </w:r>
    </w:p>
    <w:p w:rsidR="00CA7A32" w:rsidRDefault="00CA7A32" w:rsidP="00CA7A32"/>
    <w:p w:rsidR="00CA7A32" w:rsidRPr="00AC3052" w:rsidRDefault="00CA7A32" w:rsidP="00CA7A32">
      <w:pPr>
        <w:pStyle w:val="Subclause"/>
      </w:pPr>
      <w:r w:rsidRPr="005D0056">
        <w:t>[</w:t>
      </w:r>
      <w:r>
        <w:t>1</w:t>
      </w:r>
      <w:r w:rsidRPr="005D0056">
        <w:t>.</w:t>
      </w:r>
      <w:r>
        <w:t>7</w:t>
      </w:r>
      <w:r w:rsidRPr="005D0056">
        <w:t>]</w:t>
      </w:r>
      <w:r w:rsidRPr="005D0056">
        <w:tab/>
        <w:t xml:space="preserve">omitting the </w:t>
      </w:r>
      <w:r w:rsidRPr="00207528">
        <w:t>Schedule</w:t>
      </w:r>
      <w:r>
        <w:t xml:space="preserve"> and substituting</w:t>
      </w:r>
    </w:p>
    <w:p w:rsidR="00CA7A32" w:rsidRDefault="00CA7A32" w:rsidP="00CA7A32">
      <w:pPr>
        <w:rPr>
          <w:rFonts w:cs="Arial"/>
          <w:sz w:val="20"/>
        </w:rPr>
      </w:pPr>
    </w:p>
    <w:p w:rsidR="00CA7A32" w:rsidRPr="00BC13BE" w:rsidRDefault="00CA7A32" w:rsidP="00CA7A32">
      <w:pPr>
        <w:pStyle w:val="ScheduleHeading"/>
      </w:pPr>
      <w:r w:rsidRPr="00E6670E">
        <w:rPr>
          <w:b w:val="0"/>
        </w:rPr>
        <w:t>“</w:t>
      </w:r>
      <w:r w:rsidRPr="00BC13BE">
        <w:t>SCHEDULE</w:t>
      </w:r>
    </w:p>
    <w:p w:rsidR="00CA7A32" w:rsidRPr="00BC13BE" w:rsidRDefault="00CA7A32" w:rsidP="00CA7A32">
      <w:pPr>
        <w:rPr>
          <w:sz w:val="20"/>
        </w:rPr>
      </w:pPr>
    </w:p>
    <w:p w:rsidR="00CA7A32" w:rsidRPr="00207528" w:rsidRDefault="00CA7A32" w:rsidP="00CA7A32">
      <w:pPr>
        <w:pStyle w:val="TableHeading"/>
      </w:pPr>
      <w:r w:rsidRPr="00207528">
        <w:t>Microbiological limits in food</w:t>
      </w:r>
    </w:p>
    <w:p w:rsidR="00CA7A32" w:rsidRPr="00BC13BE" w:rsidRDefault="00CA7A32" w:rsidP="00CA7A32">
      <w:pPr>
        <w:jc w:val="center"/>
        <w:rPr>
          <w:b/>
          <w:caps/>
          <w:sz w:val="20"/>
        </w:rPr>
      </w:pP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CA7A32" w:rsidRPr="00BC13BE" w:rsidTr="00CA7A32">
        <w:trPr>
          <w:cantSplit/>
          <w:tblHeader/>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 xml:space="preserve">Column </w:t>
            </w:r>
            <w:r>
              <w:br/>
            </w:r>
            <w:r w:rsidRPr="00BC13BE">
              <w:t>1</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 xml:space="preserve">Column </w:t>
            </w:r>
            <w:r>
              <w:br/>
            </w:r>
            <w:r w:rsidRPr="00BC13BE">
              <w:t>2</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Column</w:t>
            </w:r>
            <w:r>
              <w:br/>
            </w:r>
            <w:r w:rsidRPr="00BC13BE">
              <w:t>3</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Column</w:t>
            </w:r>
            <w:r>
              <w:br/>
            </w:r>
            <w:r w:rsidRPr="00BC13BE">
              <w:t>4</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Column</w:t>
            </w:r>
            <w:r>
              <w:br/>
            </w:r>
            <w:r w:rsidRPr="00BC13BE">
              <w:t>5</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Column</w:t>
            </w:r>
            <w:r>
              <w:br/>
            </w:r>
            <w:r w:rsidRPr="00BC13BE">
              <w:t>6</w:t>
            </w:r>
          </w:p>
        </w:tc>
      </w:tr>
      <w:tr w:rsidR="00CA7A32" w:rsidRPr="00BC13BE" w:rsidTr="00CA7A32">
        <w:trPr>
          <w:cantSplit/>
          <w:tblHeader/>
          <w:jc w:val="center"/>
        </w:trPr>
        <w:tc>
          <w:tcPr>
            <w:tcW w:w="1847" w:type="dxa"/>
            <w:tcBorders>
              <w:top w:val="single" w:sz="8" w:space="0" w:color="auto"/>
              <w:left w:val="single" w:sz="8" w:space="0" w:color="auto"/>
              <w:bottom w:val="single" w:sz="4" w:space="0" w:color="auto"/>
              <w:right w:val="single" w:sz="8" w:space="0" w:color="auto"/>
            </w:tcBorders>
          </w:tcPr>
          <w:p w:rsidR="00CA7A32" w:rsidRPr="00BC13BE" w:rsidRDefault="00CA7A32" w:rsidP="00CA7A32">
            <w:pPr>
              <w:pStyle w:val="Table1"/>
            </w:pPr>
            <w:r w:rsidRPr="00BC13BE">
              <w:t>Food</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Microorganism</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n</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c</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m</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1"/>
            </w:pPr>
            <w:r w:rsidRPr="00BC13BE">
              <w:t>M</w:t>
            </w:r>
          </w:p>
        </w:tc>
      </w:tr>
      <w:tr w:rsidR="00CA7A32" w:rsidRPr="00BC13BE" w:rsidTr="00CA7A32">
        <w:trPr>
          <w:cantSplit/>
          <w:jc w:val="center"/>
        </w:trPr>
        <w:tc>
          <w:tcPr>
            <w:tcW w:w="1847" w:type="dxa"/>
            <w:vMerge w:val="restart"/>
            <w:tcBorders>
              <w:top w:val="single" w:sz="4" w:space="0" w:color="auto"/>
              <w:left w:val="single" w:sz="8" w:space="0" w:color="auto"/>
              <w:right w:val="single" w:sz="8" w:space="0" w:color="auto"/>
            </w:tcBorders>
          </w:tcPr>
          <w:p w:rsidR="00CA7A32" w:rsidRPr="00875C7A" w:rsidRDefault="00CA7A32" w:rsidP="00CA7A32">
            <w:pPr>
              <w:pStyle w:val="Table2"/>
              <w:rPr>
                <w:szCs w:val="24"/>
              </w:rPr>
            </w:pPr>
            <w:r w:rsidRPr="00875C7A">
              <w:rPr>
                <w:szCs w:val="24"/>
              </w:rPr>
              <w:t>Butter made from unpasteurised milk and/or unpasteurised milk products</w:t>
            </w:r>
          </w:p>
        </w:tc>
        <w:tc>
          <w:tcPr>
            <w:tcW w:w="2306" w:type="dxa"/>
            <w:tcBorders>
              <w:top w:val="single" w:sz="8" w:space="0" w:color="auto"/>
              <w:left w:val="single" w:sz="8" w:space="0" w:color="auto"/>
              <w:right w:val="single" w:sz="8" w:space="0" w:color="auto"/>
            </w:tcBorders>
          </w:tcPr>
          <w:p w:rsidR="00CA7A32" w:rsidRPr="00BC13BE" w:rsidRDefault="00CA7A32" w:rsidP="00CA7A32">
            <w:pPr>
              <w:pStyle w:val="Table2"/>
              <w:rPr>
                <w:iCs/>
                <w:szCs w:val="24"/>
              </w:rPr>
            </w:pPr>
            <w:r w:rsidRPr="00BC13BE">
              <w:rPr>
                <w:i/>
                <w:szCs w:val="24"/>
              </w:rPr>
              <w:t>Campylobacter</w:t>
            </w:r>
          </w:p>
        </w:tc>
        <w:tc>
          <w:tcPr>
            <w:tcW w:w="934"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tcBorders>
              <w:left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Coagulase-positive staphylococci</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 xml:space="preserve">10 </w:t>
            </w:r>
            <w:r w:rsidRPr="003C6CF0">
              <w:rPr>
                <w:szCs w:val="24"/>
              </w:rPr>
              <w:t>/g</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szCs w:val="24"/>
                <w:vertAlign w:val="superscript"/>
              </w:rPr>
              <w:t xml:space="preserve">2 </w:t>
            </w:r>
            <w:r w:rsidRPr="00BC13BE">
              <w:rPr>
                <w:szCs w:val="24"/>
              </w:rPr>
              <w:t>/g</w:t>
            </w:r>
          </w:p>
        </w:tc>
      </w:tr>
      <w:tr w:rsidR="00CA7A32" w:rsidRPr="00BC13BE" w:rsidTr="00CA7A32">
        <w:trPr>
          <w:cantSplit/>
          <w:jc w:val="center"/>
        </w:trPr>
        <w:tc>
          <w:tcPr>
            <w:tcW w:w="1847" w:type="dxa"/>
            <w:vMerge/>
            <w:tcBorders>
              <w:left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Coliforms</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 xml:space="preserve">10 </w:t>
            </w:r>
            <w:r>
              <w:rPr>
                <w:szCs w:val="24"/>
              </w:rPr>
              <w:t>/</w:t>
            </w:r>
            <w:r w:rsidRPr="00BC13BE">
              <w:rPr>
                <w:szCs w:val="24"/>
              </w:rPr>
              <w:t>g</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szCs w:val="24"/>
                <w:vertAlign w:val="superscript"/>
              </w:rPr>
              <w:t xml:space="preserve">2 </w:t>
            </w:r>
            <w:r w:rsidRPr="00BC13BE">
              <w:rPr>
                <w:szCs w:val="24"/>
              </w:rPr>
              <w:t>/g</w:t>
            </w:r>
          </w:p>
        </w:tc>
      </w:tr>
      <w:tr w:rsidR="00CA7A32" w:rsidRPr="00BC13BE" w:rsidTr="00CA7A32">
        <w:trPr>
          <w:cantSplit/>
          <w:jc w:val="center"/>
        </w:trPr>
        <w:tc>
          <w:tcPr>
            <w:tcW w:w="1847" w:type="dxa"/>
            <w:vMerge/>
            <w:tcBorders>
              <w:left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iCs/>
                <w:szCs w:val="24"/>
              </w:rPr>
            </w:pPr>
            <w:r w:rsidRPr="00BC13BE">
              <w:rPr>
                <w:i/>
                <w:szCs w:val="24"/>
              </w:rPr>
              <w:t>Escherichia coli</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3 /g</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9 /g</w:t>
            </w:r>
          </w:p>
        </w:tc>
      </w:tr>
      <w:tr w:rsidR="00CA7A32" w:rsidRPr="00BC13BE" w:rsidTr="00537E94">
        <w:trPr>
          <w:cantSplit/>
          <w:jc w:val="center"/>
        </w:trPr>
        <w:tc>
          <w:tcPr>
            <w:tcW w:w="1847" w:type="dxa"/>
            <w:vMerge/>
            <w:tcBorders>
              <w:left w:val="single" w:sz="8" w:space="0" w:color="auto"/>
              <w:bottom w:val="single" w:sz="4"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bottom w:val="single" w:sz="4" w:space="0" w:color="auto"/>
              <w:right w:val="single" w:sz="8" w:space="0" w:color="auto"/>
            </w:tcBorders>
          </w:tcPr>
          <w:p w:rsidR="00CA7A32" w:rsidRPr="00BC13BE" w:rsidRDefault="00CA7A32" w:rsidP="00CA7A32">
            <w:pPr>
              <w:pStyle w:val="Table2"/>
              <w:rPr>
                <w:iCs/>
                <w:szCs w:val="24"/>
              </w:rPr>
            </w:pPr>
            <w:r w:rsidRPr="00BC13BE">
              <w:rPr>
                <w:i/>
                <w:szCs w:val="24"/>
              </w:rPr>
              <w:t>Salmonella</w:t>
            </w:r>
          </w:p>
        </w:tc>
        <w:tc>
          <w:tcPr>
            <w:tcW w:w="934" w:type="dxa"/>
            <w:tcBorders>
              <w:left w:val="single" w:sz="8" w:space="0" w:color="auto"/>
              <w:bottom w:val="single" w:sz="4"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bottom w:val="single" w:sz="4"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bottom w:val="single" w:sz="4"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left w:val="single" w:sz="8" w:space="0" w:color="auto"/>
              <w:bottom w:val="single" w:sz="4" w:space="0" w:color="auto"/>
              <w:right w:val="single" w:sz="8" w:space="0" w:color="auto"/>
            </w:tcBorders>
          </w:tcPr>
          <w:p w:rsidR="00CA7A32" w:rsidRPr="00BC13BE" w:rsidRDefault="00CA7A32" w:rsidP="00CA7A32">
            <w:pPr>
              <w:pStyle w:val="Table2"/>
              <w:jc w:val="center"/>
              <w:rPr>
                <w:szCs w:val="24"/>
              </w:rPr>
            </w:pPr>
          </w:p>
        </w:tc>
      </w:tr>
      <w:tr w:rsidR="00CA7A32" w:rsidRPr="00BC13BE" w:rsidTr="00537E94">
        <w:trPr>
          <w:cantSplit/>
          <w:jc w:val="center"/>
        </w:trPr>
        <w:tc>
          <w:tcPr>
            <w:tcW w:w="1847" w:type="dxa"/>
            <w:vMerge/>
            <w:tcBorders>
              <w:top w:val="single" w:sz="4"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p>
        </w:tc>
        <w:tc>
          <w:tcPr>
            <w:tcW w:w="2306" w:type="dxa"/>
            <w:tcBorders>
              <w:top w:val="single" w:sz="4" w:space="0" w:color="auto"/>
              <w:left w:val="single" w:sz="8" w:space="0" w:color="auto"/>
              <w:bottom w:val="single" w:sz="4" w:space="0" w:color="auto"/>
              <w:right w:val="single" w:sz="8" w:space="0" w:color="auto"/>
            </w:tcBorders>
          </w:tcPr>
          <w:p w:rsidR="00CA7A32" w:rsidRDefault="00CA7A32" w:rsidP="00CA7A32">
            <w:pPr>
              <w:pStyle w:val="Table2"/>
              <w:rPr>
                <w:szCs w:val="24"/>
              </w:rPr>
            </w:pPr>
            <w:r w:rsidRPr="00BC13BE">
              <w:rPr>
                <w:szCs w:val="24"/>
              </w:rPr>
              <w:t>SPC</w:t>
            </w:r>
          </w:p>
          <w:p w:rsidR="00CA7A32" w:rsidRPr="00BC13BE" w:rsidRDefault="00CA7A32" w:rsidP="00CA7A32">
            <w:pPr>
              <w:pStyle w:val="Table2"/>
              <w:rPr>
                <w:szCs w:val="24"/>
              </w:rPr>
            </w:pPr>
          </w:p>
        </w:tc>
        <w:tc>
          <w:tcPr>
            <w:tcW w:w="934" w:type="dxa"/>
            <w:tcBorders>
              <w:top w:val="single" w:sz="4"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4"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4"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5x10</w:t>
            </w:r>
            <w:r w:rsidRPr="00BC13BE">
              <w:rPr>
                <w:szCs w:val="24"/>
                <w:vertAlign w:val="superscript"/>
              </w:rPr>
              <w:t>5</w:t>
            </w:r>
            <w:r w:rsidRPr="00BC13BE">
              <w:rPr>
                <w:szCs w:val="24"/>
              </w:rPr>
              <w:t xml:space="preserve"> /g</w:t>
            </w:r>
          </w:p>
        </w:tc>
        <w:tc>
          <w:tcPr>
            <w:tcW w:w="1326" w:type="dxa"/>
            <w:tcBorders>
              <w:top w:val="single" w:sz="4"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4" w:space="0" w:color="auto"/>
              <w:right w:val="single" w:sz="8" w:space="0" w:color="auto"/>
            </w:tcBorders>
          </w:tcPr>
          <w:p w:rsidR="00CA7A32" w:rsidRPr="00BC13BE" w:rsidRDefault="00CA7A32" w:rsidP="00CA7A32">
            <w:pPr>
              <w:pStyle w:val="Table2"/>
              <w:rPr>
                <w:szCs w:val="24"/>
              </w:rPr>
            </w:pPr>
            <w:r w:rsidRPr="00BC13BE">
              <w:rPr>
                <w:szCs w:val="24"/>
              </w:rPr>
              <w:t>All cheese</w:t>
            </w:r>
          </w:p>
        </w:tc>
        <w:tc>
          <w:tcPr>
            <w:tcW w:w="2306" w:type="dxa"/>
            <w:tcBorders>
              <w:top w:val="single" w:sz="4" w:space="0" w:color="auto"/>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10 /g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szCs w:val="24"/>
                <w:vertAlign w:val="superscript"/>
              </w:rPr>
              <w:t>2</w:t>
            </w:r>
            <w:r w:rsidRPr="00BC13BE">
              <w:rPr>
                <w:szCs w:val="24"/>
              </w:rPr>
              <w:t xml:space="preserve"> /g</w:t>
            </w:r>
          </w:p>
        </w:tc>
      </w:tr>
      <w:tr w:rsidR="00CA7A32" w:rsidRPr="00BC13BE" w:rsidTr="00CA7A32">
        <w:trPr>
          <w:cantSplit/>
          <w:jc w:val="center"/>
        </w:trPr>
        <w:tc>
          <w:tcPr>
            <w:tcW w:w="1847" w:type="dxa"/>
            <w:tcBorders>
              <w:top w:val="single" w:sz="4" w:space="0" w:color="auto"/>
              <w:left w:val="single" w:sz="8" w:space="0" w:color="auto"/>
              <w:bottom w:val="single" w:sz="4" w:space="0" w:color="auto"/>
              <w:right w:val="single" w:sz="8" w:space="0" w:color="auto"/>
            </w:tcBorders>
          </w:tcPr>
          <w:p w:rsidR="00CA7A32" w:rsidRPr="00BC13BE" w:rsidRDefault="00CA7A32" w:rsidP="00CA7A32">
            <w:pPr>
              <w:pStyle w:val="Table2"/>
              <w:rPr>
                <w:szCs w:val="18"/>
              </w:rPr>
            </w:pPr>
            <w:r w:rsidRPr="00322704">
              <w:rPr>
                <w:szCs w:val="18"/>
              </w:rPr>
              <w:t>Soft and semi-soft cheese (moisture content &gt; 39%) with pH &gt;5.0</w:t>
            </w:r>
          </w:p>
        </w:tc>
        <w:tc>
          <w:tcPr>
            <w:tcW w:w="2306" w:type="dxa"/>
            <w:tcBorders>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Salmonella</w:t>
            </w:r>
          </w:p>
        </w:tc>
        <w:tc>
          <w:tcPr>
            <w:tcW w:w="934"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4" w:space="0" w:color="auto"/>
              <w:left w:val="single" w:sz="8" w:space="0" w:color="auto"/>
              <w:right w:val="single" w:sz="8" w:space="0" w:color="auto"/>
            </w:tcBorders>
          </w:tcPr>
          <w:p w:rsidR="00CA7A32" w:rsidRPr="00BC13BE" w:rsidRDefault="00CA7A32" w:rsidP="00CA7A32">
            <w:pPr>
              <w:pStyle w:val="Table2"/>
              <w:rPr>
                <w:szCs w:val="18"/>
              </w:rPr>
            </w:pPr>
            <w:r w:rsidRPr="000737D9">
              <w:rPr>
                <w:szCs w:val="18"/>
              </w:rPr>
              <w:t>All raw milk cheese (cheese made from milk not pasteurised or thermised)</w:t>
            </w:r>
          </w:p>
        </w:tc>
        <w:tc>
          <w:tcPr>
            <w:tcW w:w="2306" w:type="dxa"/>
            <w:tcBorders>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Salmonella</w:t>
            </w:r>
          </w:p>
        </w:tc>
        <w:tc>
          <w:tcPr>
            <w:tcW w:w="934"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Raw milk unripened cheeses (moisture content &gt; 50% with pH &gt; 5.0)</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Campylobacter</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br w:type="page"/>
              <w:t>Dried milk</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i/>
                <w:szCs w:val="24"/>
              </w:rPr>
              <w:t>Salmonella</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val="restart"/>
            <w:tcBorders>
              <w:top w:val="single" w:sz="8" w:space="0" w:color="auto"/>
              <w:left w:val="single" w:sz="8" w:space="0" w:color="auto"/>
              <w:bottom w:val="single" w:sz="4" w:space="0" w:color="auto"/>
              <w:right w:val="single" w:sz="8" w:space="0" w:color="auto"/>
            </w:tcBorders>
          </w:tcPr>
          <w:p w:rsidR="00CA7A32" w:rsidRPr="00BC13BE" w:rsidRDefault="00CA7A32" w:rsidP="00CA7A32">
            <w:pPr>
              <w:pStyle w:val="Table2"/>
              <w:rPr>
                <w:szCs w:val="24"/>
              </w:rPr>
            </w:pPr>
            <w:r w:rsidRPr="00BC13BE">
              <w:rPr>
                <w:szCs w:val="24"/>
              </w:rPr>
              <w:t>Unpasteurised milk for retail sale</w:t>
            </w:r>
          </w:p>
        </w:tc>
        <w:tc>
          <w:tcPr>
            <w:tcW w:w="2306" w:type="dxa"/>
            <w:tcBorders>
              <w:top w:val="single" w:sz="8" w:space="0" w:color="auto"/>
              <w:left w:val="single" w:sz="8" w:space="0" w:color="auto"/>
              <w:right w:val="single" w:sz="8" w:space="0" w:color="auto"/>
            </w:tcBorders>
          </w:tcPr>
          <w:p w:rsidR="00CA7A32" w:rsidRPr="00BC13BE" w:rsidRDefault="00CA7A32" w:rsidP="00CA7A32">
            <w:pPr>
              <w:pStyle w:val="Table2"/>
              <w:rPr>
                <w:iCs/>
                <w:szCs w:val="24"/>
              </w:rPr>
            </w:pPr>
            <w:r w:rsidRPr="00BC13BE">
              <w:rPr>
                <w:i/>
                <w:szCs w:val="24"/>
              </w:rPr>
              <w:t>Campylobacter</w:t>
            </w:r>
          </w:p>
        </w:tc>
        <w:tc>
          <w:tcPr>
            <w:tcW w:w="934"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m</w:t>
            </w:r>
            <w:r>
              <w:rPr>
                <w:szCs w:val="24"/>
              </w:rPr>
              <w:t>L</w:t>
            </w:r>
          </w:p>
        </w:tc>
        <w:tc>
          <w:tcPr>
            <w:tcW w:w="1326"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Coliforms</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10</w:t>
            </w:r>
            <w:r w:rsidRPr="00BC13BE">
              <w:rPr>
                <w:position w:val="6"/>
                <w:szCs w:val="24"/>
                <w:vertAlign w:val="superscript"/>
              </w:rPr>
              <w:t>2</w:t>
            </w:r>
            <w:r>
              <w:rPr>
                <w:position w:val="6"/>
                <w:szCs w:val="24"/>
                <w:vertAlign w:val="superscript"/>
              </w:rPr>
              <w:t xml:space="preserve"> </w:t>
            </w:r>
            <w:r w:rsidRPr="00BC13BE">
              <w:rPr>
                <w:rFonts w:eastAsia="Calibri"/>
                <w:szCs w:val="18"/>
              </w:rPr>
              <w:t>/m</w:t>
            </w:r>
            <w:r>
              <w:rPr>
                <w:rFonts w:eastAsia="Calibri"/>
                <w:szCs w:val="18"/>
              </w:rPr>
              <w:t>L</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position w:val="6"/>
                <w:szCs w:val="24"/>
                <w:vertAlign w:val="superscript"/>
              </w:rPr>
              <w:t xml:space="preserve">3 </w:t>
            </w:r>
            <w:r w:rsidRPr="00BC13BE">
              <w:rPr>
                <w:rFonts w:eastAsia="Calibri"/>
                <w:szCs w:val="18"/>
              </w:rPr>
              <w:t>/m</w:t>
            </w:r>
            <w:r>
              <w:rPr>
                <w:rFonts w:eastAsia="Calibri"/>
                <w:szCs w:val="18"/>
              </w:rPr>
              <w:t>L</w:t>
            </w:r>
          </w:p>
        </w:tc>
      </w:tr>
      <w:tr w:rsidR="00CA7A32" w:rsidRPr="00BC13BE" w:rsidTr="00CA7A32">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iCs/>
                <w:szCs w:val="24"/>
              </w:rPr>
            </w:pPr>
            <w:r w:rsidRPr="00BC13BE">
              <w:rPr>
                <w:i/>
                <w:szCs w:val="24"/>
              </w:rPr>
              <w:t>Escherichia coli</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 xml:space="preserve">3 </w:t>
            </w:r>
            <w:r>
              <w:rPr>
                <w:szCs w:val="24"/>
              </w:rPr>
              <w:t>/</w:t>
            </w:r>
            <w:r w:rsidRPr="00BC13BE">
              <w:rPr>
                <w:rFonts w:eastAsia="Calibri"/>
                <w:szCs w:val="18"/>
              </w:rPr>
              <w:t>m</w:t>
            </w:r>
            <w:r>
              <w:rPr>
                <w:rFonts w:eastAsia="Calibri"/>
                <w:szCs w:val="18"/>
              </w:rPr>
              <w:t>L</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 xml:space="preserve">9 </w:t>
            </w:r>
            <w:r>
              <w:rPr>
                <w:szCs w:val="24"/>
              </w:rPr>
              <w:t>/</w:t>
            </w:r>
            <w:r w:rsidRPr="00BC13BE">
              <w:rPr>
                <w:rFonts w:eastAsia="Calibri"/>
                <w:szCs w:val="18"/>
              </w:rPr>
              <w:t>m</w:t>
            </w:r>
            <w:r>
              <w:rPr>
                <w:rFonts w:eastAsia="Calibri"/>
                <w:szCs w:val="18"/>
              </w:rPr>
              <w:t>L</w:t>
            </w:r>
          </w:p>
        </w:tc>
      </w:tr>
      <w:tr w:rsidR="00CA7A32" w:rsidRPr="00BC13BE" w:rsidTr="00CA7A32">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iCs/>
                <w:szCs w:val="24"/>
              </w:rPr>
            </w:pPr>
            <w:r w:rsidRPr="00BC13BE">
              <w:rPr>
                <w:i/>
                <w:szCs w:val="24"/>
              </w:rPr>
              <w:t>Salmonella</w:t>
            </w:r>
            <w:r w:rsidRPr="00BC13BE">
              <w:rPr>
                <w:iCs/>
                <w:szCs w:val="24"/>
              </w:rPr>
              <w:t xml:space="preserve"> </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m</w:t>
            </w:r>
            <w:r>
              <w:rPr>
                <w:szCs w:val="24"/>
              </w:rPr>
              <w:t>L</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tcBorders>
              <w:top w:val="single" w:sz="4" w:space="0" w:color="auto"/>
              <w:left w:val="single" w:sz="8" w:space="0" w:color="auto"/>
              <w:bottom w:val="single" w:sz="4"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SPC</w:t>
            </w:r>
          </w:p>
        </w:tc>
        <w:tc>
          <w:tcPr>
            <w:tcW w:w="934"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2.5x10</w:t>
            </w:r>
            <w:r w:rsidRPr="00BC13BE">
              <w:rPr>
                <w:position w:val="6"/>
                <w:szCs w:val="24"/>
                <w:vertAlign w:val="superscript"/>
              </w:rPr>
              <w:t xml:space="preserve">4 </w:t>
            </w:r>
            <w:r w:rsidRPr="00BC13BE">
              <w:rPr>
                <w:rFonts w:eastAsia="Calibri"/>
                <w:szCs w:val="18"/>
              </w:rPr>
              <w:t>/m</w:t>
            </w:r>
            <w:r>
              <w:rPr>
                <w:rFonts w:eastAsia="Calibri"/>
                <w:szCs w:val="18"/>
              </w:rPr>
              <w:t>L</w:t>
            </w:r>
          </w:p>
        </w:tc>
        <w:tc>
          <w:tcPr>
            <w:tcW w:w="1326"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2.5x10</w:t>
            </w:r>
            <w:r w:rsidRPr="00BC13BE">
              <w:rPr>
                <w:position w:val="6"/>
                <w:szCs w:val="24"/>
                <w:vertAlign w:val="superscript"/>
              </w:rPr>
              <w:t xml:space="preserve">5 </w:t>
            </w:r>
            <w:r w:rsidRPr="00BC13BE">
              <w:rPr>
                <w:rFonts w:eastAsia="Calibri"/>
                <w:szCs w:val="18"/>
              </w:rPr>
              <w:t>/m</w:t>
            </w:r>
            <w:r>
              <w:rPr>
                <w:rFonts w:eastAsia="Calibri"/>
                <w:szCs w:val="18"/>
              </w:rPr>
              <w:t>L</w:t>
            </w:r>
          </w:p>
        </w:tc>
      </w:tr>
      <w:tr w:rsidR="00CA7A32" w:rsidRPr="00BC13BE" w:rsidTr="00CA7A32">
        <w:trPr>
          <w:cantSplit/>
          <w:jc w:val="center"/>
        </w:trPr>
        <w:tc>
          <w:tcPr>
            <w:tcW w:w="1847" w:type="dxa"/>
            <w:vMerge w:val="restart"/>
            <w:tcBorders>
              <w:top w:val="single" w:sz="4" w:space="0" w:color="auto"/>
              <w:left w:val="single" w:sz="4" w:space="0" w:color="auto"/>
              <w:right w:val="single" w:sz="8" w:space="0" w:color="auto"/>
            </w:tcBorders>
          </w:tcPr>
          <w:p w:rsidR="00CA7A32" w:rsidRPr="00BC13BE" w:rsidRDefault="00CA7A32" w:rsidP="00CA7A32">
            <w:pPr>
              <w:pStyle w:val="Table2"/>
              <w:rPr>
                <w:szCs w:val="18"/>
              </w:rPr>
            </w:pPr>
            <w:r w:rsidRPr="00BC13BE">
              <w:rPr>
                <w:szCs w:val="24"/>
              </w:rPr>
              <w:t xml:space="preserve">Packaged cooked cured/salted meat </w:t>
            </w:r>
          </w:p>
        </w:tc>
        <w:tc>
          <w:tcPr>
            <w:tcW w:w="2306" w:type="dxa"/>
            <w:tcBorders>
              <w:top w:val="single" w:sz="8" w:space="0" w:color="auto"/>
              <w:left w:val="single" w:sz="8" w:space="0" w:color="auto"/>
              <w:right w:val="single" w:sz="8" w:space="0" w:color="auto"/>
            </w:tcBorders>
          </w:tcPr>
          <w:p w:rsidR="00CA7A32" w:rsidRDefault="00CA7A32" w:rsidP="00CA7A32">
            <w:pPr>
              <w:pStyle w:val="Table2"/>
              <w:rPr>
                <w:szCs w:val="24"/>
              </w:rPr>
            </w:pPr>
            <w:r w:rsidRPr="00BC13BE">
              <w:rPr>
                <w:szCs w:val="24"/>
              </w:rPr>
              <w:t>Coagulase-positive staphylococci</w:t>
            </w:r>
          </w:p>
          <w:p w:rsidR="00CA7A32" w:rsidRPr="00BC13BE" w:rsidRDefault="00CA7A32" w:rsidP="00CA7A32">
            <w:pPr>
              <w:pStyle w:val="Table2"/>
              <w:rPr>
                <w:szCs w:val="24"/>
              </w:rPr>
            </w:pPr>
          </w:p>
        </w:tc>
        <w:tc>
          <w:tcPr>
            <w:tcW w:w="934"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10</w:t>
            </w:r>
            <w:r w:rsidRPr="00BC13BE">
              <w:rPr>
                <w:position w:val="6"/>
                <w:szCs w:val="24"/>
                <w:vertAlign w:val="superscript"/>
              </w:rPr>
              <w:t xml:space="preserve">2 </w:t>
            </w:r>
            <w:r w:rsidRPr="00BC13BE">
              <w:rPr>
                <w:szCs w:val="24"/>
              </w:rPr>
              <w:t>/g</w:t>
            </w:r>
          </w:p>
        </w:tc>
        <w:tc>
          <w:tcPr>
            <w:tcW w:w="1326"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position w:val="6"/>
                <w:szCs w:val="24"/>
                <w:vertAlign w:val="superscript"/>
              </w:rPr>
              <w:t xml:space="preserve">3 </w:t>
            </w:r>
            <w:r w:rsidRPr="00BC13BE">
              <w:rPr>
                <w:szCs w:val="24"/>
              </w:rPr>
              <w:t>/g</w:t>
            </w:r>
          </w:p>
        </w:tc>
      </w:tr>
      <w:tr w:rsidR="00CA7A32" w:rsidRPr="00BC13BE" w:rsidTr="00CA7A32">
        <w:trPr>
          <w:cantSplit/>
          <w:jc w:val="center"/>
        </w:trPr>
        <w:tc>
          <w:tcPr>
            <w:tcW w:w="1847" w:type="dxa"/>
            <w:vMerge/>
            <w:tcBorders>
              <w:left w:val="single" w:sz="4" w:space="0" w:color="auto"/>
              <w:bottom w:val="single" w:sz="4"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bottom w:val="single" w:sz="8" w:space="0" w:color="auto"/>
              <w:right w:val="single" w:sz="8" w:space="0" w:color="auto"/>
            </w:tcBorders>
          </w:tcPr>
          <w:p w:rsidR="00CA7A32" w:rsidRPr="00990B51" w:rsidRDefault="00CA7A32" w:rsidP="00CA7A32">
            <w:pPr>
              <w:pStyle w:val="Table2"/>
              <w:rPr>
                <w:iCs/>
              </w:rPr>
            </w:pPr>
            <w:r w:rsidRPr="00990B51">
              <w:rPr>
                <w:i/>
              </w:rPr>
              <w:t>Salmonella</w:t>
            </w:r>
          </w:p>
          <w:p w:rsidR="00CA7A32" w:rsidRPr="00990B51" w:rsidRDefault="00CA7A32" w:rsidP="00CA7A32">
            <w:pPr>
              <w:pStyle w:val="Table2"/>
              <w:rPr>
                <w:iCs/>
              </w:rPr>
            </w:pPr>
          </w:p>
        </w:tc>
        <w:tc>
          <w:tcPr>
            <w:tcW w:w="934" w:type="dxa"/>
            <w:tcBorders>
              <w:left w:val="single" w:sz="8" w:space="0" w:color="auto"/>
              <w:bottom w:val="single" w:sz="8" w:space="0" w:color="auto"/>
              <w:right w:val="single" w:sz="8" w:space="0" w:color="auto"/>
            </w:tcBorders>
          </w:tcPr>
          <w:p w:rsidR="00CA7A32" w:rsidRPr="00990B51" w:rsidRDefault="00CA7A32" w:rsidP="00CA7A32">
            <w:pPr>
              <w:pStyle w:val="Table2"/>
              <w:jc w:val="center"/>
            </w:pPr>
            <w:r w:rsidRPr="00990B51">
              <w:t>5</w:t>
            </w:r>
          </w:p>
        </w:tc>
        <w:tc>
          <w:tcPr>
            <w:tcW w:w="935" w:type="dxa"/>
            <w:tcBorders>
              <w:left w:val="single" w:sz="8" w:space="0" w:color="auto"/>
              <w:bottom w:val="single" w:sz="8" w:space="0" w:color="auto"/>
              <w:right w:val="single" w:sz="8" w:space="0" w:color="auto"/>
            </w:tcBorders>
          </w:tcPr>
          <w:p w:rsidR="00CA7A32" w:rsidRPr="00990B51" w:rsidRDefault="00CA7A32" w:rsidP="00CA7A32">
            <w:pPr>
              <w:pStyle w:val="Table2"/>
              <w:jc w:val="center"/>
            </w:pPr>
            <w:r w:rsidRPr="00990B51">
              <w:t>0</w:t>
            </w:r>
          </w:p>
        </w:tc>
        <w:tc>
          <w:tcPr>
            <w:tcW w:w="1724" w:type="dxa"/>
            <w:tcBorders>
              <w:left w:val="single" w:sz="8" w:space="0" w:color="auto"/>
              <w:bottom w:val="single" w:sz="8" w:space="0" w:color="auto"/>
              <w:right w:val="single" w:sz="8" w:space="0" w:color="auto"/>
            </w:tcBorders>
          </w:tcPr>
          <w:p w:rsidR="00CA7A32" w:rsidRPr="00990B51" w:rsidRDefault="00CA7A32" w:rsidP="00CA7A32">
            <w:pPr>
              <w:pStyle w:val="Table2"/>
              <w:jc w:val="center"/>
            </w:pPr>
            <w:r w:rsidRPr="00990B51">
              <w:rPr>
                <w:szCs w:val="24"/>
              </w:rPr>
              <w:t>not detected in 25 g</w:t>
            </w:r>
          </w:p>
        </w:tc>
        <w:tc>
          <w:tcPr>
            <w:tcW w:w="1326" w:type="dxa"/>
            <w:tcBorders>
              <w:left w:val="single" w:sz="8" w:space="0" w:color="auto"/>
              <w:bottom w:val="single" w:sz="8" w:space="0" w:color="auto"/>
              <w:right w:val="single" w:sz="8" w:space="0" w:color="auto"/>
            </w:tcBorders>
          </w:tcPr>
          <w:p w:rsidR="00CA7A32" w:rsidRPr="008D4B2A" w:rsidRDefault="00CA7A32" w:rsidP="00CA7A32">
            <w:pPr>
              <w:pStyle w:val="Table2"/>
              <w:jc w:val="center"/>
              <w:rPr>
                <w:highlight w:val="yellow"/>
              </w:rPr>
            </w:pPr>
          </w:p>
        </w:tc>
      </w:tr>
      <w:tr w:rsidR="00CA7A32" w:rsidRPr="00BC13BE" w:rsidTr="00CA7A32">
        <w:trPr>
          <w:cantSplit/>
          <w:jc w:val="center"/>
        </w:trPr>
        <w:tc>
          <w:tcPr>
            <w:tcW w:w="1847" w:type="dxa"/>
            <w:tcBorders>
              <w:top w:val="single" w:sz="4" w:space="0" w:color="auto"/>
              <w:left w:val="single" w:sz="8" w:space="0" w:color="auto"/>
              <w:right w:val="single" w:sz="8" w:space="0" w:color="auto"/>
            </w:tcBorders>
          </w:tcPr>
          <w:p w:rsidR="00CA7A32" w:rsidRPr="00BC13BE" w:rsidRDefault="00CA7A32" w:rsidP="00CA7A32">
            <w:pPr>
              <w:pStyle w:val="Table2"/>
              <w:rPr>
                <w:szCs w:val="24"/>
              </w:rPr>
            </w:pPr>
            <w:r w:rsidRPr="00A35887">
              <w:rPr>
                <w:szCs w:val="18"/>
              </w:rPr>
              <w:t>Packaged heat treated meat paste and packaged heat treated pâté</w:t>
            </w:r>
          </w:p>
        </w:tc>
        <w:tc>
          <w:tcPr>
            <w:tcW w:w="2306" w:type="dxa"/>
            <w:tcBorders>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Salmonella</w:t>
            </w:r>
          </w:p>
        </w:tc>
        <w:tc>
          <w:tcPr>
            <w:tcW w:w="934"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val="restart"/>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All comminuted fermented meat which has not been cooked during the production process</w:t>
            </w:r>
          </w:p>
        </w:tc>
        <w:tc>
          <w:tcPr>
            <w:tcW w:w="2306"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Coagulase-positive staphylococci</w:t>
            </w:r>
          </w:p>
        </w:tc>
        <w:tc>
          <w:tcPr>
            <w:tcW w:w="934"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10</w:t>
            </w:r>
            <w:r w:rsidRPr="00BC13BE">
              <w:rPr>
                <w:position w:val="6"/>
                <w:szCs w:val="24"/>
                <w:vertAlign w:val="superscript"/>
              </w:rPr>
              <w:t xml:space="preserve">3 </w:t>
            </w:r>
            <w:r w:rsidRPr="00BC13BE">
              <w:rPr>
                <w:szCs w:val="24"/>
              </w:rPr>
              <w:t>/g</w:t>
            </w:r>
          </w:p>
        </w:tc>
        <w:tc>
          <w:tcPr>
            <w:tcW w:w="1326"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position w:val="6"/>
                <w:szCs w:val="24"/>
                <w:vertAlign w:val="superscript"/>
              </w:rPr>
              <w:t xml:space="preserve">4 </w:t>
            </w:r>
            <w:r w:rsidRPr="00BC13BE">
              <w:rPr>
                <w:szCs w:val="24"/>
              </w:rPr>
              <w:t>/g</w:t>
            </w:r>
          </w:p>
        </w:tc>
      </w:tr>
      <w:tr w:rsidR="00CA7A32" w:rsidRPr="00BC13BE" w:rsidTr="00CA7A32">
        <w:trPr>
          <w:cantSplit/>
          <w:jc w:val="center"/>
        </w:trPr>
        <w:tc>
          <w:tcPr>
            <w:tcW w:w="1847" w:type="dxa"/>
            <w:vMerge/>
            <w:tcBorders>
              <w:left w:val="single" w:sz="8" w:space="0" w:color="auto"/>
              <w:right w:val="single" w:sz="8" w:space="0" w:color="auto"/>
            </w:tcBorders>
          </w:tcPr>
          <w:p w:rsidR="00CA7A32" w:rsidRPr="00BC13BE" w:rsidRDefault="00CA7A32" w:rsidP="00CA7A32">
            <w:pPr>
              <w:pStyle w:val="Table2"/>
              <w:rPr>
                <w:sz w:val="20"/>
                <w:szCs w:val="24"/>
              </w:rPr>
            </w:pPr>
          </w:p>
        </w:tc>
        <w:tc>
          <w:tcPr>
            <w:tcW w:w="2306" w:type="dxa"/>
            <w:tcBorders>
              <w:left w:val="single" w:sz="8" w:space="0" w:color="auto"/>
              <w:right w:val="single" w:sz="8" w:space="0" w:color="auto"/>
            </w:tcBorders>
          </w:tcPr>
          <w:p w:rsidR="00CA7A32" w:rsidRPr="00BC13BE" w:rsidRDefault="00CA7A32" w:rsidP="00CA7A32">
            <w:pPr>
              <w:pStyle w:val="Table2"/>
              <w:rPr>
                <w:iCs/>
                <w:szCs w:val="24"/>
              </w:rPr>
            </w:pPr>
            <w:r w:rsidRPr="00BC13BE">
              <w:rPr>
                <w:i/>
                <w:iCs/>
                <w:szCs w:val="24"/>
              </w:rPr>
              <w:t>Escherichia coli</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 xml:space="preserve">3.6 </w:t>
            </w:r>
            <w:r>
              <w:rPr>
                <w:szCs w:val="24"/>
              </w:rPr>
              <w:t>/</w:t>
            </w:r>
            <w:r w:rsidRPr="00BC13BE">
              <w:rPr>
                <w:szCs w:val="24"/>
              </w:rPr>
              <w:t>g</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 xml:space="preserve">9.2 </w:t>
            </w:r>
            <w:r>
              <w:rPr>
                <w:szCs w:val="24"/>
              </w:rPr>
              <w:t>/</w:t>
            </w:r>
            <w:r w:rsidRPr="00BC13BE">
              <w:rPr>
                <w:szCs w:val="24"/>
              </w:rPr>
              <w:t>g</w:t>
            </w:r>
          </w:p>
        </w:tc>
      </w:tr>
      <w:tr w:rsidR="00CA7A32" w:rsidRPr="00BC13BE" w:rsidTr="00CA7A32">
        <w:trPr>
          <w:cantSplit/>
          <w:jc w:val="center"/>
        </w:trPr>
        <w:tc>
          <w:tcPr>
            <w:tcW w:w="1847" w:type="dxa"/>
            <w:vMerge/>
            <w:tcBorders>
              <w:left w:val="single" w:sz="8" w:space="0" w:color="auto"/>
              <w:bottom w:val="single" w:sz="8" w:space="0" w:color="auto"/>
              <w:right w:val="single" w:sz="8" w:space="0" w:color="auto"/>
            </w:tcBorders>
          </w:tcPr>
          <w:p w:rsidR="00CA7A32" w:rsidRPr="00BC13BE" w:rsidRDefault="00CA7A32" w:rsidP="00CA7A32">
            <w:pPr>
              <w:pStyle w:val="Table2"/>
              <w:rPr>
                <w:sz w:val="20"/>
                <w:szCs w:val="24"/>
              </w:rPr>
            </w:pPr>
          </w:p>
        </w:tc>
        <w:tc>
          <w:tcPr>
            <w:tcW w:w="2306" w:type="dxa"/>
            <w:tcBorders>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iCs/>
                <w:szCs w:val="24"/>
              </w:rPr>
              <w:t>Salmonella</w:t>
            </w:r>
          </w:p>
        </w:tc>
        <w:tc>
          <w:tcPr>
            <w:tcW w:w="934"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val="restart"/>
            <w:tcBorders>
              <w:top w:val="single" w:sz="8" w:space="0" w:color="auto"/>
              <w:left w:val="single" w:sz="8" w:space="0" w:color="auto"/>
              <w:bottom w:val="single" w:sz="4" w:space="0" w:color="auto"/>
              <w:right w:val="single" w:sz="8" w:space="0" w:color="auto"/>
            </w:tcBorders>
          </w:tcPr>
          <w:p w:rsidR="00CA7A32" w:rsidRPr="00BC13BE" w:rsidRDefault="00CA7A32" w:rsidP="00CA7A32">
            <w:pPr>
              <w:pStyle w:val="Table2"/>
              <w:rPr>
                <w:szCs w:val="24"/>
              </w:rPr>
            </w:pPr>
            <w:r w:rsidRPr="00BC13BE">
              <w:rPr>
                <w:szCs w:val="24"/>
              </w:rPr>
              <w:t>Cooked crustacea</w:t>
            </w:r>
          </w:p>
        </w:tc>
        <w:tc>
          <w:tcPr>
            <w:tcW w:w="2306"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Coagulase-positive staphylococci</w:t>
            </w:r>
          </w:p>
        </w:tc>
        <w:tc>
          <w:tcPr>
            <w:tcW w:w="934"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2</w:t>
            </w:r>
          </w:p>
        </w:tc>
        <w:tc>
          <w:tcPr>
            <w:tcW w:w="1724"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10</w:t>
            </w:r>
            <w:r w:rsidRPr="00BC13BE">
              <w:rPr>
                <w:position w:val="6"/>
                <w:szCs w:val="24"/>
                <w:vertAlign w:val="superscript"/>
              </w:rPr>
              <w:t xml:space="preserve">2 </w:t>
            </w:r>
            <w:r w:rsidRPr="00BC13BE">
              <w:rPr>
                <w:szCs w:val="24"/>
              </w:rPr>
              <w:t>/g</w:t>
            </w:r>
          </w:p>
        </w:tc>
        <w:tc>
          <w:tcPr>
            <w:tcW w:w="1326"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position w:val="6"/>
                <w:szCs w:val="24"/>
                <w:vertAlign w:val="superscript"/>
              </w:rPr>
              <w:t xml:space="preserve">3 </w:t>
            </w:r>
            <w:r w:rsidRPr="00BC13BE">
              <w:rPr>
                <w:szCs w:val="24"/>
              </w:rPr>
              <w:t>/g</w:t>
            </w:r>
          </w:p>
        </w:tc>
      </w:tr>
      <w:tr w:rsidR="00CA7A32" w:rsidRPr="00BC13BE" w:rsidTr="00CA7A32">
        <w:trPr>
          <w:cantSplit/>
          <w:jc w:val="center"/>
        </w:trPr>
        <w:tc>
          <w:tcPr>
            <w:tcW w:w="1847" w:type="dxa"/>
            <w:vMerge/>
            <w:tcBorders>
              <w:left w:val="single" w:sz="8" w:space="0" w:color="auto"/>
              <w:bottom w:val="single" w:sz="4"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iCs/>
                <w:szCs w:val="24"/>
              </w:rPr>
            </w:pPr>
            <w:r w:rsidRPr="00BC13BE">
              <w:rPr>
                <w:i/>
                <w:szCs w:val="24"/>
              </w:rPr>
              <w:t>Salmonella</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tcBorders>
              <w:left w:val="single" w:sz="8" w:space="0" w:color="auto"/>
              <w:bottom w:val="single" w:sz="4"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SPC</w:t>
            </w:r>
          </w:p>
        </w:tc>
        <w:tc>
          <w:tcPr>
            <w:tcW w:w="934"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2</w:t>
            </w:r>
          </w:p>
        </w:tc>
        <w:tc>
          <w:tcPr>
            <w:tcW w:w="1724"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10</w:t>
            </w:r>
            <w:r w:rsidRPr="00BC13BE">
              <w:rPr>
                <w:position w:val="6"/>
                <w:szCs w:val="24"/>
                <w:vertAlign w:val="superscript"/>
              </w:rPr>
              <w:t xml:space="preserve">5 </w:t>
            </w:r>
            <w:r w:rsidRPr="00BC13BE">
              <w:rPr>
                <w:szCs w:val="24"/>
              </w:rPr>
              <w:t>/g</w:t>
            </w:r>
          </w:p>
        </w:tc>
        <w:tc>
          <w:tcPr>
            <w:tcW w:w="1326"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position w:val="6"/>
                <w:szCs w:val="24"/>
                <w:vertAlign w:val="superscript"/>
              </w:rPr>
              <w:t xml:space="preserve">6 </w:t>
            </w:r>
            <w:r w:rsidRPr="00BC13BE">
              <w:rPr>
                <w:szCs w:val="24"/>
              </w:rPr>
              <w:t>/g</w:t>
            </w:r>
          </w:p>
        </w:tc>
      </w:tr>
      <w:tr w:rsidR="00CA7A32" w:rsidRPr="00BC13BE" w:rsidTr="00CA7A32">
        <w:trPr>
          <w:cantSplit/>
          <w:jc w:val="center"/>
        </w:trPr>
        <w:tc>
          <w:tcPr>
            <w:tcW w:w="1847" w:type="dxa"/>
            <w:vMerge w:val="restart"/>
            <w:tcBorders>
              <w:top w:val="single" w:sz="4"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Raw crustacea</w:t>
            </w:r>
          </w:p>
        </w:tc>
        <w:tc>
          <w:tcPr>
            <w:tcW w:w="2306"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Coagulase-positive staphylococci</w:t>
            </w:r>
          </w:p>
        </w:tc>
        <w:tc>
          <w:tcPr>
            <w:tcW w:w="934"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2</w:t>
            </w:r>
          </w:p>
        </w:tc>
        <w:tc>
          <w:tcPr>
            <w:tcW w:w="1724"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10</w:t>
            </w:r>
            <w:r w:rsidRPr="00BC13BE">
              <w:rPr>
                <w:rFonts w:cs="Times"/>
                <w:position w:val="6"/>
                <w:szCs w:val="24"/>
                <w:vertAlign w:val="superscript"/>
              </w:rPr>
              <w:t xml:space="preserve">2 </w:t>
            </w:r>
            <w:r w:rsidRPr="00BC13BE">
              <w:rPr>
                <w:szCs w:val="24"/>
              </w:rPr>
              <w:t>/g</w:t>
            </w:r>
          </w:p>
        </w:tc>
        <w:tc>
          <w:tcPr>
            <w:tcW w:w="1326"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rFonts w:cs="Times"/>
                <w:position w:val="6"/>
                <w:szCs w:val="24"/>
                <w:vertAlign w:val="superscript"/>
              </w:rPr>
              <w:t xml:space="preserve">3 </w:t>
            </w:r>
            <w:r w:rsidRPr="00BC13BE">
              <w:rPr>
                <w:szCs w:val="24"/>
              </w:rPr>
              <w:t>/g</w:t>
            </w:r>
          </w:p>
        </w:tc>
      </w:tr>
      <w:tr w:rsidR="00CA7A32" w:rsidRPr="00BC13BE" w:rsidTr="00CA7A32">
        <w:trPr>
          <w:cantSplit/>
          <w:jc w:val="center"/>
        </w:trPr>
        <w:tc>
          <w:tcPr>
            <w:tcW w:w="1847" w:type="dxa"/>
            <w:vMerge/>
            <w:tcBorders>
              <w:left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iCs/>
                <w:szCs w:val="24"/>
              </w:rPr>
            </w:pPr>
            <w:r w:rsidRPr="00BC13BE">
              <w:rPr>
                <w:i/>
                <w:szCs w:val="24"/>
              </w:rPr>
              <w:t>Salmonella</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SPC</w:t>
            </w:r>
          </w:p>
        </w:tc>
        <w:tc>
          <w:tcPr>
            <w:tcW w:w="934"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2</w:t>
            </w:r>
          </w:p>
        </w:tc>
        <w:tc>
          <w:tcPr>
            <w:tcW w:w="1724"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5x10</w:t>
            </w:r>
            <w:r w:rsidRPr="00BC13BE">
              <w:rPr>
                <w:rFonts w:cs="Times"/>
                <w:position w:val="6"/>
                <w:szCs w:val="24"/>
                <w:vertAlign w:val="superscript"/>
              </w:rPr>
              <w:t xml:space="preserve">5 </w:t>
            </w:r>
            <w:r w:rsidRPr="00BC13BE">
              <w:rPr>
                <w:szCs w:val="24"/>
              </w:rPr>
              <w:t>/g</w:t>
            </w:r>
          </w:p>
        </w:tc>
        <w:tc>
          <w:tcPr>
            <w:tcW w:w="1326"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5x10</w:t>
            </w:r>
            <w:r w:rsidRPr="00BC13BE">
              <w:rPr>
                <w:rFonts w:cs="Times"/>
                <w:position w:val="6"/>
                <w:szCs w:val="24"/>
                <w:vertAlign w:val="superscript"/>
              </w:rPr>
              <w:t xml:space="preserve">6 </w:t>
            </w:r>
            <w:r w:rsidRPr="00BC13BE">
              <w:rPr>
                <w:szCs w:val="24"/>
              </w:rPr>
              <w:t>/g</w:t>
            </w: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Bivalve molluscs, other than scallops</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 xml:space="preserve">2.3 </w:t>
            </w:r>
            <w:r>
              <w:rPr>
                <w:szCs w:val="24"/>
              </w:rPr>
              <w:t>/</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 xml:space="preserve">7 </w:t>
            </w:r>
            <w:r>
              <w:rPr>
                <w:szCs w:val="24"/>
              </w:rPr>
              <w:t>/</w:t>
            </w:r>
            <w:r w:rsidRPr="00BC13BE">
              <w:rPr>
                <w:szCs w:val="24"/>
              </w:rPr>
              <w:t>g</w:t>
            </w: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 xml:space="preserve">Ready-to-eat food in which growth of </w:t>
            </w:r>
            <w:r w:rsidRPr="00BC13BE">
              <w:rPr>
                <w:i/>
                <w:szCs w:val="24"/>
              </w:rPr>
              <w:t>Listeria monocytogenes</w:t>
            </w:r>
            <w:r w:rsidRPr="00BC13BE">
              <w:rPr>
                <w:szCs w:val="24"/>
              </w:rPr>
              <w:t xml:space="preserve"> will not occur</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
                <w:szCs w:val="24"/>
              </w:rPr>
            </w:pPr>
            <w:r w:rsidRPr="00BC13BE">
              <w:rPr>
                <w:i/>
                <w:szCs w:val="24"/>
              </w:rPr>
              <w:t>Listeria monocytogenes</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10</w:t>
            </w:r>
            <w:r w:rsidRPr="00BC13BE">
              <w:rPr>
                <w:position w:val="6"/>
                <w:szCs w:val="24"/>
                <w:vertAlign w:val="superscript"/>
              </w:rPr>
              <w:t>2</w:t>
            </w:r>
            <w:r w:rsidRPr="00BC13BE">
              <w:rPr>
                <w:szCs w:val="24"/>
              </w:rPr>
              <w:t xml:space="preserve"> cfu/g </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lastRenderedPageBreak/>
              <w:t xml:space="preserve">Ready-to-eat food in which growth of </w:t>
            </w:r>
            <w:r w:rsidRPr="00BC13BE">
              <w:rPr>
                <w:i/>
                <w:szCs w:val="24"/>
              </w:rPr>
              <w:t>Listeria monocytogenes</w:t>
            </w:r>
            <w:r w:rsidRPr="00BC13BE">
              <w:rPr>
                <w:szCs w:val="24"/>
              </w:rPr>
              <w:t xml:space="preserve"> can occur</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
                <w:szCs w:val="24"/>
              </w:rPr>
            </w:pPr>
            <w:r w:rsidRPr="00BC13BE">
              <w:rPr>
                <w:i/>
                <w:szCs w:val="24"/>
              </w:rPr>
              <w:t>Listeria monocytogenes</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val="restart"/>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Cereal based foods for infants</w:t>
            </w:r>
          </w:p>
        </w:tc>
        <w:tc>
          <w:tcPr>
            <w:tcW w:w="2306"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Coliforms</w:t>
            </w:r>
          </w:p>
        </w:tc>
        <w:tc>
          <w:tcPr>
            <w:tcW w:w="934"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2</w:t>
            </w:r>
          </w:p>
        </w:tc>
        <w:tc>
          <w:tcPr>
            <w:tcW w:w="1724"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Pr>
                <w:szCs w:val="24"/>
              </w:rPr>
              <w:t xml:space="preserve">less than </w:t>
            </w:r>
            <w:r w:rsidRPr="00BC13BE">
              <w:rPr>
                <w:szCs w:val="24"/>
              </w:rPr>
              <w:t xml:space="preserve">3 </w:t>
            </w:r>
            <w:r>
              <w:rPr>
                <w:szCs w:val="24"/>
              </w:rPr>
              <w:t>/</w:t>
            </w:r>
            <w:r w:rsidRPr="00BC13BE">
              <w:rPr>
                <w:szCs w:val="24"/>
              </w:rPr>
              <w:t>g</w:t>
            </w:r>
          </w:p>
        </w:tc>
        <w:tc>
          <w:tcPr>
            <w:tcW w:w="1326"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 xml:space="preserve">20 </w:t>
            </w:r>
            <w:r>
              <w:rPr>
                <w:szCs w:val="24"/>
              </w:rPr>
              <w:t>/</w:t>
            </w:r>
            <w:r w:rsidRPr="00BC13BE">
              <w:rPr>
                <w:szCs w:val="24"/>
              </w:rPr>
              <w:t>g</w:t>
            </w:r>
          </w:p>
        </w:tc>
      </w:tr>
      <w:tr w:rsidR="00CA7A32" w:rsidRPr="00BC13BE" w:rsidTr="00CA7A32">
        <w:trPr>
          <w:cantSplit/>
          <w:jc w:val="center"/>
        </w:trPr>
        <w:tc>
          <w:tcPr>
            <w:tcW w:w="1847" w:type="dxa"/>
            <w:vMerge/>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Salmonella</w:t>
            </w:r>
          </w:p>
        </w:tc>
        <w:tc>
          <w:tcPr>
            <w:tcW w:w="934"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p>
        </w:tc>
        <w:tc>
          <w:tcPr>
            <w:tcW w:w="935"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val="restart"/>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Powdered infant formula products</w:t>
            </w:r>
          </w:p>
        </w:tc>
        <w:tc>
          <w:tcPr>
            <w:tcW w:w="2306"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i/>
                <w:szCs w:val="24"/>
              </w:rPr>
              <w:t>Bacillus cereus</w:t>
            </w:r>
          </w:p>
        </w:tc>
        <w:tc>
          <w:tcPr>
            <w:tcW w:w="934"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right w:val="single" w:sz="8" w:space="0" w:color="auto"/>
            </w:tcBorders>
          </w:tcPr>
          <w:p w:rsidR="00CA7A32" w:rsidRPr="00BC13BE" w:rsidRDefault="00CA7A32" w:rsidP="00CA7A32">
            <w:pPr>
              <w:pStyle w:val="Table2"/>
              <w:rPr>
                <w:szCs w:val="24"/>
              </w:rPr>
            </w:pPr>
            <w:r w:rsidRPr="00BC13BE">
              <w:rPr>
                <w:szCs w:val="24"/>
              </w:rPr>
              <w:t>10</w:t>
            </w:r>
            <w:r w:rsidRPr="00BC13BE">
              <w:rPr>
                <w:position w:val="6"/>
                <w:szCs w:val="24"/>
                <w:vertAlign w:val="superscript"/>
              </w:rPr>
              <w:t>2</w:t>
            </w:r>
            <w:r>
              <w:rPr>
                <w:position w:val="6"/>
                <w:szCs w:val="24"/>
                <w:vertAlign w:val="superscript"/>
              </w:rPr>
              <w:t xml:space="preserve"> </w:t>
            </w:r>
            <w:r w:rsidRPr="00BC13BE">
              <w:rPr>
                <w:szCs w:val="24"/>
              </w:rPr>
              <w:t>/g</w:t>
            </w:r>
          </w:p>
        </w:tc>
        <w:tc>
          <w:tcPr>
            <w:tcW w:w="1326" w:type="dxa"/>
            <w:tcBorders>
              <w:top w:val="single" w:sz="8" w:space="0" w:color="auto"/>
              <w:left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tcBorders>
              <w:left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Coagulase-positive staphylococci</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Pr>
                <w:szCs w:val="24"/>
              </w:rPr>
              <w:t>n</w:t>
            </w:r>
            <w:r w:rsidRPr="00BC13BE">
              <w:rPr>
                <w:szCs w:val="24"/>
              </w:rPr>
              <w:t>ot detected in 1</w:t>
            </w:r>
            <w:r>
              <w:rPr>
                <w:szCs w:val="24"/>
              </w:rPr>
              <w:t> </w:t>
            </w:r>
            <w:r w:rsidRPr="00BC13BE">
              <w:rPr>
                <w:szCs w:val="24"/>
              </w:rPr>
              <w:t>g</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 /g</w:t>
            </w:r>
          </w:p>
        </w:tc>
      </w:tr>
      <w:tr w:rsidR="00CA7A32" w:rsidRPr="00BC13BE" w:rsidTr="00CA7A32">
        <w:trPr>
          <w:cantSplit/>
          <w:jc w:val="center"/>
        </w:trPr>
        <w:tc>
          <w:tcPr>
            <w:tcW w:w="1847" w:type="dxa"/>
            <w:vMerge/>
            <w:tcBorders>
              <w:left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Coliforms</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2</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Pr>
                <w:szCs w:val="24"/>
              </w:rPr>
              <w:t>less than</w:t>
            </w:r>
            <w:r w:rsidRPr="00BC13BE">
              <w:rPr>
                <w:szCs w:val="24"/>
              </w:rPr>
              <w:t xml:space="preserve">3 </w:t>
            </w:r>
            <w:r>
              <w:rPr>
                <w:szCs w:val="24"/>
              </w:rPr>
              <w:t>/</w:t>
            </w:r>
            <w:r w:rsidRPr="00BC13BE">
              <w:rPr>
                <w:szCs w:val="24"/>
              </w:rPr>
              <w:t>g</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 xml:space="preserve">10 </w:t>
            </w:r>
            <w:r>
              <w:rPr>
                <w:szCs w:val="24"/>
              </w:rPr>
              <w:t>/</w:t>
            </w:r>
            <w:r w:rsidRPr="00BC13BE">
              <w:rPr>
                <w:szCs w:val="24"/>
              </w:rPr>
              <w:t>g</w:t>
            </w:r>
          </w:p>
        </w:tc>
      </w:tr>
      <w:tr w:rsidR="00CA7A32" w:rsidRPr="00BC13BE" w:rsidTr="00CA7A32">
        <w:trPr>
          <w:cantSplit/>
          <w:jc w:val="center"/>
        </w:trPr>
        <w:tc>
          <w:tcPr>
            <w:tcW w:w="1847" w:type="dxa"/>
            <w:vMerge/>
            <w:tcBorders>
              <w:left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right w:val="single" w:sz="8" w:space="0" w:color="auto"/>
            </w:tcBorders>
          </w:tcPr>
          <w:p w:rsidR="00CA7A32" w:rsidRPr="00BC13BE" w:rsidRDefault="00CA7A32" w:rsidP="00CA7A32">
            <w:pPr>
              <w:pStyle w:val="Table2"/>
              <w:rPr>
                <w:iCs/>
                <w:szCs w:val="24"/>
              </w:rPr>
            </w:pPr>
            <w:r w:rsidRPr="00BC13BE">
              <w:rPr>
                <w:i/>
                <w:szCs w:val="24"/>
              </w:rPr>
              <w:t>Salmonella</w:t>
            </w:r>
          </w:p>
        </w:tc>
        <w:tc>
          <w:tcPr>
            <w:tcW w:w="934"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p>
        </w:tc>
        <w:tc>
          <w:tcPr>
            <w:tcW w:w="935" w:type="dxa"/>
            <w:tcBorders>
              <w:left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left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left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vMerge/>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p>
        </w:tc>
        <w:tc>
          <w:tcPr>
            <w:tcW w:w="2306"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SPC</w:t>
            </w:r>
          </w:p>
        </w:tc>
        <w:tc>
          <w:tcPr>
            <w:tcW w:w="934"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2</w:t>
            </w:r>
          </w:p>
        </w:tc>
        <w:tc>
          <w:tcPr>
            <w:tcW w:w="1724" w:type="dxa"/>
            <w:tcBorders>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10</w:t>
            </w:r>
            <w:r w:rsidRPr="00BC13BE">
              <w:rPr>
                <w:rFonts w:cs="Times"/>
                <w:position w:val="6"/>
                <w:szCs w:val="24"/>
                <w:vertAlign w:val="superscript"/>
              </w:rPr>
              <w:t xml:space="preserve">3 </w:t>
            </w:r>
            <w:r w:rsidRPr="00BC13BE">
              <w:rPr>
                <w:szCs w:val="24"/>
              </w:rPr>
              <w:t>/g</w:t>
            </w:r>
          </w:p>
        </w:tc>
        <w:tc>
          <w:tcPr>
            <w:tcW w:w="1326" w:type="dxa"/>
            <w:tcBorders>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r w:rsidRPr="00BC13BE">
              <w:rPr>
                <w:rFonts w:cs="Times"/>
                <w:position w:val="6"/>
                <w:szCs w:val="24"/>
                <w:vertAlign w:val="superscript"/>
              </w:rPr>
              <w:t xml:space="preserve">4 </w:t>
            </w:r>
            <w:r w:rsidRPr="00BC13BE">
              <w:rPr>
                <w:szCs w:val="24"/>
              </w:rPr>
              <w:t>/g</w:t>
            </w: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Pepper, paprika and cinnamon</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
                <w:szCs w:val="24"/>
              </w:rPr>
            </w:pPr>
            <w:r w:rsidRPr="00BC13BE">
              <w:rPr>
                <w:i/>
                <w:szCs w:val="24"/>
              </w:rPr>
              <w:t>Salmonella</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 xml:space="preserve">Dried, chipped, </w:t>
            </w:r>
            <w:r w:rsidRPr="00EC7D0B">
              <w:rPr>
                <w:szCs w:val="24"/>
              </w:rPr>
              <w:t>de</w:t>
            </w:r>
            <w:r w:rsidRPr="00BC13BE">
              <w:rPr>
                <w:szCs w:val="24"/>
              </w:rPr>
              <w:t>sic</w:t>
            </w:r>
            <w:r w:rsidRPr="00EC7D0B">
              <w:rPr>
                <w:szCs w:val="24"/>
              </w:rPr>
              <w:t>c</w:t>
            </w:r>
            <w:r w:rsidRPr="00BC13BE">
              <w:rPr>
                <w:szCs w:val="24"/>
              </w:rPr>
              <w:t>ated coconut</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
                <w:szCs w:val="24"/>
              </w:rPr>
            </w:pPr>
            <w:r w:rsidRPr="00BC13BE">
              <w:rPr>
                <w:i/>
                <w:szCs w:val="24"/>
              </w:rPr>
              <w:t>Salmonella</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10</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Cocoa powder</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
                <w:szCs w:val="24"/>
              </w:rPr>
            </w:pPr>
            <w:r w:rsidRPr="00BC13BE">
              <w:rPr>
                <w:i/>
                <w:szCs w:val="24"/>
              </w:rPr>
              <w:t>Salmonella</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Cultured seeds and grains (bean sprouts, alfalfa etc)</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
                <w:szCs w:val="24"/>
              </w:rPr>
            </w:pPr>
            <w:r w:rsidRPr="00BC13BE">
              <w:rPr>
                <w:i/>
                <w:szCs w:val="24"/>
              </w:rPr>
              <w:t>Salmonella</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Pasteurised egg products</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Salmonella</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shd w:val="clear" w:color="auto" w:fill="auto"/>
          </w:tcPr>
          <w:p w:rsidR="00CA7A32" w:rsidRPr="00BC13BE" w:rsidRDefault="00CA7A32" w:rsidP="00CA7A32">
            <w:pPr>
              <w:pStyle w:val="Table2"/>
              <w:rPr>
                <w:szCs w:val="24"/>
              </w:rPr>
            </w:pPr>
            <w:r w:rsidRPr="00BC13BE">
              <w:rPr>
                <w:szCs w:val="24"/>
              </w:rPr>
              <w:t>Processed egg product</w:t>
            </w:r>
          </w:p>
        </w:tc>
        <w:tc>
          <w:tcPr>
            <w:tcW w:w="2306" w:type="dxa"/>
            <w:tcBorders>
              <w:top w:val="single" w:sz="8" w:space="0" w:color="auto"/>
              <w:left w:val="single" w:sz="8" w:space="0" w:color="auto"/>
              <w:bottom w:val="single" w:sz="8" w:space="0" w:color="auto"/>
              <w:right w:val="single" w:sz="8" w:space="0" w:color="auto"/>
            </w:tcBorders>
            <w:shd w:val="clear" w:color="auto" w:fill="auto"/>
          </w:tcPr>
          <w:p w:rsidR="00CA7A32" w:rsidRPr="00BC13BE" w:rsidRDefault="00CA7A32" w:rsidP="00CA7A32">
            <w:pPr>
              <w:pStyle w:val="Table2"/>
              <w:rPr>
                <w:iCs/>
                <w:szCs w:val="24"/>
              </w:rPr>
            </w:pPr>
            <w:r w:rsidRPr="00BC13BE">
              <w:rPr>
                <w:i/>
                <w:szCs w:val="24"/>
              </w:rPr>
              <w:t>Salmonella</w:t>
            </w:r>
          </w:p>
        </w:tc>
        <w:tc>
          <w:tcPr>
            <w:tcW w:w="934" w:type="dxa"/>
            <w:tcBorders>
              <w:top w:val="single" w:sz="8" w:space="0" w:color="auto"/>
              <w:left w:val="single" w:sz="8" w:space="0" w:color="auto"/>
              <w:bottom w:val="single" w:sz="8" w:space="0" w:color="auto"/>
              <w:right w:val="single" w:sz="8" w:space="0" w:color="auto"/>
            </w:tcBorders>
            <w:shd w:val="clear" w:color="auto" w:fill="auto"/>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shd w:val="clear" w:color="auto" w:fill="auto"/>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shd w:val="clear" w:color="auto" w:fill="auto"/>
          </w:tcPr>
          <w:p w:rsidR="00CA7A32" w:rsidRPr="00BC13BE" w:rsidRDefault="00CA7A32" w:rsidP="00CA7A32">
            <w:pPr>
              <w:pStyle w:val="Table2"/>
              <w:rPr>
                <w:szCs w:val="24"/>
              </w:rPr>
            </w:pPr>
            <w:r w:rsidRPr="00BC13BE">
              <w:rPr>
                <w:szCs w:val="24"/>
              </w:rPr>
              <w:t>not detected in 25</w:t>
            </w:r>
            <w:r>
              <w:rPr>
                <w:szCs w:val="24"/>
              </w:rPr>
              <w:t> </w:t>
            </w:r>
            <w:r w:rsidRPr="00BC13BE">
              <w:rPr>
                <w:szCs w:val="24"/>
              </w:rPr>
              <w:t>g</w:t>
            </w:r>
          </w:p>
        </w:tc>
        <w:tc>
          <w:tcPr>
            <w:tcW w:w="1326" w:type="dxa"/>
            <w:tcBorders>
              <w:top w:val="single" w:sz="8" w:space="0" w:color="auto"/>
              <w:left w:val="single" w:sz="8" w:space="0" w:color="auto"/>
              <w:bottom w:val="single" w:sz="8" w:space="0" w:color="auto"/>
              <w:right w:val="single" w:sz="8" w:space="0" w:color="auto"/>
            </w:tcBorders>
            <w:shd w:val="clear" w:color="auto" w:fill="auto"/>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Mineral water</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100</w:t>
            </w:r>
            <w:r>
              <w:rPr>
                <w:szCs w:val="24"/>
              </w:rPr>
              <w:t> </w:t>
            </w:r>
            <w:r w:rsidRPr="00BC13BE">
              <w:rPr>
                <w:szCs w:val="24"/>
              </w:rPr>
              <w:t>m</w:t>
            </w:r>
            <w:r>
              <w:rPr>
                <w:szCs w:val="24"/>
              </w:rPr>
              <w:t>L</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Packaged water</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100</w:t>
            </w:r>
            <w:r>
              <w:rPr>
                <w:szCs w:val="24"/>
              </w:rPr>
              <w:t> </w:t>
            </w:r>
            <w:r w:rsidRPr="00BC13BE">
              <w:rPr>
                <w:szCs w:val="24"/>
              </w:rPr>
              <w:t>m</w:t>
            </w:r>
            <w:r>
              <w:rPr>
                <w:szCs w:val="24"/>
              </w:rPr>
              <w:t>L</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r w:rsidR="00CA7A32" w:rsidRPr="00BC13BE" w:rsidTr="00CA7A32">
        <w:trPr>
          <w:cantSplit/>
          <w:jc w:val="center"/>
        </w:trPr>
        <w:tc>
          <w:tcPr>
            <w:tcW w:w="1847"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Packaged ice</w:t>
            </w:r>
          </w:p>
        </w:tc>
        <w:tc>
          <w:tcPr>
            <w:tcW w:w="230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iCs/>
                <w:szCs w:val="24"/>
              </w:rPr>
            </w:pPr>
            <w:r w:rsidRPr="00BC13BE">
              <w:rPr>
                <w:i/>
                <w:szCs w:val="24"/>
              </w:rPr>
              <w:t>Escherichia coli</w:t>
            </w:r>
          </w:p>
        </w:tc>
        <w:tc>
          <w:tcPr>
            <w:tcW w:w="93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5</w:t>
            </w:r>
          </w:p>
        </w:tc>
        <w:tc>
          <w:tcPr>
            <w:tcW w:w="935"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r w:rsidRPr="00BC13BE">
              <w:rPr>
                <w:szCs w:val="24"/>
              </w:rPr>
              <w:t>0</w:t>
            </w:r>
          </w:p>
        </w:tc>
        <w:tc>
          <w:tcPr>
            <w:tcW w:w="1724"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rPr>
                <w:szCs w:val="24"/>
              </w:rPr>
            </w:pPr>
            <w:r w:rsidRPr="00BC13BE">
              <w:rPr>
                <w:szCs w:val="24"/>
              </w:rPr>
              <w:t>not detected in 100</w:t>
            </w:r>
            <w:r>
              <w:rPr>
                <w:szCs w:val="24"/>
              </w:rPr>
              <w:t> </w:t>
            </w:r>
            <w:r w:rsidRPr="00BC13BE">
              <w:rPr>
                <w:szCs w:val="24"/>
              </w:rPr>
              <w:t>m</w:t>
            </w:r>
            <w:r>
              <w:rPr>
                <w:szCs w:val="24"/>
              </w:rPr>
              <w:t>L</w:t>
            </w:r>
          </w:p>
        </w:tc>
        <w:tc>
          <w:tcPr>
            <w:tcW w:w="1326" w:type="dxa"/>
            <w:tcBorders>
              <w:top w:val="single" w:sz="8" w:space="0" w:color="auto"/>
              <w:left w:val="single" w:sz="8" w:space="0" w:color="auto"/>
              <w:bottom w:val="single" w:sz="8" w:space="0" w:color="auto"/>
              <w:right w:val="single" w:sz="8" w:space="0" w:color="auto"/>
            </w:tcBorders>
          </w:tcPr>
          <w:p w:rsidR="00CA7A32" w:rsidRPr="00BC13BE" w:rsidRDefault="00CA7A32" w:rsidP="00CA7A32">
            <w:pPr>
              <w:pStyle w:val="Table2"/>
              <w:jc w:val="center"/>
              <w:rPr>
                <w:szCs w:val="24"/>
              </w:rPr>
            </w:pPr>
          </w:p>
        </w:tc>
      </w:tr>
    </w:tbl>
    <w:p w:rsidR="00CA7A32" w:rsidRPr="005D0049" w:rsidRDefault="00CA7A32" w:rsidP="00CA7A32">
      <w:pPr>
        <w:jc w:val="right"/>
        <w:rPr>
          <w:rFonts w:cs="Arial"/>
          <w:sz w:val="20"/>
        </w:rPr>
      </w:pPr>
      <w:r w:rsidRPr="005D0049">
        <w:rPr>
          <w:sz w:val="20"/>
        </w:rPr>
        <w:t>”</w:t>
      </w:r>
    </w:p>
    <w:p w:rsidR="00CA7A32" w:rsidRDefault="00CA7A32" w:rsidP="00CA7A32">
      <w:pPr>
        <w:pStyle w:val="Clause"/>
        <w:rPr>
          <w:iCs/>
        </w:rPr>
      </w:pPr>
      <w:r>
        <w:rPr>
          <w:rFonts w:cs="Arial"/>
        </w:rPr>
        <w:t>[1.8</w:t>
      </w:r>
      <w:r w:rsidRPr="00654331">
        <w:rPr>
          <w:rFonts w:cs="Arial"/>
        </w:rPr>
        <w:t>]</w:t>
      </w:r>
      <w:r w:rsidRPr="00654331">
        <w:rPr>
          <w:rFonts w:cs="Arial"/>
        </w:rPr>
        <w:tab/>
      </w:r>
      <w:r w:rsidRPr="00654331">
        <w:t>updating the Table of Provisions</w:t>
      </w:r>
      <w:r w:rsidRPr="00654331">
        <w:rPr>
          <w:iCs/>
        </w:rPr>
        <w:t xml:space="preserve"> to reflect these variations</w:t>
      </w:r>
    </w:p>
    <w:p w:rsidR="00CA7A32" w:rsidRPr="005D0049" w:rsidRDefault="00CA7A32" w:rsidP="00CA7A32">
      <w:pPr>
        <w:pStyle w:val="Clause"/>
      </w:pPr>
    </w:p>
    <w:p w:rsidR="00CA7A32" w:rsidRPr="009154B5" w:rsidRDefault="00CA7A32" w:rsidP="00CA7A32">
      <w:pPr>
        <w:pStyle w:val="Clause"/>
      </w:pPr>
      <w:r w:rsidRPr="009154B5">
        <w:rPr>
          <w:b/>
        </w:rPr>
        <w:t>[</w:t>
      </w:r>
      <w:r>
        <w:rPr>
          <w:b/>
        </w:rPr>
        <w:t>2</w:t>
      </w:r>
      <w:r w:rsidRPr="009154B5">
        <w:rPr>
          <w:b/>
        </w:rPr>
        <w:t>]</w:t>
      </w:r>
      <w:r w:rsidRPr="009154B5">
        <w:rPr>
          <w:b/>
        </w:rPr>
        <w:tab/>
        <w:t>Standard 4.2.5</w:t>
      </w:r>
      <w:r w:rsidRPr="009154B5">
        <w:t xml:space="preserve"> is varied by omitting the Editorial note at the end of clause 21 and substituting</w:t>
      </w:r>
    </w:p>
    <w:p w:rsidR="00CA7A32" w:rsidRPr="009154B5" w:rsidRDefault="00CA7A32" w:rsidP="00CA7A32">
      <w:pPr>
        <w:rPr>
          <w:sz w:val="20"/>
        </w:rPr>
      </w:pPr>
    </w:p>
    <w:p w:rsidR="00CA7A32" w:rsidRPr="009154B5" w:rsidRDefault="00CA7A32" w:rsidP="00CA7A32">
      <w:pPr>
        <w:rPr>
          <w:sz w:val="20"/>
        </w:rPr>
      </w:pPr>
      <w:r w:rsidRPr="009154B5">
        <w:rPr>
          <w:sz w:val="20"/>
        </w:rPr>
        <w:t>“</w:t>
      </w:r>
    </w:p>
    <w:p w:rsidR="00CA7A32" w:rsidRPr="009154B5" w:rsidRDefault="00CA7A32" w:rsidP="00CA7A32">
      <w:pPr>
        <w:pStyle w:val="EditorialNoteLine1"/>
      </w:pPr>
      <w:r w:rsidRPr="009154B5">
        <w:t>Editorial note:</w:t>
      </w:r>
    </w:p>
    <w:p w:rsidR="00CA7A32" w:rsidRPr="009154B5" w:rsidRDefault="00CA7A32" w:rsidP="00CA7A32">
      <w:pPr>
        <w:pStyle w:val="EditorialNotetext"/>
      </w:pPr>
    </w:p>
    <w:p w:rsidR="00CA7A32" w:rsidRPr="009154B5" w:rsidRDefault="00CA7A32" w:rsidP="00CA7A32">
      <w:pPr>
        <w:pStyle w:val="EditorialNotetext"/>
      </w:pPr>
      <w:r w:rsidRPr="009154B5">
        <w:t>For subclause 21(1), Standard 1.6.1 specifies microbiological limits for processed egg products for sale.</w:t>
      </w:r>
    </w:p>
    <w:p w:rsidR="00CA7A32" w:rsidRPr="005D0049" w:rsidRDefault="00CA7A32" w:rsidP="00CA7A32">
      <w:pPr>
        <w:pStyle w:val="Clause"/>
        <w:jc w:val="right"/>
      </w:pPr>
      <w:r w:rsidRPr="009154B5">
        <w:t>”</w:t>
      </w:r>
    </w:p>
    <w:p w:rsidR="00EB25BB" w:rsidRDefault="003C4969" w:rsidP="00EB25BB">
      <w:pPr>
        <w:pStyle w:val="Heading2"/>
        <w:ind w:left="0" w:firstLine="0"/>
      </w:pPr>
      <w:r w:rsidRPr="00932F14">
        <w:br w:type="page"/>
      </w:r>
      <w:bookmarkStart w:id="105" w:name="_Toc370226378"/>
      <w:bookmarkStart w:id="106" w:name="_Toc387927837"/>
      <w:bookmarkStart w:id="107" w:name="_Toc120358598"/>
      <w:bookmarkStart w:id="108" w:name="_Toc175381460"/>
      <w:r w:rsidR="00EB25BB" w:rsidRPr="00932F14">
        <w:lastRenderedPageBreak/>
        <w:t xml:space="preserve">Attachment </w:t>
      </w:r>
      <w:r w:rsidR="00EB25BB">
        <w:t>B – Explanatory Statement</w:t>
      </w:r>
      <w:bookmarkEnd w:id="105"/>
      <w:bookmarkEnd w:id="106"/>
    </w:p>
    <w:p w:rsidR="00EB25BB" w:rsidRPr="000576EB" w:rsidRDefault="00EB25BB" w:rsidP="00EB25BB">
      <w:pPr>
        <w:rPr>
          <w:b/>
          <w:lang w:val="en-AU" w:eastAsia="en-GB" w:bidi="ar-SA"/>
        </w:rPr>
      </w:pPr>
      <w:r w:rsidRPr="000576EB">
        <w:rPr>
          <w:b/>
          <w:lang w:val="en-AU" w:eastAsia="en-GB" w:bidi="ar-SA"/>
        </w:rPr>
        <w:t>1.</w:t>
      </w:r>
      <w:r w:rsidRPr="000576EB">
        <w:rPr>
          <w:b/>
          <w:lang w:val="en-AU" w:eastAsia="en-GB" w:bidi="ar-SA"/>
        </w:rPr>
        <w:tab/>
        <w:t>Authority</w:t>
      </w:r>
    </w:p>
    <w:p w:rsidR="00EB25BB" w:rsidRDefault="00EB25BB" w:rsidP="00EB25BB">
      <w:pPr>
        <w:rPr>
          <w:lang w:val="en-AU" w:eastAsia="en-GB" w:bidi="ar-SA"/>
        </w:rPr>
      </w:pPr>
    </w:p>
    <w:p w:rsidR="00EB25BB" w:rsidRPr="00D13E34" w:rsidRDefault="00EB25BB" w:rsidP="00EB25B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EB25BB" w:rsidRPr="005960CA" w:rsidRDefault="00EB25BB" w:rsidP="00EB25BB">
      <w:pPr>
        <w:widowControl/>
        <w:autoSpaceDE w:val="0"/>
        <w:autoSpaceDN w:val="0"/>
        <w:adjustRightInd w:val="0"/>
        <w:rPr>
          <w:rFonts w:eastAsia="Calibri" w:cs="Arial"/>
          <w:bCs/>
          <w:szCs w:val="22"/>
          <w:lang w:val="en-AU" w:bidi="ar-SA"/>
        </w:rPr>
      </w:pPr>
    </w:p>
    <w:p w:rsidR="005960CA" w:rsidRPr="005960CA" w:rsidRDefault="005960CA" w:rsidP="005960CA">
      <w:pPr>
        <w:widowControl/>
        <w:autoSpaceDE w:val="0"/>
        <w:autoSpaceDN w:val="0"/>
        <w:adjustRightInd w:val="0"/>
        <w:rPr>
          <w:rFonts w:eastAsia="Calibri" w:cs="Arial"/>
          <w:bCs/>
          <w:szCs w:val="22"/>
          <w:lang w:val="en-AU" w:bidi="ar-SA"/>
        </w:rPr>
      </w:pPr>
      <w:r w:rsidRPr="005960CA">
        <w:rPr>
          <w:rFonts w:eastAsia="Calibri" w:cs="Arial"/>
          <w:bCs/>
          <w:szCs w:val="22"/>
          <w:lang w:val="en-AU" w:bidi="ar-SA"/>
        </w:rPr>
        <w:t>Division 2 of Part 3 of the FSANZ Act specifies th</w:t>
      </w:r>
      <w:r w:rsidR="00041500">
        <w:rPr>
          <w:rFonts w:eastAsia="Calibri" w:cs="Arial"/>
          <w:bCs/>
          <w:szCs w:val="22"/>
          <w:lang w:val="en-AU" w:bidi="ar-SA"/>
        </w:rPr>
        <w:t>at the Authority may prepare a P</w:t>
      </w:r>
      <w:r w:rsidRPr="005960CA">
        <w:rPr>
          <w:rFonts w:eastAsia="Calibri" w:cs="Arial"/>
          <w:bCs/>
          <w:szCs w:val="22"/>
          <w:lang w:val="en-AU" w:bidi="ar-SA"/>
        </w:rPr>
        <w:t xml:space="preserve">roposal for the development or variation of food regulatory measures, including standards. This Division also stipulates the procedure for considering a </w:t>
      </w:r>
      <w:r w:rsidR="00C32908">
        <w:rPr>
          <w:rFonts w:eastAsia="Calibri" w:cs="Arial"/>
          <w:bCs/>
          <w:szCs w:val="22"/>
          <w:lang w:val="en-AU" w:bidi="ar-SA"/>
        </w:rPr>
        <w:t>P</w:t>
      </w:r>
      <w:r w:rsidRPr="005960CA">
        <w:rPr>
          <w:rFonts w:eastAsia="Calibri" w:cs="Arial"/>
          <w:bCs/>
          <w:szCs w:val="22"/>
          <w:lang w:val="en-AU" w:bidi="ar-SA"/>
        </w:rPr>
        <w:t xml:space="preserve">roposal for the development or variation of food regulatory measures. </w:t>
      </w:r>
    </w:p>
    <w:p w:rsidR="005960CA" w:rsidRPr="005960CA" w:rsidRDefault="005960CA" w:rsidP="005960CA">
      <w:pPr>
        <w:widowControl/>
        <w:autoSpaceDE w:val="0"/>
        <w:autoSpaceDN w:val="0"/>
        <w:adjustRightInd w:val="0"/>
        <w:rPr>
          <w:rFonts w:eastAsia="Calibri" w:cs="Arial"/>
          <w:bCs/>
          <w:szCs w:val="22"/>
          <w:lang w:val="en-AU" w:bidi="ar-SA"/>
        </w:rPr>
      </w:pPr>
    </w:p>
    <w:p w:rsidR="005960CA" w:rsidRPr="005960CA" w:rsidRDefault="005960CA" w:rsidP="005960CA">
      <w:pPr>
        <w:widowControl/>
        <w:autoSpaceDE w:val="0"/>
        <w:autoSpaceDN w:val="0"/>
        <w:adjustRightInd w:val="0"/>
        <w:rPr>
          <w:rFonts w:eastAsia="Calibri" w:cs="Arial"/>
          <w:bCs/>
          <w:szCs w:val="22"/>
          <w:lang w:val="en-AU" w:bidi="ar-SA"/>
        </w:rPr>
      </w:pPr>
      <w:r w:rsidRPr="005960CA">
        <w:rPr>
          <w:rFonts w:eastAsia="Calibri" w:cs="Arial"/>
          <w:bCs/>
          <w:szCs w:val="22"/>
          <w:lang w:val="en-AU" w:bidi="ar-SA"/>
        </w:rPr>
        <w:t xml:space="preserve">FSANZ prepared Proposal P1017 to assess limits for </w:t>
      </w:r>
      <w:r w:rsidRPr="0006607F">
        <w:rPr>
          <w:rFonts w:eastAsia="Calibri" w:cs="Arial"/>
          <w:bCs/>
          <w:i/>
          <w:szCs w:val="22"/>
          <w:lang w:val="en-AU" w:bidi="ar-SA"/>
        </w:rPr>
        <w:t>Listeria monocytogenes</w:t>
      </w:r>
      <w:r w:rsidRPr="005960CA">
        <w:rPr>
          <w:rFonts w:eastAsia="Calibri" w:cs="Arial"/>
          <w:bCs/>
          <w:szCs w:val="22"/>
          <w:lang w:val="en-AU" w:bidi="ar-SA"/>
        </w:rPr>
        <w:t xml:space="preserve"> in ready-to-eat food for inclusion in Standard 1.6.1. The Authority considered the Proposal in accordance with Division 2 of Part 3 and has approved a draft Standard.</w:t>
      </w:r>
    </w:p>
    <w:p w:rsidR="005960CA" w:rsidRPr="005960CA" w:rsidRDefault="005960CA" w:rsidP="005960CA">
      <w:pPr>
        <w:widowControl/>
        <w:autoSpaceDE w:val="0"/>
        <w:autoSpaceDN w:val="0"/>
        <w:adjustRightInd w:val="0"/>
        <w:rPr>
          <w:rFonts w:eastAsia="Calibri" w:cs="Arial"/>
          <w:bCs/>
          <w:szCs w:val="22"/>
          <w:highlight w:val="magenta"/>
          <w:lang w:bidi="ar-SA"/>
        </w:rPr>
      </w:pPr>
    </w:p>
    <w:p w:rsidR="00EB25BB" w:rsidRPr="00D13E34" w:rsidRDefault="00EB25BB" w:rsidP="00EB25B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Arial"/>
        </w:rPr>
        <w:t>COAG Legislative and Governance Forum on Food Regulation</w:t>
      </w:r>
      <w:r>
        <w:rPr>
          <w:rStyle w:val="FootnoteReference"/>
          <w:rFonts w:cs="Arial"/>
        </w:rPr>
        <w:footnoteReference w:id="8"/>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EB25BB" w:rsidRPr="00D13E34" w:rsidRDefault="00EB25BB" w:rsidP="00EB25BB">
      <w:pPr>
        <w:widowControl/>
        <w:autoSpaceDE w:val="0"/>
        <w:autoSpaceDN w:val="0"/>
        <w:adjustRightInd w:val="0"/>
        <w:rPr>
          <w:rFonts w:eastAsia="Calibri" w:cs="Arial"/>
          <w:bCs/>
          <w:szCs w:val="22"/>
          <w:lang w:val="en-AU" w:bidi="ar-SA"/>
        </w:rPr>
      </w:pPr>
    </w:p>
    <w:p w:rsidR="00EB25BB" w:rsidRPr="00D13E34" w:rsidRDefault="00EB25BB" w:rsidP="00EB25B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Legislative Instruments Act 2003</w:t>
      </w:r>
      <w:r>
        <w:rPr>
          <w:rFonts w:eastAsia="Calibri" w:cs="Arial"/>
          <w:color w:val="000000"/>
          <w:szCs w:val="22"/>
          <w:lang w:val="en-AU" w:bidi="ar-SA"/>
        </w:rPr>
        <w:t>.</w:t>
      </w:r>
    </w:p>
    <w:p w:rsidR="00EB25BB" w:rsidRDefault="00EB25BB" w:rsidP="00EB25BB">
      <w:pPr>
        <w:rPr>
          <w:lang w:val="en-AU" w:eastAsia="en-GB" w:bidi="ar-SA"/>
        </w:rPr>
      </w:pPr>
    </w:p>
    <w:p w:rsidR="00EB25BB" w:rsidRDefault="00EB25BB" w:rsidP="00EB25BB">
      <w:pPr>
        <w:rPr>
          <w:b/>
          <w:lang w:val="en-AU" w:eastAsia="en-GB" w:bidi="ar-SA"/>
        </w:rPr>
      </w:pPr>
      <w:r>
        <w:rPr>
          <w:b/>
          <w:lang w:val="en-AU" w:eastAsia="en-GB" w:bidi="ar-SA"/>
        </w:rPr>
        <w:t>2.</w:t>
      </w:r>
      <w:r>
        <w:rPr>
          <w:b/>
          <w:lang w:val="en-AU" w:eastAsia="en-GB" w:bidi="ar-SA"/>
        </w:rPr>
        <w:tab/>
        <w:t xml:space="preserve">Purpose </w:t>
      </w:r>
    </w:p>
    <w:p w:rsidR="00EB25BB" w:rsidRDefault="00EB25BB" w:rsidP="00EB25BB">
      <w:pPr>
        <w:rPr>
          <w:lang w:val="en-AU" w:eastAsia="en-GB" w:bidi="ar-SA"/>
        </w:rPr>
      </w:pPr>
    </w:p>
    <w:p w:rsidR="005960CA" w:rsidRPr="005960CA" w:rsidRDefault="005960CA" w:rsidP="005960CA">
      <w:pPr>
        <w:rPr>
          <w:lang w:val="en-AU" w:eastAsia="en-GB" w:bidi="ar-SA"/>
        </w:rPr>
      </w:pPr>
      <w:r w:rsidRPr="005960CA">
        <w:rPr>
          <w:lang w:val="en-AU" w:eastAsia="en-GB" w:bidi="ar-SA"/>
        </w:rPr>
        <w:t xml:space="preserve">The Authority has approved draft amendments to Standard 1.6.1 to replace existing limits for </w:t>
      </w:r>
      <w:r w:rsidRPr="00D80419">
        <w:rPr>
          <w:i/>
          <w:lang w:val="en-AU" w:eastAsia="en-GB" w:bidi="ar-SA"/>
        </w:rPr>
        <w:t>Listeria monocytogenes</w:t>
      </w:r>
      <w:r w:rsidRPr="005960CA">
        <w:rPr>
          <w:lang w:val="en-AU" w:eastAsia="en-GB" w:bidi="ar-SA"/>
        </w:rPr>
        <w:t xml:space="preserve"> in nominated foods with two sets of limits for </w:t>
      </w:r>
      <w:r w:rsidRPr="005960CA">
        <w:rPr>
          <w:i/>
          <w:lang w:val="en-AU" w:eastAsia="en-GB" w:bidi="ar-SA"/>
        </w:rPr>
        <w:t>Listeria monocytogenes</w:t>
      </w:r>
      <w:r w:rsidRPr="005960CA">
        <w:rPr>
          <w:lang w:val="en-AU" w:eastAsia="en-GB" w:bidi="ar-SA"/>
        </w:rPr>
        <w:t xml:space="preserve"> in ready-to-eat foods based on whether the growth of </w:t>
      </w:r>
      <w:r w:rsidRPr="005960CA">
        <w:rPr>
          <w:i/>
          <w:lang w:val="en-AU" w:eastAsia="en-GB" w:bidi="ar-SA"/>
        </w:rPr>
        <w:t>Listeria monocytogenes</w:t>
      </w:r>
      <w:r w:rsidRPr="005960CA">
        <w:rPr>
          <w:lang w:val="en-AU" w:eastAsia="en-GB" w:bidi="ar-SA"/>
        </w:rPr>
        <w:t xml:space="preserve"> will or will not occur in that food</w:t>
      </w:r>
      <w:r w:rsidR="00A31543">
        <w:rPr>
          <w:lang w:val="en-AU" w:eastAsia="en-GB" w:bidi="ar-SA"/>
        </w:rPr>
        <w:t xml:space="preserve">. </w:t>
      </w:r>
      <w:r w:rsidR="00D80419">
        <w:rPr>
          <w:lang w:val="en-AU" w:eastAsia="en-GB" w:bidi="ar-SA"/>
        </w:rPr>
        <w:t>An editorial note in Standard 4.2.5 has also been included to improve clarity.</w:t>
      </w:r>
    </w:p>
    <w:p w:rsidR="005960CA" w:rsidRPr="005960CA" w:rsidRDefault="005960CA" w:rsidP="005960CA">
      <w:pPr>
        <w:rPr>
          <w:lang w:val="en-AU" w:eastAsia="en-GB" w:bidi="ar-SA"/>
        </w:rPr>
      </w:pPr>
    </w:p>
    <w:p w:rsidR="00EB25BB" w:rsidRDefault="005960CA" w:rsidP="005960CA">
      <w:pPr>
        <w:rPr>
          <w:lang w:val="en-AU" w:eastAsia="en-GB" w:bidi="ar-SA"/>
        </w:rPr>
      </w:pPr>
      <w:r w:rsidRPr="005960CA">
        <w:rPr>
          <w:lang w:val="en-AU" w:eastAsia="en-GB" w:bidi="ar-SA"/>
        </w:rPr>
        <w:t xml:space="preserve">The draft amendments to Standard 1.6.1 will also address other issues identified with the Standard, including </w:t>
      </w:r>
      <w:r w:rsidR="00C32908">
        <w:rPr>
          <w:lang w:val="en-AU" w:eastAsia="en-GB" w:bidi="ar-SA"/>
        </w:rPr>
        <w:t xml:space="preserve">new definitions, </w:t>
      </w:r>
      <w:r w:rsidRPr="005960CA">
        <w:rPr>
          <w:lang w:val="en-AU" w:eastAsia="en-GB" w:bidi="ar-SA"/>
        </w:rPr>
        <w:t>updating the “Purpose” of the Standard</w:t>
      </w:r>
      <w:r w:rsidR="00C32908">
        <w:rPr>
          <w:lang w:val="en-AU" w:eastAsia="en-GB" w:bidi="ar-SA"/>
        </w:rPr>
        <w:t>,</w:t>
      </w:r>
      <w:r w:rsidR="00C32908" w:rsidRPr="00C32908">
        <w:rPr>
          <w:lang w:val="en-AU" w:eastAsia="en-GB" w:bidi="ar-SA"/>
        </w:rPr>
        <w:t xml:space="preserve"> </w:t>
      </w:r>
      <w:r w:rsidR="00C32908">
        <w:rPr>
          <w:lang w:val="en-AU" w:eastAsia="en-GB" w:bidi="ar-SA"/>
        </w:rPr>
        <w:t xml:space="preserve">updating </w:t>
      </w:r>
      <w:r w:rsidR="00C32908" w:rsidRPr="005960CA">
        <w:rPr>
          <w:lang w:val="en-AU" w:eastAsia="en-GB" w:bidi="ar-SA"/>
        </w:rPr>
        <w:t xml:space="preserve">reference methods of analysis, </w:t>
      </w:r>
      <w:r w:rsidRPr="005960CA">
        <w:rPr>
          <w:lang w:val="en-AU" w:eastAsia="en-GB" w:bidi="ar-SA"/>
        </w:rPr>
        <w:t xml:space="preserve">and </w:t>
      </w:r>
      <w:r w:rsidR="00C32908">
        <w:rPr>
          <w:lang w:val="en-AU" w:eastAsia="en-GB" w:bidi="ar-SA"/>
        </w:rPr>
        <w:t xml:space="preserve">the </w:t>
      </w:r>
      <w:r w:rsidRPr="005960CA">
        <w:rPr>
          <w:lang w:val="en-AU" w:eastAsia="en-GB" w:bidi="ar-SA"/>
        </w:rPr>
        <w:t>mov</w:t>
      </w:r>
      <w:r>
        <w:rPr>
          <w:lang w:val="en-AU" w:eastAsia="en-GB" w:bidi="ar-SA"/>
        </w:rPr>
        <w:t>ement of analytical units from C</w:t>
      </w:r>
      <w:r w:rsidRPr="005960CA">
        <w:rPr>
          <w:lang w:val="en-AU" w:eastAsia="en-GB" w:bidi="ar-SA"/>
        </w:rPr>
        <w:t>ol</w:t>
      </w:r>
      <w:r>
        <w:rPr>
          <w:lang w:val="en-AU" w:eastAsia="en-GB" w:bidi="ar-SA"/>
        </w:rPr>
        <w:t>umn 2 to C</w:t>
      </w:r>
      <w:r w:rsidRPr="005960CA">
        <w:rPr>
          <w:lang w:val="en-AU" w:eastAsia="en-GB" w:bidi="ar-SA"/>
        </w:rPr>
        <w:t>olumn 5 in the Schedule to the Standard.</w:t>
      </w:r>
    </w:p>
    <w:p w:rsidR="005960CA" w:rsidRDefault="005960CA" w:rsidP="005960CA">
      <w:pPr>
        <w:rPr>
          <w:lang w:val="en-AU" w:eastAsia="en-GB" w:bidi="ar-SA"/>
        </w:rPr>
      </w:pPr>
    </w:p>
    <w:p w:rsidR="00EB25BB" w:rsidRPr="000576EB" w:rsidRDefault="00EB25BB" w:rsidP="00EB25BB">
      <w:pPr>
        <w:rPr>
          <w:b/>
          <w:lang w:val="en-AU" w:eastAsia="en-GB" w:bidi="ar-SA"/>
        </w:rPr>
      </w:pPr>
      <w:r w:rsidRPr="000576EB">
        <w:rPr>
          <w:b/>
          <w:lang w:val="en-AU" w:eastAsia="en-GB" w:bidi="ar-SA"/>
        </w:rPr>
        <w:t>3.</w:t>
      </w:r>
      <w:r w:rsidRPr="000576EB">
        <w:rPr>
          <w:b/>
          <w:lang w:val="en-AU" w:eastAsia="en-GB" w:bidi="ar-SA"/>
        </w:rPr>
        <w:tab/>
        <w:t>Documents incorporated by reference</w:t>
      </w:r>
    </w:p>
    <w:p w:rsidR="00EB25BB" w:rsidRDefault="00EB25BB" w:rsidP="00EB25BB">
      <w:pPr>
        <w:rPr>
          <w:lang w:val="en-AU" w:eastAsia="en-GB" w:bidi="ar-SA"/>
        </w:rPr>
      </w:pPr>
    </w:p>
    <w:p w:rsidR="005960CA" w:rsidRPr="005960CA" w:rsidRDefault="005960CA" w:rsidP="005960CA">
      <w:pPr>
        <w:widowControl/>
        <w:autoSpaceDE w:val="0"/>
        <w:autoSpaceDN w:val="0"/>
        <w:adjustRightInd w:val="0"/>
        <w:rPr>
          <w:rFonts w:eastAsia="Calibri" w:cs="Arial"/>
          <w:bCs/>
          <w:szCs w:val="22"/>
          <w:lang w:val="en-AU" w:bidi="ar-SA"/>
        </w:rPr>
      </w:pPr>
      <w:r w:rsidRPr="005960CA">
        <w:rPr>
          <w:rFonts w:eastAsia="Calibri" w:cs="Arial"/>
          <w:bCs/>
          <w:szCs w:val="22"/>
          <w:lang w:val="en-AU" w:bidi="ar-SA"/>
        </w:rPr>
        <w:t>The variation to Standard 1.6.1 incorporate</w:t>
      </w:r>
      <w:r w:rsidR="00692CBD">
        <w:rPr>
          <w:rFonts w:eastAsia="Calibri" w:cs="Arial"/>
          <w:bCs/>
          <w:szCs w:val="22"/>
          <w:lang w:val="en-AU" w:bidi="ar-SA"/>
        </w:rPr>
        <w:t>s</w:t>
      </w:r>
      <w:r w:rsidRPr="005960CA">
        <w:rPr>
          <w:rFonts w:eastAsia="Calibri" w:cs="Arial"/>
          <w:bCs/>
          <w:szCs w:val="22"/>
          <w:lang w:val="en-AU" w:bidi="ar-SA"/>
        </w:rPr>
        <w:t xml:space="preserve"> by reference the following:</w:t>
      </w:r>
    </w:p>
    <w:p w:rsidR="005960CA" w:rsidRPr="005960CA" w:rsidRDefault="005960CA" w:rsidP="005960CA">
      <w:pPr>
        <w:widowControl/>
        <w:autoSpaceDE w:val="0"/>
        <w:autoSpaceDN w:val="0"/>
        <w:adjustRightInd w:val="0"/>
        <w:rPr>
          <w:rFonts w:eastAsia="Calibri" w:cs="Arial"/>
          <w:bCs/>
          <w:szCs w:val="22"/>
          <w:lang w:val="en-AU" w:bidi="ar-SA"/>
        </w:rPr>
      </w:pPr>
    </w:p>
    <w:p w:rsidR="00D80419" w:rsidRPr="0006607F" w:rsidRDefault="005960CA" w:rsidP="00E63CFD">
      <w:pPr>
        <w:pStyle w:val="FSBullet1"/>
        <w:rPr>
          <w:rFonts w:eastAsia="Calibri"/>
          <w:lang w:val="en-AU"/>
        </w:rPr>
      </w:pPr>
      <w:r w:rsidRPr="0006607F">
        <w:rPr>
          <w:rFonts w:eastAsia="Calibri"/>
          <w:lang w:val="en-AU"/>
        </w:rPr>
        <w:t>microbiological methods prescribed by Australian Standard 5013 series</w:t>
      </w:r>
      <w:r w:rsidR="009B2AB3" w:rsidRPr="0006607F">
        <w:rPr>
          <w:rFonts w:eastAsia="Calibri"/>
          <w:lang w:val="en-AU"/>
        </w:rPr>
        <w:t>;</w:t>
      </w:r>
    </w:p>
    <w:p w:rsidR="005960CA" w:rsidRPr="0006607F" w:rsidRDefault="00CA7A32" w:rsidP="00D80419">
      <w:pPr>
        <w:pStyle w:val="FSBullet1"/>
        <w:rPr>
          <w:rFonts w:eastAsia="Calibri"/>
          <w:lang w:val="en-AU"/>
        </w:rPr>
      </w:pPr>
      <w:r>
        <w:rPr>
          <w:lang w:val="en-AU"/>
        </w:rPr>
        <w:t xml:space="preserve">microbiological </w:t>
      </w:r>
      <w:r w:rsidR="0006607F" w:rsidRPr="0006607F">
        <w:rPr>
          <w:lang w:val="en-AU"/>
        </w:rPr>
        <w:t>methods</w:t>
      </w:r>
      <w:r w:rsidR="00D80419" w:rsidRPr="0006607F">
        <w:rPr>
          <w:lang w:val="en-AU"/>
        </w:rPr>
        <w:t xml:space="preserve"> </w:t>
      </w:r>
      <w:r>
        <w:rPr>
          <w:lang w:val="en-AU"/>
        </w:rPr>
        <w:t>(as referenced by AS5013 methods)</w:t>
      </w:r>
      <w:r w:rsidR="00D46757">
        <w:rPr>
          <w:lang w:val="en-AU"/>
        </w:rPr>
        <w:t xml:space="preserve"> </w:t>
      </w:r>
      <w:r>
        <w:rPr>
          <w:lang w:val="en-AU"/>
        </w:rPr>
        <w:t>and</w:t>
      </w:r>
      <w:r w:rsidR="0006607F" w:rsidRPr="0006607F">
        <w:rPr>
          <w:lang w:val="en-AU"/>
        </w:rPr>
        <w:t xml:space="preserve"> </w:t>
      </w:r>
      <w:r w:rsidR="00D80419" w:rsidRPr="0006607F">
        <w:rPr>
          <w:lang w:val="en-AU"/>
        </w:rPr>
        <w:t xml:space="preserve">prescribed by the </w:t>
      </w:r>
      <w:r w:rsidR="00D80419" w:rsidRPr="0006607F">
        <w:t>International</w:t>
      </w:r>
      <w:r w:rsidR="00D80419" w:rsidRPr="0006607F">
        <w:rPr>
          <w:color w:val="1F497D"/>
        </w:rPr>
        <w:t xml:space="preserve"> </w:t>
      </w:r>
      <w:r w:rsidR="00D80419" w:rsidRPr="0006607F">
        <w:t>Organization for Standardization</w:t>
      </w:r>
      <w:r w:rsidR="0006607F" w:rsidRPr="0006607F">
        <w:rPr>
          <w:lang w:val="en-AU"/>
        </w:rPr>
        <w:t>;</w:t>
      </w:r>
    </w:p>
    <w:p w:rsidR="005960CA" w:rsidRPr="0006607F" w:rsidRDefault="005960CA" w:rsidP="00D80419">
      <w:pPr>
        <w:pStyle w:val="FSBullet1"/>
        <w:rPr>
          <w:rFonts w:eastAsia="Calibri"/>
          <w:lang w:val="en-AU"/>
        </w:rPr>
      </w:pPr>
      <w:r w:rsidRPr="0006607F">
        <w:rPr>
          <w:rFonts w:eastAsia="Calibri"/>
          <w:lang w:val="en-AU"/>
        </w:rPr>
        <w:t xml:space="preserve">equivalent methods as </w:t>
      </w:r>
      <w:r w:rsidR="0006607F" w:rsidRPr="0006607F">
        <w:rPr>
          <w:rFonts w:eastAsia="Calibri"/>
          <w:lang w:val="en-AU"/>
        </w:rPr>
        <w:t>prescribed</w:t>
      </w:r>
      <w:r w:rsidRPr="0006607F">
        <w:rPr>
          <w:rFonts w:eastAsia="Calibri"/>
          <w:lang w:val="en-AU"/>
        </w:rPr>
        <w:t xml:space="preserve"> by Australian New Zealand (AS/NZS) method 4659</w:t>
      </w:r>
      <w:r w:rsidR="00D80419" w:rsidRPr="0006607F">
        <w:rPr>
          <w:rFonts w:eastAsia="Calibri"/>
          <w:lang w:val="en-AU"/>
        </w:rPr>
        <w:t xml:space="preserve"> and/or ISO16140:2003</w:t>
      </w:r>
      <w:r w:rsidR="009B2AB3" w:rsidRPr="0006607F">
        <w:rPr>
          <w:rFonts w:eastAsia="Calibri"/>
          <w:lang w:val="en-AU"/>
        </w:rPr>
        <w:t>;</w:t>
      </w:r>
      <w:r w:rsidR="004B26F2">
        <w:rPr>
          <w:rFonts w:eastAsia="Calibri"/>
          <w:lang w:val="en-AU"/>
        </w:rPr>
        <w:t xml:space="preserve"> and</w:t>
      </w:r>
    </w:p>
    <w:p w:rsidR="005960CA" w:rsidRPr="0006607F" w:rsidRDefault="005960CA" w:rsidP="00E63CFD">
      <w:pPr>
        <w:pStyle w:val="FSBullet1"/>
        <w:rPr>
          <w:rFonts w:eastAsia="Calibri"/>
          <w:lang w:val="en-AU"/>
        </w:rPr>
      </w:pPr>
      <w:r w:rsidRPr="0006607F">
        <w:rPr>
          <w:rFonts w:eastAsia="Calibri"/>
          <w:lang w:val="en-AU"/>
        </w:rPr>
        <w:t>AS/NZS 4276 method for packaged water, packaged ice or mineral water</w:t>
      </w:r>
      <w:r w:rsidR="00D46757">
        <w:rPr>
          <w:rFonts w:eastAsia="Calibri"/>
          <w:lang w:val="en-AU"/>
        </w:rPr>
        <w:t>.</w:t>
      </w:r>
    </w:p>
    <w:p w:rsidR="005960CA" w:rsidRDefault="005960CA" w:rsidP="005960CA">
      <w:pPr>
        <w:widowControl/>
        <w:autoSpaceDE w:val="0"/>
        <w:autoSpaceDN w:val="0"/>
        <w:adjustRightInd w:val="0"/>
        <w:rPr>
          <w:rFonts w:eastAsia="Calibri" w:cs="Arial"/>
          <w:bCs/>
          <w:szCs w:val="22"/>
          <w:lang w:val="en-AU" w:bidi="ar-SA"/>
        </w:rPr>
      </w:pPr>
    </w:p>
    <w:p w:rsidR="00692CBD" w:rsidRDefault="00692CBD" w:rsidP="00EB25BB">
      <w:pPr>
        <w:rPr>
          <w:lang w:val="en-AU" w:eastAsia="en-GB" w:bidi="ar-SA"/>
        </w:rPr>
      </w:pPr>
      <w:r>
        <w:rPr>
          <w:lang w:val="en-AU" w:eastAsia="en-GB" w:bidi="ar-SA"/>
        </w:rPr>
        <w:br w:type="page"/>
      </w:r>
    </w:p>
    <w:p w:rsidR="00EB25BB" w:rsidRPr="000576EB" w:rsidRDefault="00EB25BB" w:rsidP="00EB25BB">
      <w:pPr>
        <w:rPr>
          <w:b/>
          <w:lang w:val="en-AU" w:eastAsia="en-GB" w:bidi="ar-SA"/>
        </w:rPr>
      </w:pPr>
      <w:r w:rsidRPr="000576EB">
        <w:rPr>
          <w:b/>
          <w:lang w:val="en-AU" w:eastAsia="en-GB" w:bidi="ar-SA"/>
        </w:rPr>
        <w:lastRenderedPageBreak/>
        <w:t>4.</w:t>
      </w:r>
      <w:r w:rsidRPr="000576EB">
        <w:rPr>
          <w:b/>
          <w:lang w:val="en-AU" w:eastAsia="en-GB" w:bidi="ar-SA"/>
        </w:rPr>
        <w:tab/>
        <w:t>Consultation</w:t>
      </w:r>
    </w:p>
    <w:p w:rsidR="00EB25BB" w:rsidRPr="005960CA" w:rsidRDefault="00EB25BB" w:rsidP="00EB25BB">
      <w:pPr>
        <w:rPr>
          <w:lang w:val="en-AU" w:eastAsia="en-GB" w:bidi="ar-SA"/>
        </w:rPr>
      </w:pPr>
    </w:p>
    <w:p w:rsidR="00EB25BB" w:rsidRPr="005960CA" w:rsidRDefault="00EB25BB" w:rsidP="00EB25BB">
      <w:pPr>
        <w:rPr>
          <w:lang w:val="en-AU"/>
        </w:rPr>
      </w:pPr>
      <w:r w:rsidRPr="005960CA">
        <w:rPr>
          <w:szCs w:val="22"/>
        </w:rPr>
        <w:t xml:space="preserve">In accordance with the procedure in Division </w:t>
      </w:r>
      <w:r w:rsidR="005960CA" w:rsidRPr="005960CA">
        <w:rPr>
          <w:szCs w:val="22"/>
        </w:rPr>
        <w:t>2</w:t>
      </w:r>
      <w:r w:rsidRPr="005960CA">
        <w:rPr>
          <w:szCs w:val="22"/>
        </w:rPr>
        <w:t xml:space="preserve"> of Part </w:t>
      </w:r>
      <w:r w:rsidR="005960CA" w:rsidRPr="005960CA">
        <w:rPr>
          <w:szCs w:val="22"/>
        </w:rPr>
        <w:t>3</w:t>
      </w:r>
      <w:r w:rsidRPr="005960CA">
        <w:rPr>
          <w:szCs w:val="22"/>
        </w:rPr>
        <w:t xml:space="preserve"> of the FSANZ Act, </w:t>
      </w:r>
      <w:r w:rsidRPr="005960CA">
        <w:rPr>
          <w:rFonts w:eastAsia="Calibri" w:cs="Arial"/>
          <w:bCs/>
          <w:szCs w:val="22"/>
          <w:lang w:val="en-AU" w:bidi="ar-SA"/>
        </w:rPr>
        <w:t>the Authority</w:t>
      </w:r>
      <w:r w:rsidRPr="005960CA">
        <w:rPr>
          <w:szCs w:val="22"/>
        </w:rPr>
        <w:t xml:space="preserve">’s consideration of </w:t>
      </w:r>
      <w:r w:rsidR="00041500">
        <w:rPr>
          <w:szCs w:val="22"/>
        </w:rPr>
        <w:t>P</w:t>
      </w:r>
      <w:r w:rsidRPr="005960CA">
        <w:rPr>
          <w:szCs w:val="22"/>
        </w:rPr>
        <w:t>roposal P</w:t>
      </w:r>
      <w:r w:rsidR="005960CA" w:rsidRPr="005960CA">
        <w:rPr>
          <w:szCs w:val="22"/>
        </w:rPr>
        <w:t>1017</w:t>
      </w:r>
      <w:r w:rsidRPr="005960CA">
        <w:rPr>
          <w:szCs w:val="22"/>
        </w:rPr>
        <w:t xml:space="preserve"> included two rounds of public comment following an assessment and the preparation of a draft </w:t>
      </w:r>
      <w:r w:rsidR="005960CA" w:rsidRPr="005960CA">
        <w:rPr>
          <w:szCs w:val="22"/>
        </w:rPr>
        <w:t>Standard and associated reports</w:t>
      </w:r>
      <w:r w:rsidRPr="005960CA">
        <w:rPr>
          <w:szCs w:val="22"/>
        </w:rPr>
        <w:t xml:space="preserve">. </w:t>
      </w:r>
      <w:r w:rsidR="005960CA" w:rsidRPr="005960CA">
        <w:rPr>
          <w:szCs w:val="22"/>
        </w:rPr>
        <w:t>Submissions were called for on 8</w:t>
      </w:r>
      <w:r w:rsidRPr="005960CA">
        <w:rPr>
          <w:szCs w:val="22"/>
        </w:rPr>
        <w:t xml:space="preserve"> </w:t>
      </w:r>
      <w:r w:rsidR="005960CA" w:rsidRPr="005960CA">
        <w:rPr>
          <w:szCs w:val="22"/>
        </w:rPr>
        <w:t>November 2013</w:t>
      </w:r>
      <w:r w:rsidRPr="005960CA">
        <w:rPr>
          <w:szCs w:val="22"/>
        </w:rPr>
        <w:t xml:space="preserve"> for a </w:t>
      </w:r>
      <w:r w:rsidR="005960CA" w:rsidRPr="005960CA">
        <w:rPr>
          <w:szCs w:val="22"/>
        </w:rPr>
        <w:t>ten</w:t>
      </w:r>
      <w:r w:rsidRPr="005960CA">
        <w:rPr>
          <w:szCs w:val="22"/>
        </w:rPr>
        <w:t xml:space="preserve">-week consultation period. </w:t>
      </w:r>
    </w:p>
    <w:p w:rsidR="005960CA" w:rsidRPr="005960CA" w:rsidRDefault="005960CA" w:rsidP="00EB25BB">
      <w:pPr>
        <w:widowControl/>
        <w:autoSpaceDE w:val="0"/>
        <w:autoSpaceDN w:val="0"/>
        <w:adjustRightInd w:val="0"/>
        <w:rPr>
          <w:rFonts w:cs="Arial"/>
          <w:szCs w:val="22"/>
        </w:rPr>
      </w:pPr>
    </w:p>
    <w:p w:rsidR="005960CA" w:rsidRPr="005960CA" w:rsidRDefault="005960CA" w:rsidP="00EB25BB">
      <w:pPr>
        <w:widowControl/>
        <w:autoSpaceDE w:val="0"/>
        <w:autoSpaceDN w:val="0"/>
        <w:adjustRightInd w:val="0"/>
        <w:rPr>
          <w:rFonts w:cs="Arial"/>
          <w:szCs w:val="22"/>
        </w:rPr>
      </w:pPr>
      <w:r w:rsidRPr="005960CA">
        <w:rPr>
          <w:rFonts w:cs="Arial"/>
          <w:szCs w:val="22"/>
        </w:rPr>
        <w:t xml:space="preserve">A Regulation Impact Statement </w:t>
      </w:r>
      <w:r w:rsidRPr="005960CA">
        <w:rPr>
          <w:rFonts w:eastAsia="Calibri" w:cs="Arial"/>
          <w:bCs/>
          <w:szCs w:val="22"/>
          <w:lang w:val="en-AU" w:bidi="ar-SA"/>
        </w:rPr>
        <w:t xml:space="preserve">was not required </w:t>
      </w:r>
      <w:r w:rsidRPr="005960CA">
        <w:rPr>
          <w:rFonts w:cs="Arial"/>
          <w:szCs w:val="22"/>
        </w:rPr>
        <w:t xml:space="preserve">as the proposed variations to Standard 1.6.1 </w:t>
      </w:r>
      <w:r w:rsidR="00927181">
        <w:rPr>
          <w:rFonts w:cs="Arial"/>
          <w:szCs w:val="22"/>
        </w:rPr>
        <w:t>we</w:t>
      </w:r>
      <w:r w:rsidRPr="005960CA">
        <w:rPr>
          <w:rFonts w:cs="Arial"/>
          <w:szCs w:val="22"/>
        </w:rPr>
        <w:t>re likely to have only a minor impact on business and individuals.</w:t>
      </w:r>
    </w:p>
    <w:p w:rsidR="00EB25BB" w:rsidRDefault="00EB25BB" w:rsidP="00EB25BB">
      <w:pPr>
        <w:rPr>
          <w:color w:val="FF0000"/>
          <w:lang w:val="en-AU" w:eastAsia="en-GB" w:bidi="ar-SA"/>
        </w:rPr>
      </w:pPr>
    </w:p>
    <w:p w:rsidR="00EB25BB" w:rsidRDefault="00EB25BB" w:rsidP="00EB25BB">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EB25BB" w:rsidRDefault="00EB25BB" w:rsidP="00EB25BB">
      <w:pPr>
        <w:rPr>
          <w:rFonts w:eastAsiaTheme="minorHAnsi"/>
          <w:lang w:val="en-AU" w:bidi="ar-SA"/>
        </w:rPr>
      </w:pPr>
    </w:p>
    <w:p w:rsidR="00EB25BB" w:rsidRDefault="00EB25BB" w:rsidP="00EB25BB">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rsidR="00EB25BB" w:rsidRDefault="00EB25BB" w:rsidP="00EB25BB">
      <w:pPr>
        <w:rPr>
          <w:rFonts w:eastAsiaTheme="minorHAnsi"/>
          <w:lang w:val="en-AU" w:bidi="ar-SA"/>
        </w:rPr>
      </w:pPr>
    </w:p>
    <w:p w:rsidR="00EB25BB" w:rsidRPr="00432A42" w:rsidRDefault="00EB25BB" w:rsidP="00EB25BB">
      <w:pPr>
        <w:rPr>
          <w:b/>
          <w:lang w:val="en-AU" w:eastAsia="en-GB" w:bidi="ar-SA"/>
        </w:rPr>
      </w:pPr>
      <w:r w:rsidRPr="00432A42">
        <w:rPr>
          <w:b/>
        </w:rPr>
        <w:t>6.</w:t>
      </w:r>
      <w:r w:rsidRPr="00432A42">
        <w:rPr>
          <w:b/>
        </w:rPr>
        <w:tab/>
      </w:r>
      <w:r>
        <w:rPr>
          <w:b/>
          <w:lang w:val="en-AU" w:eastAsia="en-GB" w:bidi="ar-SA"/>
        </w:rPr>
        <w:t>Variation</w:t>
      </w:r>
    </w:p>
    <w:p w:rsidR="00EB25BB" w:rsidRDefault="00EB25BB" w:rsidP="00EB25BB">
      <w:pPr>
        <w:rPr>
          <w:b/>
        </w:rPr>
      </w:pPr>
    </w:p>
    <w:p w:rsidR="005960CA" w:rsidRPr="005F4243" w:rsidRDefault="005F4243" w:rsidP="005F4243">
      <w:pPr>
        <w:rPr>
          <w:i/>
        </w:rPr>
      </w:pPr>
      <w:r w:rsidRPr="005F4243">
        <w:rPr>
          <w:i/>
        </w:rPr>
        <w:t>6.</w:t>
      </w:r>
      <w:r w:rsidR="00025850">
        <w:rPr>
          <w:i/>
        </w:rPr>
        <w:t>1</w:t>
      </w:r>
      <w:r w:rsidRPr="005F4243">
        <w:rPr>
          <w:i/>
        </w:rPr>
        <w:tab/>
        <w:t>Item [</w:t>
      </w:r>
      <w:r w:rsidR="00025850">
        <w:rPr>
          <w:i/>
        </w:rPr>
        <w:t>1</w:t>
      </w:r>
      <w:r w:rsidRPr="005F4243">
        <w:rPr>
          <w:i/>
        </w:rPr>
        <w:t>]</w:t>
      </w:r>
    </w:p>
    <w:p w:rsidR="005960CA" w:rsidRPr="005960CA" w:rsidRDefault="005960CA" w:rsidP="005960CA">
      <w:pPr>
        <w:rPr>
          <w:highlight w:val="magenta"/>
          <w:lang w:eastAsia="en-GB" w:bidi="ar-SA"/>
        </w:rPr>
      </w:pPr>
    </w:p>
    <w:p w:rsidR="005960CA" w:rsidRDefault="005F4243" w:rsidP="005960CA">
      <w:pPr>
        <w:rPr>
          <w:rFonts w:eastAsiaTheme="minorHAnsi"/>
          <w:lang w:bidi="ar-SA"/>
        </w:rPr>
      </w:pPr>
      <w:r w:rsidRPr="005F4243">
        <w:rPr>
          <w:rFonts w:eastAsiaTheme="minorHAnsi"/>
          <w:lang w:bidi="ar-SA"/>
        </w:rPr>
        <w:t xml:space="preserve">Item </w:t>
      </w:r>
      <w:r w:rsidR="00025850">
        <w:rPr>
          <w:rFonts w:eastAsiaTheme="minorHAnsi"/>
          <w:lang w:bidi="ar-SA"/>
        </w:rPr>
        <w:t>1</w:t>
      </w:r>
      <w:r w:rsidRPr="005F4243">
        <w:rPr>
          <w:rFonts w:eastAsiaTheme="minorHAnsi"/>
          <w:lang w:bidi="ar-SA"/>
        </w:rPr>
        <w:t xml:space="preserve"> amends Standard 1.6.1.</w:t>
      </w:r>
    </w:p>
    <w:p w:rsidR="005F4243" w:rsidRDefault="005F4243" w:rsidP="005960CA">
      <w:pPr>
        <w:rPr>
          <w:rFonts w:eastAsiaTheme="minorHAnsi"/>
          <w:lang w:bidi="ar-SA"/>
        </w:rPr>
      </w:pPr>
    </w:p>
    <w:p w:rsidR="005F4243" w:rsidRDefault="005F4243" w:rsidP="00692CBD">
      <w:pPr>
        <w:rPr>
          <w:rFonts w:eastAsiaTheme="minorHAnsi"/>
          <w:lang w:bidi="ar-SA"/>
        </w:rPr>
      </w:pPr>
      <w:r w:rsidRPr="005F4243">
        <w:rPr>
          <w:rFonts w:eastAsiaTheme="minorHAnsi"/>
          <w:lang w:bidi="ar-SA"/>
        </w:rPr>
        <w:t xml:space="preserve">Item </w:t>
      </w:r>
      <w:r w:rsidR="00025850">
        <w:rPr>
          <w:rFonts w:eastAsiaTheme="minorHAnsi"/>
          <w:lang w:bidi="ar-SA"/>
        </w:rPr>
        <w:t>1</w:t>
      </w:r>
      <w:r w:rsidRPr="005F4243">
        <w:rPr>
          <w:rFonts w:eastAsiaTheme="minorHAnsi"/>
          <w:lang w:bidi="ar-SA"/>
        </w:rPr>
        <w:t xml:space="preserve">.1 </w:t>
      </w:r>
      <w:r w:rsidR="00C3503C">
        <w:rPr>
          <w:rFonts w:eastAsiaTheme="minorHAnsi"/>
          <w:lang w:bidi="ar-SA"/>
        </w:rPr>
        <w:t>omit</w:t>
      </w:r>
      <w:r w:rsidR="00C3503C" w:rsidRPr="005F4243">
        <w:rPr>
          <w:rFonts w:eastAsiaTheme="minorHAnsi"/>
          <w:lang w:bidi="ar-SA"/>
        </w:rPr>
        <w:t xml:space="preserve">s </w:t>
      </w:r>
      <w:r w:rsidRPr="005F4243">
        <w:rPr>
          <w:rFonts w:eastAsiaTheme="minorHAnsi"/>
          <w:lang w:bidi="ar-SA"/>
        </w:rPr>
        <w:t>the heading of Standard 1.6.1 “</w:t>
      </w:r>
      <w:r w:rsidRPr="00CA7A32">
        <w:rPr>
          <w:rFonts w:eastAsiaTheme="minorHAnsi"/>
          <w:caps/>
          <w:lang w:bidi="ar-SA"/>
        </w:rPr>
        <w:t>Microbiological Limits For Food</w:t>
      </w:r>
      <w:r w:rsidRPr="005F4243">
        <w:rPr>
          <w:rFonts w:eastAsiaTheme="minorHAnsi"/>
          <w:lang w:bidi="ar-SA"/>
        </w:rPr>
        <w:t xml:space="preserve">” </w:t>
      </w:r>
      <w:r w:rsidR="00C3503C">
        <w:rPr>
          <w:rFonts w:eastAsiaTheme="minorHAnsi"/>
          <w:lang w:bidi="ar-SA"/>
        </w:rPr>
        <w:t>substituting with</w:t>
      </w:r>
      <w:r w:rsidR="00C3503C" w:rsidRPr="005F4243">
        <w:rPr>
          <w:rFonts w:eastAsiaTheme="minorHAnsi"/>
          <w:lang w:bidi="ar-SA"/>
        </w:rPr>
        <w:t xml:space="preserve"> </w:t>
      </w:r>
      <w:r w:rsidRPr="005F4243">
        <w:rPr>
          <w:rFonts w:eastAsiaTheme="minorHAnsi"/>
          <w:lang w:bidi="ar-SA"/>
        </w:rPr>
        <w:t>“</w:t>
      </w:r>
      <w:r w:rsidRPr="00CA7A32">
        <w:rPr>
          <w:rFonts w:eastAsiaTheme="minorHAnsi"/>
          <w:caps/>
          <w:lang w:bidi="ar-SA"/>
        </w:rPr>
        <w:t>Microbiological Limits in Food</w:t>
      </w:r>
      <w:r w:rsidRPr="005F4243">
        <w:rPr>
          <w:rFonts w:eastAsiaTheme="minorHAnsi"/>
          <w:lang w:bidi="ar-SA"/>
        </w:rPr>
        <w:t>”.</w:t>
      </w:r>
    </w:p>
    <w:p w:rsidR="005F4243" w:rsidRDefault="005F4243" w:rsidP="00692CBD">
      <w:pPr>
        <w:rPr>
          <w:rFonts w:eastAsiaTheme="minorHAnsi"/>
          <w:lang w:bidi="ar-SA"/>
        </w:rPr>
      </w:pPr>
    </w:p>
    <w:p w:rsidR="005F4243" w:rsidRDefault="005F4243" w:rsidP="00692CBD">
      <w:pPr>
        <w:rPr>
          <w:rFonts w:eastAsiaTheme="minorHAnsi"/>
          <w:lang w:bidi="ar-SA"/>
        </w:rPr>
      </w:pPr>
      <w:r w:rsidRPr="005F4243">
        <w:rPr>
          <w:rFonts w:eastAsiaTheme="minorHAnsi"/>
          <w:lang w:bidi="ar-SA"/>
        </w:rPr>
        <w:t xml:space="preserve">Item </w:t>
      </w:r>
      <w:r w:rsidR="00025850">
        <w:rPr>
          <w:rFonts w:eastAsiaTheme="minorHAnsi"/>
          <w:lang w:bidi="ar-SA"/>
        </w:rPr>
        <w:t>1</w:t>
      </w:r>
      <w:r w:rsidRPr="005F4243">
        <w:rPr>
          <w:rFonts w:eastAsiaTheme="minorHAnsi"/>
          <w:lang w:bidi="ar-SA"/>
        </w:rPr>
        <w:t xml:space="preserve">.2 </w:t>
      </w:r>
      <w:r w:rsidR="008C5035">
        <w:rPr>
          <w:rFonts w:eastAsiaTheme="minorHAnsi"/>
          <w:lang w:bidi="ar-SA"/>
        </w:rPr>
        <w:t>replace</w:t>
      </w:r>
      <w:r w:rsidR="008C5035" w:rsidRPr="005F4243">
        <w:rPr>
          <w:rFonts w:eastAsiaTheme="minorHAnsi"/>
          <w:lang w:bidi="ar-SA"/>
        </w:rPr>
        <w:t xml:space="preserve">s </w:t>
      </w:r>
      <w:r w:rsidRPr="005F4243">
        <w:rPr>
          <w:rFonts w:eastAsiaTheme="minorHAnsi"/>
          <w:lang w:bidi="ar-SA"/>
        </w:rPr>
        <w:t xml:space="preserve">the Purpose </w:t>
      </w:r>
      <w:r w:rsidR="008C5035">
        <w:rPr>
          <w:rFonts w:eastAsiaTheme="minorHAnsi"/>
          <w:lang w:bidi="ar-SA"/>
        </w:rPr>
        <w:t xml:space="preserve">statement </w:t>
      </w:r>
      <w:r w:rsidRPr="005F4243">
        <w:rPr>
          <w:rFonts w:eastAsiaTheme="minorHAnsi"/>
          <w:lang w:bidi="ar-SA"/>
        </w:rPr>
        <w:t>of Standard 1.6.1</w:t>
      </w:r>
      <w:r w:rsidR="008C5035">
        <w:rPr>
          <w:rFonts w:eastAsiaTheme="minorHAnsi"/>
          <w:lang w:bidi="ar-SA"/>
        </w:rPr>
        <w:t xml:space="preserve"> with a new Purpose statement</w:t>
      </w:r>
      <w:r w:rsidRPr="005F4243">
        <w:rPr>
          <w:rFonts w:eastAsiaTheme="minorHAnsi"/>
          <w:lang w:bidi="ar-SA"/>
        </w:rPr>
        <w:t xml:space="preserve">. The new Purpose </w:t>
      </w:r>
      <w:r w:rsidR="0066275E">
        <w:rPr>
          <w:rFonts w:eastAsiaTheme="minorHAnsi"/>
          <w:lang w:bidi="ar-SA"/>
        </w:rPr>
        <w:t xml:space="preserve">statement </w:t>
      </w:r>
      <w:r w:rsidR="00712FC1">
        <w:rPr>
          <w:rFonts w:eastAsiaTheme="minorHAnsi"/>
          <w:lang w:bidi="ar-SA"/>
        </w:rPr>
        <w:t xml:space="preserve">states that Standard 1.6.1 </w:t>
      </w:r>
      <w:r w:rsidRPr="005F4243">
        <w:rPr>
          <w:rFonts w:eastAsiaTheme="minorHAnsi"/>
          <w:lang w:bidi="ar-SA"/>
        </w:rPr>
        <w:t xml:space="preserve">specifies </w:t>
      </w:r>
      <w:r w:rsidR="004E4A3D">
        <w:rPr>
          <w:rFonts w:eastAsiaTheme="minorHAnsi"/>
          <w:lang w:bidi="ar-SA"/>
        </w:rPr>
        <w:t xml:space="preserve">the </w:t>
      </w:r>
      <w:r w:rsidR="00CA7A32" w:rsidRPr="00CA7A32">
        <w:rPr>
          <w:rFonts w:eastAsiaTheme="minorHAnsi"/>
          <w:lang w:bidi="ar-SA"/>
        </w:rPr>
        <w:t>microbiological food safety criteria which determine the acceptability of a lot or consignment of food for sale or intended for sale</w:t>
      </w:r>
      <w:r w:rsidR="00A31543">
        <w:rPr>
          <w:rFonts w:eastAsiaTheme="minorHAnsi"/>
          <w:lang w:bidi="ar-SA"/>
        </w:rPr>
        <w:t xml:space="preserve">. </w:t>
      </w:r>
      <w:r w:rsidR="00CA7A32" w:rsidRPr="00CA7A32">
        <w:rPr>
          <w:rFonts w:eastAsiaTheme="minorHAnsi"/>
          <w:lang w:bidi="ar-SA"/>
        </w:rPr>
        <w:t>The Schedule to the Standard</w:t>
      </w:r>
      <w:r w:rsidR="00CA7A32">
        <w:rPr>
          <w:rFonts w:eastAsiaTheme="minorHAnsi"/>
          <w:lang w:bidi="ar-SA"/>
        </w:rPr>
        <w:t xml:space="preserve"> also</w:t>
      </w:r>
      <w:r w:rsidR="00CA7A32" w:rsidRPr="00CA7A32">
        <w:rPr>
          <w:rFonts w:eastAsiaTheme="minorHAnsi"/>
          <w:lang w:bidi="ar-SA"/>
        </w:rPr>
        <w:t xml:space="preserve"> sets out sampling plans and the limits that a lot or consignment of food must comply with</w:t>
      </w:r>
      <w:r w:rsidR="00A31543">
        <w:rPr>
          <w:rFonts w:eastAsiaTheme="minorHAnsi"/>
          <w:lang w:bidi="ar-SA"/>
        </w:rPr>
        <w:t xml:space="preserve">. </w:t>
      </w:r>
      <w:r w:rsidR="00CA7A32" w:rsidRPr="00CA7A32">
        <w:rPr>
          <w:rFonts w:eastAsiaTheme="minorHAnsi"/>
          <w:lang w:bidi="ar-SA"/>
        </w:rPr>
        <w:t>Foods that fail to meet these limits may pose a risk to human health an</w:t>
      </w:r>
      <w:r w:rsidR="00CA7A32">
        <w:rPr>
          <w:rFonts w:eastAsiaTheme="minorHAnsi"/>
          <w:lang w:bidi="ar-SA"/>
        </w:rPr>
        <w:t>d must not be offered for sale.</w:t>
      </w:r>
    </w:p>
    <w:p w:rsidR="005F4243" w:rsidRPr="005F4243" w:rsidRDefault="005F4243" w:rsidP="00692CBD">
      <w:pPr>
        <w:rPr>
          <w:rFonts w:eastAsiaTheme="minorHAnsi"/>
          <w:lang w:bidi="ar-SA"/>
        </w:rPr>
      </w:pPr>
    </w:p>
    <w:p w:rsidR="005960CA" w:rsidRPr="005F4243" w:rsidRDefault="005F4243" w:rsidP="00692CBD">
      <w:pPr>
        <w:rPr>
          <w:rFonts w:eastAsiaTheme="minorHAnsi"/>
          <w:lang w:bidi="ar-SA"/>
        </w:rPr>
      </w:pPr>
      <w:r w:rsidRPr="005F4243">
        <w:rPr>
          <w:rFonts w:eastAsiaTheme="minorHAnsi"/>
          <w:lang w:bidi="ar-SA"/>
        </w:rPr>
        <w:t xml:space="preserve">Item </w:t>
      </w:r>
      <w:r w:rsidR="00025850">
        <w:rPr>
          <w:rFonts w:eastAsiaTheme="minorHAnsi"/>
          <w:lang w:bidi="ar-SA"/>
        </w:rPr>
        <w:t>1</w:t>
      </w:r>
      <w:r w:rsidRPr="005F4243">
        <w:rPr>
          <w:rFonts w:eastAsiaTheme="minorHAnsi"/>
          <w:lang w:bidi="ar-SA"/>
        </w:rPr>
        <w:t>.3 inserts new definitions for “listericidal process” and “ready-to-eat</w:t>
      </w:r>
      <w:r w:rsidR="00F30A12">
        <w:rPr>
          <w:rFonts w:eastAsiaTheme="minorHAnsi"/>
          <w:lang w:bidi="ar-SA"/>
        </w:rPr>
        <w:t xml:space="preserve"> food</w:t>
      </w:r>
      <w:r w:rsidRPr="005F4243">
        <w:rPr>
          <w:rFonts w:eastAsiaTheme="minorHAnsi"/>
          <w:lang w:bidi="ar-SA"/>
        </w:rPr>
        <w:t>” into clause 1 of Standard 1.6.1.</w:t>
      </w:r>
    </w:p>
    <w:p w:rsidR="005F4243" w:rsidRPr="005960CA" w:rsidRDefault="005F4243" w:rsidP="00E63CFD">
      <w:pPr>
        <w:rPr>
          <w:highlight w:val="magenta"/>
        </w:rPr>
      </w:pPr>
    </w:p>
    <w:p w:rsidR="005F4243" w:rsidRPr="005F4243" w:rsidRDefault="005F4243" w:rsidP="00692CBD">
      <w:pPr>
        <w:rPr>
          <w:rFonts w:eastAsiaTheme="minorHAnsi"/>
          <w:lang w:bidi="ar-SA"/>
        </w:rPr>
      </w:pPr>
      <w:r>
        <w:rPr>
          <w:rFonts w:eastAsiaTheme="minorHAnsi"/>
          <w:lang w:bidi="ar-SA"/>
        </w:rPr>
        <w:t xml:space="preserve">Item </w:t>
      </w:r>
      <w:r w:rsidR="00025850">
        <w:rPr>
          <w:rFonts w:eastAsiaTheme="minorHAnsi"/>
          <w:lang w:bidi="ar-SA"/>
        </w:rPr>
        <w:t>1</w:t>
      </w:r>
      <w:r>
        <w:rPr>
          <w:rFonts w:eastAsiaTheme="minorHAnsi"/>
          <w:lang w:bidi="ar-SA"/>
        </w:rPr>
        <w:t>.</w:t>
      </w:r>
      <w:r w:rsidR="00025850">
        <w:rPr>
          <w:rFonts w:eastAsiaTheme="minorHAnsi"/>
          <w:lang w:bidi="ar-SA"/>
        </w:rPr>
        <w:t xml:space="preserve">4 </w:t>
      </w:r>
      <w:r w:rsidRPr="005F4243">
        <w:rPr>
          <w:rFonts w:eastAsiaTheme="minorHAnsi"/>
          <w:lang w:bidi="ar-SA"/>
        </w:rPr>
        <w:t xml:space="preserve">omits </w:t>
      </w:r>
      <w:r w:rsidR="00D46757">
        <w:rPr>
          <w:rFonts w:eastAsiaTheme="minorHAnsi"/>
          <w:lang w:bidi="ar-SA"/>
        </w:rPr>
        <w:t>sub</w:t>
      </w:r>
      <w:r w:rsidRPr="005F4243">
        <w:rPr>
          <w:rFonts w:eastAsiaTheme="minorHAnsi"/>
          <w:lang w:bidi="ar-SA"/>
        </w:rPr>
        <w:t>clauses 2</w:t>
      </w:r>
      <w:r w:rsidR="00CA7A32">
        <w:rPr>
          <w:rFonts w:eastAsiaTheme="minorHAnsi"/>
          <w:lang w:bidi="ar-SA"/>
        </w:rPr>
        <w:t>(2)</w:t>
      </w:r>
      <w:r w:rsidRPr="005F4243">
        <w:rPr>
          <w:rFonts w:eastAsiaTheme="minorHAnsi"/>
          <w:lang w:bidi="ar-SA"/>
        </w:rPr>
        <w:t xml:space="preserve"> of Standard 1.6.1 and replaces </w:t>
      </w:r>
      <w:r w:rsidR="00C32908">
        <w:rPr>
          <w:rFonts w:eastAsiaTheme="minorHAnsi"/>
          <w:lang w:bidi="ar-SA"/>
        </w:rPr>
        <w:t>this</w:t>
      </w:r>
      <w:r w:rsidRPr="005F4243">
        <w:rPr>
          <w:rFonts w:eastAsiaTheme="minorHAnsi"/>
          <w:lang w:bidi="ar-SA"/>
        </w:rPr>
        <w:t xml:space="preserve"> with </w:t>
      </w:r>
      <w:r w:rsidR="00C32908">
        <w:rPr>
          <w:rFonts w:eastAsiaTheme="minorHAnsi"/>
          <w:lang w:bidi="ar-SA"/>
        </w:rPr>
        <w:t xml:space="preserve">a </w:t>
      </w:r>
      <w:r w:rsidRPr="005F4243">
        <w:rPr>
          <w:rFonts w:eastAsiaTheme="minorHAnsi"/>
          <w:lang w:bidi="ar-SA"/>
        </w:rPr>
        <w:t>new clause 2</w:t>
      </w:r>
      <w:r w:rsidR="00CA7A32">
        <w:rPr>
          <w:rFonts w:eastAsiaTheme="minorHAnsi"/>
          <w:lang w:bidi="ar-SA"/>
        </w:rPr>
        <w:t>(2)</w:t>
      </w:r>
      <w:r w:rsidR="00C32908">
        <w:rPr>
          <w:rFonts w:eastAsiaTheme="minorHAnsi"/>
          <w:lang w:bidi="ar-SA"/>
        </w:rPr>
        <w:t>.</w:t>
      </w:r>
      <w:r w:rsidRPr="005F4243">
        <w:rPr>
          <w:rFonts w:eastAsiaTheme="minorHAnsi"/>
          <w:lang w:bidi="ar-SA"/>
        </w:rPr>
        <w:t xml:space="preserve"> </w:t>
      </w:r>
    </w:p>
    <w:p w:rsidR="005F4243" w:rsidRDefault="005F4243" w:rsidP="00E63CFD">
      <w:pPr>
        <w:rPr>
          <w:highlight w:val="magenta"/>
        </w:rPr>
      </w:pPr>
    </w:p>
    <w:p w:rsidR="00025850" w:rsidRDefault="00025850" w:rsidP="00E63CFD">
      <w:r w:rsidRPr="00925A57">
        <w:t xml:space="preserve">This </w:t>
      </w:r>
      <w:r w:rsidR="00CA7A32">
        <w:t>variation</w:t>
      </w:r>
      <w:r w:rsidRPr="00925A57">
        <w:t xml:space="preserve"> has been included as a consequence of removing</w:t>
      </w:r>
      <w:r w:rsidR="00CA7A32">
        <w:t xml:space="preserve"> the</w:t>
      </w:r>
      <w:r w:rsidRPr="00925A57">
        <w:t xml:space="preserve"> limits for “powdered infant formula products with added lactic acid producing cultures” from the Schedule as it was considered to be an unnecessary duplication of limits for “powdered infant formula products”.</w:t>
      </w:r>
    </w:p>
    <w:p w:rsidR="00025850" w:rsidRPr="005960CA" w:rsidRDefault="00025850" w:rsidP="00E63CFD">
      <w:pPr>
        <w:rPr>
          <w:highlight w:val="magenta"/>
        </w:rPr>
      </w:pPr>
    </w:p>
    <w:p w:rsidR="005F4243" w:rsidRDefault="00C32908" w:rsidP="00E63CFD">
      <w:r>
        <w:t>Item 1.5 replace</w:t>
      </w:r>
      <w:r w:rsidR="00C54AF1">
        <w:t>s</w:t>
      </w:r>
      <w:r>
        <w:t xml:space="preserve"> clause 4.</w:t>
      </w:r>
    </w:p>
    <w:p w:rsidR="00CA7A32" w:rsidRPr="00BB06BC" w:rsidRDefault="00CA7A32" w:rsidP="00E63CFD"/>
    <w:p w:rsidR="005960CA" w:rsidRPr="00BB06BC" w:rsidRDefault="00BB06BC" w:rsidP="00E63CFD">
      <w:r w:rsidRPr="00BB06BC">
        <w:t xml:space="preserve">New clause 4 specifies the reference methods </w:t>
      </w:r>
      <w:r w:rsidR="002C68DD">
        <w:t>that must</w:t>
      </w:r>
      <w:r w:rsidR="002C68DD" w:rsidRPr="00BB06BC">
        <w:t xml:space="preserve"> </w:t>
      </w:r>
      <w:r w:rsidRPr="00BB06BC">
        <w:t>be used to determine whether a food has exceeded the maximum permissible level</w:t>
      </w:r>
      <w:r w:rsidR="002C68DD">
        <w:t>s</w:t>
      </w:r>
      <w:r w:rsidRPr="00BB06BC">
        <w:t xml:space="preserve"> of foodborne microorganisms specified in the Schedule to Standard 1.6.1.</w:t>
      </w:r>
      <w:r w:rsidR="00C32908">
        <w:t xml:space="preserve"> This incorporates reference to both Australian Standards and international standards prescribed by </w:t>
      </w:r>
      <w:r w:rsidR="00C32908" w:rsidRPr="006C4F10">
        <w:t>the International</w:t>
      </w:r>
      <w:r w:rsidR="00C32908" w:rsidRPr="006C4F10">
        <w:rPr>
          <w:color w:val="1F497D"/>
          <w:szCs w:val="22"/>
        </w:rPr>
        <w:t xml:space="preserve"> </w:t>
      </w:r>
      <w:r w:rsidR="00C32908" w:rsidRPr="006C4F10">
        <w:t>Organization for Standardization</w:t>
      </w:r>
      <w:r w:rsidR="00C32908">
        <w:t>.</w:t>
      </w:r>
    </w:p>
    <w:p w:rsidR="00BB06BC" w:rsidRPr="00BB06BC" w:rsidRDefault="00BB06BC" w:rsidP="00E63CFD"/>
    <w:p w:rsidR="00C32908" w:rsidRDefault="00C32908" w:rsidP="00925A57">
      <w:pPr>
        <w:jc w:val="both"/>
      </w:pPr>
      <w:r>
        <w:t>Item 1.6 adds a new clause 6.</w:t>
      </w:r>
    </w:p>
    <w:p w:rsidR="00C32908" w:rsidRDefault="00C32908" w:rsidP="00925A57">
      <w:pPr>
        <w:jc w:val="both"/>
      </w:pPr>
    </w:p>
    <w:p w:rsidR="005960CA" w:rsidRPr="00BB06BC" w:rsidRDefault="00BB06BC" w:rsidP="00925A57">
      <w:pPr>
        <w:jc w:val="both"/>
      </w:pPr>
      <w:r w:rsidRPr="00BB06BC">
        <w:t xml:space="preserve">New clause 6 specifies when the growth of </w:t>
      </w:r>
      <w:r w:rsidRPr="00E63CFD">
        <w:rPr>
          <w:i/>
        </w:rPr>
        <w:t>Listeria monocytogene</w:t>
      </w:r>
      <w:r w:rsidRPr="00BB06BC">
        <w:t>s will not occur in a ready to-eat food for the purposes of the Schedule to Standard 1.6.1.</w:t>
      </w:r>
    </w:p>
    <w:p w:rsidR="00BB06BC" w:rsidRPr="005960CA" w:rsidRDefault="00BB06BC" w:rsidP="00925A57">
      <w:pPr>
        <w:pStyle w:val="ListParagraph"/>
        <w:ind w:left="0"/>
        <w:jc w:val="both"/>
        <w:rPr>
          <w:sz w:val="20"/>
          <w:szCs w:val="20"/>
          <w:highlight w:val="magenta"/>
        </w:rPr>
      </w:pPr>
    </w:p>
    <w:p w:rsidR="00537E94" w:rsidRDefault="005960CA" w:rsidP="005960CA">
      <w:pPr>
        <w:tabs>
          <w:tab w:val="left" w:pos="0"/>
        </w:tabs>
      </w:pPr>
      <w:r w:rsidRPr="00925A57">
        <w:t xml:space="preserve">Item </w:t>
      </w:r>
      <w:r w:rsidR="00C32908">
        <w:t>1.7</w:t>
      </w:r>
      <w:r w:rsidRPr="00925A57">
        <w:t xml:space="preserve"> omits the existing Schedule to Standard 1.6.1 and replaces it with a new Schedule. The new Schedule </w:t>
      </w:r>
      <w:r w:rsidR="008B00FA">
        <w:t>was amended as follows</w:t>
      </w:r>
      <w:r w:rsidRPr="00925A57">
        <w:t>:</w:t>
      </w:r>
      <w:r w:rsidR="00537E94">
        <w:br w:type="page"/>
      </w:r>
    </w:p>
    <w:p w:rsidR="005960CA" w:rsidRPr="00692CBD" w:rsidRDefault="005960CA" w:rsidP="00E63CFD">
      <w:pPr>
        <w:pStyle w:val="FSBullet1"/>
      </w:pPr>
      <w:r w:rsidRPr="00925A57">
        <w:lastRenderedPageBreak/>
        <w:t>the titl</w:t>
      </w:r>
      <w:r w:rsidRPr="00692CBD">
        <w:t>e “Microbiological Criteria (clause 2)” is replaced with “Microbiological limits in food”</w:t>
      </w:r>
    </w:p>
    <w:p w:rsidR="005960CA" w:rsidRPr="00692CBD" w:rsidRDefault="005960CA" w:rsidP="00E63CFD">
      <w:pPr>
        <w:pStyle w:val="FSBullet1"/>
      </w:pPr>
      <w:r w:rsidRPr="00692CBD">
        <w:t>the units currently included in Column 2 are deleted and included under Columns 5 and 6</w:t>
      </w:r>
    </w:p>
    <w:p w:rsidR="005960CA" w:rsidRPr="00692CBD" w:rsidRDefault="005960CA" w:rsidP="00E63CFD">
      <w:pPr>
        <w:pStyle w:val="FSBullet1"/>
      </w:pPr>
      <w:r w:rsidRPr="00692CBD">
        <w:t xml:space="preserve">the limits for </w:t>
      </w:r>
      <w:r w:rsidRPr="00E63CFD">
        <w:rPr>
          <w:i/>
        </w:rPr>
        <w:t>Listeria monocytogenes</w:t>
      </w:r>
      <w:r w:rsidRPr="00692CBD">
        <w:t xml:space="preserve"> in nominated foods are deleted and replaced by limits for “Ready-to-eat food in which the growth of </w:t>
      </w:r>
      <w:r w:rsidRPr="00E63CFD">
        <w:rPr>
          <w:i/>
        </w:rPr>
        <w:t>Listeria monocytogenes</w:t>
      </w:r>
      <w:r w:rsidRPr="00692CBD">
        <w:t xml:space="preserve"> will not occur” and “Ready-to-eat food in which the growth of </w:t>
      </w:r>
      <w:r w:rsidRPr="00E63CFD">
        <w:rPr>
          <w:i/>
        </w:rPr>
        <w:t>Listeria monocytogenes</w:t>
      </w:r>
      <w:r w:rsidRPr="00692CBD">
        <w:t xml:space="preserve"> can occur”</w:t>
      </w:r>
    </w:p>
    <w:p w:rsidR="005960CA" w:rsidRPr="00692CBD" w:rsidRDefault="005960CA" w:rsidP="00E63CFD">
      <w:pPr>
        <w:pStyle w:val="FSBullet1"/>
      </w:pPr>
      <w:r w:rsidRPr="00692CBD">
        <w:t>the limits for “powdered infant formula products with added lactic acid producing culture” are deleted as mentioned above</w:t>
      </w:r>
    </w:p>
    <w:p w:rsidR="00925A57" w:rsidRPr="00925A57" w:rsidRDefault="00925A57" w:rsidP="00E63CFD">
      <w:pPr>
        <w:pStyle w:val="FSBullet1"/>
      </w:pPr>
      <w:r>
        <w:t>numerical number</w:t>
      </w:r>
      <w:r w:rsidR="00070B80">
        <w:t>ing is replaced by</w:t>
      </w:r>
      <w:r>
        <w:t xml:space="preserve"> scientific notation (e.g. 100 became 10</w:t>
      </w:r>
      <w:r w:rsidRPr="00925A57">
        <w:rPr>
          <w:vertAlign w:val="superscript"/>
        </w:rPr>
        <w:t>2</w:t>
      </w:r>
      <w:r>
        <w:t>) for consistency across the Schedule.</w:t>
      </w:r>
    </w:p>
    <w:p w:rsidR="00925A57" w:rsidRDefault="00925A57" w:rsidP="00925A57">
      <w:pPr>
        <w:rPr>
          <w:lang w:bidi="ar-SA"/>
        </w:rPr>
      </w:pPr>
    </w:p>
    <w:p w:rsidR="00925A57" w:rsidRPr="00925A57" w:rsidRDefault="00C32908" w:rsidP="00925A57">
      <w:pPr>
        <w:rPr>
          <w:lang w:bidi="ar-SA"/>
        </w:rPr>
      </w:pPr>
      <w:r>
        <w:t>Item 1.8</w:t>
      </w:r>
      <w:r w:rsidR="00925A57" w:rsidRPr="00925A57">
        <w:t xml:space="preserve"> </w:t>
      </w:r>
      <w:r w:rsidR="00925A57" w:rsidRPr="00654331">
        <w:t>updat</w:t>
      </w:r>
      <w:r w:rsidR="00925A57">
        <w:t>es</w:t>
      </w:r>
      <w:r w:rsidR="00925A57" w:rsidRPr="00654331">
        <w:t xml:space="preserve"> the Table of Provisions</w:t>
      </w:r>
      <w:r w:rsidR="00925A57" w:rsidRPr="00654331">
        <w:rPr>
          <w:iCs/>
        </w:rPr>
        <w:t xml:space="preserve"> to reflect these variations</w:t>
      </w:r>
      <w:r w:rsidR="00925A57">
        <w:rPr>
          <w:iCs/>
        </w:rPr>
        <w:t>.</w:t>
      </w:r>
    </w:p>
    <w:p w:rsidR="005960CA" w:rsidRPr="005960CA" w:rsidRDefault="005960CA" w:rsidP="005960CA">
      <w:pPr>
        <w:rPr>
          <w:sz w:val="20"/>
          <w:szCs w:val="20"/>
          <w:highlight w:val="magenta"/>
        </w:rPr>
      </w:pPr>
    </w:p>
    <w:p w:rsidR="005960CA" w:rsidRPr="00925A57" w:rsidRDefault="00C32908" w:rsidP="005960CA">
      <w:pPr>
        <w:rPr>
          <w:i/>
        </w:rPr>
      </w:pPr>
      <w:r>
        <w:rPr>
          <w:i/>
        </w:rPr>
        <w:t>6.2</w:t>
      </w:r>
      <w:r w:rsidR="005960CA" w:rsidRPr="00925A57">
        <w:rPr>
          <w:i/>
        </w:rPr>
        <w:tab/>
        <w:t>Item [</w:t>
      </w:r>
      <w:r>
        <w:rPr>
          <w:i/>
        </w:rPr>
        <w:t>2</w:t>
      </w:r>
      <w:r w:rsidR="005960CA" w:rsidRPr="00925A57">
        <w:rPr>
          <w:i/>
        </w:rPr>
        <w:t xml:space="preserve">] </w:t>
      </w:r>
    </w:p>
    <w:p w:rsidR="005960CA" w:rsidRPr="005960CA" w:rsidRDefault="005960CA" w:rsidP="005960CA">
      <w:pPr>
        <w:rPr>
          <w:highlight w:val="magenta"/>
          <w:lang w:eastAsia="en-GB" w:bidi="ar-SA"/>
        </w:rPr>
      </w:pPr>
    </w:p>
    <w:p w:rsidR="005960CA" w:rsidRDefault="00C32908" w:rsidP="005960CA">
      <w:r>
        <w:t>Item 2</w:t>
      </w:r>
      <w:r w:rsidR="005960CA" w:rsidRPr="00925A57">
        <w:t xml:space="preserve"> omits the Editorial </w:t>
      </w:r>
      <w:r w:rsidR="00927181">
        <w:t>n</w:t>
      </w:r>
      <w:r w:rsidR="005960CA" w:rsidRPr="00925A57">
        <w:t xml:space="preserve">ote at the end of clause 21 of Standard 4.2.5 and replaces it with a new </w:t>
      </w:r>
      <w:r w:rsidR="00692CBD">
        <w:t>e</w:t>
      </w:r>
      <w:r w:rsidR="005960CA" w:rsidRPr="00925A57">
        <w:t xml:space="preserve">ditorial </w:t>
      </w:r>
      <w:r w:rsidR="00692CBD">
        <w:t>n</w:t>
      </w:r>
      <w:r w:rsidR="005960CA" w:rsidRPr="00925A57">
        <w:t>ote to clarify that Standard 1.6.1 only specifies microbiological limits for processed egg products for sale</w:t>
      </w:r>
      <w:r>
        <w:t>.</w:t>
      </w:r>
    </w:p>
    <w:p w:rsidR="005960CA" w:rsidRDefault="005960CA" w:rsidP="005960CA"/>
    <w:p w:rsidR="007D0189" w:rsidRDefault="007D0189" w:rsidP="00EB25BB">
      <w:pPr>
        <w:pStyle w:val="Heading2"/>
        <w:ind w:left="0" w:firstLine="0"/>
      </w:pPr>
      <w:r>
        <w:br w:type="page"/>
      </w:r>
    </w:p>
    <w:p w:rsidR="00795D86" w:rsidRPr="00B268FE" w:rsidRDefault="003C4969" w:rsidP="007D0189">
      <w:pPr>
        <w:pStyle w:val="Heading2"/>
        <w:ind w:left="0" w:firstLine="0"/>
        <w:rPr>
          <w:color w:val="000000" w:themeColor="text1"/>
        </w:rPr>
      </w:pPr>
      <w:bookmarkStart w:id="109" w:name="_Toc387927838"/>
      <w:r w:rsidRPr="00B268FE">
        <w:rPr>
          <w:color w:val="000000" w:themeColor="text1"/>
        </w:rPr>
        <w:lastRenderedPageBreak/>
        <w:t xml:space="preserve">Attachment </w:t>
      </w:r>
      <w:bookmarkStart w:id="110" w:name="_Toc11735637"/>
      <w:bookmarkStart w:id="111" w:name="_Toc29883122"/>
      <w:bookmarkStart w:id="112" w:name="_Toc41906809"/>
      <w:bookmarkStart w:id="113" w:name="_Toc41907556"/>
      <w:bookmarkStart w:id="114" w:name="_Toc120358587"/>
      <w:bookmarkStart w:id="115" w:name="_Toc175381446"/>
      <w:bookmarkStart w:id="116" w:name="_Toc175381454"/>
      <w:bookmarkEnd w:id="107"/>
      <w:bookmarkEnd w:id="108"/>
      <w:r w:rsidR="007D0189" w:rsidRPr="00B268FE">
        <w:rPr>
          <w:color w:val="000000" w:themeColor="text1"/>
        </w:rPr>
        <w:t>C</w:t>
      </w:r>
      <w:r w:rsidR="00486C66" w:rsidRPr="00B268FE">
        <w:rPr>
          <w:color w:val="000000" w:themeColor="text1"/>
        </w:rPr>
        <w:t xml:space="preserve"> – </w:t>
      </w:r>
      <w:r w:rsidR="00B268FE">
        <w:rPr>
          <w:color w:val="000000" w:themeColor="text1"/>
        </w:rPr>
        <w:t>Draft variation</w:t>
      </w:r>
      <w:r w:rsidR="00795D86" w:rsidRPr="00B268FE">
        <w:rPr>
          <w:color w:val="000000" w:themeColor="text1"/>
        </w:rPr>
        <w:t xml:space="preserve">s to the </w:t>
      </w:r>
      <w:r w:rsidR="00795D86" w:rsidRPr="00B268FE">
        <w:rPr>
          <w:i/>
          <w:color w:val="000000" w:themeColor="text1"/>
        </w:rPr>
        <w:t>Australia New Zealand Food Standards Code</w:t>
      </w:r>
      <w:r w:rsidR="00E47D3B" w:rsidRPr="00B268FE">
        <w:rPr>
          <w:i/>
          <w:color w:val="000000" w:themeColor="text1"/>
        </w:rPr>
        <w:t xml:space="preserve"> </w:t>
      </w:r>
      <w:r w:rsidR="00E47D3B" w:rsidRPr="00B268FE">
        <w:rPr>
          <w:color w:val="000000" w:themeColor="text1"/>
        </w:rPr>
        <w:t>(call for submissions</w:t>
      </w:r>
      <w:r w:rsidR="002E248E">
        <w:rPr>
          <w:color w:val="000000" w:themeColor="text1"/>
        </w:rPr>
        <w:t xml:space="preserve"> version</w:t>
      </w:r>
      <w:r w:rsidR="00E47D3B" w:rsidRPr="00B268FE">
        <w:rPr>
          <w:color w:val="000000" w:themeColor="text1"/>
        </w:rPr>
        <w:t>)</w:t>
      </w:r>
      <w:bookmarkEnd w:id="109"/>
      <w:r w:rsidR="00025850">
        <w:rPr>
          <w:color w:val="000000" w:themeColor="text1"/>
        </w:rPr>
        <w:t xml:space="preserve"> </w:t>
      </w:r>
    </w:p>
    <w:bookmarkEnd w:id="110"/>
    <w:bookmarkEnd w:id="111"/>
    <w:bookmarkEnd w:id="112"/>
    <w:bookmarkEnd w:id="113"/>
    <w:bookmarkEnd w:id="114"/>
    <w:bookmarkEnd w:id="115"/>
    <w:bookmarkEnd w:id="116"/>
    <w:p w:rsidR="00B268FE" w:rsidRPr="00214021" w:rsidRDefault="00B268FE" w:rsidP="00B268FE">
      <w:pPr>
        <w:tabs>
          <w:tab w:val="left" w:pos="851"/>
        </w:tabs>
        <w:rPr>
          <w:noProof/>
          <w:sz w:val="20"/>
          <w:szCs w:val="20"/>
          <w:lang w:eastAsia="en-AU" w:bidi="ar-SA"/>
        </w:rPr>
      </w:pPr>
      <w:r w:rsidRPr="00214021">
        <w:rPr>
          <w:noProof/>
          <w:sz w:val="20"/>
          <w:szCs w:val="20"/>
          <w:lang w:eastAsia="en-GB" w:bidi="ar-SA"/>
        </w:rPr>
        <w:drawing>
          <wp:inline distT="0" distB="0" distL="0" distR="0" wp14:anchorId="305753B3" wp14:editId="2132C81B">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B268FE" w:rsidRPr="00214021" w:rsidRDefault="00B268FE" w:rsidP="00B268FE">
      <w:pPr>
        <w:pBdr>
          <w:bottom w:val="single" w:sz="4" w:space="1" w:color="auto"/>
        </w:pBdr>
        <w:tabs>
          <w:tab w:val="left" w:pos="851"/>
        </w:tabs>
        <w:jc w:val="center"/>
        <w:rPr>
          <w:sz w:val="20"/>
          <w:szCs w:val="20"/>
          <w:lang w:bidi="ar-SA"/>
        </w:rPr>
      </w:pPr>
    </w:p>
    <w:p w:rsidR="00B268FE" w:rsidRPr="00214021" w:rsidRDefault="00B268FE" w:rsidP="00B268FE">
      <w:pPr>
        <w:pBdr>
          <w:bottom w:val="single" w:sz="4" w:space="1" w:color="auto"/>
        </w:pBdr>
        <w:tabs>
          <w:tab w:val="left" w:pos="851"/>
        </w:tabs>
        <w:rPr>
          <w:b/>
          <w:sz w:val="20"/>
          <w:szCs w:val="20"/>
          <w:lang w:bidi="ar-SA"/>
        </w:rPr>
      </w:pPr>
      <w:r w:rsidRPr="00214021">
        <w:rPr>
          <w:b/>
          <w:sz w:val="20"/>
          <w:szCs w:val="20"/>
          <w:lang w:bidi="ar-SA"/>
        </w:rPr>
        <w:t xml:space="preserve">Food Standards (Proposal P1017 – Criteria for </w:t>
      </w:r>
      <w:r w:rsidRPr="00214021">
        <w:rPr>
          <w:b/>
          <w:i/>
          <w:sz w:val="20"/>
          <w:szCs w:val="20"/>
          <w:lang w:bidi="ar-SA"/>
        </w:rPr>
        <w:t>Listeria monocytogenes</w:t>
      </w:r>
      <w:r w:rsidRPr="00214021">
        <w:rPr>
          <w:b/>
          <w:sz w:val="20"/>
          <w:szCs w:val="20"/>
          <w:lang w:bidi="ar-SA"/>
        </w:rPr>
        <w:t xml:space="preserve"> – Microbiological Limits for Foods) Variation</w:t>
      </w:r>
    </w:p>
    <w:p w:rsidR="00B268FE" w:rsidRPr="00214021" w:rsidRDefault="00B268FE" w:rsidP="00B268FE">
      <w:pPr>
        <w:pBdr>
          <w:bottom w:val="single" w:sz="4" w:space="1" w:color="auto"/>
        </w:pBdr>
        <w:tabs>
          <w:tab w:val="left" w:pos="851"/>
        </w:tabs>
        <w:rPr>
          <w:b/>
          <w:sz w:val="20"/>
          <w:szCs w:val="20"/>
          <w:lang w:bidi="ar-SA"/>
        </w:rPr>
      </w:pP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r w:rsidRPr="00214021">
        <w:rPr>
          <w:sz w:val="20"/>
          <w:szCs w:val="20"/>
          <w:lang w:bidi="ar-SA"/>
        </w:rPr>
        <w:t xml:space="preserve">The Board of Food Standards Australia New Zealand gives notice of the making of this variation under section 92 of the </w:t>
      </w:r>
      <w:r w:rsidRPr="00214021">
        <w:rPr>
          <w:i/>
          <w:sz w:val="20"/>
          <w:szCs w:val="20"/>
          <w:lang w:bidi="ar-SA"/>
        </w:rPr>
        <w:t>Food Standards Australia New Zealand Act 1991</w:t>
      </w:r>
      <w:r w:rsidR="00A31543">
        <w:rPr>
          <w:sz w:val="20"/>
          <w:szCs w:val="20"/>
          <w:lang w:bidi="ar-SA"/>
        </w:rPr>
        <w:t xml:space="preserve">. </w:t>
      </w:r>
      <w:r w:rsidRPr="00214021">
        <w:rPr>
          <w:sz w:val="20"/>
          <w:szCs w:val="20"/>
          <w:lang w:bidi="ar-SA"/>
        </w:rPr>
        <w:t>The Standard commences on the date specified in clause 3 of this variation.</w:t>
      </w: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r w:rsidRPr="00214021">
        <w:rPr>
          <w:sz w:val="20"/>
          <w:szCs w:val="20"/>
          <w:lang w:bidi="ar-SA"/>
        </w:rPr>
        <w:t>Dated [To be completed by Standards Management Officer]</w:t>
      </w: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r w:rsidRPr="00214021">
        <w:rPr>
          <w:sz w:val="20"/>
          <w:szCs w:val="20"/>
          <w:lang w:bidi="ar-SA"/>
        </w:rPr>
        <w:t>Standards Management Officer</w:t>
      </w:r>
    </w:p>
    <w:p w:rsidR="00B268FE" w:rsidRPr="00214021" w:rsidRDefault="00B268FE" w:rsidP="00B268FE">
      <w:pPr>
        <w:tabs>
          <w:tab w:val="left" w:pos="851"/>
        </w:tabs>
        <w:rPr>
          <w:sz w:val="20"/>
          <w:szCs w:val="20"/>
          <w:lang w:bidi="ar-SA"/>
        </w:rPr>
      </w:pPr>
      <w:r w:rsidRPr="00214021">
        <w:rPr>
          <w:sz w:val="20"/>
          <w:szCs w:val="20"/>
          <w:lang w:bidi="ar-SA"/>
        </w:rPr>
        <w:t>Delegate of the Board of Food Standards Australia New Zealand</w:t>
      </w: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p>
    <w:p w:rsidR="00B268FE" w:rsidRPr="00214021" w:rsidRDefault="00B268FE" w:rsidP="00B268FE">
      <w:pPr>
        <w:tabs>
          <w:tab w:val="left" w:pos="851"/>
        </w:tabs>
        <w:rPr>
          <w:sz w:val="20"/>
          <w:szCs w:val="20"/>
          <w:lang w:bidi="ar-SA"/>
        </w:rPr>
      </w:pPr>
    </w:p>
    <w:p w:rsidR="00B268FE" w:rsidRPr="00214021" w:rsidRDefault="00B268FE" w:rsidP="00B268FE">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214021">
        <w:rPr>
          <w:b/>
          <w:sz w:val="20"/>
          <w:szCs w:val="20"/>
          <w:lang w:bidi="ar-SA"/>
        </w:rPr>
        <w:t xml:space="preserve">Note:  </w:t>
      </w:r>
    </w:p>
    <w:p w:rsidR="00B268FE" w:rsidRPr="00214021" w:rsidRDefault="00B268FE" w:rsidP="00B268FE">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B268FE" w:rsidRPr="00214021" w:rsidRDefault="00B268FE" w:rsidP="00B268FE">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214021">
        <w:rPr>
          <w:sz w:val="20"/>
          <w:szCs w:val="20"/>
          <w:lang w:bidi="ar-SA"/>
        </w:rPr>
        <w:t xml:space="preserve">This variation will be published in the Commonwealth of Australia Gazette No. FSC </w:t>
      </w:r>
      <w:r w:rsidRPr="00214021">
        <w:rPr>
          <w:color w:val="FF0000"/>
          <w:sz w:val="20"/>
          <w:szCs w:val="20"/>
          <w:lang w:bidi="ar-SA"/>
        </w:rPr>
        <w:t>XX on XX Month 20XX</w:t>
      </w:r>
      <w:r w:rsidRPr="00214021">
        <w:rPr>
          <w:sz w:val="20"/>
          <w:szCs w:val="20"/>
          <w:lang w:bidi="ar-SA"/>
        </w:rPr>
        <w:t xml:space="preserve">. This means that this date is the gazettal date for the purposes of clause 3 of the variation. </w:t>
      </w:r>
    </w:p>
    <w:p w:rsidR="00B268FE" w:rsidRPr="00214021" w:rsidRDefault="00B268FE" w:rsidP="00B268FE">
      <w:pPr>
        <w:tabs>
          <w:tab w:val="left" w:pos="851"/>
        </w:tabs>
        <w:rPr>
          <w:sz w:val="20"/>
          <w:szCs w:val="20"/>
          <w:lang w:bidi="ar-SA"/>
        </w:rPr>
      </w:pPr>
    </w:p>
    <w:p w:rsidR="00B268FE" w:rsidRPr="00214021" w:rsidRDefault="00B268FE" w:rsidP="00B268FE">
      <w:pPr>
        <w:widowControl/>
        <w:rPr>
          <w:sz w:val="20"/>
          <w:szCs w:val="20"/>
          <w:lang w:bidi="ar-SA"/>
        </w:rPr>
      </w:pPr>
      <w:r w:rsidRPr="00214021">
        <w:rPr>
          <w:sz w:val="20"/>
          <w:szCs w:val="20"/>
          <w:lang w:bidi="ar-SA"/>
        </w:rPr>
        <w:br w:type="page"/>
      </w:r>
    </w:p>
    <w:p w:rsidR="00B268FE" w:rsidRPr="005D0056" w:rsidRDefault="00B268FE" w:rsidP="00B268FE">
      <w:pPr>
        <w:pStyle w:val="Clauseheading"/>
      </w:pPr>
      <w:r w:rsidRPr="005D0056">
        <w:lastRenderedPageBreak/>
        <w:t>1</w:t>
      </w:r>
      <w:r w:rsidRPr="005D0056">
        <w:tab/>
        <w:t>Name</w:t>
      </w:r>
    </w:p>
    <w:p w:rsidR="00B268FE" w:rsidRPr="005D0056" w:rsidRDefault="00B268FE" w:rsidP="00B268FE">
      <w:pPr>
        <w:pStyle w:val="Clause"/>
      </w:pPr>
    </w:p>
    <w:p w:rsidR="00B268FE" w:rsidRPr="005D0056" w:rsidRDefault="00B268FE" w:rsidP="00B268FE">
      <w:pPr>
        <w:pStyle w:val="Clause"/>
      </w:pPr>
      <w:r w:rsidRPr="005D0056">
        <w:t>This instrument is the Food Standards (</w:t>
      </w:r>
      <w:r w:rsidRPr="00D96C5C">
        <w:rPr>
          <w:i/>
        </w:rPr>
        <w:t>Proposal P1017 – Criteria for Listeria monocytogenes – Microbiological Limits for Foods</w:t>
      </w:r>
      <w:r w:rsidRPr="005D0056">
        <w:t>) Variation.</w:t>
      </w:r>
    </w:p>
    <w:p w:rsidR="00B268FE" w:rsidRPr="005D0056" w:rsidRDefault="00B268FE" w:rsidP="00B268FE">
      <w:pPr>
        <w:pStyle w:val="Clause"/>
      </w:pPr>
    </w:p>
    <w:p w:rsidR="00B268FE" w:rsidRPr="005D0056" w:rsidRDefault="00B268FE" w:rsidP="00B268FE">
      <w:pPr>
        <w:pStyle w:val="Clauseheading"/>
        <w:tabs>
          <w:tab w:val="clear" w:pos="851"/>
        </w:tabs>
        <w:ind w:left="851" w:hanging="851"/>
      </w:pPr>
      <w:r w:rsidRPr="005D0056">
        <w:t>2</w:t>
      </w:r>
      <w:r w:rsidRPr="005D0056">
        <w:tab/>
        <w:t>Variation</w:t>
      </w:r>
      <w:r>
        <w:t>s</w:t>
      </w:r>
      <w:r w:rsidRPr="005D0056">
        <w:t xml:space="preserve"> to Standards in the </w:t>
      </w:r>
      <w:r w:rsidRPr="005D0056">
        <w:rPr>
          <w:i/>
        </w:rPr>
        <w:t>Australia New Zealand Food Standards Code</w:t>
      </w:r>
    </w:p>
    <w:p w:rsidR="00B268FE" w:rsidRPr="005D0056" w:rsidRDefault="00B268FE" w:rsidP="00B268FE">
      <w:pPr>
        <w:pStyle w:val="Clause"/>
      </w:pPr>
    </w:p>
    <w:p w:rsidR="00B268FE" w:rsidRPr="005D0056" w:rsidRDefault="00B268FE" w:rsidP="00B268FE">
      <w:pPr>
        <w:pStyle w:val="Clause"/>
      </w:pPr>
      <w:r w:rsidRPr="005D0056">
        <w:t xml:space="preserve">The Schedule varies the Standards in the </w:t>
      </w:r>
      <w:r w:rsidRPr="005D0056">
        <w:rPr>
          <w:i/>
        </w:rPr>
        <w:t>Australia New Zealand Food Standards Code</w:t>
      </w:r>
      <w:r w:rsidRPr="005D0056">
        <w:t>.</w:t>
      </w:r>
    </w:p>
    <w:p w:rsidR="00B268FE" w:rsidRPr="005D0056" w:rsidRDefault="00B268FE" w:rsidP="00B268FE">
      <w:pPr>
        <w:rPr>
          <w:sz w:val="20"/>
        </w:rPr>
      </w:pPr>
    </w:p>
    <w:p w:rsidR="00B268FE" w:rsidRPr="005D0056" w:rsidRDefault="00B268FE" w:rsidP="00B268FE">
      <w:pPr>
        <w:pStyle w:val="Clauseheading"/>
      </w:pPr>
      <w:r w:rsidRPr="005D0056">
        <w:t>3</w:t>
      </w:r>
      <w:r w:rsidRPr="005D0056">
        <w:tab/>
        <w:t>Commencement</w:t>
      </w:r>
    </w:p>
    <w:p w:rsidR="00B268FE" w:rsidRPr="005D0056" w:rsidRDefault="00B268FE" w:rsidP="00B268FE">
      <w:pPr>
        <w:pStyle w:val="Clause"/>
      </w:pPr>
    </w:p>
    <w:p w:rsidR="00B268FE" w:rsidRPr="005D0056" w:rsidRDefault="00B268FE" w:rsidP="00B268FE">
      <w:pPr>
        <w:pStyle w:val="Clause"/>
      </w:pPr>
      <w:r w:rsidRPr="005D0056">
        <w:t>The variation</w:t>
      </w:r>
      <w:r>
        <w:t>s</w:t>
      </w:r>
      <w:r w:rsidRPr="005D0056">
        <w:t xml:space="preserve"> commence on gazettal.</w:t>
      </w:r>
    </w:p>
    <w:p w:rsidR="00B268FE" w:rsidRPr="00FD5AFA" w:rsidRDefault="00B268FE" w:rsidP="00B268FE">
      <w:pPr>
        <w:rPr>
          <w:sz w:val="20"/>
        </w:rPr>
      </w:pPr>
    </w:p>
    <w:p w:rsidR="00B268FE" w:rsidRPr="005D0056" w:rsidRDefault="00B268FE" w:rsidP="00B268FE">
      <w:pPr>
        <w:pStyle w:val="ScheduleHeading"/>
      </w:pPr>
      <w:r w:rsidRPr="005D0056">
        <w:t>SCHEDULE</w:t>
      </w:r>
    </w:p>
    <w:p w:rsidR="00B268FE" w:rsidRPr="005D0056" w:rsidRDefault="00B268FE" w:rsidP="00B268FE">
      <w:pPr>
        <w:widowControl/>
        <w:rPr>
          <w:sz w:val="20"/>
        </w:rPr>
      </w:pPr>
    </w:p>
    <w:p w:rsidR="00B268FE" w:rsidRDefault="00B268FE" w:rsidP="00B268FE">
      <w:pPr>
        <w:pStyle w:val="Clause"/>
      </w:pPr>
      <w:r w:rsidRPr="00B430BA">
        <w:rPr>
          <w:b/>
          <w:bCs/>
        </w:rPr>
        <w:t>[1]</w:t>
      </w:r>
      <w:r w:rsidRPr="005D0056">
        <w:tab/>
      </w:r>
      <w:r w:rsidRPr="00BA1696">
        <w:rPr>
          <w:b/>
          <w:bCs/>
        </w:rPr>
        <w:t>Standard 1.1.1</w:t>
      </w:r>
      <w:r w:rsidRPr="005D0056">
        <w:t xml:space="preserve"> is varied by</w:t>
      </w:r>
    </w:p>
    <w:p w:rsidR="00B268FE" w:rsidRDefault="00B268FE" w:rsidP="00B268FE">
      <w:pPr>
        <w:pStyle w:val="Clause"/>
      </w:pPr>
    </w:p>
    <w:p w:rsidR="00B268FE" w:rsidRPr="00D37B67" w:rsidRDefault="00B268FE" w:rsidP="00B268FE">
      <w:pPr>
        <w:pStyle w:val="Clause"/>
      </w:pPr>
      <w:r>
        <w:rPr>
          <w:bCs/>
        </w:rPr>
        <w:t>[1.1]</w:t>
      </w:r>
      <w:r>
        <w:rPr>
          <w:bCs/>
        </w:rPr>
        <w:tab/>
      </w:r>
      <w:r>
        <w:t>inserting in clause 2</w:t>
      </w:r>
      <w:r w:rsidRPr="00D37B67">
        <w:t xml:space="preserve"> in alphabetical order</w:t>
      </w:r>
    </w:p>
    <w:p w:rsidR="00B268FE" w:rsidRPr="00D37B67" w:rsidRDefault="00B268FE" w:rsidP="00B268FE">
      <w:pPr>
        <w:pStyle w:val="Clause"/>
      </w:pPr>
    </w:p>
    <w:p w:rsidR="00B268FE" w:rsidRPr="007C0549" w:rsidRDefault="00B268FE" w:rsidP="00B268FE">
      <w:pPr>
        <w:pStyle w:val="Definition"/>
      </w:pPr>
      <w:r w:rsidRPr="00D37B67">
        <w:t>“</w:t>
      </w:r>
      <w:r w:rsidRPr="00D37B67">
        <w:rPr>
          <w:b/>
        </w:rPr>
        <w:t>ready-to</w:t>
      </w:r>
      <w:r w:rsidRPr="00E6670E">
        <w:rPr>
          <w:b/>
        </w:rPr>
        <w:t>-eat</w:t>
      </w:r>
      <w:r w:rsidRPr="00D37B67">
        <w:rPr>
          <w:b/>
        </w:rPr>
        <w:t xml:space="preserve"> </w:t>
      </w:r>
      <w:r w:rsidRPr="00D37B67">
        <w:t xml:space="preserve">in relation to food means food that is </w:t>
      </w:r>
      <w:r w:rsidRPr="00D37B67">
        <w:rPr>
          <w:lang w:eastAsia="en-GB"/>
        </w:rPr>
        <w:t>ordinarily consumed in the same state as that in which it is sold</w:t>
      </w:r>
      <w:r w:rsidRPr="007C0549">
        <w:rPr>
          <w:lang w:eastAsia="en-GB"/>
        </w:rPr>
        <w:t>, and</w:t>
      </w:r>
      <w:r w:rsidRPr="007C0549">
        <w:t xml:space="preserve"> –</w:t>
      </w:r>
    </w:p>
    <w:p w:rsidR="00B268FE" w:rsidRPr="005D0056" w:rsidRDefault="00B268FE" w:rsidP="00B268FE">
      <w:pPr>
        <w:pStyle w:val="Definition"/>
        <w:rPr>
          <w:b/>
          <w:bCs/>
        </w:rPr>
      </w:pPr>
    </w:p>
    <w:p w:rsidR="00B268FE" w:rsidRPr="003F1E3A" w:rsidRDefault="00B268FE" w:rsidP="00B268FE">
      <w:pPr>
        <w:pStyle w:val="Subparagraph"/>
      </w:pPr>
      <w:r w:rsidRPr="00AD0130">
        <w:t>(a)</w:t>
      </w:r>
      <w:r w:rsidRPr="00AD0130">
        <w:tab/>
        <w:t xml:space="preserve">does not require further </w:t>
      </w:r>
      <w:r w:rsidRPr="007D5C61">
        <w:t xml:space="preserve">processing (such as cooking), but may be defrosted, reheated </w:t>
      </w:r>
      <w:r w:rsidRPr="00D37B67">
        <w:t>or portioned before consumption; and</w:t>
      </w:r>
    </w:p>
    <w:p w:rsidR="00B268FE" w:rsidRPr="005D0056" w:rsidRDefault="00B268FE" w:rsidP="00B268FE">
      <w:pPr>
        <w:pStyle w:val="Subparagraph"/>
      </w:pPr>
      <w:r w:rsidRPr="007C0549">
        <w:rPr>
          <w:lang w:eastAsia="en-GB"/>
        </w:rPr>
        <w:t>(b)</w:t>
      </w:r>
      <w:r w:rsidRPr="007C0549">
        <w:rPr>
          <w:lang w:eastAsia="en-GB"/>
        </w:rPr>
        <w:tab/>
        <w:t>does not include nuts in the shell and whole, raw fruits and vegetables that are intended for</w:t>
      </w:r>
      <w:r w:rsidRPr="00AD0130">
        <w:rPr>
          <w:lang w:eastAsia="en-GB"/>
        </w:rPr>
        <w:t xml:space="preserve"> hulling, peeling or washing by the consumer.</w:t>
      </w:r>
      <w:r w:rsidRPr="00AD0130">
        <w:t>”</w:t>
      </w:r>
    </w:p>
    <w:p w:rsidR="00B268FE" w:rsidRPr="003F1E3A" w:rsidRDefault="00B268FE" w:rsidP="00B268FE">
      <w:pPr>
        <w:pStyle w:val="Clause"/>
      </w:pPr>
    </w:p>
    <w:p w:rsidR="00B268FE" w:rsidRPr="008C16CF" w:rsidRDefault="00B268FE" w:rsidP="00B268FE">
      <w:pPr>
        <w:pStyle w:val="Clause"/>
      </w:pPr>
      <w:r w:rsidRPr="008C16CF">
        <w:t>[1.2]</w:t>
      </w:r>
      <w:r w:rsidRPr="008C16CF">
        <w:tab/>
        <w:t xml:space="preserve">inserting into the Table </w:t>
      </w:r>
      <w:r>
        <w:t xml:space="preserve">to </w:t>
      </w:r>
      <w:r w:rsidRPr="008C16CF">
        <w:t xml:space="preserve">clause 8, </w:t>
      </w:r>
      <w:r>
        <w:t>after the entry for “cfu/g”</w:t>
      </w:r>
    </w:p>
    <w:p w:rsidR="00B268FE" w:rsidRPr="008C16CF" w:rsidRDefault="00B268FE" w:rsidP="00B268FE">
      <w:pPr>
        <w:rPr>
          <w:sz w:val="20"/>
        </w:rPr>
      </w:pPr>
    </w:p>
    <w:p w:rsidR="00B268FE" w:rsidRDefault="00B268FE" w:rsidP="00B268FE">
      <w:pPr>
        <w:tabs>
          <w:tab w:val="left" w:pos="0"/>
        </w:tabs>
        <w:rPr>
          <w:sz w:val="20"/>
        </w:rPr>
      </w:pPr>
      <w:r>
        <w:rPr>
          <w:sz w:val="20"/>
        </w:rPr>
        <w:tab/>
      </w:r>
      <w:r w:rsidRPr="008C16CF">
        <w:rPr>
          <w:sz w:val="20"/>
        </w:rPr>
        <w:t>“</w:t>
      </w:r>
    </w:p>
    <w:tbl>
      <w:tblPr>
        <w:tblW w:w="0" w:type="auto"/>
        <w:jc w:val="center"/>
        <w:tblInd w:w="-140" w:type="dxa"/>
        <w:tblLayout w:type="fixed"/>
        <w:tblLook w:val="0000" w:firstRow="0" w:lastRow="0" w:firstColumn="0" w:lastColumn="0" w:noHBand="0" w:noVBand="0"/>
      </w:tblPr>
      <w:tblGrid>
        <w:gridCol w:w="3542"/>
        <w:gridCol w:w="3402"/>
      </w:tblGrid>
      <w:tr w:rsidR="00B268FE" w:rsidTr="00B268FE">
        <w:trPr>
          <w:jc w:val="center"/>
        </w:trPr>
        <w:tc>
          <w:tcPr>
            <w:tcW w:w="3542" w:type="dxa"/>
          </w:tcPr>
          <w:p w:rsidR="00B268FE" w:rsidRPr="00E6670E" w:rsidRDefault="00B268FE" w:rsidP="00B268FE">
            <w:pPr>
              <w:pStyle w:val="Table2"/>
            </w:pPr>
            <w:r w:rsidRPr="00E6670E">
              <w:t>cfu/m</w:t>
            </w:r>
            <w:r>
              <w:t>L</w:t>
            </w:r>
          </w:p>
        </w:tc>
        <w:tc>
          <w:tcPr>
            <w:tcW w:w="3402" w:type="dxa"/>
          </w:tcPr>
          <w:p w:rsidR="00B268FE" w:rsidRPr="00E6670E" w:rsidRDefault="00B268FE" w:rsidP="00B268FE">
            <w:pPr>
              <w:pStyle w:val="Table2"/>
            </w:pPr>
            <w:r w:rsidRPr="00E6670E">
              <w:t>colony forming units per mil</w:t>
            </w:r>
            <w:r>
              <w:t>l</w:t>
            </w:r>
            <w:r w:rsidRPr="00E6670E">
              <w:t>ilitre</w:t>
            </w:r>
          </w:p>
        </w:tc>
      </w:tr>
    </w:tbl>
    <w:p w:rsidR="00B268FE" w:rsidRPr="008C16CF" w:rsidRDefault="00B268FE" w:rsidP="00B268FE">
      <w:pPr>
        <w:jc w:val="center"/>
        <w:rPr>
          <w:sz w:val="20"/>
        </w:rPr>
      </w:pPr>
      <w:r w:rsidRPr="008C16CF">
        <w:rPr>
          <w:sz w:val="20"/>
        </w:rPr>
        <w:tab/>
      </w:r>
      <w:r w:rsidRPr="008C16CF">
        <w:rPr>
          <w:sz w:val="20"/>
        </w:rPr>
        <w:tab/>
      </w:r>
      <w:r w:rsidRPr="008C16CF">
        <w:rPr>
          <w:sz w:val="20"/>
        </w:rPr>
        <w:tab/>
      </w:r>
      <w:r w:rsidRPr="008C16CF">
        <w:rPr>
          <w:sz w:val="20"/>
        </w:rPr>
        <w:tab/>
      </w:r>
      <w:r w:rsidRPr="008C16CF">
        <w:rPr>
          <w:sz w:val="20"/>
        </w:rPr>
        <w:tab/>
      </w:r>
      <w:r w:rsidRPr="008C16CF">
        <w:rPr>
          <w:sz w:val="20"/>
        </w:rPr>
        <w:tab/>
      </w:r>
      <w:r w:rsidRPr="008C16CF">
        <w:rPr>
          <w:sz w:val="20"/>
        </w:rPr>
        <w:tab/>
      </w:r>
      <w:r w:rsidRPr="008C16CF">
        <w:rPr>
          <w:sz w:val="20"/>
        </w:rPr>
        <w:tab/>
        <w:t xml:space="preserve">     ”</w:t>
      </w:r>
    </w:p>
    <w:p w:rsidR="00B268FE" w:rsidRPr="00E6670E" w:rsidRDefault="00B268FE" w:rsidP="00B268FE">
      <w:pPr>
        <w:pStyle w:val="Clause"/>
      </w:pPr>
    </w:p>
    <w:p w:rsidR="00B268FE" w:rsidRPr="005D0056" w:rsidRDefault="00B268FE" w:rsidP="00B268FE">
      <w:pPr>
        <w:pStyle w:val="Subclause"/>
      </w:pPr>
      <w:r w:rsidRPr="00B430BA">
        <w:rPr>
          <w:rStyle w:val="ClauseChar"/>
          <w:b/>
          <w:bCs/>
        </w:rPr>
        <w:t>[2]</w:t>
      </w:r>
      <w:r w:rsidRPr="00E6670E">
        <w:tab/>
      </w:r>
      <w:r w:rsidRPr="00BA1696">
        <w:rPr>
          <w:rStyle w:val="ClauseChar"/>
          <w:b/>
          <w:bCs/>
        </w:rPr>
        <w:t>Standard 1.6.1</w:t>
      </w:r>
      <w:r>
        <w:t xml:space="preserve"> is varied by</w:t>
      </w:r>
    </w:p>
    <w:p w:rsidR="00B268FE" w:rsidRPr="00E6670E" w:rsidRDefault="00B268FE" w:rsidP="00B268FE">
      <w:pPr>
        <w:pStyle w:val="Clause"/>
      </w:pPr>
    </w:p>
    <w:p w:rsidR="00B268FE" w:rsidRDefault="00B268FE" w:rsidP="00B268FE">
      <w:pPr>
        <w:pStyle w:val="Clause"/>
      </w:pPr>
      <w:r>
        <w:t>[2.1]</w:t>
      </w:r>
      <w:r>
        <w:tab/>
      </w:r>
      <w:r w:rsidRPr="00BC3497">
        <w:t>omitting the heading of the Standard</w:t>
      </w:r>
      <w:r>
        <w:t xml:space="preserve"> “Microbiological Limits For Food” and substituting “Microbiological Limits in Food”</w:t>
      </w:r>
    </w:p>
    <w:p w:rsidR="00B268FE" w:rsidRPr="00695578" w:rsidRDefault="00B268FE" w:rsidP="00B268FE">
      <w:pPr>
        <w:pStyle w:val="Clause"/>
      </w:pPr>
    </w:p>
    <w:p w:rsidR="00B268FE" w:rsidRDefault="00B268FE" w:rsidP="00B268FE">
      <w:pPr>
        <w:pStyle w:val="Clause"/>
      </w:pPr>
      <w:r w:rsidRPr="005D0056">
        <w:t>[</w:t>
      </w:r>
      <w:r>
        <w:t>2</w:t>
      </w:r>
      <w:r w:rsidRPr="005D0056">
        <w:t>.</w:t>
      </w:r>
      <w:r>
        <w:t>2</w:t>
      </w:r>
      <w:r w:rsidRPr="005D0056">
        <w:t>]</w:t>
      </w:r>
      <w:r w:rsidRPr="005D0056">
        <w:tab/>
        <w:t>omitting the Purpose</w:t>
      </w:r>
      <w:r>
        <w:t xml:space="preserve"> and substituting</w:t>
      </w:r>
    </w:p>
    <w:p w:rsidR="00B268FE" w:rsidRPr="00695578" w:rsidRDefault="00B268FE" w:rsidP="00B268FE">
      <w:pPr>
        <w:pStyle w:val="Clause"/>
      </w:pPr>
    </w:p>
    <w:p w:rsidR="00B268FE" w:rsidRDefault="00B268FE" w:rsidP="00B268FE">
      <w:pPr>
        <w:pStyle w:val="Clauseheading"/>
      </w:pPr>
      <w:r w:rsidRPr="00DA7808">
        <w:rPr>
          <w:b w:val="0"/>
        </w:rPr>
        <w:t>“</w:t>
      </w:r>
      <w:r w:rsidRPr="004E2CDB">
        <w:t>Purpose</w:t>
      </w:r>
    </w:p>
    <w:p w:rsidR="00B268FE" w:rsidRPr="007572E5" w:rsidRDefault="00B268FE" w:rsidP="00B268FE">
      <w:pPr>
        <w:rPr>
          <w:sz w:val="20"/>
        </w:rPr>
      </w:pPr>
    </w:p>
    <w:p w:rsidR="00B268FE" w:rsidRDefault="00B268FE" w:rsidP="00B268FE">
      <w:pPr>
        <w:rPr>
          <w:sz w:val="20"/>
        </w:rPr>
      </w:pPr>
      <w:r w:rsidRPr="00837D56">
        <w:rPr>
          <w:sz w:val="20"/>
        </w:rPr>
        <w:t>This Standard specifies microbiological food safety criteria</w:t>
      </w:r>
      <w:r>
        <w:rPr>
          <w:sz w:val="20"/>
        </w:rPr>
        <w:t>,</w:t>
      </w:r>
      <w:r w:rsidRPr="00837D56">
        <w:rPr>
          <w:sz w:val="20"/>
        </w:rPr>
        <w:t xml:space="preserve"> which define the acceptability of a lot or consignment of food for sale or intended for sale. The Schedule to the Standard sets out sampling plans and the limits that a lot or consignment of food must comply with when sampled. Foods that fail to meet these limits may pose a risk to human health and </w:t>
      </w:r>
      <w:r>
        <w:rPr>
          <w:sz w:val="20"/>
        </w:rPr>
        <w:t>must</w:t>
      </w:r>
      <w:r w:rsidRPr="00837D56">
        <w:rPr>
          <w:sz w:val="20"/>
        </w:rPr>
        <w:t xml:space="preserve"> not be offered for sale.</w:t>
      </w:r>
      <w:r>
        <w:rPr>
          <w:sz w:val="20"/>
        </w:rPr>
        <w:t>”</w:t>
      </w:r>
    </w:p>
    <w:p w:rsidR="00B268FE" w:rsidRDefault="00B268FE" w:rsidP="00B268FE">
      <w:pPr>
        <w:rPr>
          <w:sz w:val="20"/>
        </w:rPr>
      </w:pPr>
    </w:p>
    <w:p w:rsidR="00B268FE" w:rsidRDefault="00B268FE" w:rsidP="00B268FE">
      <w:pPr>
        <w:pStyle w:val="Clause"/>
      </w:pPr>
      <w:r>
        <w:t>[2.3]</w:t>
      </w:r>
      <w:r>
        <w:tab/>
        <w:t>inserting in clause 1, in alphabetical order</w:t>
      </w:r>
    </w:p>
    <w:p w:rsidR="00B268FE" w:rsidRDefault="00B268FE" w:rsidP="00B268FE">
      <w:pPr>
        <w:pStyle w:val="Clause"/>
      </w:pPr>
    </w:p>
    <w:p w:rsidR="00B268FE" w:rsidRDefault="00B268FE" w:rsidP="00B268FE">
      <w:pPr>
        <w:pStyle w:val="Definition"/>
        <w:rPr>
          <w:iCs/>
        </w:rPr>
      </w:pPr>
      <w:r w:rsidRPr="00AF173B">
        <w:t>“</w:t>
      </w:r>
      <w:r w:rsidRPr="00811C6E">
        <w:rPr>
          <w:b/>
        </w:rPr>
        <w:t>listericidal treatment</w:t>
      </w:r>
      <w:r>
        <w:t xml:space="preserve"> means a process that can eliminate </w:t>
      </w:r>
      <w:r w:rsidRPr="00A52EDC">
        <w:rPr>
          <w:i/>
          <w:iCs/>
        </w:rPr>
        <w:t>Listeria monocytogenes</w:t>
      </w:r>
      <w:r>
        <w:rPr>
          <w:iCs/>
        </w:rPr>
        <w:t>.”</w:t>
      </w:r>
    </w:p>
    <w:p w:rsidR="00B268FE" w:rsidRPr="00031DD4" w:rsidRDefault="00B268FE" w:rsidP="00B268FE">
      <w:pPr>
        <w:rPr>
          <w:sz w:val="20"/>
        </w:rPr>
      </w:pPr>
    </w:p>
    <w:p w:rsidR="00B268FE" w:rsidRDefault="00B268FE" w:rsidP="00B268FE">
      <w:pPr>
        <w:pStyle w:val="Definition"/>
      </w:pPr>
      <w:r>
        <w:t>“</w:t>
      </w:r>
      <w:r w:rsidRPr="00811C6E">
        <w:rPr>
          <w:b/>
        </w:rPr>
        <w:t>MPN</w:t>
      </w:r>
      <w:r>
        <w:t xml:space="preserve"> means the most probable number.”</w:t>
      </w:r>
    </w:p>
    <w:p w:rsidR="00B268FE" w:rsidRDefault="00B268FE" w:rsidP="00B268FE">
      <w:pPr>
        <w:rPr>
          <w:sz w:val="20"/>
        </w:rPr>
      </w:pPr>
    </w:p>
    <w:p w:rsidR="00B268FE" w:rsidRDefault="00B268FE" w:rsidP="00B268FE">
      <w:pPr>
        <w:pStyle w:val="Clause"/>
      </w:pPr>
      <w:r w:rsidRPr="005D0056">
        <w:t>[</w:t>
      </w:r>
      <w:r>
        <w:t>2</w:t>
      </w:r>
      <w:r w:rsidRPr="005D0056">
        <w:t>.</w:t>
      </w:r>
      <w:r>
        <w:t>4</w:t>
      </w:r>
      <w:r w:rsidRPr="005D0056">
        <w:t>]</w:t>
      </w:r>
      <w:r w:rsidRPr="005D0056">
        <w:tab/>
      </w:r>
      <w:r>
        <w:t>omitting the definition of microorganism from clause 1 and substituting</w:t>
      </w:r>
    </w:p>
    <w:p w:rsidR="00B268FE" w:rsidRDefault="00B268FE" w:rsidP="00B268FE">
      <w:pPr>
        <w:pStyle w:val="Clause"/>
      </w:pPr>
    </w:p>
    <w:p w:rsidR="00B268FE" w:rsidRDefault="00B268FE" w:rsidP="00B268FE">
      <w:pPr>
        <w:pStyle w:val="Definition"/>
      </w:pPr>
      <w:r>
        <w:t>“</w:t>
      </w:r>
      <w:r>
        <w:rPr>
          <w:b/>
        </w:rPr>
        <w:t>microorganism</w:t>
      </w:r>
      <w:r>
        <w:t xml:space="preserve"> means a microbiological agent, test or toxin listed in Column 2 of the Schedule.”</w:t>
      </w:r>
    </w:p>
    <w:p w:rsidR="00B268FE" w:rsidRDefault="00B268FE" w:rsidP="00B268FE">
      <w:pPr>
        <w:pStyle w:val="Clause"/>
      </w:pPr>
    </w:p>
    <w:p w:rsidR="00B268FE" w:rsidRPr="00F278A7" w:rsidRDefault="00B268FE" w:rsidP="00B268FE">
      <w:pPr>
        <w:pStyle w:val="Clause"/>
      </w:pPr>
      <w:r>
        <w:t>[2.5]</w:t>
      </w:r>
      <w:r>
        <w:tab/>
        <w:t>omitting clauses 2 to 5 and substituting</w:t>
      </w:r>
    </w:p>
    <w:p w:rsidR="00644902" w:rsidRDefault="00644902" w:rsidP="00B268FE">
      <w:pPr>
        <w:rPr>
          <w:sz w:val="20"/>
        </w:rPr>
      </w:pPr>
      <w:r>
        <w:rPr>
          <w:sz w:val="20"/>
        </w:rPr>
        <w:br w:type="page"/>
      </w:r>
    </w:p>
    <w:p w:rsidR="00B268FE" w:rsidRPr="00A52EDC" w:rsidRDefault="00B268FE" w:rsidP="00B268FE">
      <w:pPr>
        <w:pStyle w:val="Clauseheading"/>
      </w:pPr>
      <w:r w:rsidRPr="00AF173B">
        <w:rPr>
          <w:b w:val="0"/>
        </w:rPr>
        <w:lastRenderedPageBreak/>
        <w:t>“</w:t>
      </w:r>
      <w:r>
        <w:t>2</w:t>
      </w:r>
      <w:r>
        <w:tab/>
      </w:r>
      <w:r w:rsidRPr="00A52EDC">
        <w:t>Application to stock in trade</w:t>
      </w:r>
    </w:p>
    <w:p w:rsidR="00B268FE" w:rsidRPr="00A52EDC" w:rsidRDefault="00B268FE" w:rsidP="00B268FE">
      <w:pPr>
        <w:pStyle w:val="Clause"/>
      </w:pPr>
    </w:p>
    <w:p w:rsidR="00B268FE" w:rsidRDefault="00B268FE" w:rsidP="00B268FE">
      <w:pPr>
        <w:pStyle w:val="Clause"/>
      </w:pPr>
      <w:r w:rsidRPr="00A52EDC">
        <w:t xml:space="preserve">Subclause 1(2) of Standard 1.1.1 does not apply in relation to any variation made by Food Standards (Proposal P1017 – Criteria for </w:t>
      </w:r>
      <w:r w:rsidRPr="00E6670E">
        <w:rPr>
          <w:i/>
        </w:rPr>
        <w:t>Listeria monocytogenes</w:t>
      </w:r>
      <w:r w:rsidRPr="00A52EDC">
        <w:t xml:space="preserve"> – Microbiological Limits for Foods) Variation.</w:t>
      </w:r>
    </w:p>
    <w:p w:rsidR="00B268FE" w:rsidRPr="00A7433E" w:rsidRDefault="00B268FE" w:rsidP="00B268FE">
      <w:pPr>
        <w:rPr>
          <w:sz w:val="20"/>
        </w:rPr>
      </w:pPr>
    </w:p>
    <w:p w:rsidR="00B268FE" w:rsidRDefault="00B268FE" w:rsidP="00B268FE">
      <w:pPr>
        <w:pStyle w:val="Clauseheading"/>
      </w:pPr>
      <w:r w:rsidRPr="00AB359A">
        <w:rPr>
          <w:bCs/>
        </w:rPr>
        <w:t>3</w:t>
      </w:r>
      <w:r>
        <w:rPr>
          <w:bCs/>
        </w:rPr>
        <w:tab/>
      </w:r>
      <w:r>
        <w:rPr>
          <w:lang w:eastAsia="en-GB"/>
        </w:rPr>
        <w:t>Sampling of food for microbiological</w:t>
      </w:r>
      <w:r w:rsidRPr="003E7F27">
        <w:rPr>
          <w:lang w:eastAsia="en-GB"/>
        </w:rPr>
        <w:t xml:space="preserve"> analysis</w:t>
      </w:r>
    </w:p>
    <w:p w:rsidR="00B268FE" w:rsidRDefault="00B268FE" w:rsidP="00B268FE">
      <w:pPr>
        <w:pStyle w:val="Clause"/>
      </w:pPr>
    </w:p>
    <w:p w:rsidR="00B268FE" w:rsidRDefault="00B268FE" w:rsidP="00B268FE">
      <w:pPr>
        <w:pStyle w:val="Subclause"/>
      </w:pPr>
      <w:r>
        <w:t>(1)</w:t>
      </w:r>
      <w:r>
        <w:tab/>
      </w:r>
      <w:r w:rsidRPr="00AB359A">
        <w:t xml:space="preserve">At the point of sampling, the number of sample units to be taken from a lot of food must be equal to the number specified in </w:t>
      </w:r>
      <w:r>
        <w:t>C</w:t>
      </w:r>
      <w:r w:rsidRPr="00AB359A">
        <w:t>olumn 3 of the Schedule in relation to the food.</w:t>
      </w:r>
    </w:p>
    <w:p w:rsidR="00B268FE" w:rsidRDefault="00B268FE" w:rsidP="00B268FE">
      <w:pPr>
        <w:pStyle w:val="Subclause"/>
      </w:pPr>
    </w:p>
    <w:p w:rsidR="00B268FE" w:rsidRPr="00394EAD" w:rsidRDefault="00B268FE" w:rsidP="00B268FE">
      <w:pPr>
        <w:pStyle w:val="Subclause"/>
      </w:pPr>
      <w:r w:rsidRPr="00394EAD">
        <w:t>(2)</w:t>
      </w:r>
      <w:r w:rsidRPr="00394EAD">
        <w:tab/>
        <w:t>An authorised officer who takes or otherwise obtains a sample of food for the purpose of submitting it for microbiological analysis –</w:t>
      </w:r>
    </w:p>
    <w:p w:rsidR="00B268FE" w:rsidRPr="00394EAD" w:rsidRDefault="00B268FE" w:rsidP="00B268FE">
      <w:pPr>
        <w:pStyle w:val="Clause"/>
      </w:pPr>
    </w:p>
    <w:p w:rsidR="00B268FE" w:rsidRPr="00394EAD" w:rsidRDefault="00B268FE" w:rsidP="00B268FE">
      <w:pPr>
        <w:pStyle w:val="Paragraph"/>
      </w:pPr>
      <w:r w:rsidRPr="00394EAD">
        <w:t>(a)</w:t>
      </w:r>
      <w:r w:rsidRPr="00394EAD">
        <w:tab/>
        <w:t>shall not divide that sample into separate parts; and</w:t>
      </w:r>
    </w:p>
    <w:p w:rsidR="00B268FE" w:rsidRPr="00394EAD" w:rsidRDefault="00B268FE" w:rsidP="00B268FE">
      <w:pPr>
        <w:pStyle w:val="Paragraph"/>
      </w:pPr>
      <w:r w:rsidRPr="00394EAD">
        <w:t>(b)</w:t>
      </w:r>
      <w:r w:rsidRPr="00394EAD">
        <w:tab/>
        <w:t>where the sample consists of one or more than one sealed package of a kind ordinarily sold by retail, must submit for such analysis that sample in that package or those packages in an unopened and intact condition.</w:t>
      </w:r>
    </w:p>
    <w:p w:rsidR="00B268FE" w:rsidRPr="00394EAD" w:rsidRDefault="00B268FE" w:rsidP="00B268FE">
      <w:pPr>
        <w:pStyle w:val="Subclause"/>
      </w:pPr>
    </w:p>
    <w:p w:rsidR="00B268FE" w:rsidRPr="00394EAD" w:rsidRDefault="00B268FE" w:rsidP="00B268FE">
      <w:pPr>
        <w:pStyle w:val="Subclause"/>
      </w:pPr>
      <w:r w:rsidRPr="00394EAD">
        <w:t>(3)</w:t>
      </w:r>
      <w:r w:rsidRPr="00394EAD">
        <w:tab/>
        <w:t>Where an authorised officer takes or otherwise obtains a sample of food which is the subject of a suspected food poisoning incident or consumer complaint, the results of an analysis conducted on such food are not invalid by reason that fewer sample units than prescribed have been analysed or that a sample unit analysed is smaller than prescribed.</w:t>
      </w:r>
    </w:p>
    <w:p w:rsidR="00B268FE" w:rsidRPr="005210AB" w:rsidRDefault="00B268FE" w:rsidP="00B268FE">
      <w:pPr>
        <w:pStyle w:val="Clause"/>
      </w:pPr>
    </w:p>
    <w:p w:rsidR="00B268FE" w:rsidRPr="0085659B" w:rsidRDefault="00B268FE" w:rsidP="00B268FE">
      <w:pPr>
        <w:pStyle w:val="Clauseheading"/>
      </w:pPr>
      <w:r>
        <w:rPr>
          <w:lang w:eastAsia="en-GB"/>
        </w:rPr>
        <w:t>4</w:t>
      </w:r>
      <w:r w:rsidRPr="003E7F27">
        <w:rPr>
          <w:lang w:eastAsia="en-GB"/>
        </w:rPr>
        <w:tab/>
      </w:r>
      <w:r w:rsidRPr="00F278A7">
        <w:rPr>
          <w:lang w:eastAsia="en-GB"/>
        </w:rPr>
        <w:t xml:space="preserve">Reference methods </w:t>
      </w:r>
      <w:r w:rsidRPr="00D37B67">
        <w:rPr>
          <w:lang w:eastAsia="en-GB"/>
        </w:rPr>
        <w:t>of analysis</w:t>
      </w:r>
    </w:p>
    <w:p w:rsidR="00B268FE" w:rsidRPr="00FD5AFA" w:rsidRDefault="00B268FE" w:rsidP="00B268FE">
      <w:pPr>
        <w:pStyle w:val="Clause"/>
      </w:pPr>
    </w:p>
    <w:p w:rsidR="00B268FE" w:rsidRDefault="00B268FE" w:rsidP="00B268FE">
      <w:pPr>
        <w:pStyle w:val="Clause"/>
      </w:pPr>
      <w:r>
        <w:t>The following Australian Standard (AS) and Australian New Zealand (AS/NZS) reference methods, as in force at the commencement of this provision, must be used to determine whether a food has exceeded the maximum permissible levels of foodborne microorganisms specified in the Schedule in relation to that food –</w:t>
      </w:r>
    </w:p>
    <w:p w:rsidR="00B268FE" w:rsidRDefault="00B268FE" w:rsidP="00B268FE">
      <w:pPr>
        <w:rPr>
          <w:sz w:val="20"/>
        </w:rPr>
      </w:pPr>
    </w:p>
    <w:p w:rsidR="00B268FE" w:rsidRDefault="00B268FE" w:rsidP="00B268FE">
      <w:pPr>
        <w:pStyle w:val="Paragraph"/>
      </w:pPr>
      <w:r>
        <w:t>(a)</w:t>
      </w:r>
      <w:r>
        <w:tab/>
        <w:t>the methods prescribed by AS 5013; or</w:t>
      </w:r>
    </w:p>
    <w:p w:rsidR="00B268FE" w:rsidRDefault="00B268FE" w:rsidP="00B268FE">
      <w:pPr>
        <w:pStyle w:val="Paragraph"/>
        <w:rPr>
          <w:sz w:val="22"/>
          <w:szCs w:val="22"/>
        </w:rPr>
      </w:pPr>
      <w:r>
        <w:t>(b)</w:t>
      </w:r>
      <w:r>
        <w:tab/>
        <w:t>any equivalent method as determined by AS/NZS 4659; or</w:t>
      </w:r>
    </w:p>
    <w:p w:rsidR="00B268FE" w:rsidRDefault="00B268FE" w:rsidP="00B268FE">
      <w:pPr>
        <w:pStyle w:val="Paragraph"/>
      </w:pPr>
      <w:r>
        <w:t>(c)</w:t>
      </w:r>
      <w:r>
        <w:tab/>
      </w:r>
      <w:r w:rsidRPr="006D2D9C">
        <w:t>for</w:t>
      </w:r>
      <w:r>
        <w:t xml:space="preserve"> packaged water, packaged ice or mineral water—AS/NZS 4276.</w:t>
      </w:r>
    </w:p>
    <w:p w:rsidR="00B268FE" w:rsidRDefault="00B268FE" w:rsidP="00B268FE">
      <w:pPr>
        <w:rPr>
          <w:sz w:val="20"/>
        </w:rPr>
      </w:pPr>
    </w:p>
    <w:p w:rsidR="00B268FE" w:rsidRPr="001F0835" w:rsidRDefault="00B268FE" w:rsidP="00B268FE">
      <w:pPr>
        <w:pStyle w:val="Clauseheading"/>
      </w:pPr>
      <w:r>
        <w:t>5</w:t>
      </w:r>
      <w:r>
        <w:tab/>
      </w:r>
      <w:r w:rsidRPr="001F0835">
        <w:t xml:space="preserve">Microbiological limits </w:t>
      </w:r>
      <w:r>
        <w:t>in foods</w:t>
      </w:r>
    </w:p>
    <w:p w:rsidR="00B268FE" w:rsidRPr="00207528" w:rsidRDefault="00B268FE" w:rsidP="00B268FE">
      <w:pPr>
        <w:rPr>
          <w:sz w:val="20"/>
        </w:rPr>
      </w:pPr>
    </w:p>
    <w:p w:rsidR="00B268FE" w:rsidRPr="001F0835" w:rsidRDefault="00B268FE" w:rsidP="00B268FE">
      <w:pPr>
        <w:pStyle w:val="Clause"/>
      </w:pPr>
      <w:r>
        <w:t>(1)</w:t>
      </w:r>
      <w:r>
        <w:tab/>
      </w:r>
      <w:r w:rsidRPr="001F0835">
        <w:t xml:space="preserve">A food that is listed in </w:t>
      </w:r>
      <w:r>
        <w:t>C</w:t>
      </w:r>
      <w:r w:rsidRPr="001F0835">
        <w:t>olumn 1 of the Schedule in this Standard must comply with th</w:t>
      </w:r>
      <w:r>
        <w:t>is Standard, including the</w:t>
      </w:r>
      <w:r w:rsidRPr="001F0835">
        <w:t xml:space="preserve"> microbiological limits set in relation to that food in the Schedule.</w:t>
      </w:r>
    </w:p>
    <w:p w:rsidR="00B268FE" w:rsidRPr="00A52EDC" w:rsidRDefault="00B268FE" w:rsidP="00B268FE">
      <w:pPr>
        <w:pStyle w:val="Clause"/>
      </w:pPr>
    </w:p>
    <w:p w:rsidR="00B268FE" w:rsidRDefault="00B268FE" w:rsidP="00B268FE">
      <w:pPr>
        <w:pStyle w:val="Clause"/>
      </w:pPr>
      <w:r>
        <w:t>(2)</w:t>
      </w:r>
      <w:r>
        <w:tab/>
      </w:r>
      <w:r w:rsidRPr="00207528">
        <w:t xml:space="preserve">A food </w:t>
      </w:r>
      <w:r>
        <w:t>does not comply with this Standard if –</w:t>
      </w:r>
    </w:p>
    <w:p w:rsidR="00B268FE" w:rsidRPr="00DD3B49" w:rsidRDefault="00B268FE" w:rsidP="00B268FE">
      <w:pPr>
        <w:pStyle w:val="Clause"/>
      </w:pPr>
    </w:p>
    <w:p w:rsidR="00B268FE" w:rsidRDefault="00B268FE" w:rsidP="00B268FE">
      <w:pPr>
        <w:pStyle w:val="Paragraph"/>
      </w:pPr>
      <w:r>
        <w:t>(a)</w:t>
      </w:r>
      <w:r>
        <w:tab/>
        <w:t>the number of defective sample units taken from a lot of that food is greater than the number specified in Column 4 of the Schedule; or</w:t>
      </w:r>
    </w:p>
    <w:p w:rsidR="00B268FE" w:rsidRPr="00207528" w:rsidRDefault="00B268FE" w:rsidP="00B268FE">
      <w:pPr>
        <w:pStyle w:val="Paragraph"/>
      </w:pPr>
      <w:r>
        <w:t>(b)</w:t>
      </w:r>
      <w:r>
        <w:tab/>
      </w:r>
      <w:r w:rsidRPr="00207528">
        <w:t xml:space="preserve">the level of microorganism in any sample unit taken from </w:t>
      </w:r>
      <w:r>
        <w:t>a</w:t>
      </w:r>
      <w:r w:rsidRPr="00207528">
        <w:t xml:space="preserve"> lot</w:t>
      </w:r>
      <w:r>
        <w:t xml:space="preserve"> of that food</w:t>
      </w:r>
      <w:r w:rsidRPr="00207528">
        <w:t xml:space="preserve"> is </w:t>
      </w:r>
      <w:r>
        <w:t>greater</w:t>
      </w:r>
      <w:r w:rsidRPr="00207528">
        <w:t xml:space="preserve"> than </w:t>
      </w:r>
      <w:r>
        <w:t>the level specified in Column 6 of the Schedule</w:t>
      </w:r>
      <w:r w:rsidRPr="00207528">
        <w:t>.</w:t>
      </w:r>
    </w:p>
    <w:p w:rsidR="00B268FE" w:rsidRPr="00DC20B6" w:rsidRDefault="00B268FE" w:rsidP="00B268FE">
      <w:pPr>
        <w:pStyle w:val="Clause"/>
      </w:pPr>
    </w:p>
    <w:p w:rsidR="00B268FE" w:rsidRPr="005D0056" w:rsidRDefault="00B268FE" w:rsidP="00B268FE">
      <w:pPr>
        <w:pStyle w:val="Clauseheading"/>
      </w:pPr>
      <w:r>
        <w:t>6</w:t>
      </w:r>
      <w:r w:rsidRPr="00FD5AFA">
        <w:tab/>
      </w:r>
      <w:r w:rsidRPr="005D0056">
        <w:t xml:space="preserve">Food not supporting the growth of </w:t>
      </w:r>
      <w:r w:rsidRPr="00FD5AFA">
        <w:rPr>
          <w:i/>
        </w:rPr>
        <w:t>Listeria monocytogenes</w:t>
      </w:r>
    </w:p>
    <w:p w:rsidR="00B268FE" w:rsidRPr="00FD5AFA" w:rsidRDefault="00B268FE" w:rsidP="00B268FE">
      <w:pPr>
        <w:pStyle w:val="Clause"/>
      </w:pPr>
    </w:p>
    <w:p w:rsidR="00B268FE" w:rsidRDefault="00B268FE" w:rsidP="00B268FE">
      <w:pPr>
        <w:pStyle w:val="Clause"/>
      </w:pPr>
      <w:r w:rsidRPr="005D0056">
        <w:t xml:space="preserve">For the purposes of the Schedule, </w:t>
      </w:r>
      <w:r w:rsidRPr="00F278A7">
        <w:t xml:space="preserve">the growth of </w:t>
      </w:r>
      <w:r w:rsidRPr="00FD5AFA">
        <w:rPr>
          <w:i/>
        </w:rPr>
        <w:t>Listeria monocytogenes</w:t>
      </w:r>
      <w:r w:rsidRPr="005D0056">
        <w:t xml:space="preserve"> </w:t>
      </w:r>
      <w:r>
        <w:t>will not occur in a ready-to</w:t>
      </w:r>
      <w:r>
        <w:noBreakHyphen/>
        <w:t xml:space="preserve">eat food </w:t>
      </w:r>
      <w:r w:rsidRPr="005D0056">
        <w:t>if</w:t>
      </w:r>
      <w:r>
        <w:t xml:space="preserve"> –</w:t>
      </w:r>
    </w:p>
    <w:p w:rsidR="00B268FE" w:rsidRDefault="00B268FE" w:rsidP="00B268FE">
      <w:pPr>
        <w:pStyle w:val="Clause"/>
      </w:pPr>
    </w:p>
    <w:p w:rsidR="00B268FE" w:rsidRPr="007A1435" w:rsidRDefault="00B268FE" w:rsidP="00B268FE">
      <w:pPr>
        <w:pStyle w:val="Paragraph"/>
      </w:pPr>
      <w:r>
        <w:t>(a)</w:t>
      </w:r>
      <w:r>
        <w:tab/>
        <w:t>the food</w:t>
      </w:r>
      <w:r w:rsidRPr="007A1435">
        <w:t xml:space="preserve"> has a pH &lt; 4.4 regardless of water activity; or</w:t>
      </w:r>
    </w:p>
    <w:p w:rsidR="00B268FE" w:rsidRPr="007A1435" w:rsidRDefault="00B268FE" w:rsidP="00B268FE">
      <w:pPr>
        <w:pStyle w:val="Paragraph"/>
      </w:pPr>
      <w:r>
        <w:t>(b)</w:t>
      </w:r>
      <w:r>
        <w:tab/>
        <w:t>the food</w:t>
      </w:r>
      <w:r w:rsidRPr="007A1435">
        <w:t xml:space="preserve"> has a water ac</w:t>
      </w:r>
      <w:r>
        <w:t xml:space="preserve">tivity &lt; 0.92 regardless of pH; </w:t>
      </w:r>
      <w:r w:rsidRPr="007A1435">
        <w:t>or</w:t>
      </w:r>
    </w:p>
    <w:p w:rsidR="00B268FE" w:rsidRPr="007A1435" w:rsidRDefault="00B268FE" w:rsidP="00B268FE">
      <w:pPr>
        <w:pStyle w:val="Paragraph"/>
      </w:pPr>
      <w:r>
        <w:t>(c)</w:t>
      </w:r>
      <w:r>
        <w:tab/>
        <w:t>the food</w:t>
      </w:r>
      <w:r w:rsidRPr="007A1435">
        <w:t xml:space="preserve"> has a pH &lt; 5.0 in combination with a water activity of &lt; 0.94; or</w:t>
      </w:r>
    </w:p>
    <w:p w:rsidR="00B268FE" w:rsidRPr="007A1435" w:rsidRDefault="00B268FE" w:rsidP="00B268FE">
      <w:pPr>
        <w:pStyle w:val="Paragraph"/>
      </w:pPr>
      <w:r>
        <w:t>(d)</w:t>
      </w:r>
      <w:r>
        <w:tab/>
        <w:t>the food</w:t>
      </w:r>
      <w:r w:rsidRPr="007A1435">
        <w:t xml:space="preserve"> has a refrigerated shelf life </w:t>
      </w:r>
      <w:r w:rsidRPr="007A1435">
        <w:sym w:font="Symbol" w:char="F0A3"/>
      </w:r>
      <w:r w:rsidRPr="007A1435">
        <w:t xml:space="preserve"> 5 days</w:t>
      </w:r>
      <w:r>
        <w:t>; or</w:t>
      </w:r>
    </w:p>
    <w:p w:rsidR="00B268FE" w:rsidRPr="007A1435" w:rsidRDefault="00B268FE" w:rsidP="00B268FE">
      <w:pPr>
        <w:pStyle w:val="Paragraph"/>
      </w:pPr>
      <w:r>
        <w:t>(e)</w:t>
      </w:r>
      <w:r>
        <w:tab/>
        <w:t>the food</w:t>
      </w:r>
      <w:r w:rsidRPr="007A1435">
        <w:t xml:space="preserve"> is frozen (including foods consumed frozen and those intended t</w:t>
      </w:r>
      <w:r>
        <w:t>o be thawed before consumption)</w:t>
      </w:r>
      <w:r w:rsidRPr="007A1435">
        <w:t>; or</w:t>
      </w:r>
    </w:p>
    <w:p w:rsidR="00B268FE" w:rsidRPr="007A1435" w:rsidRDefault="00B268FE" w:rsidP="00B268FE">
      <w:pPr>
        <w:pStyle w:val="Paragraph"/>
      </w:pPr>
      <w:r>
        <w:t>(f)</w:t>
      </w:r>
      <w:r>
        <w:tab/>
        <w:t>it</w:t>
      </w:r>
      <w:r w:rsidRPr="007A1435">
        <w:t xml:space="preserve"> can be validated that the level of </w:t>
      </w:r>
      <w:r w:rsidRPr="00FD5AFA">
        <w:rPr>
          <w:i/>
        </w:rPr>
        <w:t>Listeria monocytogenes</w:t>
      </w:r>
      <w:r w:rsidRPr="005D0056">
        <w:t xml:space="preserve"> </w:t>
      </w:r>
      <w:r w:rsidRPr="007A1435">
        <w:t xml:space="preserve">will not increase by </w:t>
      </w:r>
      <w:r>
        <w:t>&gt;</w:t>
      </w:r>
      <w:r w:rsidRPr="007A1435">
        <w:t xml:space="preserve"> 0.5 log over the </w:t>
      </w:r>
      <w:r>
        <w:t xml:space="preserve">food’s </w:t>
      </w:r>
      <w:r w:rsidRPr="007A1435">
        <w:t>stated shelf life; or</w:t>
      </w:r>
    </w:p>
    <w:p w:rsidR="00644902" w:rsidRDefault="00644902" w:rsidP="00B268FE">
      <w:pPr>
        <w:pStyle w:val="Paragraph"/>
      </w:pPr>
      <w:r>
        <w:br w:type="page"/>
      </w:r>
    </w:p>
    <w:p w:rsidR="00B268FE" w:rsidRDefault="00B268FE" w:rsidP="00B268FE">
      <w:pPr>
        <w:pStyle w:val="Paragraph"/>
      </w:pPr>
      <w:r>
        <w:lastRenderedPageBreak/>
        <w:t>(g)</w:t>
      </w:r>
      <w:r>
        <w:tab/>
        <w:t>the food</w:t>
      </w:r>
      <w:r w:rsidRPr="007A1435">
        <w:t xml:space="preserve"> has not had a listericidal treatment and it can be validated that the level of </w:t>
      </w:r>
      <w:r w:rsidRPr="005A4A67">
        <w:rPr>
          <w:i/>
        </w:rPr>
        <w:t>Listeria monocytogenes</w:t>
      </w:r>
      <w:r w:rsidRPr="007A1435">
        <w:t xml:space="preserve"> will not exceed 100 cfu/g throughout the </w:t>
      </w:r>
      <w:r>
        <w:t xml:space="preserve">food’s </w:t>
      </w:r>
      <w:r w:rsidRPr="007A1435">
        <w:t>stated shelf life.</w:t>
      </w:r>
    </w:p>
    <w:p w:rsidR="00B268FE" w:rsidRDefault="00B268FE" w:rsidP="00B268FE">
      <w:pPr>
        <w:pStyle w:val="Clause"/>
      </w:pPr>
    </w:p>
    <w:p w:rsidR="00B268FE" w:rsidRDefault="00B268FE" w:rsidP="00B268FE">
      <w:pPr>
        <w:pStyle w:val="Clauseheading"/>
      </w:pPr>
      <w:r>
        <w:t>7</w:t>
      </w:r>
      <w:r>
        <w:tab/>
        <w:t>Powdered infant formula products</w:t>
      </w:r>
    </w:p>
    <w:p w:rsidR="00B268FE" w:rsidRPr="009C4046" w:rsidRDefault="00B268FE" w:rsidP="00B268FE">
      <w:pPr>
        <w:pStyle w:val="Clause"/>
      </w:pPr>
    </w:p>
    <w:p w:rsidR="00B268FE" w:rsidRPr="005D0056" w:rsidRDefault="00B268FE" w:rsidP="00B268FE">
      <w:pPr>
        <w:pStyle w:val="Clause"/>
      </w:pPr>
      <w:r>
        <w:t>The</w:t>
      </w:r>
      <w:r w:rsidRPr="00AF6A8C">
        <w:t xml:space="preserve"> </w:t>
      </w:r>
      <w:r>
        <w:t xml:space="preserve">limit for SPC in the Schedule does not apply to </w:t>
      </w:r>
      <w:r w:rsidRPr="00AF6A8C">
        <w:t xml:space="preserve">powdered infant formula </w:t>
      </w:r>
      <w:r>
        <w:t>products</w:t>
      </w:r>
      <w:r w:rsidDel="00DC20B6">
        <w:t xml:space="preserve"> </w:t>
      </w:r>
      <w:r>
        <w:t>that contain lactic acid producing microorganisms</w:t>
      </w:r>
      <w:r w:rsidRPr="00AF6A8C">
        <w:t>.</w:t>
      </w:r>
      <w:r w:rsidRPr="005D0049">
        <w:t>”</w:t>
      </w:r>
    </w:p>
    <w:p w:rsidR="00B268FE" w:rsidRPr="00FD5AFA" w:rsidRDefault="00B268FE" w:rsidP="00B268FE">
      <w:pPr>
        <w:pStyle w:val="Clause"/>
      </w:pPr>
    </w:p>
    <w:p w:rsidR="00B268FE" w:rsidRPr="00AC3052" w:rsidRDefault="00B268FE" w:rsidP="00B268FE">
      <w:pPr>
        <w:pStyle w:val="Clause"/>
      </w:pPr>
      <w:r w:rsidRPr="005D0056">
        <w:t>[</w:t>
      </w:r>
      <w:r>
        <w:t>2</w:t>
      </w:r>
      <w:r w:rsidRPr="005D0056">
        <w:t>.</w:t>
      </w:r>
      <w:r>
        <w:t>6</w:t>
      </w:r>
      <w:r w:rsidRPr="005D0056">
        <w:t>]</w:t>
      </w:r>
      <w:r w:rsidRPr="005D0056">
        <w:tab/>
        <w:t xml:space="preserve">omitting the </w:t>
      </w:r>
      <w:r w:rsidRPr="00207528">
        <w:t>Schedule</w:t>
      </w:r>
      <w:r>
        <w:t xml:space="preserve"> and substituting</w:t>
      </w:r>
    </w:p>
    <w:p w:rsidR="00B268FE" w:rsidRDefault="00B268FE" w:rsidP="00B268FE">
      <w:pPr>
        <w:widowControl/>
        <w:rPr>
          <w:rFonts w:cs="Arial"/>
          <w:sz w:val="20"/>
        </w:rPr>
      </w:pPr>
    </w:p>
    <w:p w:rsidR="00B268FE" w:rsidRPr="00BC13BE" w:rsidRDefault="00B268FE" w:rsidP="00B268FE">
      <w:pPr>
        <w:pStyle w:val="ScheduleHeading"/>
      </w:pPr>
      <w:r w:rsidRPr="00E6670E">
        <w:rPr>
          <w:b w:val="0"/>
        </w:rPr>
        <w:t>“</w:t>
      </w:r>
      <w:r w:rsidRPr="00BC13BE">
        <w:t>SCHEDULE</w:t>
      </w:r>
    </w:p>
    <w:p w:rsidR="00B268FE" w:rsidRPr="00BC13BE" w:rsidRDefault="00B268FE" w:rsidP="00B268FE">
      <w:pPr>
        <w:rPr>
          <w:sz w:val="20"/>
        </w:rPr>
      </w:pPr>
    </w:p>
    <w:p w:rsidR="00B268FE" w:rsidRPr="00207528" w:rsidRDefault="00B268FE" w:rsidP="00B268FE">
      <w:pPr>
        <w:pStyle w:val="TableHeading"/>
      </w:pPr>
      <w:r w:rsidRPr="00207528">
        <w:t>Microbiological limits in food</w:t>
      </w:r>
    </w:p>
    <w:p w:rsidR="00B268FE" w:rsidRPr="00BC13BE" w:rsidRDefault="00B268FE" w:rsidP="00B268FE">
      <w:pPr>
        <w:widowControl/>
        <w:jc w:val="center"/>
        <w:rPr>
          <w:b/>
          <w:caps/>
          <w:sz w:val="20"/>
        </w:rPr>
      </w:pPr>
    </w:p>
    <w:tbl>
      <w:tblPr>
        <w:tblW w:w="9685" w:type="dxa"/>
        <w:jc w:val="center"/>
        <w:tblLayout w:type="fixed"/>
        <w:tblCellMar>
          <w:left w:w="79" w:type="dxa"/>
          <w:right w:w="79" w:type="dxa"/>
        </w:tblCellMar>
        <w:tblLook w:val="0000" w:firstRow="0" w:lastRow="0" w:firstColumn="0" w:lastColumn="0" w:noHBand="0" w:noVBand="0"/>
      </w:tblPr>
      <w:tblGrid>
        <w:gridCol w:w="1975"/>
        <w:gridCol w:w="2469"/>
        <w:gridCol w:w="992"/>
        <w:gridCol w:w="993"/>
        <w:gridCol w:w="1842"/>
        <w:gridCol w:w="1414"/>
      </w:tblGrid>
      <w:tr w:rsidR="00B268FE" w:rsidRPr="00BC13BE" w:rsidTr="00B268FE">
        <w:trPr>
          <w:cantSplit/>
          <w:tblHeader/>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 xml:space="preserve">Column </w:t>
            </w:r>
            <w:r>
              <w:br/>
            </w:r>
            <w:r w:rsidRPr="00BC13BE">
              <w:t>1</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 xml:space="preserve">Column </w:t>
            </w:r>
            <w:r>
              <w:br/>
            </w:r>
            <w:r w:rsidRPr="00BC13BE">
              <w:t>2</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Column</w:t>
            </w:r>
            <w:r>
              <w:br/>
            </w:r>
            <w:r w:rsidRPr="00BC13BE">
              <w:t>3</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Column</w:t>
            </w:r>
            <w:r>
              <w:br/>
            </w:r>
            <w:r w:rsidRPr="00BC13BE">
              <w:t>4</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Column</w:t>
            </w:r>
            <w:r>
              <w:br/>
            </w:r>
            <w:r w:rsidRPr="00BC13BE">
              <w:t>5</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Column</w:t>
            </w:r>
            <w:r>
              <w:br/>
            </w:r>
            <w:r w:rsidRPr="00BC13BE">
              <w:t>6</w:t>
            </w:r>
          </w:p>
        </w:tc>
      </w:tr>
      <w:tr w:rsidR="00B268FE" w:rsidRPr="00BC13BE" w:rsidTr="00B268FE">
        <w:trPr>
          <w:cantSplit/>
          <w:tblHeader/>
          <w:jc w:val="center"/>
        </w:trPr>
        <w:tc>
          <w:tcPr>
            <w:tcW w:w="1975" w:type="dxa"/>
            <w:tcBorders>
              <w:top w:val="single" w:sz="8" w:space="0" w:color="auto"/>
              <w:left w:val="single" w:sz="8" w:space="0" w:color="auto"/>
              <w:bottom w:val="single" w:sz="4" w:space="0" w:color="auto"/>
              <w:right w:val="single" w:sz="8" w:space="0" w:color="auto"/>
            </w:tcBorders>
          </w:tcPr>
          <w:p w:rsidR="00B268FE" w:rsidRPr="00BC13BE" w:rsidRDefault="00B268FE" w:rsidP="00B268FE">
            <w:pPr>
              <w:pStyle w:val="Table1"/>
            </w:pPr>
            <w:r w:rsidRPr="00BC13BE">
              <w:t>Food</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Microorganism/test/toxin</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n</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c</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7C735B" w:rsidP="00B268FE">
            <w:pPr>
              <w:pStyle w:val="Table1"/>
            </w:pPr>
            <w:r w:rsidRPr="00BC13BE">
              <w:t>M</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1"/>
            </w:pPr>
            <w:r w:rsidRPr="00BC13BE">
              <w:t>M</w:t>
            </w:r>
          </w:p>
        </w:tc>
      </w:tr>
      <w:tr w:rsidR="00B268FE" w:rsidRPr="00BC13BE" w:rsidTr="00B268FE">
        <w:trPr>
          <w:cantSplit/>
          <w:jc w:val="center"/>
        </w:trPr>
        <w:tc>
          <w:tcPr>
            <w:tcW w:w="1975" w:type="dxa"/>
            <w:vMerge w:val="restart"/>
            <w:tcBorders>
              <w:top w:val="single" w:sz="4" w:space="0" w:color="auto"/>
              <w:left w:val="single" w:sz="8" w:space="0" w:color="auto"/>
              <w:right w:val="single" w:sz="8" w:space="0" w:color="auto"/>
            </w:tcBorders>
          </w:tcPr>
          <w:p w:rsidR="00B268FE" w:rsidRPr="00875C7A" w:rsidRDefault="00B268FE" w:rsidP="00B268FE">
            <w:pPr>
              <w:pStyle w:val="Table2"/>
              <w:rPr>
                <w:szCs w:val="24"/>
              </w:rPr>
            </w:pPr>
            <w:r w:rsidRPr="00875C7A">
              <w:rPr>
                <w:szCs w:val="24"/>
              </w:rPr>
              <w:t>Butter made from unpasteurised milk and/or unpasteurised milk products</w:t>
            </w:r>
          </w:p>
        </w:tc>
        <w:tc>
          <w:tcPr>
            <w:tcW w:w="2469" w:type="dxa"/>
            <w:tcBorders>
              <w:top w:val="single" w:sz="8" w:space="0" w:color="auto"/>
              <w:left w:val="single" w:sz="8" w:space="0" w:color="auto"/>
              <w:right w:val="single" w:sz="8" w:space="0" w:color="auto"/>
            </w:tcBorders>
          </w:tcPr>
          <w:p w:rsidR="00B268FE" w:rsidRPr="00BC13BE" w:rsidRDefault="00B268FE" w:rsidP="00B268FE">
            <w:pPr>
              <w:pStyle w:val="Table2"/>
              <w:rPr>
                <w:iCs/>
                <w:szCs w:val="24"/>
              </w:rPr>
            </w:pPr>
            <w:r w:rsidRPr="00BC13BE">
              <w:rPr>
                <w:i/>
                <w:szCs w:val="24"/>
              </w:rPr>
              <w:t>Campylobacter</w:t>
            </w:r>
          </w:p>
        </w:tc>
        <w:tc>
          <w:tcPr>
            <w:tcW w:w="992"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tcBorders>
              <w:left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Coagulase-positive staphylococci</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10 cfu/g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szCs w:val="24"/>
                <w:vertAlign w:val="superscript"/>
              </w:rPr>
              <w:t xml:space="preserve">2 </w:t>
            </w:r>
            <w:r w:rsidRPr="00BC13BE">
              <w:rPr>
                <w:szCs w:val="24"/>
              </w:rPr>
              <w:t>cfu/g</w:t>
            </w:r>
          </w:p>
        </w:tc>
      </w:tr>
      <w:tr w:rsidR="00B268FE" w:rsidRPr="00BC13BE" w:rsidTr="00B268FE">
        <w:trPr>
          <w:cantSplit/>
          <w:jc w:val="center"/>
        </w:trPr>
        <w:tc>
          <w:tcPr>
            <w:tcW w:w="1975" w:type="dxa"/>
            <w:vMerge/>
            <w:tcBorders>
              <w:left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Coliforms</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10 cfu/g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szCs w:val="24"/>
                <w:vertAlign w:val="superscript"/>
              </w:rPr>
              <w:t xml:space="preserve">2 </w:t>
            </w:r>
            <w:r w:rsidRPr="00BC13BE">
              <w:rPr>
                <w:szCs w:val="24"/>
              </w:rPr>
              <w:t>cfu/g</w:t>
            </w:r>
          </w:p>
        </w:tc>
      </w:tr>
      <w:tr w:rsidR="00B268FE" w:rsidRPr="00BC13BE" w:rsidTr="00B268FE">
        <w:trPr>
          <w:cantSplit/>
          <w:jc w:val="center"/>
        </w:trPr>
        <w:tc>
          <w:tcPr>
            <w:tcW w:w="1975" w:type="dxa"/>
            <w:vMerge/>
            <w:tcBorders>
              <w:left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iCs/>
                <w:szCs w:val="24"/>
              </w:rPr>
            </w:pPr>
            <w:r w:rsidRPr="00BC13BE">
              <w:rPr>
                <w:i/>
                <w:szCs w:val="24"/>
              </w:rPr>
              <w:t>Escherichia coli</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3 cfu/g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9 cfu/g</w:t>
            </w:r>
          </w:p>
        </w:tc>
      </w:tr>
      <w:tr w:rsidR="00B268FE" w:rsidRPr="00BC13BE" w:rsidTr="00B268FE">
        <w:trPr>
          <w:cantSplit/>
          <w:jc w:val="center"/>
        </w:trPr>
        <w:tc>
          <w:tcPr>
            <w:tcW w:w="1975" w:type="dxa"/>
            <w:vMerge/>
            <w:tcBorders>
              <w:left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bottom w:val="single" w:sz="8" w:space="0" w:color="auto"/>
              <w:right w:val="single" w:sz="8" w:space="0" w:color="auto"/>
            </w:tcBorders>
          </w:tcPr>
          <w:p w:rsidR="00B268FE" w:rsidRDefault="00B268FE" w:rsidP="00B268FE">
            <w:pPr>
              <w:pStyle w:val="Table2"/>
              <w:rPr>
                <w:szCs w:val="24"/>
              </w:rPr>
            </w:pPr>
            <w:r w:rsidRPr="00BC13BE">
              <w:rPr>
                <w:szCs w:val="24"/>
              </w:rPr>
              <w:t>SPC</w:t>
            </w:r>
          </w:p>
          <w:p w:rsidR="00B268FE" w:rsidRPr="00BC13BE" w:rsidRDefault="00B268FE" w:rsidP="00B268FE">
            <w:pPr>
              <w:pStyle w:val="Table2"/>
              <w:rPr>
                <w:szCs w:val="24"/>
              </w:rPr>
            </w:pP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5x10</w:t>
            </w:r>
            <w:r w:rsidRPr="00BC13BE">
              <w:rPr>
                <w:szCs w:val="24"/>
                <w:vertAlign w:val="superscript"/>
              </w:rPr>
              <w:t>5</w:t>
            </w:r>
            <w:r w:rsidRPr="00BC13BE">
              <w:rPr>
                <w:szCs w:val="24"/>
              </w:rPr>
              <w:t xml:space="preserve"> cfu/g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4" w:space="0" w:color="auto"/>
              <w:right w:val="single" w:sz="8" w:space="0" w:color="auto"/>
            </w:tcBorders>
          </w:tcPr>
          <w:p w:rsidR="00B268FE" w:rsidRPr="00BC13BE" w:rsidRDefault="00B268FE" w:rsidP="00B268FE">
            <w:pPr>
              <w:pStyle w:val="Table2"/>
              <w:rPr>
                <w:szCs w:val="24"/>
              </w:rPr>
            </w:pPr>
            <w:r w:rsidRPr="00BC13BE">
              <w:rPr>
                <w:szCs w:val="24"/>
              </w:rPr>
              <w:t>All cheese</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10 cfu/g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szCs w:val="24"/>
                <w:vertAlign w:val="superscript"/>
              </w:rPr>
              <w:t>2</w:t>
            </w:r>
            <w:r w:rsidRPr="00BC13BE">
              <w:rPr>
                <w:szCs w:val="24"/>
              </w:rPr>
              <w:t xml:space="preserve"> cfu/g</w:t>
            </w:r>
          </w:p>
        </w:tc>
      </w:tr>
      <w:tr w:rsidR="00B268FE" w:rsidRPr="00BC13BE" w:rsidTr="00B268FE">
        <w:trPr>
          <w:cantSplit/>
          <w:jc w:val="center"/>
        </w:trPr>
        <w:tc>
          <w:tcPr>
            <w:tcW w:w="1975" w:type="dxa"/>
            <w:tcBorders>
              <w:top w:val="single" w:sz="4" w:space="0" w:color="auto"/>
              <w:left w:val="single" w:sz="8" w:space="0" w:color="auto"/>
              <w:bottom w:val="single" w:sz="4" w:space="0" w:color="auto"/>
              <w:right w:val="single" w:sz="8" w:space="0" w:color="auto"/>
            </w:tcBorders>
          </w:tcPr>
          <w:p w:rsidR="00B268FE" w:rsidRPr="00BC13BE" w:rsidRDefault="00B268FE" w:rsidP="00B268FE">
            <w:pPr>
              <w:pStyle w:val="Table2"/>
              <w:rPr>
                <w:szCs w:val="18"/>
              </w:rPr>
            </w:pPr>
            <w:r w:rsidRPr="00322704">
              <w:rPr>
                <w:szCs w:val="18"/>
              </w:rPr>
              <w:t>Soft and semi-soft cheese (moisture content &gt; 39%) with pH &gt;5.0</w:t>
            </w: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4" w:space="0" w:color="auto"/>
              <w:left w:val="single" w:sz="8" w:space="0" w:color="auto"/>
              <w:right w:val="single" w:sz="8" w:space="0" w:color="auto"/>
            </w:tcBorders>
          </w:tcPr>
          <w:p w:rsidR="00B268FE" w:rsidRPr="00BC13BE" w:rsidRDefault="00B268FE" w:rsidP="00B268FE">
            <w:pPr>
              <w:pStyle w:val="Table2"/>
              <w:rPr>
                <w:szCs w:val="18"/>
              </w:rPr>
            </w:pPr>
            <w:r w:rsidRPr="000737D9">
              <w:rPr>
                <w:szCs w:val="18"/>
              </w:rPr>
              <w:t>All raw milk cheese (cheese made from milk not pasteurised or thermised)</w:t>
            </w: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Raw milk unripened cheeses (moisture content &gt; 50% with pH &gt; 5.0)</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Campylobacter</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br w:type="page"/>
              <w:t>Dried milk</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val="restart"/>
            <w:tcBorders>
              <w:top w:val="single" w:sz="8" w:space="0" w:color="auto"/>
              <w:left w:val="single" w:sz="8" w:space="0" w:color="auto"/>
              <w:bottom w:val="single" w:sz="4" w:space="0" w:color="auto"/>
              <w:right w:val="single" w:sz="8" w:space="0" w:color="auto"/>
            </w:tcBorders>
          </w:tcPr>
          <w:p w:rsidR="00B268FE" w:rsidRPr="00BC13BE" w:rsidRDefault="00B268FE" w:rsidP="00B268FE">
            <w:pPr>
              <w:pStyle w:val="Table2"/>
              <w:rPr>
                <w:szCs w:val="24"/>
              </w:rPr>
            </w:pPr>
            <w:r w:rsidRPr="00BC13BE">
              <w:rPr>
                <w:szCs w:val="24"/>
              </w:rPr>
              <w:t>Unpasteurised milk for retail sale</w:t>
            </w:r>
          </w:p>
        </w:tc>
        <w:tc>
          <w:tcPr>
            <w:tcW w:w="2469" w:type="dxa"/>
            <w:tcBorders>
              <w:top w:val="single" w:sz="8" w:space="0" w:color="auto"/>
              <w:left w:val="single" w:sz="8" w:space="0" w:color="auto"/>
              <w:right w:val="single" w:sz="8" w:space="0" w:color="auto"/>
            </w:tcBorders>
          </w:tcPr>
          <w:p w:rsidR="00B268FE" w:rsidRPr="00BC13BE" w:rsidRDefault="00B268FE" w:rsidP="00B268FE">
            <w:pPr>
              <w:pStyle w:val="Table2"/>
              <w:rPr>
                <w:iCs/>
                <w:szCs w:val="24"/>
              </w:rPr>
            </w:pPr>
            <w:r w:rsidRPr="00BC13BE">
              <w:rPr>
                <w:i/>
                <w:szCs w:val="24"/>
              </w:rPr>
              <w:t>Campylobacter</w:t>
            </w:r>
          </w:p>
        </w:tc>
        <w:tc>
          <w:tcPr>
            <w:tcW w:w="992"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m</w:t>
            </w:r>
            <w:r>
              <w:rPr>
                <w:szCs w:val="24"/>
              </w:rPr>
              <w:t>L</w:t>
            </w:r>
          </w:p>
        </w:tc>
        <w:tc>
          <w:tcPr>
            <w:tcW w:w="1414"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tcBorders>
              <w:left w:val="single" w:sz="8" w:space="0" w:color="auto"/>
              <w:bottom w:val="single" w:sz="4"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Coliforms</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10</w:t>
            </w:r>
            <w:r w:rsidRPr="00BC13BE">
              <w:rPr>
                <w:position w:val="6"/>
                <w:szCs w:val="24"/>
                <w:vertAlign w:val="superscript"/>
              </w:rPr>
              <w:t>2</w:t>
            </w:r>
            <w:r w:rsidRPr="00BC13BE">
              <w:rPr>
                <w:position w:val="6"/>
                <w:szCs w:val="24"/>
              </w:rPr>
              <w:t xml:space="preserve"> </w:t>
            </w:r>
            <w:r w:rsidRPr="00BC13BE">
              <w:rPr>
                <w:rFonts w:eastAsia="Calibri"/>
                <w:szCs w:val="18"/>
              </w:rPr>
              <w:t>cfu/m</w:t>
            </w:r>
            <w:r>
              <w:rPr>
                <w:rFonts w:eastAsia="Calibri"/>
                <w:szCs w:val="18"/>
              </w:rPr>
              <w:t>L</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position w:val="6"/>
                <w:szCs w:val="24"/>
                <w:vertAlign w:val="superscript"/>
              </w:rPr>
              <w:t xml:space="preserve">3 </w:t>
            </w:r>
            <w:r w:rsidRPr="00BC13BE">
              <w:rPr>
                <w:rFonts w:eastAsia="Calibri"/>
                <w:szCs w:val="18"/>
              </w:rPr>
              <w:t>cfu/m</w:t>
            </w:r>
            <w:r>
              <w:rPr>
                <w:rFonts w:eastAsia="Calibri"/>
                <w:szCs w:val="18"/>
              </w:rPr>
              <w:t>L</w:t>
            </w:r>
          </w:p>
        </w:tc>
      </w:tr>
      <w:tr w:rsidR="00B268FE" w:rsidRPr="00BC13BE" w:rsidTr="00B268FE">
        <w:trPr>
          <w:cantSplit/>
          <w:jc w:val="center"/>
        </w:trPr>
        <w:tc>
          <w:tcPr>
            <w:tcW w:w="1975" w:type="dxa"/>
            <w:vMerge/>
            <w:tcBorders>
              <w:left w:val="single" w:sz="8" w:space="0" w:color="auto"/>
              <w:bottom w:val="single" w:sz="4"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iCs/>
                <w:szCs w:val="24"/>
              </w:rPr>
            </w:pPr>
            <w:r w:rsidRPr="00BC13BE">
              <w:rPr>
                <w:i/>
                <w:szCs w:val="24"/>
              </w:rPr>
              <w:t>Escherichia coli</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3 MPN</w:t>
            </w:r>
            <w:r>
              <w:rPr>
                <w:szCs w:val="24"/>
              </w:rPr>
              <w:t>/</w:t>
            </w:r>
            <w:r w:rsidRPr="00BC13BE">
              <w:rPr>
                <w:rFonts w:eastAsia="Calibri"/>
                <w:szCs w:val="18"/>
              </w:rPr>
              <w:t>m</w:t>
            </w:r>
            <w:r>
              <w:rPr>
                <w:rFonts w:eastAsia="Calibri"/>
                <w:szCs w:val="18"/>
              </w:rPr>
              <w:t>L</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9 MPN</w:t>
            </w:r>
            <w:r>
              <w:rPr>
                <w:szCs w:val="24"/>
              </w:rPr>
              <w:t>/</w:t>
            </w:r>
            <w:r w:rsidRPr="00BC13BE">
              <w:rPr>
                <w:rFonts w:eastAsia="Calibri"/>
                <w:szCs w:val="18"/>
              </w:rPr>
              <w:t>m</w:t>
            </w:r>
            <w:r>
              <w:rPr>
                <w:rFonts w:eastAsia="Calibri"/>
                <w:szCs w:val="18"/>
              </w:rPr>
              <w:t>L</w:t>
            </w:r>
          </w:p>
        </w:tc>
      </w:tr>
      <w:tr w:rsidR="00B268FE" w:rsidRPr="00BC13BE" w:rsidTr="00B268FE">
        <w:trPr>
          <w:cantSplit/>
          <w:jc w:val="center"/>
        </w:trPr>
        <w:tc>
          <w:tcPr>
            <w:tcW w:w="1975" w:type="dxa"/>
            <w:vMerge/>
            <w:tcBorders>
              <w:left w:val="single" w:sz="8" w:space="0" w:color="auto"/>
              <w:bottom w:val="single" w:sz="4"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r w:rsidRPr="00BC13BE">
              <w:rPr>
                <w:iCs/>
                <w:szCs w:val="24"/>
              </w:rPr>
              <w:t xml:space="preserve"> </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m</w:t>
            </w:r>
            <w:r>
              <w:rPr>
                <w:szCs w:val="24"/>
              </w:rPr>
              <w:t>L</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tcBorders>
              <w:left w:val="single" w:sz="8" w:space="0" w:color="auto"/>
              <w:bottom w:val="single" w:sz="4"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SPC</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2.5x10</w:t>
            </w:r>
            <w:r w:rsidRPr="00BC13BE">
              <w:rPr>
                <w:position w:val="6"/>
                <w:szCs w:val="24"/>
                <w:vertAlign w:val="superscript"/>
              </w:rPr>
              <w:t xml:space="preserve">4 </w:t>
            </w:r>
            <w:r w:rsidRPr="00BC13BE">
              <w:rPr>
                <w:rFonts w:eastAsia="Calibri"/>
                <w:szCs w:val="18"/>
              </w:rPr>
              <w:t>cfu/m</w:t>
            </w:r>
            <w:r>
              <w:rPr>
                <w:rFonts w:eastAsia="Calibri"/>
                <w:szCs w:val="18"/>
              </w:rPr>
              <w:t>L</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2.5x10</w:t>
            </w:r>
            <w:r w:rsidRPr="00BC13BE">
              <w:rPr>
                <w:position w:val="6"/>
                <w:szCs w:val="24"/>
                <w:vertAlign w:val="superscript"/>
              </w:rPr>
              <w:t xml:space="preserve">5 </w:t>
            </w:r>
            <w:r w:rsidRPr="00BC13BE">
              <w:rPr>
                <w:rFonts w:eastAsia="Calibri"/>
                <w:szCs w:val="18"/>
              </w:rPr>
              <w:t>cfu/m</w:t>
            </w:r>
            <w:r>
              <w:rPr>
                <w:rFonts w:eastAsia="Calibri"/>
                <w:szCs w:val="18"/>
              </w:rPr>
              <w:t>L</w:t>
            </w:r>
          </w:p>
        </w:tc>
      </w:tr>
      <w:tr w:rsidR="00B268FE" w:rsidRPr="00BC13BE" w:rsidTr="00B268FE">
        <w:trPr>
          <w:cantSplit/>
          <w:jc w:val="center"/>
        </w:trPr>
        <w:tc>
          <w:tcPr>
            <w:tcW w:w="1975" w:type="dxa"/>
            <w:tcBorders>
              <w:top w:val="single" w:sz="4" w:space="0" w:color="auto"/>
              <w:left w:val="single" w:sz="8" w:space="0" w:color="auto"/>
              <w:bottom w:val="single" w:sz="4" w:space="0" w:color="auto"/>
              <w:right w:val="single" w:sz="8" w:space="0" w:color="auto"/>
            </w:tcBorders>
          </w:tcPr>
          <w:p w:rsidR="00B268FE" w:rsidRPr="00BC13BE" w:rsidRDefault="00B268FE" w:rsidP="00B268FE">
            <w:pPr>
              <w:pStyle w:val="Table2"/>
              <w:rPr>
                <w:szCs w:val="18"/>
              </w:rPr>
            </w:pPr>
            <w:r w:rsidRPr="00BC13BE">
              <w:rPr>
                <w:szCs w:val="24"/>
              </w:rPr>
              <w:t xml:space="preserve">Packaged cooked cured/salted meat </w:t>
            </w: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Coagulase-positive staphylococci</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10</w:t>
            </w:r>
            <w:r w:rsidRPr="00BC13BE">
              <w:rPr>
                <w:position w:val="6"/>
                <w:szCs w:val="24"/>
                <w:vertAlign w:val="superscript"/>
              </w:rPr>
              <w:t xml:space="preserve">2 </w:t>
            </w:r>
            <w:r w:rsidRPr="00BC13BE">
              <w:rPr>
                <w:szCs w:val="24"/>
              </w:rPr>
              <w:t>cfu/g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position w:val="6"/>
                <w:szCs w:val="24"/>
                <w:vertAlign w:val="superscript"/>
              </w:rPr>
              <w:t xml:space="preserve">3 </w:t>
            </w:r>
            <w:r w:rsidRPr="00BC13BE">
              <w:rPr>
                <w:szCs w:val="24"/>
              </w:rPr>
              <w:t>cfu/g</w:t>
            </w:r>
          </w:p>
        </w:tc>
      </w:tr>
      <w:tr w:rsidR="00B268FE" w:rsidRPr="00BC13BE" w:rsidTr="00B268FE">
        <w:trPr>
          <w:cantSplit/>
          <w:jc w:val="center"/>
        </w:trPr>
        <w:tc>
          <w:tcPr>
            <w:tcW w:w="1975" w:type="dxa"/>
            <w:tcBorders>
              <w:top w:val="single" w:sz="4" w:space="0" w:color="auto"/>
              <w:left w:val="single" w:sz="8" w:space="0" w:color="auto"/>
              <w:right w:val="single" w:sz="8" w:space="0" w:color="auto"/>
            </w:tcBorders>
          </w:tcPr>
          <w:p w:rsidR="00B268FE" w:rsidRPr="00BC13BE" w:rsidRDefault="00B268FE" w:rsidP="00B268FE">
            <w:pPr>
              <w:pStyle w:val="Table2"/>
              <w:rPr>
                <w:szCs w:val="24"/>
              </w:rPr>
            </w:pPr>
            <w:r w:rsidRPr="00A35887">
              <w:rPr>
                <w:szCs w:val="18"/>
              </w:rPr>
              <w:t>Packaged heat treated meat paste and packaged heat treated pâté</w:t>
            </w: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val="restart"/>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All comminuted fermented meat which has not been cooked during the production process</w:t>
            </w:r>
          </w:p>
        </w:tc>
        <w:tc>
          <w:tcPr>
            <w:tcW w:w="2469"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Coagulase-positive staphylococci</w:t>
            </w:r>
          </w:p>
        </w:tc>
        <w:tc>
          <w:tcPr>
            <w:tcW w:w="992"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10</w:t>
            </w:r>
            <w:r w:rsidRPr="00BC13BE">
              <w:rPr>
                <w:position w:val="6"/>
                <w:szCs w:val="24"/>
                <w:vertAlign w:val="superscript"/>
              </w:rPr>
              <w:t xml:space="preserve">3 </w:t>
            </w:r>
            <w:r w:rsidRPr="00BC13BE">
              <w:rPr>
                <w:szCs w:val="24"/>
              </w:rPr>
              <w:t>cfu/g</w:t>
            </w:r>
          </w:p>
        </w:tc>
        <w:tc>
          <w:tcPr>
            <w:tcW w:w="1414"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position w:val="6"/>
                <w:szCs w:val="24"/>
                <w:vertAlign w:val="superscript"/>
              </w:rPr>
              <w:t xml:space="preserve">4 </w:t>
            </w:r>
            <w:r w:rsidRPr="00BC13BE">
              <w:rPr>
                <w:szCs w:val="24"/>
              </w:rPr>
              <w:t>cfu/g</w:t>
            </w:r>
          </w:p>
        </w:tc>
      </w:tr>
      <w:tr w:rsidR="00B268FE" w:rsidRPr="00BC13BE" w:rsidTr="00B268FE">
        <w:trPr>
          <w:cantSplit/>
          <w:jc w:val="center"/>
        </w:trPr>
        <w:tc>
          <w:tcPr>
            <w:tcW w:w="1975" w:type="dxa"/>
            <w:vMerge/>
            <w:tcBorders>
              <w:left w:val="single" w:sz="8" w:space="0" w:color="auto"/>
              <w:right w:val="single" w:sz="8" w:space="0" w:color="auto"/>
            </w:tcBorders>
          </w:tcPr>
          <w:p w:rsidR="00B268FE" w:rsidRPr="00BC13BE" w:rsidRDefault="00B268FE" w:rsidP="00B268FE">
            <w:pPr>
              <w:pStyle w:val="Table2"/>
              <w:rPr>
                <w:sz w:val="20"/>
                <w:szCs w:val="24"/>
              </w:rPr>
            </w:pPr>
          </w:p>
        </w:tc>
        <w:tc>
          <w:tcPr>
            <w:tcW w:w="2469" w:type="dxa"/>
            <w:tcBorders>
              <w:left w:val="single" w:sz="8" w:space="0" w:color="auto"/>
              <w:right w:val="single" w:sz="8" w:space="0" w:color="auto"/>
            </w:tcBorders>
          </w:tcPr>
          <w:p w:rsidR="00B268FE" w:rsidRPr="00BC13BE" w:rsidRDefault="00B268FE" w:rsidP="00B268FE">
            <w:pPr>
              <w:pStyle w:val="Table2"/>
              <w:rPr>
                <w:iCs/>
                <w:szCs w:val="24"/>
              </w:rPr>
            </w:pPr>
            <w:r w:rsidRPr="00BC13BE">
              <w:rPr>
                <w:i/>
                <w:iCs/>
                <w:szCs w:val="24"/>
              </w:rPr>
              <w:t>Escherichia coli</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3.6 MPN</w:t>
            </w:r>
            <w:r>
              <w:rPr>
                <w:szCs w:val="24"/>
              </w:rPr>
              <w:t>/</w:t>
            </w:r>
            <w:r w:rsidRPr="00BC13BE">
              <w:rPr>
                <w:szCs w:val="24"/>
              </w:rPr>
              <w:t>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9.2 MPN</w:t>
            </w:r>
            <w:r>
              <w:rPr>
                <w:szCs w:val="24"/>
              </w:rPr>
              <w:t>/</w:t>
            </w:r>
            <w:r w:rsidRPr="00BC13BE">
              <w:rPr>
                <w:szCs w:val="24"/>
              </w:rPr>
              <w:t>g</w:t>
            </w:r>
          </w:p>
        </w:tc>
      </w:tr>
      <w:tr w:rsidR="00B268FE" w:rsidRPr="00BC13BE" w:rsidTr="00B268FE">
        <w:trPr>
          <w:cantSplit/>
          <w:jc w:val="center"/>
        </w:trPr>
        <w:tc>
          <w:tcPr>
            <w:tcW w:w="1975" w:type="dxa"/>
            <w:vMerge/>
            <w:tcBorders>
              <w:left w:val="single" w:sz="8" w:space="0" w:color="auto"/>
              <w:bottom w:val="single" w:sz="8" w:space="0" w:color="auto"/>
              <w:right w:val="single" w:sz="8" w:space="0" w:color="auto"/>
            </w:tcBorders>
          </w:tcPr>
          <w:p w:rsidR="00B268FE" w:rsidRPr="00BC13BE" w:rsidRDefault="00B268FE" w:rsidP="00B268FE">
            <w:pPr>
              <w:pStyle w:val="Table2"/>
              <w:rPr>
                <w:sz w:val="20"/>
                <w:szCs w:val="24"/>
              </w:rPr>
            </w:pP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iCs/>
                <w:szCs w:val="24"/>
              </w:rPr>
              <w:t>Salmonella</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val="restart"/>
            <w:tcBorders>
              <w:top w:val="single" w:sz="8" w:space="0" w:color="auto"/>
              <w:left w:val="single" w:sz="8" w:space="0" w:color="auto"/>
              <w:bottom w:val="single" w:sz="4" w:space="0" w:color="auto"/>
              <w:right w:val="single" w:sz="8" w:space="0" w:color="auto"/>
            </w:tcBorders>
          </w:tcPr>
          <w:p w:rsidR="00B268FE" w:rsidRPr="00BC13BE" w:rsidRDefault="00B268FE" w:rsidP="00B268FE">
            <w:pPr>
              <w:pStyle w:val="Table2"/>
              <w:rPr>
                <w:szCs w:val="24"/>
              </w:rPr>
            </w:pPr>
            <w:r w:rsidRPr="00BC13BE">
              <w:rPr>
                <w:szCs w:val="24"/>
              </w:rPr>
              <w:t>Cooked crustacea</w:t>
            </w:r>
          </w:p>
        </w:tc>
        <w:tc>
          <w:tcPr>
            <w:tcW w:w="2469"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Coagulase-positive staphylococci</w:t>
            </w:r>
          </w:p>
        </w:tc>
        <w:tc>
          <w:tcPr>
            <w:tcW w:w="992"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2</w:t>
            </w:r>
          </w:p>
        </w:tc>
        <w:tc>
          <w:tcPr>
            <w:tcW w:w="1842"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10</w:t>
            </w:r>
            <w:r w:rsidRPr="00BC13BE">
              <w:rPr>
                <w:position w:val="6"/>
                <w:szCs w:val="24"/>
                <w:vertAlign w:val="superscript"/>
              </w:rPr>
              <w:t xml:space="preserve">2 </w:t>
            </w:r>
            <w:r w:rsidRPr="00BC13BE">
              <w:rPr>
                <w:szCs w:val="24"/>
              </w:rPr>
              <w:t>cfu/g</w:t>
            </w:r>
          </w:p>
        </w:tc>
        <w:tc>
          <w:tcPr>
            <w:tcW w:w="1414"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position w:val="6"/>
                <w:szCs w:val="24"/>
                <w:vertAlign w:val="superscript"/>
              </w:rPr>
              <w:t xml:space="preserve">3 </w:t>
            </w:r>
            <w:r w:rsidRPr="00BC13BE">
              <w:rPr>
                <w:szCs w:val="24"/>
              </w:rPr>
              <w:t>cfu/g</w:t>
            </w:r>
          </w:p>
        </w:tc>
      </w:tr>
      <w:tr w:rsidR="00B268FE" w:rsidRPr="00BC13BE" w:rsidTr="00B268FE">
        <w:trPr>
          <w:cantSplit/>
          <w:jc w:val="center"/>
        </w:trPr>
        <w:tc>
          <w:tcPr>
            <w:tcW w:w="1975" w:type="dxa"/>
            <w:vMerge/>
            <w:tcBorders>
              <w:left w:val="single" w:sz="8" w:space="0" w:color="auto"/>
              <w:bottom w:val="single" w:sz="4"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tcBorders>
              <w:left w:val="single" w:sz="8" w:space="0" w:color="auto"/>
              <w:bottom w:val="single" w:sz="4"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SPC</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2</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10</w:t>
            </w:r>
            <w:r w:rsidRPr="00BC13BE">
              <w:rPr>
                <w:position w:val="6"/>
                <w:szCs w:val="24"/>
                <w:vertAlign w:val="superscript"/>
              </w:rPr>
              <w:t xml:space="preserve">5 </w:t>
            </w:r>
            <w:r w:rsidRPr="00BC13BE">
              <w:rPr>
                <w:szCs w:val="24"/>
              </w:rPr>
              <w:t>cfu/g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position w:val="6"/>
                <w:szCs w:val="24"/>
                <w:vertAlign w:val="superscript"/>
              </w:rPr>
              <w:t xml:space="preserve">6 </w:t>
            </w:r>
            <w:r w:rsidRPr="00BC13BE">
              <w:rPr>
                <w:szCs w:val="24"/>
              </w:rPr>
              <w:t>cfu/g</w:t>
            </w:r>
          </w:p>
        </w:tc>
      </w:tr>
      <w:tr w:rsidR="00B268FE" w:rsidRPr="00BC13BE" w:rsidTr="00B268FE">
        <w:trPr>
          <w:cantSplit/>
          <w:jc w:val="center"/>
        </w:trPr>
        <w:tc>
          <w:tcPr>
            <w:tcW w:w="1975" w:type="dxa"/>
            <w:vMerge w:val="restart"/>
            <w:tcBorders>
              <w:top w:val="single" w:sz="4"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lastRenderedPageBreak/>
              <w:t>Raw crustacea</w:t>
            </w:r>
          </w:p>
        </w:tc>
        <w:tc>
          <w:tcPr>
            <w:tcW w:w="2469"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Coagulase-positive staphylococci</w:t>
            </w:r>
          </w:p>
        </w:tc>
        <w:tc>
          <w:tcPr>
            <w:tcW w:w="992"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2</w:t>
            </w:r>
          </w:p>
        </w:tc>
        <w:tc>
          <w:tcPr>
            <w:tcW w:w="1842"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10</w:t>
            </w:r>
            <w:r w:rsidRPr="00BC13BE">
              <w:rPr>
                <w:rFonts w:cs="Times"/>
                <w:position w:val="6"/>
                <w:szCs w:val="24"/>
                <w:vertAlign w:val="superscript"/>
              </w:rPr>
              <w:t xml:space="preserve">2 </w:t>
            </w:r>
            <w:r w:rsidRPr="00BC13BE">
              <w:rPr>
                <w:szCs w:val="24"/>
              </w:rPr>
              <w:t>cfu/g</w:t>
            </w:r>
          </w:p>
        </w:tc>
        <w:tc>
          <w:tcPr>
            <w:tcW w:w="1414"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rFonts w:cs="Times"/>
                <w:position w:val="6"/>
                <w:szCs w:val="24"/>
                <w:vertAlign w:val="superscript"/>
              </w:rPr>
              <w:t xml:space="preserve">3 </w:t>
            </w:r>
            <w:r w:rsidRPr="00BC13BE">
              <w:rPr>
                <w:szCs w:val="24"/>
              </w:rPr>
              <w:t>cfu/g</w:t>
            </w:r>
          </w:p>
        </w:tc>
      </w:tr>
      <w:tr w:rsidR="00B268FE" w:rsidRPr="00BC13BE" w:rsidTr="00B268FE">
        <w:trPr>
          <w:cantSplit/>
          <w:jc w:val="center"/>
        </w:trPr>
        <w:tc>
          <w:tcPr>
            <w:tcW w:w="1975" w:type="dxa"/>
            <w:vMerge/>
            <w:tcBorders>
              <w:left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SPC</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2</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5x10</w:t>
            </w:r>
            <w:r w:rsidRPr="00BC13BE">
              <w:rPr>
                <w:rFonts w:cs="Times"/>
                <w:position w:val="6"/>
                <w:szCs w:val="24"/>
                <w:vertAlign w:val="superscript"/>
              </w:rPr>
              <w:t xml:space="preserve">5 </w:t>
            </w:r>
            <w:r w:rsidRPr="00BC13BE">
              <w:rPr>
                <w:szCs w:val="24"/>
              </w:rPr>
              <w:t>cfu/g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5x10</w:t>
            </w:r>
            <w:r w:rsidRPr="00BC13BE">
              <w:rPr>
                <w:rFonts w:cs="Times"/>
                <w:position w:val="6"/>
                <w:szCs w:val="24"/>
                <w:vertAlign w:val="superscript"/>
              </w:rPr>
              <w:t xml:space="preserve">6 </w:t>
            </w:r>
            <w:r w:rsidRPr="00BC13BE">
              <w:rPr>
                <w:szCs w:val="24"/>
              </w:rPr>
              <w:t>cfu/g</w:t>
            </w: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Bivalve molluscs, other than scallops</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2.3 MPN</w:t>
            </w:r>
            <w:r>
              <w:rPr>
                <w:szCs w:val="24"/>
              </w:rPr>
              <w:t>/</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7 MPN</w:t>
            </w:r>
            <w:r>
              <w:rPr>
                <w:szCs w:val="24"/>
              </w:rPr>
              <w:t>/</w:t>
            </w:r>
            <w:r w:rsidRPr="00BC13BE">
              <w:rPr>
                <w:szCs w:val="24"/>
              </w:rPr>
              <w:t>g</w:t>
            </w: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 xml:space="preserve">Ready-to-eat food in which the growth of </w:t>
            </w:r>
            <w:r w:rsidRPr="00BC13BE">
              <w:rPr>
                <w:i/>
                <w:szCs w:val="24"/>
              </w:rPr>
              <w:t>Listeria monocytogenes</w:t>
            </w:r>
            <w:r w:rsidRPr="00BC13BE">
              <w:rPr>
                <w:szCs w:val="24"/>
              </w:rPr>
              <w:t xml:space="preserve"> will not occur</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
                <w:szCs w:val="24"/>
              </w:rPr>
            </w:pPr>
            <w:r w:rsidRPr="00BC13BE">
              <w:rPr>
                <w:i/>
                <w:szCs w:val="24"/>
              </w:rPr>
              <w:t>Listeria monocytogenes</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 xml:space="preserve">100 cfu/g </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 xml:space="preserve">Ready-to-eat food in which the growth of </w:t>
            </w:r>
            <w:r w:rsidRPr="00BC13BE">
              <w:rPr>
                <w:i/>
                <w:szCs w:val="24"/>
              </w:rPr>
              <w:t>Listeria monocytogenes</w:t>
            </w:r>
            <w:r w:rsidRPr="00BC13BE">
              <w:rPr>
                <w:szCs w:val="24"/>
              </w:rPr>
              <w:t xml:space="preserve"> can occur</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
                <w:szCs w:val="24"/>
              </w:rPr>
            </w:pPr>
            <w:r w:rsidRPr="00BC13BE">
              <w:rPr>
                <w:i/>
                <w:szCs w:val="24"/>
              </w:rPr>
              <w:t>Listeria monocytogenes</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val="restart"/>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Cereal based foods for infants</w:t>
            </w:r>
          </w:p>
        </w:tc>
        <w:tc>
          <w:tcPr>
            <w:tcW w:w="2469"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Coliforms</w:t>
            </w:r>
          </w:p>
        </w:tc>
        <w:tc>
          <w:tcPr>
            <w:tcW w:w="992"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2</w:t>
            </w:r>
          </w:p>
        </w:tc>
        <w:tc>
          <w:tcPr>
            <w:tcW w:w="1842"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&lt;3 MPN</w:t>
            </w:r>
            <w:r>
              <w:rPr>
                <w:szCs w:val="24"/>
              </w:rPr>
              <w:t>/</w:t>
            </w:r>
            <w:r w:rsidRPr="00BC13BE">
              <w:rPr>
                <w:szCs w:val="24"/>
              </w:rPr>
              <w:t>g</w:t>
            </w:r>
          </w:p>
        </w:tc>
        <w:tc>
          <w:tcPr>
            <w:tcW w:w="1414"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20 MPN</w:t>
            </w:r>
            <w:r>
              <w:rPr>
                <w:szCs w:val="24"/>
              </w:rPr>
              <w:t>/</w:t>
            </w:r>
            <w:r w:rsidRPr="00BC13BE">
              <w:rPr>
                <w:szCs w:val="24"/>
              </w:rPr>
              <w:t>g</w:t>
            </w:r>
          </w:p>
        </w:tc>
      </w:tr>
      <w:tr w:rsidR="00B268FE" w:rsidRPr="00BC13BE" w:rsidTr="00B268FE">
        <w:trPr>
          <w:cantSplit/>
          <w:jc w:val="center"/>
        </w:trPr>
        <w:tc>
          <w:tcPr>
            <w:tcW w:w="1975" w:type="dxa"/>
            <w:vMerge/>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val="restart"/>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Powdered infant formula products</w:t>
            </w:r>
          </w:p>
        </w:tc>
        <w:tc>
          <w:tcPr>
            <w:tcW w:w="2469"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i/>
                <w:szCs w:val="24"/>
              </w:rPr>
              <w:t>Bacillus cereus</w:t>
            </w:r>
            <w:r w:rsidRPr="00BC13BE">
              <w:rPr>
                <w:iCs/>
                <w:szCs w:val="24"/>
              </w:rPr>
              <w:t>/g</w:t>
            </w:r>
          </w:p>
        </w:tc>
        <w:tc>
          <w:tcPr>
            <w:tcW w:w="992"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right w:val="single" w:sz="8" w:space="0" w:color="auto"/>
            </w:tcBorders>
          </w:tcPr>
          <w:p w:rsidR="00B268FE" w:rsidRPr="00BC13BE" w:rsidRDefault="00B268FE" w:rsidP="00B268FE">
            <w:pPr>
              <w:pStyle w:val="Table2"/>
              <w:rPr>
                <w:szCs w:val="24"/>
              </w:rPr>
            </w:pPr>
            <w:r w:rsidRPr="00BC13BE">
              <w:rPr>
                <w:szCs w:val="24"/>
              </w:rPr>
              <w:t>100 cfu/g</w:t>
            </w:r>
          </w:p>
        </w:tc>
        <w:tc>
          <w:tcPr>
            <w:tcW w:w="1414" w:type="dxa"/>
            <w:tcBorders>
              <w:top w:val="single" w:sz="8" w:space="0" w:color="auto"/>
              <w:left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tcBorders>
              <w:left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Coagulase-positive staphylococci</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1</w:t>
            </w:r>
            <w:r>
              <w:rPr>
                <w:szCs w:val="24"/>
              </w:rPr>
              <w:t> </w:t>
            </w:r>
            <w:r w:rsidRPr="00BC13BE">
              <w:rPr>
                <w:szCs w:val="24"/>
              </w:rPr>
              <w:t>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 cfu/g</w:t>
            </w:r>
          </w:p>
        </w:tc>
      </w:tr>
      <w:tr w:rsidR="00B268FE" w:rsidRPr="00BC13BE" w:rsidTr="00B268FE">
        <w:trPr>
          <w:cantSplit/>
          <w:jc w:val="center"/>
        </w:trPr>
        <w:tc>
          <w:tcPr>
            <w:tcW w:w="1975" w:type="dxa"/>
            <w:vMerge/>
            <w:tcBorders>
              <w:left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Coliforms</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2</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&lt;3 MPN</w:t>
            </w:r>
            <w:r>
              <w:rPr>
                <w:szCs w:val="24"/>
              </w:rPr>
              <w:t>/</w:t>
            </w:r>
            <w:r w:rsidRPr="00BC13BE">
              <w:rPr>
                <w:szCs w:val="24"/>
              </w:rPr>
              <w:t>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 MPN</w:t>
            </w:r>
            <w:r>
              <w:rPr>
                <w:szCs w:val="24"/>
              </w:rPr>
              <w:t>/</w:t>
            </w:r>
            <w:r w:rsidRPr="00BC13BE">
              <w:rPr>
                <w:szCs w:val="24"/>
              </w:rPr>
              <w:t>g</w:t>
            </w:r>
          </w:p>
        </w:tc>
      </w:tr>
      <w:tr w:rsidR="00B268FE" w:rsidRPr="00BC13BE" w:rsidTr="00B268FE">
        <w:trPr>
          <w:cantSplit/>
          <w:jc w:val="center"/>
        </w:trPr>
        <w:tc>
          <w:tcPr>
            <w:tcW w:w="1975" w:type="dxa"/>
            <w:vMerge/>
            <w:tcBorders>
              <w:left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p>
        </w:tc>
        <w:tc>
          <w:tcPr>
            <w:tcW w:w="992"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p>
        </w:tc>
        <w:tc>
          <w:tcPr>
            <w:tcW w:w="993" w:type="dxa"/>
            <w:tcBorders>
              <w:left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left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left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vMerge/>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p>
        </w:tc>
        <w:tc>
          <w:tcPr>
            <w:tcW w:w="2469"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SPC</w:t>
            </w:r>
          </w:p>
        </w:tc>
        <w:tc>
          <w:tcPr>
            <w:tcW w:w="992"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2</w:t>
            </w:r>
          </w:p>
        </w:tc>
        <w:tc>
          <w:tcPr>
            <w:tcW w:w="1842" w:type="dxa"/>
            <w:tcBorders>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10</w:t>
            </w:r>
            <w:r w:rsidRPr="00BC13BE">
              <w:rPr>
                <w:rFonts w:cs="Times"/>
                <w:position w:val="6"/>
                <w:szCs w:val="24"/>
                <w:vertAlign w:val="superscript"/>
              </w:rPr>
              <w:t xml:space="preserve">3 </w:t>
            </w:r>
            <w:r w:rsidRPr="00BC13BE">
              <w:rPr>
                <w:szCs w:val="24"/>
              </w:rPr>
              <w:t>cfu/g</w:t>
            </w:r>
          </w:p>
        </w:tc>
        <w:tc>
          <w:tcPr>
            <w:tcW w:w="1414" w:type="dxa"/>
            <w:tcBorders>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r w:rsidRPr="00BC13BE">
              <w:rPr>
                <w:rFonts w:cs="Times"/>
                <w:position w:val="6"/>
                <w:szCs w:val="24"/>
                <w:vertAlign w:val="superscript"/>
              </w:rPr>
              <w:t xml:space="preserve">4 </w:t>
            </w:r>
            <w:r w:rsidRPr="00BC13BE">
              <w:rPr>
                <w:szCs w:val="24"/>
              </w:rPr>
              <w:t>cfu/g</w:t>
            </w: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Pepper, paprika and cinnamon</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 xml:space="preserve">Dried, chipped, </w:t>
            </w:r>
            <w:r w:rsidRPr="00EC7D0B">
              <w:rPr>
                <w:szCs w:val="24"/>
              </w:rPr>
              <w:t>de</w:t>
            </w:r>
            <w:r w:rsidRPr="00BC13BE">
              <w:rPr>
                <w:szCs w:val="24"/>
              </w:rPr>
              <w:t>sic</w:t>
            </w:r>
            <w:r w:rsidRPr="00EC7D0B">
              <w:rPr>
                <w:szCs w:val="24"/>
              </w:rPr>
              <w:t>c</w:t>
            </w:r>
            <w:r w:rsidRPr="00BC13BE">
              <w:rPr>
                <w:szCs w:val="24"/>
              </w:rPr>
              <w:t>ated coconut</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10</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Cocoa powder</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Cultured seeds and grains (bean sprouts, alfalfa etc)</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Pasteurised egg products</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shd w:val="clear" w:color="auto" w:fill="auto"/>
          </w:tcPr>
          <w:p w:rsidR="00B268FE" w:rsidRPr="00BC13BE" w:rsidRDefault="00B268FE" w:rsidP="00B268FE">
            <w:pPr>
              <w:pStyle w:val="Table2"/>
              <w:rPr>
                <w:szCs w:val="24"/>
              </w:rPr>
            </w:pPr>
            <w:r w:rsidRPr="00BC13BE">
              <w:rPr>
                <w:szCs w:val="24"/>
              </w:rPr>
              <w:t>Processed egg product</w:t>
            </w:r>
          </w:p>
        </w:tc>
        <w:tc>
          <w:tcPr>
            <w:tcW w:w="2469" w:type="dxa"/>
            <w:tcBorders>
              <w:top w:val="single" w:sz="8" w:space="0" w:color="auto"/>
              <w:left w:val="single" w:sz="8" w:space="0" w:color="auto"/>
              <w:bottom w:val="single" w:sz="8" w:space="0" w:color="auto"/>
              <w:right w:val="single" w:sz="8" w:space="0" w:color="auto"/>
            </w:tcBorders>
            <w:shd w:val="clear" w:color="auto" w:fill="auto"/>
          </w:tcPr>
          <w:p w:rsidR="00B268FE" w:rsidRPr="00BC13BE" w:rsidRDefault="00B268FE" w:rsidP="00B268FE">
            <w:pPr>
              <w:pStyle w:val="Table2"/>
              <w:rPr>
                <w:iCs/>
                <w:szCs w:val="24"/>
              </w:rPr>
            </w:pPr>
            <w:r w:rsidRPr="00BC13BE">
              <w:rPr>
                <w:i/>
                <w:szCs w:val="24"/>
              </w:rPr>
              <w:t>Salmonella</w:t>
            </w:r>
          </w:p>
        </w:tc>
        <w:tc>
          <w:tcPr>
            <w:tcW w:w="992" w:type="dxa"/>
            <w:tcBorders>
              <w:top w:val="single" w:sz="8" w:space="0" w:color="auto"/>
              <w:left w:val="single" w:sz="8" w:space="0" w:color="auto"/>
              <w:bottom w:val="single" w:sz="8" w:space="0" w:color="auto"/>
              <w:right w:val="single" w:sz="8" w:space="0" w:color="auto"/>
            </w:tcBorders>
            <w:shd w:val="clear" w:color="auto" w:fill="auto"/>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shd w:val="clear" w:color="auto" w:fill="auto"/>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shd w:val="clear" w:color="auto" w:fill="auto"/>
          </w:tcPr>
          <w:p w:rsidR="00B268FE" w:rsidRPr="00BC13BE" w:rsidRDefault="00B268FE" w:rsidP="00B268FE">
            <w:pPr>
              <w:pStyle w:val="Table2"/>
              <w:rPr>
                <w:szCs w:val="24"/>
              </w:rPr>
            </w:pPr>
            <w:r w:rsidRPr="00BC13BE">
              <w:rPr>
                <w:szCs w:val="24"/>
              </w:rPr>
              <w:t>not detected in 25</w:t>
            </w:r>
            <w:r>
              <w:rPr>
                <w:szCs w:val="24"/>
              </w:rPr>
              <w:t> </w:t>
            </w:r>
            <w:r w:rsidRPr="00BC13BE">
              <w:rPr>
                <w:szCs w:val="24"/>
              </w:rPr>
              <w:t>g</w:t>
            </w:r>
          </w:p>
        </w:tc>
        <w:tc>
          <w:tcPr>
            <w:tcW w:w="1414" w:type="dxa"/>
            <w:tcBorders>
              <w:top w:val="single" w:sz="8" w:space="0" w:color="auto"/>
              <w:left w:val="single" w:sz="8" w:space="0" w:color="auto"/>
              <w:bottom w:val="single" w:sz="8" w:space="0" w:color="auto"/>
              <w:right w:val="single" w:sz="8" w:space="0" w:color="auto"/>
            </w:tcBorders>
            <w:shd w:val="clear" w:color="auto" w:fill="auto"/>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Mineral water</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100</w:t>
            </w:r>
            <w:r>
              <w:rPr>
                <w:szCs w:val="24"/>
              </w:rPr>
              <w:t> </w:t>
            </w:r>
            <w:r w:rsidRPr="00BC13BE">
              <w:rPr>
                <w:szCs w:val="24"/>
              </w:rPr>
              <w:t>m</w:t>
            </w:r>
            <w:r>
              <w:rPr>
                <w:szCs w:val="24"/>
              </w:rPr>
              <w:t>L</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Packaged water</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100</w:t>
            </w:r>
            <w:r>
              <w:rPr>
                <w:szCs w:val="24"/>
              </w:rPr>
              <w:t> </w:t>
            </w:r>
            <w:r w:rsidRPr="00BC13BE">
              <w:rPr>
                <w:szCs w:val="24"/>
              </w:rPr>
              <w:t>m</w:t>
            </w:r>
            <w:r>
              <w:rPr>
                <w:szCs w:val="24"/>
              </w:rPr>
              <w:t>L</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r w:rsidR="00B268FE" w:rsidRPr="00BC13BE" w:rsidTr="00B268FE">
        <w:trPr>
          <w:cantSplit/>
          <w:jc w:val="center"/>
        </w:trPr>
        <w:tc>
          <w:tcPr>
            <w:tcW w:w="1975"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Packaged ice</w:t>
            </w:r>
          </w:p>
        </w:tc>
        <w:tc>
          <w:tcPr>
            <w:tcW w:w="2469"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iCs/>
                <w:szCs w:val="24"/>
              </w:rPr>
            </w:pPr>
            <w:r w:rsidRPr="00BC13BE">
              <w:rPr>
                <w:i/>
                <w:szCs w:val="24"/>
              </w:rPr>
              <w:t>Escherichia coli</w:t>
            </w:r>
          </w:p>
        </w:tc>
        <w:tc>
          <w:tcPr>
            <w:tcW w:w="99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5</w:t>
            </w:r>
          </w:p>
        </w:tc>
        <w:tc>
          <w:tcPr>
            <w:tcW w:w="993"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r w:rsidRPr="00BC13BE">
              <w:rPr>
                <w:szCs w:val="24"/>
              </w:rPr>
              <w:t>0</w:t>
            </w:r>
          </w:p>
        </w:tc>
        <w:tc>
          <w:tcPr>
            <w:tcW w:w="1842"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rPr>
                <w:szCs w:val="24"/>
              </w:rPr>
            </w:pPr>
            <w:r w:rsidRPr="00BC13BE">
              <w:rPr>
                <w:szCs w:val="24"/>
              </w:rPr>
              <w:t>not detected in 100</w:t>
            </w:r>
            <w:r>
              <w:rPr>
                <w:szCs w:val="24"/>
              </w:rPr>
              <w:t> </w:t>
            </w:r>
            <w:r w:rsidRPr="00BC13BE">
              <w:rPr>
                <w:szCs w:val="24"/>
              </w:rPr>
              <w:t>m</w:t>
            </w:r>
            <w:r>
              <w:rPr>
                <w:szCs w:val="24"/>
              </w:rPr>
              <w:t>L</w:t>
            </w:r>
          </w:p>
        </w:tc>
        <w:tc>
          <w:tcPr>
            <w:tcW w:w="1414" w:type="dxa"/>
            <w:tcBorders>
              <w:top w:val="single" w:sz="8" w:space="0" w:color="auto"/>
              <w:left w:val="single" w:sz="8" w:space="0" w:color="auto"/>
              <w:bottom w:val="single" w:sz="8" w:space="0" w:color="auto"/>
              <w:right w:val="single" w:sz="8" w:space="0" w:color="auto"/>
            </w:tcBorders>
          </w:tcPr>
          <w:p w:rsidR="00B268FE" w:rsidRPr="00BC13BE" w:rsidRDefault="00B268FE" w:rsidP="00B268FE">
            <w:pPr>
              <w:pStyle w:val="Table2"/>
              <w:jc w:val="center"/>
              <w:rPr>
                <w:szCs w:val="24"/>
              </w:rPr>
            </w:pPr>
          </w:p>
        </w:tc>
      </w:tr>
    </w:tbl>
    <w:p w:rsidR="00B268FE" w:rsidRPr="005D0049" w:rsidRDefault="00B268FE" w:rsidP="00B268FE">
      <w:pPr>
        <w:widowControl/>
        <w:jc w:val="right"/>
        <w:rPr>
          <w:rFonts w:cs="Arial"/>
          <w:sz w:val="20"/>
        </w:rPr>
      </w:pPr>
      <w:r w:rsidRPr="005D0049">
        <w:rPr>
          <w:sz w:val="20"/>
        </w:rPr>
        <w:t>”</w:t>
      </w:r>
    </w:p>
    <w:p w:rsidR="00B268FE" w:rsidRDefault="00B268FE" w:rsidP="00B268FE">
      <w:pPr>
        <w:pStyle w:val="Clause"/>
        <w:rPr>
          <w:iCs/>
        </w:rPr>
      </w:pPr>
      <w:r>
        <w:rPr>
          <w:rFonts w:cs="Arial"/>
        </w:rPr>
        <w:t>[2.7</w:t>
      </w:r>
      <w:r w:rsidRPr="00654331">
        <w:rPr>
          <w:rFonts w:cs="Arial"/>
        </w:rPr>
        <w:t>]</w:t>
      </w:r>
      <w:r w:rsidRPr="00654331">
        <w:rPr>
          <w:rFonts w:cs="Arial"/>
        </w:rPr>
        <w:tab/>
      </w:r>
      <w:r w:rsidRPr="00654331">
        <w:t>updating the Table of Provisions</w:t>
      </w:r>
      <w:r w:rsidRPr="00654331">
        <w:rPr>
          <w:iCs/>
        </w:rPr>
        <w:t xml:space="preserve"> to reflect these variations</w:t>
      </w:r>
    </w:p>
    <w:p w:rsidR="00B268FE" w:rsidRPr="005D0049" w:rsidRDefault="00B268FE" w:rsidP="00B268FE">
      <w:pPr>
        <w:pStyle w:val="Clause"/>
      </w:pPr>
    </w:p>
    <w:p w:rsidR="00B268FE" w:rsidRPr="007D5C61" w:rsidRDefault="00B268FE" w:rsidP="00B268FE">
      <w:pPr>
        <w:pStyle w:val="Clause"/>
        <w:rPr>
          <w:b/>
        </w:rPr>
      </w:pPr>
      <w:r w:rsidRPr="007D5C61">
        <w:rPr>
          <w:b/>
        </w:rPr>
        <w:t>[3]</w:t>
      </w:r>
      <w:r w:rsidRPr="007D5C61">
        <w:rPr>
          <w:b/>
        </w:rPr>
        <w:tab/>
        <w:t xml:space="preserve">Standard 3.2.2 </w:t>
      </w:r>
      <w:r w:rsidRPr="007D5C61">
        <w:t xml:space="preserve">is varied by omitting the definition of </w:t>
      </w:r>
      <w:r w:rsidRPr="007D5C61">
        <w:rPr>
          <w:b/>
        </w:rPr>
        <w:t>ready-to-eat food</w:t>
      </w:r>
      <w:r w:rsidRPr="007D5C61">
        <w:t xml:space="preserve"> from clause 1</w:t>
      </w:r>
    </w:p>
    <w:p w:rsidR="00B268FE" w:rsidRPr="005D0049" w:rsidRDefault="00B268FE" w:rsidP="00B268FE">
      <w:pPr>
        <w:rPr>
          <w:sz w:val="20"/>
        </w:rPr>
      </w:pPr>
    </w:p>
    <w:p w:rsidR="00B268FE" w:rsidRPr="002054DB" w:rsidRDefault="00B268FE" w:rsidP="00B268FE">
      <w:pPr>
        <w:pStyle w:val="Clause"/>
      </w:pPr>
      <w:r w:rsidRPr="002054DB">
        <w:rPr>
          <w:b/>
        </w:rPr>
        <w:t>[4]</w:t>
      </w:r>
      <w:r w:rsidRPr="002054DB">
        <w:rPr>
          <w:b/>
        </w:rPr>
        <w:tab/>
        <w:t>Standard 4.2.5</w:t>
      </w:r>
      <w:r w:rsidRPr="002054DB">
        <w:t xml:space="preserve"> is varied by omitting the Editorial note at the end of clause 21</w:t>
      </w:r>
      <w:r>
        <w:t xml:space="preserve"> and </w:t>
      </w:r>
      <w:r w:rsidRPr="002054DB">
        <w:t>substituting</w:t>
      </w:r>
    </w:p>
    <w:p w:rsidR="00B268FE" w:rsidRPr="002054DB" w:rsidRDefault="00B268FE" w:rsidP="00B268FE">
      <w:pPr>
        <w:rPr>
          <w:sz w:val="20"/>
        </w:rPr>
      </w:pPr>
    </w:p>
    <w:p w:rsidR="00B268FE" w:rsidRPr="002054DB" w:rsidRDefault="00B268FE" w:rsidP="00B268FE">
      <w:pPr>
        <w:rPr>
          <w:sz w:val="20"/>
        </w:rPr>
      </w:pPr>
      <w:r w:rsidRPr="002054DB">
        <w:rPr>
          <w:sz w:val="20"/>
        </w:rPr>
        <w:t>“</w:t>
      </w:r>
    </w:p>
    <w:p w:rsidR="00B268FE" w:rsidRPr="002054DB" w:rsidRDefault="00B268FE" w:rsidP="00B268FE">
      <w:pPr>
        <w:pStyle w:val="EditorialNoteLine1"/>
      </w:pPr>
      <w:r w:rsidRPr="002054DB">
        <w:t>Editorial note:</w:t>
      </w:r>
    </w:p>
    <w:p w:rsidR="00B268FE" w:rsidRPr="002054DB" w:rsidRDefault="00B268FE" w:rsidP="00B268FE">
      <w:pPr>
        <w:pStyle w:val="EditorialNotetext"/>
      </w:pPr>
    </w:p>
    <w:p w:rsidR="00B268FE" w:rsidRPr="002054DB" w:rsidRDefault="00B268FE" w:rsidP="00B268FE">
      <w:pPr>
        <w:pStyle w:val="EditorialNotetext"/>
      </w:pPr>
      <w:r>
        <w:t xml:space="preserve">For subclause 21(1), </w:t>
      </w:r>
      <w:r w:rsidRPr="002054DB">
        <w:t>Standard 1.6.1 specifies microbiological limits for processed egg products for sale.</w:t>
      </w:r>
    </w:p>
    <w:p w:rsidR="00A815AE" w:rsidRDefault="00A815AE">
      <w:pPr>
        <w:widowControl/>
      </w:pPr>
      <w:r>
        <w:br w:type="page"/>
      </w:r>
    </w:p>
    <w:p w:rsidR="00A815AE" w:rsidRPr="00B268FE" w:rsidRDefault="00A815AE" w:rsidP="00A815AE">
      <w:pPr>
        <w:pStyle w:val="Heading2"/>
        <w:ind w:left="0" w:firstLine="0"/>
        <w:rPr>
          <w:color w:val="000000" w:themeColor="text1"/>
        </w:rPr>
      </w:pPr>
      <w:bookmarkStart w:id="117" w:name="_Toc387927839"/>
      <w:r w:rsidRPr="00B268FE">
        <w:rPr>
          <w:color w:val="000000" w:themeColor="text1"/>
        </w:rPr>
        <w:lastRenderedPageBreak/>
        <w:t xml:space="preserve">Attachment </w:t>
      </w:r>
      <w:r>
        <w:rPr>
          <w:color w:val="000000" w:themeColor="text1"/>
        </w:rPr>
        <w:t>D</w:t>
      </w:r>
      <w:r w:rsidRPr="00B268FE">
        <w:rPr>
          <w:color w:val="000000" w:themeColor="text1"/>
        </w:rPr>
        <w:t xml:space="preserve"> – </w:t>
      </w:r>
      <w:r w:rsidR="00372387" w:rsidRPr="006D572E">
        <w:rPr>
          <w:color w:val="000000" w:themeColor="text1"/>
        </w:rPr>
        <w:t xml:space="preserve">Draft variation to the </w:t>
      </w:r>
      <w:r w:rsidR="00372387" w:rsidRPr="006D572E">
        <w:rPr>
          <w:i/>
          <w:color w:val="000000" w:themeColor="text1"/>
        </w:rPr>
        <w:t xml:space="preserve">Australia New Zealand Food Standards Code </w:t>
      </w:r>
      <w:r w:rsidR="00372387" w:rsidRPr="006D572E">
        <w:rPr>
          <w:color w:val="000000" w:themeColor="text1"/>
        </w:rPr>
        <w:t>in March 2015 following P1025</w:t>
      </w:r>
      <w:bookmarkEnd w:id="117"/>
    </w:p>
    <w:p w:rsidR="00372387" w:rsidRPr="005A051D" w:rsidRDefault="00372387" w:rsidP="00372387">
      <w:pPr>
        <w:pStyle w:val="ttCrest"/>
        <w:rPr>
          <w:b/>
        </w:rPr>
      </w:pPr>
      <w:r w:rsidRPr="005A051D">
        <w:rPr>
          <w:b/>
        </w:rPr>
        <w:t>Background</w:t>
      </w:r>
    </w:p>
    <w:p w:rsidR="00372387" w:rsidRPr="00122807" w:rsidRDefault="00372387" w:rsidP="00122807"/>
    <w:p w:rsidR="00372387" w:rsidRDefault="00372387" w:rsidP="00122807">
      <w:r w:rsidRPr="00122807">
        <w:t>FSANZ is reviewing the Australian New Zealand Food Standards Code in order to improve its clarity and legal efficacy. This review is being undertaken through Proposal P1025. FSANZ released a draft revision of the Code for public comment in May 2013. The draft revision has changed the Code’s structure and format. The draft instrument below reflects those changes</w:t>
      </w:r>
      <w:r w:rsidR="00A31543">
        <w:t xml:space="preserve">. </w:t>
      </w:r>
      <w:r w:rsidRPr="00122807">
        <w:t xml:space="preserve">A further draft revision of the Code and call for submissions will be released in the near future. </w:t>
      </w:r>
    </w:p>
    <w:p w:rsidR="00122807" w:rsidRPr="00122807" w:rsidRDefault="00122807" w:rsidP="00122807"/>
    <w:p w:rsidR="00372387" w:rsidRPr="00122807" w:rsidRDefault="00372387" w:rsidP="00122807">
      <w:r w:rsidRPr="00122807">
        <w:t>The FSANZ Board is expected to consider P1025 and the proposed changes to the Code in late 2014. If approved, it expected that the new Code will commence in 2015 and will repeal and replace the current Code. The new Code will then need to be amended to incorporate any outstanding changes made to the current Code, such as the variations proposed by P1017</w:t>
      </w:r>
      <w:r w:rsidR="00A31543">
        <w:t xml:space="preserve">. </w:t>
      </w:r>
      <w:r w:rsidRPr="00122807">
        <w:t>This is the rationale for the draft variation below. It is provided for background only. Its content and structure may change as P1025 progresses.</w:t>
      </w:r>
    </w:p>
    <w:p w:rsidR="00372387" w:rsidRDefault="00372387" w:rsidP="00372387">
      <w:pPr>
        <w:pStyle w:val="ttCrest"/>
        <w:rPr>
          <w:b/>
        </w:rPr>
      </w:pPr>
    </w:p>
    <w:p w:rsidR="00372387" w:rsidRDefault="00372387" w:rsidP="00372387">
      <w:pPr>
        <w:pStyle w:val="ttCrest"/>
        <w:rPr>
          <w:b/>
        </w:rPr>
      </w:pPr>
      <w:r>
        <w:rPr>
          <w:b/>
        </w:rPr>
        <w:t>Draft instrument</w:t>
      </w:r>
    </w:p>
    <w:p w:rsidR="00372387" w:rsidRDefault="00372387" w:rsidP="00372387">
      <w:pPr>
        <w:pStyle w:val="ttTitleofInstrument"/>
        <w:rPr>
          <w:vertAlign w:val="superscript"/>
        </w:rPr>
      </w:pPr>
      <w:r>
        <w:t xml:space="preserve">Food Standards Code—Variation </w:t>
      </w:r>
    </w:p>
    <w:p w:rsidR="00372387" w:rsidRPr="00E008A1" w:rsidRDefault="00372387" w:rsidP="00372387">
      <w:pPr>
        <w:pStyle w:val="ttAuthorisingAct"/>
      </w:pPr>
      <w:r>
        <w:rPr>
          <w:i w:val="0"/>
        </w:rPr>
        <w:t xml:space="preserve">Made under the </w:t>
      </w:r>
      <w:r>
        <w:t>Food Standards Australia New Zealand Act 1991</w:t>
      </w:r>
    </w:p>
    <w:p w:rsidR="00372387" w:rsidRDefault="00372387" w:rsidP="00372387">
      <w:pPr>
        <w:pStyle w:val="HR"/>
      </w:pPr>
      <w:r>
        <w:t>1</w:t>
      </w:r>
      <w:r>
        <w:tab/>
        <w:t>Name of instrument</w:t>
      </w:r>
    </w:p>
    <w:p w:rsidR="00372387" w:rsidRDefault="00372387" w:rsidP="00372387">
      <w:pPr>
        <w:pStyle w:val="R1"/>
      </w:pPr>
      <w:r>
        <w:tab/>
      </w:r>
      <w:r>
        <w:tab/>
        <w:t xml:space="preserve">This instrument is the </w:t>
      </w:r>
      <w:r w:rsidRPr="00612406">
        <w:rPr>
          <w:i/>
        </w:rPr>
        <w:t xml:space="preserve">Food Standards Australia New Zealand </w:t>
      </w:r>
      <w:r>
        <w:rPr>
          <w:i/>
        </w:rPr>
        <w:t xml:space="preserve">Code </w:t>
      </w:r>
      <w:r w:rsidRPr="00AC0BD8">
        <w:rPr>
          <w:i/>
          <w:color w:val="000000"/>
        </w:rPr>
        <w:t>—</w:t>
      </w:r>
      <w:r>
        <w:rPr>
          <w:i/>
          <w:color w:val="000000"/>
        </w:rPr>
        <w:t xml:space="preserve"> </w:t>
      </w:r>
      <w:r w:rsidRPr="00AC0BD8">
        <w:rPr>
          <w:i/>
          <w:color w:val="000000"/>
          <w:lang w:val="en-GB"/>
        </w:rPr>
        <w:t xml:space="preserve">Revocation and Transitional </w:t>
      </w:r>
      <w:r>
        <w:rPr>
          <w:i/>
          <w:color w:val="000000"/>
          <w:lang w:val="en-GB"/>
        </w:rPr>
        <w:t>Variation</w:t>
      </w:r>
      <w:r w:rsidRPr="00612406">
        <w:rPr>
          <w:i/>
        </w:rPr>
        <w:t xml:space="preserve"> </w:t>
      </w:r>
      <w:r>
        <w:rPr>
          <w:i/>
        </w:rPr>
        <w:t xml:space="preserve">2015 </w:t>
      </w:r>
      <w:r w:rsidRPr="00612406">
        <w:rPr>
          <w:i/>
        </w:rPr>
        <w:t>(No. 1)</w:t>
      </w:r>
      <w:r>
        <w:t>.</w:t>
      </w:r>
    </w:p>
    <w:p w:rsidR="00372387" w:rsidRDefault="00372387" w:rsidP="00372387">
      <w:pPr>
        <w:pStyle w:val="HR"/>
      </w:pPr>
      <w:r>
        <w:t>2</w:t>
      </w:r>
      <w:r>
        <w:tab/>
        <w:t>Commencement</w:t>
      </w:r>
    </w:p>
    <w:p w:rsidR="00372387" w:rsidRDefault="00372387" w:rsidP="00372387">
      <w:pPr>
        <w:pStyle w:val="R1"/>
      </w:pPr>
      <w:r>
        <w:tab/>
      </w:r>
      <w:r>
        <w:tab/>
        <w:t>This instrument commences on the day after it is registered.</w:t>
      </w:r>
    </w:p>
    <w:p w:rsidR="00372387" w:rsidRDefault="00372387" w:rsidP="00372387">
      <w:pPr>
        <w:pStyle w:val="HR"/>
      </w:pPr>
      <w:r>
        <w:t>3</w:t>
      </w:r>
      <w:r>
        <w:tab/>
        <w:t>Variation of Standard 1.1.2</w:t>
      </w:r>
    </w:p>
    <w:p w:rsidR="00372387" w:rsidRDefault="00372387" w:rsidP="00372387">
      <w:pPr>
        <w:pStyle w:val="R1"/>
      </w:pPr>
      <w:r>
        <w:tab/>
      </w:r>
      <w:r>
        <w:tab/>
        <w:t>Schedule 1 varies the Australia New Zealand Food Standards Code – Standard 1.1.2 – Definitions used throughout the Code.</w:t>
      </w:r>
    </w:p>
    <w:p w:rsidR="00372387" w:rsidRDefault="00372387" w:rsidP="00372387">
      <w:pPr>
        <w:pStyle w:val="HR"/>
      </w:pPr>
      <w:r>
        <w:t>4</w:t>
      </w:r>
      <w:r>
        <w:tab/>
        <w:t>Variation of Standard 1.6.1</w:t>
      </w:r>
    </w:p>
    <w:p w:rsidR="00372387" w:rsidRPr="005725E1" w:rsidRDefault="00372387" w:rsidP="00372387">
      <w:pPr>
        <w:pStyle w:val="R1"/>
      </w:pPr>
      <w:r>
        <w:tab/>
      </w:r>
      <w:r>
        <w:tab/>
        <w:t>Schedule 2 varies the Australia New Zealand Food Standards Code – Standard 1.6.1 – Microbiological limits for food.</w:t>
      </w:r>
    </w:p>
    <w:p w:rsidR="00372387" w:rsidRDefault="00372387" w:rsidP="00372387">
      <w:pPr>
        <w:pStyle w:val="HR"/>
      </w:pPr>
      <w:r>
        <w:t>5</w:t>
      </w:r>
      <w:r>
        <w:tab/>
        <w:t>Variation of Standard 4.2.5</w:t>
      </w:r>
    </w:p>
    <w:p w:rsidR="00537E94" w:rsidRDefault="00372387" w:rsidP="00372387">
      <w:pPr>
        <w:pStyle w:val="R1"/>
      </w:pPr>
      <w:r>
        <w:tab/>
      </w:r>
      <w:r>
        <w:tab/>
        <w:t>Schedule 3 varies the Australia New Zealand Food Standards Code – Standard 4.2.5 – Primary production and processing standard for eggs.</w:t>
      </w:r>
      <w:r w:rsidR="00537E94">
        <w:br w:type="page"/>
      </w:r>
    </w:p>
    <w:p w:rsidR="00372387" w:rsidRDefault="00372387" w:rsidP="00372387">
      <w:pPr>
        <w:pStyle w:val="HR"/>
      </w:pPr>
      <w:r>
        <w:lastRenderedPageBreak/>
        <w:t>6</w:t>
      </w:r>
      <w:r>
        <w:tab/>
        <w:t>Variation of Schedule 27</w:t>
      </w:r>
    </w:p>
    <w:p w:rsidR="00372387" w:rsidRPr="005725E1" w:rsidRDefault="00372387" w:rsidP="00372387">
      <w:pPr>
        <w:pStyle w:val="R1"/>
      </w:pPr>
      <w:r>
        <w:tab/>
      </w:r>
      <w:r>
        <w:tab/>
        <w:t>Schedule 4 varies the Australia New Zealand Food Standards Code – Schedule 27 – Microbiological limits for food.</w:t>
      </w:r>
    </w:p>
    <w:p w:rsidR="00372387" w:rsidRDefault="00372387" w:rsidP="00372387">
      <w:pPr>
        <w:pStyle w:val="Scheduletitle"/>
      </w:pPr>
      <w:r>
        <w:t>Schedule 1</w:t>
      </w:r>
      <w:r>
        <w:tab/>
        <w:t>Variation of Standard 1.1.2</w:t>
      </w:r>
    </w:p>
    <w:p w:rsidR="00372387" w:rsidRDefault="00372387" w:rsidP="00372387">
      <w:pPr>
        <w:pStyle w:val="Schedulereference"/>
      </w:pPr>
      <w:r>
        <w:t>(section 3)</w:t>
      </w:r>
    </w:p>
    <w:p w:rsidR="00372387" w:rsidRDefault="00372387" w:rsidP="00372387">
      <w:pPr>
        <w:pStyle w:val="nDrafterComment"/>
        <w:rPr>
          <w:bCs/>
        </w:rPr>
      </w:pPr>
    </w:p>
    <w:p w:rsidR="00372387" w:rsidRPr="005E4242" w:rsidRDefault="00372387" w:rsidP="00372387">
      <w:pPr>
        <w:pStyle w:val="t1Main"/>
      </w:pPr>
      <w:r>
        <w:rPr>
          <w:bCs/>
        </w:rPr>
        <w:t xml:space="preserve">[1]    </w:t>
      </w:r>
      <w:r>
        <w:t>In</w:t>
      </w:r>
      <w:r w:rsidRPr="005E4242">
        <w:t xml:space="preserve"> subsection </w:t>
      </w:r>
      <w:r>
        <w:t>1.1.2—2(3)</w:t>
      </w:r>
      <w:r w:rsidRPr="005E4242">
        <w:t>, insert the following</w:t>
      </w:r>
      <w:r>
        <w:t xml:space="preserve"> in alphabetical order</w:t>
      </w:r>
      <w:r w:rsidRPr="005E4242">
        <w:t>:</w:t>
      </w:r>
    </w:p>
    <w:p w:rsidR="00372387" w:rsidRDefault="00372387" w:rsidP="00372387">
      <w:pPr>
        <w:pStyle w:val="Clause"/>
      </w:pPr>
    </w:p>
    <w:p w:rsidR="00372387" w:rsidRDefault="00372387" w:rsidP="00372387">
      <w:pPr>
        <w:pStyle w:val="Definition"/>
        <w:rPr>
          <w:iCs/>
        </w:rPr>
      </w:pPr>
      <w:r w:rsidRPr="00811C6E">
        <w:rPr>
          <w:b/>
        </w:rPr>
        <w:t xml:space="preserve">listericidal </w:t>
      </w:r>
      <w:r>
        <w:rPr>
          <w:b/>
        </w:rPr>
        <w:t>process</w:t>
      </w:r>
      <w:r>
        <w:t xml:space="preserve"> means a process that reduces </w:t>
      </w:r>
      <w:r w:rsidRPr="00A52EDC">
        <w:rPr>
          <w:i/>
          <w:iCs/>
        </w:rPr>
        <w:t>Listeria monocytogenes</w:t>
      </w:r>
      <w:r>
        <w:rPr>
          <w:iCs/>
        </w:rPr>
        <w:t xml:space="preserve"> microorganisms in the food to a safe level.</w:t>
      </w:r>
    </w:p>
    <w:p w:rsidR="00372387" w:rsidRPr="00F14061" w:rsidRDefault="00372387" w:rsidP="00372387"/>
    <w:p w:rsidR="00372387" w:rsidRDefault="00372387" w:rsidP="00372387">
      <w:pPr>
        <w:pStyle w:val="Definition"/>
      </w:pPr>
      <w:r w:rsidRPr="00F44F46">
        <w:rPr>
          <w:b/>
        </w:rPr>
        <w:t>ready-to-eat</w:t>
      </w:r>
      <w:r>
        <w:rPr>
          <w:b/>
        </w:rPr>
        <w:t xml:space="preserve"> </w:t>
      </w:r>
      <w:r w:rsidRPr="005728B5">
        <w:rPr>
          <w:b/>
        </w:rPr>
        <w:t>food</w:t>
      </w:r>
      <w:r w:rsidRPr="00F44F46">
        <w:t xml:space="preserve"> means a food that</w:t>
      </w:r>
      <w:r>
        <w:t xml:space="preserve"> –</w:t>
      </w:r>
    </w:p>
    <w:p w:rsidR="00372387" w:rsidRPr="00FF49C9" w:rsidRDefault="00372387" w:rsidP="00372387"/>
    <w:p w:rsidR="00372387" w:rsidRPr="00F44F46" w:rsidRDefault="00372387" w:rsidP="00372387">
      <w:pPr>
        <w:pStyle w:val="Subparagraph"/>
      </w:pPr>
      <w:r>
        <w:t>(a)</w:t>
      </w:r>
      <w:r>
        <w:tab/>
      </w:r>
      <w:r w:rsidRPr="00F44F46">
        <w:t>is ordinarily consumed in the same state as that in which it is sold;</w:t>
      </w:r>
      <w:r>
        <w:t xml:space="preserve"> and</w:t>
      </w:r>
    </w:p>
    <w:p w:rsidR="00372387" w:rsidRPr="00F44F46" w:rsidRDefault="00372387" w:rsidP="00372387">
      <w:pPr>
        <w:pStyle w:val="Subparagraph"/>
      </w:pPr>
      <w:r>
        <w:t>(b)</w:t>
      </w:r>
      <w:r>
        <w:tab/>
      </w:r>
      <w:r w:rsidRPr="00F44F46">
        <w:t>will not be subject to a listericidal process before consumption; and</w:t>
      </w:r>
    </w:p>
    <w:p w:rsidR="00372387" w:rsidRDefault="00372387" w:rsidP="00372387">
      <w:pPr>
        <w:pStyle w:val="Subparagraph"/>
      </w:pPr>
      <w:r>
        <w:t>(c)</w:t>
      </w:r>
      <w:r>
        <w:tab/>
      </w:r>
      <w:r w:rsidRPr="00F44F46">
        <w:t>is not one of the following</w:t>
      </w:r>
      <w:r>
        <w:t xml:space="preserve"> –</w:t>
      </w:r>
    </w:p>
    <w:p w:rsidR="00372387" w:rsidRPr="00730E04" w:rsidRDefault="00372387" w:rsidP="00372387"/>
    <w:p w:rsidR="00372387" w:rsidRPr="00F44F46" w:rsidRDefault="00372387" w:rsidP="00372387">
      <w:pPr>
        <w:pStyle w:val="Subparagraph"/>
        <w:ind w:left="3402"/>
      </w:pPr>
      <w:r>
        <w:t>(i)</w:t>
      </w:r>
      <w:r>
        <w:tab/>
      </w:r>
      <w:r w:rsidRPr="00F44F46">
        <w:t>shelf stable foods</w:t>
      </w:r>
      <w:r>
        <w:t>;</w:t>
      </w:r>
    </w:p>
    <w:p w:rsidR="00372387" w:rsidRPr="00F44F46" w:rsidRDefault="00372387" w:rsidP="00372387">
      <w:pPr>
        <w:pStyle w:val="Subparagraph"/>
        <w:ind w:left="3402"/>
      </w:pPr>
      <w:r>
        <w:t>(ii)</w:t>
      </w:r>
      <w:r>
        <w:tab/>
      </w:r>
      <w:r w:rsidRPr="00F44F46">
        <w:t>whole raw fruits</w:t>
      </w:r>
      <w:r>
        <w:t>;</w:t>
      </w:r>
    </w:p>
    <w:p w:rsidR="00372387" w:rsidRPr="00F44F46" w:rsidRDefault="00372387" w:rsidP="00372387">
      <w:pPr>
        <w:pStyle w:val="Subparagraph"/>
        <w:ind w:left="3402"/>
      </w:pPr>
      <w:r>
        <w:t>(iii)</w:t>
      </w:r>
      <w:r>
        <w:tab/>
      </w:r>
      <w:r w:rsidRPr="00F44F46">
        <w:t>whole</w:t>
      </w:r>
      <w:r>
        <w:t xml:space="preserve"> raw</w:t>
      </w:r>
      <w:r w:rsidRPr="00F44F46">
        <w:t xml:space="preserve"> vegetables </w:t>
      </w:r>
    </w:p>
    <w:p w:rsidR="00372387" w:rsidRDefault="00372387" w:rsidP="00372387">
      <w:pPr>
        <w:pStyle w:val="Subparagraph"/>
        <w:ind w:left="3402"/>
      </w:pPr>
      <w:r>
        <w:t>(iv)</w:t>
      </w:r>
      <w:r>
        <w:tab/>
      </w:r>
      <w:r w:rsidRPr="00F44F46">
        <w:t>nuts</w:t>
      </w:r>
      <w:r>
        <w:t xml:space="preserve"> in the shell;</w:t>
      </w:r>
    </w:p>
    <w:p w:rsidR="00372387" w:rsidRPr="00525B86" w:rsidRDefault="00372387" w:rsidP="00372387">
      <w:pPr>
        <w:pStyle w:val="Subparagraph"/>
        <w:ind w:left="3402"/>
      </w:pPr>
      <w:r>
        <w:t>(v)</w:t>
      </w:r>
      <w:r>
        <w:tab/>
      </w:r>
      <w:r w:rsidRPr="00D14BD6">
        <w:t>live bivalve molluscs</w:t>
      </w:r>
      <w:r>
        <w:t>.</w:t>
      </w:r>
    </w:p>
    <w:p w:rsidR="00372387" w:rsidRDefault="00372387" w:rsidP="00372387">
      <w:pPr>
        <w:pStyle w:val="Scheduletitle"/>
      </w:pPr>
      <w:r>
        <w:t>Schedule 2</w:t>
      </w:r>
      <w:r>
        <w:tab/>
        <w:t>Variation of Standard 1.61</w:t>
      </w:r>
    </w:p>
    <w:p w:rsidR="00372387" w:rsidRPr="00525B86" w:rsidRDefault="00372387" w:rsidP="00372387">
      <w:pPr>
        <w:pStyle w:val="Schedulereference"/>
      </w:pPr>
      <w:r>
        <w:t>(section 4)</w:t>
      </w:r>
    </w:p>
    <w:p w:rsidR="00372387" w:rsidRDefault="00372387" w:rsidP="00372387">
      <w:pPr>
        <w:pStyle w:val="t1Main"/>
      </w:pPr>
      <w:r>
        <w:t>[1]</w:t>
      </w:r>
      <w:r>
        <w:tab/>
      </w:r>
      <w:r>
        <w:tab/>
        <w:t>Omit subsection 1.6.1—3(5), substitute</w:t>
      </w:r>
    </w:p>
    <w:p w:rsidR="00372387" w:rsidRDefault="00372387" w:rsidP="00372387"/>
    <w:p w:rsidR="00372387" w:rsidRPr="006C4F10" w:rsidRDefault="00372387" w:rsidP="00372387">
      <w:pPr>
        <w:pStyle w:val="Subclause"/>
        <w:tabs>
          <w:tab w:val="clear" w:pos="851"/>
        </w:tabs>
        <w:ind w:left="1418"/>
      </w:pPr>
      <w:r>
        <w:t>(5)</w:t>
      </w:r>
      <w:r>
        <w:tab/>
      </w:r>
      <w:r w:rsidRPr="006C4F10">
        <w:t>The following reference methods must be used to determine whether a food has exceeded the maximum permissible levels of microorganisms specified in the Schedule in relation to that food –</w:t>
      </w:r>
    </w:p>
    <w:p w:rsidR="00372387" w:rsidRPr="006C4F10" w:rsidRDefault="00372387" w:rsidP="00372387">
      <w:pPr>
        <w:rPr>
          <w:sz w:val="20"/>
          <w:szCs w:val="20"/>
        </w:rPr>
      </w:pPr>
    </w:p>
    <w:p w:rsidR="00372387" w:rsidRPr="006C4F10" w:rsidRDefault="00372387" w:rsidP="00372387">
      <w:pPr>
        <w:pStyle w:val="Paragraph"/>
        <w:widowControl/>
        <w:numPr>
          <w:ilvl w:val="0"/>
          <w:numId w:val="29"/>
        </w:numPr>
        <w:ind w:left="2268"/>
      </w:pPr>
      <w:r w:rsidRPr="006C4F10">
        <w:rPr>
          <w:color w:val="000000"/>
        </w:rPr>
        <w:t xml:space="preserve">for a food other than packaged water, packaged ice or mineral water </w:t>
      </w:r>
      <w:r w:rsidRPr="006C4F10">
        <w:t>–</w:t>
      </w:r>
    </w:p>
    <w:p w:rsidR="00372387" w:rsidRPr="006C4F10" w:rsidRDefault="00372387" w:rsidP="00372387"/>
    <w:p w:rsidR="00372387" w:rsidRPr="006C4F10" w:rsidRDefault="00372387" w:rsidP="00372387">
      <w:pPr>
        <w:pStyle w:val="Subparagraph"/>
        <w:ind w:left="3119"/>
      </w:pPr>
      <w:r>
        <w:t>(i)</w:t>
      </w:r>
      <w:r>
        <w:tab/>
      </w:r>
      <w:r w:rsidRPr="006C4F10">
        <w:t>the relevant method prescribed by Australian Standard AS5013; or</w:t>
      </w:r>
    </w:p>
    <w:p w:rsidR="00372387" w:rsidRPr="006C4F10" w:rsidRDefault="00372387" w:rsidP="00372387">
      <w:pPr>
        <w:pStyle w:val="Subparagraph"/>
        <w:ind w:left="3119"/>
      </w:pPr>
      <w:r>
        <w:t>(ii)</w:t>
      </w:r>
      <w:r>
        <w:tab/>
      </w:r>
      <w:r w:rsidRPr="006C4F10">
        <w:t>the relevant method referenced by</w:t>
      </w:r>
      <w:r>
        <w:t xml:space="preserve"> </w:t>
      </w:r>
      <w:r w:rsidRPr="006C4F10">
        <w:t>Australian Standard AS5013 and prescribed by the International</w:t>
      </w:r>
      <w:r w:rsidRPr="006C4F10">
        <w:rPr>
          <w:color w:val="1F497D"/>
          <w:sz w:val="22"/>
          <w:szCs w:val="22"/>
        </w:rPr>
        <w:t xml:space="preserve"> </w:t>
      </w:r>
      <w:r w:rsidRPr="006C4F10">
        <w:t>Organization for Standardization; or</w:t>
      </w:r>
    </w:p>
    <w:p w:rsidR="00372387" w:rsidRPr="006C4F10" w:rsidRDefault="00372387" w:rsidP="00372387">
      <w:pPr>
        <w:pStyle w:val="Subparagraph"/>
        <w:ind w:left="3119"/>
      </w:pPr>
      <w:r>
        <w:t>(iii)</w:t>
      </w:r>
      <w:r>
        <w:tab/>
        <w:t>a</w:t>
      </w:r>
      <w:r w:rsidRPr="006C4F10">
        <w:t>ny equivalent method as determined by –</w:t>
      </w:r>
    </w:p>
    <w:p w:rsidR="00372387" w:rsidRPr="006C4F10" w:rsidRDefault="00372387" w:rsidP="00372387"/>
    <w:p w:rsidR="00372387" w:rsidRPr="006C4F10" w:rsidRDefault="00372387" w:rsidP="00372387">
      <w:pPr>
        <w:pStyle w:val="Subparagraph"/>
        <w:ind w:left="3969"/>
        <w:rPr>
          <w:rFonts w:cs="Arial"/>
        </w:rPr>
      </w:pPr>
      <w:r>
        <w:t>(A)</w:t>
      </w:r>
      <w:r>
        <w:tab/>
      </w:r>
      <w:r w:rsidRPr="006C4F10">
        <w:t xml:space="preserve">Australian New Zealand Standard </w:t>
      </w:r>
      <w:r w:rsidRPr="006C4F10">
        <w:rPr>
          <w:color w:val="000000"/>
        </w:rPr>
        <w:t xml:space="preserve">AS/NZS </w:t>
      </w:r>
      <w:r w:rsidRPr="006C4F10">
        <w:t>4659; or</w:t>
      </w:r>
    </w:p>
    <w:p w:rsidR="00372387" w:rsidRPr="006C4F10" w:rsidRDefault="00372387" w:rsidP="00372387">
      <w:pPr>
        <w:pStyle w:val="Subparagraph"/>
        <w:ind w:left="3969"/>
        <w:rPr>
          <w:rFonts w:cs="Arial"/>
        </w:rPr>
      </w:pPr>
      <w:r>
        <w:t>(B)</w:t>
      </w:r>
      <w:r>
        <w:tab/>
      </w:r>
      <w:r w:rsidRPr="006C4F10">
        <w:t>ISO 16140:2003</w:t>
      </w:r>
      <w:r w:rsidRPr="006C4F10">
        <w:rPr>
          <w:rFonts w:cs="Arial"/>
        </w:rPr>
        <w:t>; and</w:t>
      </w:r>
    </w:p>
    <w:p w:rsidR="00372387" w:rsidRPr="006C4F10" w:rsidRDefault="00372387" w:rsidP="00372387"/>
    <w:p w:rsidR="00372387" w:rsidRPr="006C4F10" w:rsidRDefault="00372387" w:rsidP="00372387">
      <w:pPr>
        <w:pStyle w:val="Paragraph"/>
        <w:ind w:left="2268"/>
      </w:pPr>
      <w:r w:rsidRPr="006C4F10">
        <w:t>(b)</w:t>
      </w:r>
      <w:r w:rsidRPr="006C4F10">
        <w:tab/>
        <w:t>for packaged water, packaged ice or mineral water—the relevant method prescribed by</w:t>
      </w:r>
      <w:r>
        <w:t xml:space="preserve"> </w:t>
      </w:r>
      <w:r w:rsidRPr="006C4F10">
        <w:t xml:space="preserve">Australian New Zealand Standard </w:t>
      </w:r>
      <w:r w:rsidRPr="006C4F10">
        <w:rPr>
          <w:color w:val="000000"/>
        </w:rPr>
        <w:t xml:space="preserve">AS/NZS </w:t>
      </w:r>
      <w:r w:rsidRPr="006C4F10">
        <w:t>4276.</w:t>
      </w:r>
    </w:p>
    <w:p w:rsidR="00372387" w:rsidRPr="006C4F10" w:rsidRDefault="00372387" w:rsidP="00372387">
      <w:pPr>
        <w:pStyle w:val="Subclause"/>
      </w:pPr>
    </w:p>
    <w:p w:rsidR="00372387" w:rsidRPr="00A167D0" w:rsidRDefault="00372387" w:rsidP="00372387">
      <w:pPr>
        <w:pStyle w:val="Subclause"/>
        <w:tabs>
          <w:tab w:val="clear" w:pos="851"/>
        </w:tabs>
        <w:ind w:left="1418"/>
      </w:pPr>
      <w:r w:rsidRPr="006C4F10">
        <w:t>(</w:t>
      </w:r>
      <w:r>
        <w:t>6</w:t>
      </w:r>
      <w:r w:rsidRPr="006C4F10">
        <w:t>)</w:t>
      </w:r>
      <w:r w:rsidRPr="006C4F10">
        <w:tab/>
        <w:t>A reference to a Standard in subclause (</w:t>
      </w:r>
      <w:r>
        <w:t>5</w:t>
      </w:r>
      <w:r w:rsidRPr="006C4F10">
        <w:t>) is a reference to that Standard as in force at the commencement of this provision.</w:t>
      </w:r>
    </w:p>
    <w:p w:rsidR="00372387" w:rsidRDefault="00372387" w:rsidP="00372387">
      <w:pPr>
        <w:pStyle w:val="Subclause"/>
        <w:ind w:firstLine="0"/>
      </w:pPr>
    </w:p>
    <w:p w:rsidR="00372387" w:rsidRDefault="00372387" w:rsidP="00372387">
      <w:pPr>
        <w:pStyle w:val="t1Main"/>
      </w:pPr>
      <w:r>
        <w:t>[2]</w:t>
      </w:r>
      <w:r>
        <w:tab/>
      </w:r>
      <w:r>
        <w:tab/>
        <w:t xml:space="preserve">insert, after section 1.6.1—3 </w:t>
      </w:r>
    </w:p>
    <w:p w:rsidR="00537E94" w:rsidRDefault="00537E94" w:rsidP="00372387">
      <w:pPr>
        <w:pStyle w:val="t1Main"/>
        <w:ind w:left="0" w:firstLine="0"/>
      </w:pPr>
      <w:r>
        <w:br w:type="page"/>
      </w:r>
    </w:p>
    <w:p w:rsidR="00372387" w:rsidRPr="000D4D5D" w:rsidRDefault="00372387" w:rsidP="00372387">
      <w:pPr>
        <w:pStyle w:val="Clauseheading"/>
        <w:tabs>
          <w:tab w:val="clear" w:pos="851"/>
        </w:tabs>
        <w:ind w:left="1134"/>
      </w:pPr>
      <w:r>
        <w:lastRenderedPageBreak/>
        <w:t>1.6.1--4</w:t>
      </w:r>
      <w:r w:rsidRPr="00FD5AFA">
        <w:tab/>
      </w:r>
      <w:r w:rsidRPr="005D0056">
        <w:t xml:space="preserve">Food </w:t>
      </w:r>
      <w:r>
        <w:t>in which</w:t>
      </w:r>
      <w:r w:rsidRPr="005D0056">
        <w:t xml:space="preserve"> growth of </w:t>
      </w:r>
      <w:r w:rsidRPr="00FD5AFA">
        <w:rPr>
          <w:i/>
        </w:rPr>
        <w:t>Listeria monocytogenes</w:t>
      </w:r>
      <w:r>
        <w:t xml:space="preserve"> will not occur</w:t>
      </w:r>
    </w:p>
    <w:p w:rsidR="00372387" w:rsidRPr="00FD5AFA" w:rsidRDefault="00372387" w:rsidP="00372387">
      <w:pPr>
        <w:pStyle w:val="Clause"/>
      </w:pPr>
    </w:p>
    <w:p w:rsidR="00372387" w:rsidRDefault="00372387" w:rsidP="00372387">
      <w:pPr>
        <w:pStyle w:val="Subclause"/>
        <w:tabs>
          <w:tab w:val="clear" w:pos="851"/>
          <w:tab w:val="left" w:pos="1985"/>
        </w:tabs>
        <w:ind w:left="1134" w:firstLine="0"/>
      </w:pPr>
      <w:r w:rsidRPr="00890DE6">
        <w:t>(1</w:t>
      </w:r>
      <w:r>
        <w:t>)</w:t>
      </w:r>
      <w:r>
        <w:tab/>
      </w:r>
      <w:r w:rsidRPr="005D0056">
        <w:t xml:space="preserve">For the purposes of </w:t>
      </w:r>
      <w:r>
        <w:t>section S27—3</w:t>
      </w:r>
      <w:r w:rsidRPr="005D0056">
        <w:t xml:space="preserve">, </w:t>
      </w:r>
      <w:r w:rsidRPr="00F278A7">
        <w:t xml:space="preserve">growth of </w:t>
      </w:r>
      <w:r w:rsidRPr="00FD5AFA">
        <w:rPr>
          <w:i/>
        </w:rPr>
        <w:t>Listeria monocytogenes</w:t>
      </w:r>
      <w:r w:rsidRPr="005D0056">
        <w:t xml:space="preserve"> </w:t>
      </w:r>
      <w:r>
        <w:t xml:space="preserve">will not occur in a ready-to-eat food </w:t>
      </w:r>
      <w:r w:rsidRPr="005D0056">
        <w:t>if</w:t>
      </w:r>
      <w:r>
        <w:t xml:space="preserve"> –</w:t>
      </w:r>
    </w:p>
    <w:p w:rsidR="00372387" w:rsidRDefault="00372387" w:rsidP="00372387">
      <w:pPr>
        <w:pStyle w:val="Clause"/>
      </w:pPr>
    </w:p>
    <w:p w:rsidR="00372387" w:rsidRPr="007A1435" w:rsidRDefault="00372387" w:rsidP="00372387">
      <w:pPr>
        <w:pStyle w:val="Paragraph"/>
        <w:ind w:left="2835"/>
      </w:pPr>
      <w:r>
        <w:t>(a)</w:t>
      </w:r>
      <w:r>
        <w:tab/>
        <w:t>the food</w:t>
      </w:r>
      <w:r w:rsidRPr="007A1435">
        <w:t xml:space="preserve"> has a pH </w:t>
      </w:r>
      <w:r>
        <w:t>less than</w:t>
      </w:r>
      <w:r w:rsidRPr="007A1435">
        <w:t xml:space="preserve"> 4.4 regardless of water activity; or</w:t>
      </w:r>
    </w:p>
    <w:p w:rsidR="00372387" w:rsidRPr="007A1435" w:rsidRDefault="00372387" w:rsidP="00372387">
      <w:pPr>
        <w:pStyle w:val="Paragraph"/>
        <w:ind w:left="2835"/>
      </w:pPr>
      <w:r>
        <w:t>(b)</w:t>
      </w:r>
      <w:r>
        <w:tab/>
        <w:t>the food</w:t>
      </w:r>
      <w:r w:rsidRPr="007A1435">
        <w:t xml:space="preserve"> has a water ac</w:t>
      </w:r>
      <w:r>
        <w:t xml:space="preserve">tivity less than 0.92 regardless of pH; </w:t>
      </w:r>
      <w:r w:rsidRPr="007A1435">
        <w:t>or</w:t>
      </w:r>
    </w:p>
    <w:p w:rsidR="00372387" w:rsidRPr="007A1435" w:rsidRDefault="00372387" w:rsidP="00372387">
      <w:pPr>
        <w:pStyle w:val="Paragraph"/>
        <w:ind w:left="2835"/>
      </w:pPr>
      <w:r>
        <w:t>(c)</w:t>
      </w:r>
      <w:r>
        <w:tab/>
        <w:t>the food</w:t>
      </w:r>
      <w:r w:rsidRPr="007A1435">
        <w:t xml:space="preserve"> has a pH </w:t>
      </w:r>
      <w:r>
        <w:t>less than</w:t>
      </w:r>
      <w:r w:rsidRPr="007A1435">
        <w:t xml:space="preserve"> 5.0 in combination with a water activity of </w:t>
      </w:r>
      <w:r>
        <w:t>less than</w:t>
      </w:r>
      <w:r w:rsidRPr="007A1435">
        <w:t xml:space="preserve"> 0.94; or</w:t>
      </w:r>
    </w:p>
    <w:p w:rsidR="00372387" w:rsidRPr="007A1435" w:rsidRDefault="00372387" w:rsidP="00372387">
      <w:pPr>
        <w:pStyle w:val="Paragraph"/>
        <w:ind w:left="2835"/>
      </w:pPr>
      <w:r>
        <w:t>(d)</w:t>
      </w:r>
      <w:r>
        <w:tab/>
        <w:t>the food</w:t>
      </w:r>
      <w:r w:rsidRPr="007A1435">
        <w:t xml:space="preserve"> has a refrigerated shelf life </w:t>
      </w:r>
      <w:r>
        <w:t>no greater than</w:t>
      </w:r>
      <w:r w:rsidRPr="007A1435">
        <w:t xml:space="preserve"> 5 days</w:t>
      </w:r>
      <w:r>
        <w:t>; or</w:t>
      </w:r>
    </w:p>
    <w:p w:rsidR="00372387" w:rsidRPr="007A1435" w:rsidRDefault="00372387" w:rsidP="00372387">
      <w:pPr>
        <w:pStyle w:val="Paragraph"/>
        <w:ind w:left="2835"/>
      </w:pPr>
      <w:r>
        <w:t>(e)</w:t>
      </w:r>
      <w:r>
        <w:tab/>
        <w:t>the food</w:t>
      </w:r>
      <w:r w:rsidRPr="007A1435">
        <w:t xml:space="preserve"> is frozen (including foods consumed frozen and those intended t</w:t>
      </w:r>
      <w:r>
        <w:t>o be thawed immediately before consumption)</w:t>
      </w:r>
      <w:r w:rsidRPr="007A1435">
        <w:t>; or</w:t>
      </w:r>
    </w:p>
    <w:p w:rsidR="00372387" w:rsidRDefault="00372387" w:rsidP="00372387">
      <w:pPr>
        <w:pStyle w:val="Paragraph"/>
        <w:ind w:left="2835"/>
      </w:pPr>
      <w:r>
        <w:t>(f)</w:t>
      </w:r>
      <w:r>
        <w:tab/>
        <w:t>it</w:t>
      </w:r>
      <w:r w:rsidRPr="007A1435">
        <w:t xml:space="preserve"> can be validated that the level of </w:t>
      </w:r>
      <w:r w:rsidRPr="00FD5AFA">
        <w:rPr>
          <w:i/>
        </w:rPr>
        <w:t>Listeria monocytogenes</w:t>
      </w:r>
      <w:r w:rsidRPr="005D0056">
        <w:t xml:space="preserve"> </w:t>
      </w:r>
      <w:r w:rsidRPr="007A1435">
        <w:t xml:space="preserve">will not increase by </w:t>
      </w:r>
      <w:r>
        <w:t>greater than</w:t>
      </w:r>
      <w:r w:rsidRPr="007A1435">
        <w:t xml:space="preserve"> 0.5 log </w:t>
      </w:r>
      <w:r>
        <w:t xml:space="preserve">cfu/g </w:t>
      </w:r>
      <w:r w:rsidRPr="007A1435">
        <w:t xml:space="preserve">over the </w:t>
      </w:r>
      <w:r>
        <w:t xml:space="preserve">food’s </w:t>
      </w:r>
      <w:r w:rsidRPr="007A1435">
        <w:t>stated shelf life</w:t>
      </w:r>
      <w:r>
        <w:t>.</w:t>
      </w:r>
    </w:p>
    <w:p w:rsidR="00372387" w:rsidRDefault="00372387" w:rsidP="00372387"/>
    <w:p w:rsidR="00372387" w:rsidRDefault="00372387" w:rsidP="00372387">
      <w:pPr>
        <w:pStyle w:val="Subclause"/>
        <w:tabs>
          <w:tab w:val="clear" w:pos="851"/>
          <w:tab w:val="left" w:pos="1985"/>
        </w:tabs>
        <w:ind w:left="1134" w:firstLine="0"/>
      </w:pPr>
      <w:r>
        <w:t>(2)</w:t>
      </w:r>
      <w:r>
        <w:tab/>
        <w:t>For the purposes of</w:t>
      </w:r>
      <w:r w:rsidRPr="005D0056">
        <w:t xml:space="preserve"> </w:t>
      </w:r>
      <w:r>
        <w:t>section S27—3</w:t>
      </w:r>
      <w:r w:rsidRPr="005D0056">
        <w:t xml:space="preserve">, </w:t>
      </w:r>
      <w:r>
        <w:t xml:space="preserve">a ready-to-eat food that does not receive a listericidal process during manufacture is taken to be a food in which growth of </w:t>
      </w:r>
      <w:r w:rsidRPr="005A4A67">
        <w:rPr>
          <w:i/>
        </w:rPr>
        <w:t>Listeria monocytogenes</w:t>
      </w:r>
      <w:r w:rsidRPr="007A1435">
        <w:t xml:space="preserve"> will not</w:t>
      </w:r>
      <w:r>
        <w:t xml:space="preserve"> occur if the level of </w:t>
      </w:r>
      <w:r w:rsidRPr="005A4A67">
        <w:rPr>
          <w:i/>
        </w:rPr>
        <w:t>Listeria monocytogenes</w:t>
      </w:r>
      <w:r>
        <w:t xml:space="preserve"> will not exceed 100 </w:t>
      </w:r>
      <w:r w:rsidRPr="007A1435">
        <w:t xml:space="preserve">cfu/g </w:t>
      </w:r>
      <w:r>
        <w:t xml:space="preserve">within the food’s </w:t>
      </w:r>
      <w:r w:rsidRPr="00763F0B">
        <w:t>expected shelf life</w:t>
      </w:r>
      <w:r w:rsidRPr="007A1435">
        <w:t>.</w:t>
      </w:r>
    </w:p>
    <w:p w:rsidR="00372387" w:rsidRDefault="00372387" w:rsidP="00372387">
      <w:pPr>
        <w:pStyle w:val="Subclause"/>
      </w:pPr>
    </w:p>
    <w:p w:rsidR="00372387" w:rsidRDefault="00372387" w:rsidP="00372387">
      <w:pPr>
        <w:pStyle w:val="Subclause"/>
        <w:tabs>
          <w:tab w:val="clear" w:pos="851"/>
          <w:tab w:val="left" w:pos="1985"/>
        </w:tabs>
        <w:ind w:left="1134" w:firstLine="0"/>
      </w:pPr>
      <w:r>
        <w:t>(3)</w:t>
      </w:r>
      <w:r>
        <w:tab/>
        <w:t xml:space="preserve">For the purposes of subclause (2), a ready-to-eat food that </w:t>
      </w:r>
      <w:r w:rsidRPr="00DC5383">
        <w:t>do</w:t>
      </w:r>
      <w:r>
        <w:t>es</w:t>
      </w:r>
      <w:r w:rsidRPr="00DC5383">
        <w:t xml:space="preserve"> not receive a </w:t>
      </w:r>
      <w:r w:rsidRPr="00AA508A">
        <w:rPr>
          <w:szCs w:val="22"/>
        </w:rPr>
        <w:t>listericida</w:t>
      </w:r>
      <w:r>
        <w:rPr>
          <w:szCs w:val="22"/>
        </w:rPr>
        <w:t>l</w:t>
      </w:r>
      <w:r w:rsidRPr="00DC5383">
        <w:t xml:space="preserve"> process</w:t>
      </w:r>
      <w:r>
        <w:t xml:space="preserve"> during manufacture is taken to include –</w:t>
      </w:r>
    </w:p>
    <w:p w:rsidR="00372387" w:rsidRDefault="00372387" w:rsidP="00372387">
      <w:pPr>
        <w:pStyle w:val="Subclause"/>
      </w:pPr>
    </w:p>
    <w:p w:rsidR="00372387" w:rsidRDefault="00372387" w:rsidP="00372387">
      <w:pPr>
        <w:pStyle w:val="Paragraph"/>
        <w:widowControl/>
        <w:numPr>
          <w:ilvl w:val="0"/>
          <w:numId w:val="30"/>
        </w:numPr>
        <w:ind w:left="2835" w:hanging="850"/>
      </w:pPr>
      <w:r w:rsidRPr="00DC5383">
        <w:t xml:space="preserve">ready-to-eat </w:t>
      </w:r>
      <w:r>
        <w:t>processed</w:t>
      </w:r>
      <w:r w:rsidRPr="00DC5383">
        <w:t xml:space="preserve"> finfish</w:t>
      </w:r>
      <w:r>
        <w:t>; and</w:t>
      </w:r>
    </w:p>
    <w:p w:rsidR="00372387" w:rsidRPr="00C27340" w:rsidRDefault="00372387" w:rsidP="00372387">
      <w:pPr>
        <w:pStyle w:val="Paragraph"/>
        <w:widowControl/>
        <w:numPr>
          <w:ilvl w:val="0"/>
          <w:numId w:val="30"/>
        </w:numPr>
        <w:ind w:left="2835" w:hanging="850"/>
      </w:pPr>
      <w:r w:rsidRPr="00C27340">
        <w:t>fresh cut and packaged horticultural produce.</w:t>
      </w:r>
    </w:p>
    <w:p w:rsidR="00372387" w:rsidRDefault="00372387" w:rsidP="00372387">
      <w:pPr>
        <w:pStyle w:val="Scheduletitle"/>
        <w:ind w:left="0" w:firstLine="0"/>
      </w:pPr>
      <w:r>
        <w:t xml:space="preserve"> Schedule 3</w:t>
      </w:r>
      <w:r>
        <w:tab/>
        <w:t>Variation of Standard 4.2.5</w:t>
      </w:r>
    </w:p>
    <w:p w:rsidR="00372387" w:rsidRDefault="00372387" w:rsidP="00372387">
      <w:pPr>
        <w:pStyle w:val="Schedulereference"/>
      </w:pPr>
      <w:r>
        <w:t>(section 5)</w:t>
      </w:r>
    </w:p>
    <w:p w:rsidR="00372387" w:rsidRDefault="00372387" w:rsidP="00372387">
      <w:pPr>
        <w:pStyle w:val="nDrafterComment"/>
        <w:rPr>
          <w:bCs/>
        </w:rPr>
      </w:pPr>
    </w:p>
    <w:p w:rsidR="00372387" w:rsidRPr="009154B5" w:rsidRDefault="00537E94" w:rsidP="00537E94">
      <w:pPr>
        <w:pStyle w:val="Clause"/>
      </w:pPr>
      <w:r>
        <w:t>[1]</w:t>
      </w:r>
      <w:r w:rsidR="00372387">
        <w:tab/>
        <w:t>Omit</w:t>
      </w:r>
      <w:r w:rsidR="00372387" w:rsidRPr="009154B5">
        <w:t xml:space="preserve"> the </w:t>
      </w:r>
      <w:r w:rsidR="00372387">
        <w:t>e</w:t>
      </w:r>
      <w:r w:rsidR="00372387" w:rsidRPr="009154B5">
        <w:t>ditori</w:t>
      </w:r>
      <w:r w:rsidR="00372387">
        <w:t xml:space="preserve">al note at the end of clause 21, </w:t>
      </w:r>
      <w:r w:rsidR="00372387" w:rsidRPr="009154B5">
        <w:t>substitu</w:t>
      </w:r>
      <w:r w:rsidR="00372387">
        <w:t>te:</w:t>
      </w:r>
    </w:p>
    <w:p w:rsidR="00372387" w:rsidRPr="009154B5" w:rsidRDefault="00372387" w:rsidP="00372387">
      <w:pPr>
        <w:rPr>
          <w:sz w:val="20"/>
        </w:rPr>
      </w:pPr>
    </w:p>
    <w:p w:rsidR="00372387" w:rsidRPr="009154B5" w:rsidRDefault="00372387" w:rsidP="00372387">
      <w:pPr>
        <w:ind w:left="1134"/>
        <w:rPr>
          <w:sz w:val="20"/>
        </w:rPr>
      </w:pPr>
    </w:p>
    <w:p w:rsidR="00372387" w:rsidRPr="009154B5" w:rsidRDefault="00372387" w:rsidP="00372387">
      <w:pPr>
        <w:pStyle w:val="EditorialNoteLine1"/>
        <w:ind w:left="1134"/>
      </w:pPr>
      <w:r w:rsidRPr="009154B5">
        <w:t>Editorial note:</w:t>
      </w:r>
    </w:p>
    <w:p w:rsidR="00372387" w:rsidRPr="009154B5" w:rsidRDefault="00372387" w:rsidP="00372387">
      <w:pPr>
        <w:pStyle w:val="EditorialNotetext"/>
        <w:ind w:left="1134"/>
      </w:pPr>
    </w:p>
    <w:p w:rsidR="00372387" w:rsidRPr="009154B5" w:rsidRDefault="00372387" w:rsidP="00372387">
      <w:pPr>
        <w:pStyle w:val="EditorialNotetext"/>
        <w:ind w:left="1134"/>
      </w:pPr>
      <w:r w:rsidRPr="009154B5">
        <w:t>For subclause 21(1), Standard 1.6.1 specifies microbiological limits for processed egg products for sale.</w:t>
      </w:r>
    </w:p>
    <w:p w:rsidR="00372387" w:rsidRPr="005D0049" w:rsidRDefault="00372387" w:rsidP="00372387">
      <w:pPr>
        <w:pStyle w:val="Clause"/>
        <w:ind w:left="1134"/>
        <w:jc w:val="right"/>
      </w:pPr>
    </w:p>
    <w:p w:rsidR="00372387" w:rsidRDefault="00372387" w:rsidP="00372387">
      <w:pPr>
        <w:pStyle w:val="Scheduletitle"/>
      </w:pPr>
      <w:r>
        <w:t>Schedule 4</w:t>
      </w:r>
      <w:r>
        <w:tab/>
        <w:t>Variation of Schedule 27</w:t>
      </w:r>
    </w:p>
    <w:p w:rsidR="00372387" w:rsidRDefault="00372387" w:rsidP="00372387">
      <w:pPr>
        <w:pStyle w:val="Schedulereference"/>
      </w:pPr>
      <w:r>
        <w:t>(section 6)</w:t>
      </w:r>
    </w:p>
    <w:p w:rsidR="00372387" w:rsidRDefault="00372387" w:rsidP="00372387">
      <w:pPr>
        <w:pStyle w:val="nDrafterComment"/>
        <w:rPr>
          <w:bCs/>
        </w:rPr>
      </w:pPr>
    </w:p>
    <w:p w:rsidR="00372387" w:rsidRDefault="00372387" w:rsidP="00372387">
      <w:pPr>
        <w:pStyle w:val="Clause"/>
      </w:pPr>
      <w:r>
        <w:rPr>
          <w:bCs/>
        </w:rPr>
        <w:t xml:space="preserve">[1] </w:t>
      </w:r>
      <w:r>
        <w:tab/>
        <w:t>Omit</w:t>
      </w:r>
      <w:r w:rsidRPr="005D0056">
        <w:t xml:space="preserve"> the </w:t>
      </w:r>
      <w:r>
        <w:t>table, substitute</w:t>
      </w:r>
    </w:p>
    <w:p w:rsidR="00372387" w:rsidRDefault="00372387" w:rsidP="00372387">
      <w:pPr>
        <w:pStyle w:val="Clause"/>
      </w:pPr>
    </w:p>
    <w:p w:rsidR="00372387" w:rsidRPr="009174C0" w:rsidRDefault="00372387" w:rsidP="00372387">
      <w:pPr>
        <w:pStyle w:val="TablePlainParagraph"/>
        <w:rPr>
          <w:b/>
          <w:color w:val="000000"/>
        </w:rPr>
      </w:pPr>
      <w:r w:rsidRPr="009174C0">
        <w:rPr>
          <w:b/>
          <w:color w:val="000000"/>
        </w:rPr>
        <w:t>Microbiological limits for foods</w:t>
      </w:r>
    </w:p>
    <w:p w:rsidR="00372387" w:rsidRPr="00C87BA0" w:rsidRDefault="00372387" w:rsidP="00372387">
      <w:pPr>
        <w:pStyle w:val="TablePlainParagraph"/>
        <w:pBdr>
          <w:top w:val="single" w:sz="4" w:space="1" w:color="auto"/>
          <w:between w:val="single" w:sz="4" w:space="1" w:color="auto"/>
        </w:pBdr>
        <w:tabs>
          <w:tab w:val="left" w:pos="3234"/>
          <w:tab w:val="left" w:pos="4342"/>
          <w:tab w:val="left" w:pos="5482"/>
          <w:tab w:val="left" w:pos="6656"/>
        </w:tabs>
        <w:rPr>
          <w:b/>
          <w:color w:val="000000"/>
        </w:rPr>
      </w:pPr>
      <w:r w:rsidRPr="009174C0">
        <w:rPr>
          <w:b/>
          <w:color w:val="000000"/>
        </w:rPr>
        <w:t>Column 1</w:t>
      </w:r>
      <w:r w:rsidRPr="009174C0">
        <w:rPr>
          <w:b/>
          <w:color w:val="000000"/>
        </w:rPr>
        <w:tab/>
        <w:t>Column 2</w:t>
      </w:r>
      <w:r w:rsidRPr="009174C0">
        <w:rPr>
          <w:b/>
          <w:color w:val="000000"/>
        </w:rPr>
        <w:tab/>
        <w:t>Column 3</w:t>
      </w:r>
      <w:r w:rsidRPr="009174C0">
        <w:rPr>
          <w:b/>
          <w:color w:val="000000"/>
        </w:rPr>
        <w:tab/>
        <w:t>Column 4</w:t>
      </w:r>
      <w:r w:rsidRPr="009174C0">
        <w:rPr>
          <w:b/>
          <w:color w:val="000000"/>
        </w:rPr>
        <w:tab/>
        <w:t>Column 5</w:t>
      </w:r>
      <w:r>
        <w:rPr>
          <w:b/>
          <w:color w:val="000000"/>
        </w:rPr>
        <w:br/>
        <w:t xml:space="preserve"> </w:t>
      </w:r>
      <w:r>
        <w:rPr>
          <w:b/>
          <w:color w:val="000000"/>
        </w:rPr>
        <w:tab/>
        <w:t>(</w:t>
      </w:r>
      <w:r w:rsidRPr="00C87BA0">
        <w:rPr>
          <w:b/>
          <w:color w:val="000000"/>
        </w:rPr>
        <w:t>n</w:t>
      </w:r>
      <w:r>
        <w:rPr>
          <w:b/>
          <w:color w:val="000000"/>
        </w:rPr>
        <w:t>)</w:t>
      </w:r>
      <w:r>
        <w:rPr>
          <w:b/>
          <w:color w:val="000000"/>
        </w:rPr>
        <w:tab/>
        <w:t>(</w:t>
      </w:r>
      <w:r>
        <w:rPr>
          <w:b/>
          <w:i/>
          <w:color w:val="000000"/>
        </w:rPr>
        <w:t>c</w:t>
      </w:r>
      <w:r>
        <w:rPr>
          <w:b/>
          <w:color w:val="000000"/>
        </w:rPr>
        <w:t>)</w:t>
      </w:r>
      <w:r>
        <w:rPr>
          <w:b/>
          <w:color w:val="000000"/>
        </w:rPr>
        <w:tab/>
        <w:t>(m)</w:t>
      </w:r>
      <w:r>
        <w:rPr>
          <w:b/>
          <w:color w:val="000000"/>
        </w:rPr>
        <w:tab/>
        <w:t>(M)</w:t>
      </w:r>
    </w:p>
    <w:p w:rsidR="00372387" w:rsidRPr="009174C0" w:rsidRDefault="00372387" w:rsidP="00372387">
      <w:pPr>
        <w:pStyle w:val="TablePlainParagraph"/>
        <w:pBdr>
          <w:top w:val="single" w:sz="4" w:space="1" w:color="auto"/>
          <w:between w:val="single" w:sz="4" w:space="1" w:color="auto"/>
        </w:pBdr>
        <w:rPr>
          <w:i/>
          <w:color w:val="000000"/>
        </w:rPr>
      </w:pPr>
      <w:r w:rsidRPr="009174C0">
        <w:rPr>
          <w:i/>
          <w:color w:val="000000"/>
        </w:rPr>
        <w:t>Butter made from unpasteurised milk and/or unpasteurised milk products</w:t>
      </w:r>
    </w:p>
    <w:p w:rsidR="00372387" w:rsidRPr="009174C0" w:rsidRDefault="00372387" w:rsidP="00372387">
      <w:pPr>
        <w:pStyle w:val="TablePlainParagraph"/>
        <w:tabs>
          <w:tab w:val="left" w:pos="3234"/>
          <w:tab w:val="left" w:pos="4342"/>
          <w:tab w:val="left" w:pos="5482"/>
          <w:tab w:val="left" w:pos="6656"/>
        </w:tabs>
        <w:spacing w:before="0" w:after="0"/>
        <w:rPr>
          <w:color w:val="000000"/>
        </w:rPr>
      </w:pPr>
      <w:r w:rsidRPr="009174C0">
        <w:rPr>
          <w:color w:val="000000"/>
        </w:rPr>
        <w:t xml:space="preserve">   </w:t>
      </w:r>
      <w:r w:rsidRPr="002A6003">
        <w:rPr>
          <w:i/>
          <w:color w:val="000000"/>
        </w:rPr>
        <w:t>Campylobacter</w:t>
      </w:r>
      <w:r w:rsidRPr="009174C0">
        <w:rPr>
          <w:iCs/>
          <w:color w:val="000000"/>
        </w:rPr>
        <w:tab/>
      </w:r>
      <w:r w:rsidRPr="009174C0">
        <w:rPr>
          <w:color w:val="000000"/>
        </w:rPr>
        <w:t>5</w:t>
      </w:r>
      <w:r w:rsidRPr="009174C0">
        <w:rPr>
          <w:color w:val="000000"/>
        </w:rPr>
        <w:tab/>
        <w:t>0</w:t>
      </w:r>
      <w:r w:rsidRPr="009174C0">
        <w:rPr>
          <w:color w:val="000000"/>
        </w:rPr>
        <w:tab/>
      </w:r>
      <w:r>
        <w:rPr>
          <w:color w:val="000000"/>
        </w:rPr>
        <w:t>not detected</w:t>
      </w:r>
      <w:r>
        <w:rPr>
          <w:color w:val="000000"/>
        </w:rPr>
        <w:br/>
      </w:r>
      <w:r>
        <w:rPr>
          <w:color w:val="000000"/>
        </w:rPr>
        <w:tab/>
      </w:r>
      <w:r>
        <w:rPr>
          <w:color w:val="000000"/>
        </w:rPr>
        <w:tab/>
      </w:r>
      <w:r>
        <w:rPr>
          <w:color w:val="000000"/>
        </w:rPr>
        <w:tab/>
        <w:t>in 25 g</w:t>
      </w:r>
      <w:r w:rsidRPr="009174C0">
        <w:rPr>
          <w:color w:val="000000"/>
        </w:rPr>
        <w:tab/>
      </w: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Coagulase-positive</w:t>
      </w:r>
      <w:r w:rsidRPr="009174C0">
        <w:rPr>
          <w:color w:val="000000"/>
        </w:rPr>
        <w:tab/>
        <w:t>5</w:t>
      </w:r>
      <w:r w:rsidRPr="009174C0">
        <w:rPr>
          <w:color w:val="000000"/>
        </w:rPr>
        <w:tab/>
        <w:t>1</w:t>
      </w:r>
      <w:r w:rsidRPr="009174C0">
        <w:rPr>
          <w:color w:val="000000"/>
        </w:rPr>
        <w:tab/>
        <w:t>10</w:t>
      </w:r>
      <w:r>
        <w:rPr>
          <w:color w:val="000000"/>
        </w:rPr>
        <w:t xml:space="preserve"> /g</w:t>
      </w:r>
      <w:r w:rsidRPr="009174C0">
        <w:rPr>
          <w:color w:val="000000"/>
        </w:rPr>
        <w:tab/>
        <w:t>10</w:t>
      </w:r>
      <w:r w:rsidRPr="009174C0">
        <w:rPr>
          <w:color w:val="000000"/>
          <w:vertAlign w:val="superscript"/>
        </w:rPr>
        <w:t>2</w:t>
      </w:r>
      <w:r>
        <w:rPr>
          <w:color w:val="000000"/>
          <w:vertAlign w:val="superscript"/>
        </w:rPr>
        <w:t xml:space="preserve"> </w:t>
      </w:r>
      <w:r>
        <w:rPr>
          <w:color w:val="000000"/>
        </w:rPr>
        <w:t>/g</w:t>
      </w:r>
      <w:r w:rsidRPr="009174C0">
        <w:rPr>
          <w:color w:val="000000"/>
          <w:vertAlign w:val="superscript"/>
        </w:rPr>
        <w:br/>
        <w:t xml:space="preserve">     </w:t>
      </w:r>
      <w:r>
        <w:rPr>
          <w:color w:val="000000"/>
        </w:rPr>
        <w:t>staphylococci</w:t>
      </w:r>
      <w:r w:rsidRPr="009174C0">
        <w:rPr>
          <w:color w:val="000000"/>
          <w:vertAlign w:val="superscript"/>
        </w:rPr>
        <w:tab/>
      </w:r>
    </w:p>
    <w:p w:rsidR="00537E94"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w:t>
      </w:r>
      <w:r>
        <w:rPr>
          <w:color w:val="000000"/>
        </w:rPr>
        <w:t>Coliforms</w:t>
      </w:r>
      <w:r w:rsidRPr="009174C0">
        <w:rPr>
          <w:color w:val="000000"/>
        </w:rPr>
        <w:tab/>
        <w:t>5</w:t>
      </w:r>
      <w:r w:rsidRPr="009174C0">
        <w:rPr>
          <w:color w:val="000000"/>
        </w:rPr>
        <w:tab/>
        <w:t>1</w:t>
      </w:r>
      <w:r w:rsidRPr="009174C0">
        <w:rPr>
          <w:color w:val="000000"/>
        </w:rPr>
        <w:tab/>
        <w:t>10</w:t>
      </w:r>
      <w:r>
        <w:rPr>
          <w:color w:val="000000"/>
        </w:rPr>
        <w:t xml:space="preserve"> /g</w:t>
      </w:r>
      <w:r w:rsidRPr="009174C0">
        <w:rPr>
          <w:color w:val="000000"/>
        </w:rPr>
        <w:tab/>
        <w:t>10</w:t>
      </w:r>
      <w:r w:rsidRPr="009174C0">
        <w:rPr>
          <w:color w:val="000000"/>
          <w:vertAlign w:val="superscript"/>
        </w:rPr>
        <w:t>2</w:t>
      </w:r>
      <w:r>
        <w:rPr>
          <w:color w:val="000000"/>
          <w:vertAlign w:val="superscript"/>
        </w:rPr>
        <w:t xml:space="preserve"> </w:t>
      </w:r>
      <w:r>
        <w:rPr>
          <w:color w:val="000000"/>
        </w:rPr>
        <w:t>/g</w:t>
      </w:r>
      <w:r w:rsidR="00537E94">
        <w:rPr>
          <w:color w:val="000000"/>
        </w:rPr>
        <w:br w:type="page"/>
      </w:r>
    </w:p>
    <w:p w:rsidR="00537E94" w:rsidRPr="009174C0" w:rsidRDefault="00537E94" w:rsidP="00537E94">
      <w:pPr>
        <w:pStyle w:val="TablePlainParagraph"/>
        <w:rPr>
          <w:b/>
          <w:color w:val="000000"/>
        </w:rPr>
      </w:pPr>
      <w:r w:rsidRPr="009174C0">
        <w:rPr>
          <w:b/>
          <w:color w:val="000000"/>
        </w:rPr>
        <w:lastRenderedPageBreak/>
        <w:t>Microbiological limits for foods (cont)</w:t>
      </w:r>
    </w:p>
    <w:p w:rsidR="00537E94" w:rsidRPr="00C87BA0" w:rsidRDefault="00537E94" w:rsidP="00537E94">
      <w:pPr>
        <w:pStyle w:val="TablePlainParagraph"/>
        <w:pBdr>
          <w:top w:val="single" w:sz="4" w:space="1" w:color="auto"/>
          <w:between w:val="single" w:sz="4" w:space="1" w:color="auto"/>
        </w:pBdr>
        <w:tabs>
          <w:tab w:val="left" w:pos="3234"/>
          <w:tab w:val="left" w:pos="4342"/>
          <w:tab w:val="left" w:pos="5482"/>
          <w:tab w:val="left" w:pos="6656"/>
        </w:tabs>
        <w:rPr>
          <w:b/>
          <w:color w:val="000000"/>
        </w:rPr>
      </w:pPr>
      <w:r w:rsidRPr="009174C0">
        <w:rPr>
          <w:b/>
          <w:color w:val="000000"/>
        </w:rPr>
        <w:t>Column 1</w:t>
      </w:r>
      <w:r w:rsidRPr="009174C0">
        <w:rPr>
          <w:b/>
          <w:color w:val="000000"/>
        </w:rPr>
        <w:tab/>
        <w:t>Column 2</w:t>
      </w:r>
      <w:r w:rsidRPr="009174C0">
        <w:rPr>
          <w:b/>
          <w:color w:val="000000"/>
        </w:rPr>
        <w:tab/>
        <w:t>Column 3</w:t>
      </w:r>
      <w:r w:rsidRPr="009174C0">
        <w:rPr>
          <w:b/>
          <w:color w:val="000000"/>
        </w:rPr>
        <w:tab/>
        <w:t>Column 4</w:t>
      </w:r>
      <w:r w:rsidRPr="009174C0">
        <w:rPr>
          <w:b/>
          <w:color w:val="000000"/>
        </w:rPr>
        <w:tab/>
        <w:t>Column 5</w:t>
      </w:r>
      <w:r>
        <w:rPr>
          <w:b/>
          <w:color w:val="000000"/>
        </w:rPr>
        <w:br/>
        <w:t xml:space="preserve"> </w:t>
      </w:r>
      <w:r>
        <w:rPr>
          <w:b/>
          <w:color w:val="000000"/>
        </w:rPr>
        <w:tab/>
        <w:t>(</w:t>
      </w:r>
      <w:r w:rsidRPr="00C87BA0">
        <w:rPr>
          <w:b/>
          <w:color w:val="000000"/>
        </w:rPr>
        <w:t>n</w:t>
      </w:r>
      <w:r>
        <w:rPr>
          <w:b/>
          <w:color w:val="000000"/>
        </w:rPr>
        <w:t>)</w:t>
      </w:r>
      <w:r>
        <w:rPr>
          <w:b/>
          <w:color w:val="000000"/>
        </w:rPr>
        <w:tab/>
        <w:t>(</w:t>
      </w:r>
      <w:r>
        <w:rPr>
          <w:b/>
          <w:i/>
          <w:color w:val="000000"/>
        </w:rPr>
        <w:t>c</w:t>
      </w:r>
      <w:r>
        <w:rPr>
          <w:b/>
          <w:color w:val="000000"/>
        </w:rPr>
        <w:t>)</w:t>
      </w:r>
      <w:r>
        <w:rPr>
          <w:b/>
          <w:color w:val="000000"/>
        </w:rPr>
        <w:tab/>
        <w:t>(m)</w:t>
      </w:r>
      <w:r>
        <w:rPr>
          <w:b/>
          <w:color w:val="000000"/>
        </w:rPr>
        <w:tab/>
        <w:t>(M)</w:t>
      </w:r>
    </w:p>
    <w:p w:rsidR="00537E94" w:rsidRPr="00FE3D62" w:rsidRDefault="00537E94" w:rsidP="00537E94">
      <w:pPr>
        <w:pStyle w:val="TablePlainParagraph"/>
        <w:pBdr>
          <w:bottom w:val="single" w:sz="4" w:space="1" w:color="auto"/>
        </w:pBdr>
        <w:tabs>
          <w:tab w:val="left" w:pos="3234"/>
          <w:tab w:val="left" w:pos="4342"/>
          <w:tab w:val="left" w:pos="5482"/>
          <w:tab w:val="left" w:pos="6656"/>
        </w:tabs>
        <w:rPr>
          <w:color w:val="000000"/>
        </w:rPr>
      </w:pP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w:t>
      </w:r>
      <w:r w:rsidRPr="002A6003">
        <w:rPr>
          <w:i/>
          <w:color w:val="000000"/>
        </w:rPr>
        <w:t>Escherichia coli</w:t>
      </w:r>
      <w:r w:rsidRPr="009174C0">
        <w:rPr>
          <w:color w:val="000000"/>
        </w:rPr>
        <w:tab/>
        <w:t>5</w:t>
      </w:r>
      <w:r w:rsidRPr="009174C0">
        <w:rPr>
          <w:color w:val="000000"/>
        </w:rPr>
        <w:tab/>
        <w:t>1</w:t>
      </w:r>
      <w:r w:rsidRPr="009174C0">
        <w:rPr>
          <w:color w:val="000000"/>
        </w:rPr>
        <w:tab/>
        <w:t>3</w:t>
      </w:r>
      <w:r>
        <w:rPr>
          <w:color w:val="000000"/>
        </w:rPr>
        <w:t xml:space="preserve"> /g</w:t>
      </w:r>
      <w:r w:rsidRPr="009174C0">
        <w:rPr>
          <w:color w:val="000000"/>
        </w:rPr>
        <w:tab/>
        <w:t>9</w:t>
      </w:r>
      <w:r>
        <w:rPr>
          <w:color w:val="000000"/>
        </w:rPr>
        <w:t xml:space="preserve"> /g</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p>
    <w:p w:rsidR="00372387" w:rsidRPr="009174C0" w:rsidRDefault="00372387" w:rsidP="00372387">
      <w:pPr>
        <w:pStyle w:val="TablePlainParagraph"/>
        <w:pBdr>
          <w:bottom w:val="single" w:sz="4" w:space="1" w:color="auto"/>
        </w:pBdr>
        <w:tabs>
          <w:tab w:val="left" w:pos="3234"/>
          <w:tab w:val="left" w:pos="4342"/>
          <w:tab w:val="left" w:pos="5482"/>
          <w:tab w:val="left" w:pos="6656"/>
        </w:tabs>
        <w:rPr>
          <w:color w:val="000000"/>
        </w:rPr>
      </w:pPr>
      <w:r w:rsidRPr="009174C0">
        <w:rPr>
          <w:color w:val="000000"/>
        </w:rPr>
        <w:t xml:space="preserve">   </w:t>
      </w:r>
      <w:r>
        <w:rPr>
          <w:color w:val="000000"/>
        </w:rPr>
        <w:t>SPC</w:t>
      </w:r>
      <w:r w:rsidRPr="009174C0">
        <w:rPr>
          <w:color w:val="000000"/>
        </w:rPr>
        <w:tab/>
        <w:t>5</w:t>
      </w:r>
      <w:r w:rsidRPr="009174C0">
        <w:rPr>
          <w:color w:val="000000"/>
        </w:rPr>
        <w:tab/>
        <w:t>0</w:t>
      </w:r>
      <w:r w:rsidRPr="009174C0">
        <w:rPr>
          <w:color w:val="000000"/>
        </w:rPr>
        <w:tab/>
        <w:t>5x10</w:t>
      </w:r>
      <w:r w:rsidRPr="009174C0">
        <w:rPr>
          <w:color w:val="000000"/>
          <w:vertAlign w:val="superscript"/>
        </w:rPr>
        <w:t>5</w:t>
      </w:r>
      <w:r>
        <w:rPr>
          <w:color w:val="000000"/>
          <w:vertAlign w:val="superscript"/>
        </w:rPr>
        <w:t xml:space="preserve"> </w:t>
      </w:r>
      <w:r>
        <w:rPr>
          <w:color w:val="000000"/>
        </w:rPr>
        <w:t>/g</w:t>
      </w:r>
      <w:r w:rsidRPr="009174C0">
        <w:rPr>
          <w:color w:val="000000"/>
        </w:rPr>
        <w:tab/>
      </w:r>
    </w:p>
    <w:p w:rsidR="00372387" w:rsidRPr="009174C0" w:rsidRDefault="00372387" w:rsidP="00372387">
      <w:pPr>
        <w:pStyle w:val="TablePlainParagraph"/>
        <w:rPr>
          <w:i/>
          <w:color w:val="000000"/>
        </w:rPr>
      </w:pPr>
      <w:r w:rsidRPr="009174C0">
        <w:rPr>
          <w:i/>
          <w:color w:val="000000"/>
        </w:rPr>
        <w:t>All cheese</w:t>
      </w:r>
    </w:p>
    <w:p w:rsidR="00372387" w:rsidRPr="009174C0" w:rsidRDefault="00372387" w:rsidP="00372387">
      <w:pPr>
        <w:pStyle w:val="TablePlainParagraph"/>
        <w:pBdr>
          <w:bottom w:val="single" w:sz="4" w:space="1" w:color="auto"/>
        </w:pBdr>
        <w:tabs>
          <w:tab w:val="left" w:pos="3234"/>
          <w:tab w:val="left" w:pos="4342"/>
          <w:tab w:val="left" w:pos="5482"/>
          <w:tab w:val="left" w:pos="6656"/>
        </w:tabs>
        <w:rPr>
          <w:color w:val="000000"/>
        </w:rPr>
      </w:pPr>
      <w:r w:rsidRPr="009174C0">
        <w:rPr>
          <w:color w:val="000000"/>
        </w:rPr>
        <w:t xml:space="preserve">   </w:t>
      </w:r>
      <w:r w:rsidRPr="002A6003">
        <w:rPr>
          <w:i/>
          <w:color w:val="000000"/>
        </w:rPr>
        <w:t>Escherichia coli</w:t>
      </w:r>
      <w:r w:rsidRPr="009174C0">
        <w:rPr>
          <w:iCs/>
          <w:color w:val="000000"/>
        </w:rPr>
        <w:tab/>
      </w:r>
      <w:r w:rsidRPr="009174C0">
        <w:rPr>
          <w:color w:val="000000"/>
        </w:rPr>
        <w:t>5</w:t>
      </w:r>
      <w:r w:rsidRPr="009174C0">
        <w:rPr>
          <w:color w:val="000000"/>
        </w:rPr>
        <w:tab/>
        <w:t>1</w:t>
      </w:r>
      <w:r w:rsidRPr="009174C0">
        <w:rPr>
          <w:color w:val="000000"/>
        </w:rPr>
        <w:tab/>
        <w:t>10</w:t>
      </w:r>
      <w:r>
        <w:rPr>
          <w:color w:val="000000"/>
        </w:rPr>
        <w:t xml:space="preserve"> /g</w:t>
      </w:r>
      <w:r w:rsidRPr="009174C0">
        <w:rPr>
          <w:color w:val="000000"/>
        </w:rPr>
        <w:tab/>
        <w:t>10</w:t>
      </w:r>
      <w:r w:rsidRPr="009174C0">
        <w:rPr>
          <w:color w:val="000000"/>
          <w:vertAlign w:val="superscript"/>
        </w:rPr>
        <w:t>2</w:t>
      </w:r>
      <w:r>
        <w:rPr>
          <w:color w:val="000000"/>
          <w:vertAlign w:val="superscript"/>
        </w:rPr>
        <w:t xml:space="preserve"> </w:t>
      </w:r>
      <w:r w:rsidRPr="00017739">
        <w:rPr>
          <w:color w:val="000000"/>
        </w:rPr>
        <w:t>/g</w:t>
      </w:r>
    </w:p>
    <w:p w:rsidR="00372387" w:rsidRPr="009174C0" w:rsidRDefault="00372387" w:rsidP="00372387">
      <w:pPr>
        <w:pStyle w:val="TablePlainParagraph"/>
        <w:rPr>
          <w:i/>
          <w:color w:val="000000"/>
        </w:rPr>
      </w:pPr>
      <w:r w:rsidRPr="009174C0">
        <w:rPr>
          <w:i/>
          <w:color w:val="000000"/>
        </w:rPr>
        <w:t>Soft and semi-soft cheese (moisture content &gt; 39%) with pH &gt; 5.0</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iCs/>
          <w:color w:val="000000"/>
        </w:rPr>
        <w:tab/>
      </w:r>
      <w:r w:rsidRPr="009174C0">
        <w:rPr>
          <w:color w:val="000000"/>
        </w:rPr>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p>
    <w:p w:rsidR="00372387" w:rsidRPr="009174C0" w:rsidRDefault="00372387" w:rsidP="00372387">
      <w:pPr>
        <w:pStyle w:val="TablePlainParagraph"/>
        <w:rPr>
          <w:i/>
          <w:color w:val="000000"/>
        </w:rPr>
      </w:pPr>
      <w:r w:rsidRPr="009174C0">
        <w:rPr>
          <w:i/>
          <w:color w:val="000000"/>
        </w:rPr>
        <w:t>All raw milk cheese (cheese made from milk not pasteurised or thermised)</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372387">
      <w:pPr>
        <w:pStyle w:val="TablePlainParagraph"/>
        <w:rPr>
          <w:i/>
          <w:color w:val="000000"/>
        </w:rPr>
      </w:pPr>
      <w:r w:rsidRPr="009174C0">
        <w:rPr>
          <w:i/>
          <w:color w:val="000000"/>
        </w:rPr>
        <w:t>Raw milk unripened cheeses (moisture content &gt; 50% with pH &gt; 5.0)</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Campylobacter</w:t>
      </w:r>
      <w:r w:rsidRPr="009174C0">
        <w:rPr>
          <w:iCs/>
          <w:color w:val="000000"/>
        </w:rPr>
        <w:tab/>
      </w:r>
      <w:r w:rsidRPr="009174C0">
        <w:rPr>
          <w:color w:val="000000"/>
        </w:rPr>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372387">
      <w:pPr>
        <w:pStyle w:val="TablePlainParagraph"/>
        <w:rPr>
          <w:i/>
          <w:color w:val="000000"/>
        </w:rPr>
      </w:pPr>
      <w:r w:rsidRPr="009174C0">
        <w:rPr>
          <w:i/>
          <w:color w:val="000000"/>
        </w:rPr>
        <w:t>Dried milk</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537E94">
      <w:pPr>
        <w:pStyle w:val="TablePlainParagraph"/>
        <w:pBdr>
          <w:bottom w:val="single" w:sz="4" w:space="1" w:color="auto"/>
        </w:pBdr>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537E94">
      <w:pPr>
        <w:pStyle w:val="TablePlainParagraph"/>
        <w:pBdr>
          <w:between w:val="single" w:sz="4" w:space="1" w:color="auto"/>
        </w:pBdr>
        <w:tabs>
          <w:tab w:val="left" w:pos="3234"/>
          <w:tab w:val="left" w:pos="4342"/>
          <w:tab w:val="left" w:pos="5482"/>
          <w:tab w:val="left" w:pos="6656"/>
        </w:tabs>
        <w:rPr>
          <w:i/>
          <w:color w:val="000000"/>
        </w:rPr>
      </w:pPr>
      <w:r w:rsidRPr="009174C0">
        <w:rPr>
          <w:i/>
          <w:color w:val="000000"/>
        </w:rPr>
        <w:t>Unpasteurised milk for retail sale</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Campylobacter</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mL</w:t>
      </w:r>
    </w:p>
    <w:p w:rsidR="00372387" w:rsidRPr="00017739"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w:t>
      </w:r>
      <w:r>
        <w:rPr>
          <w:color w:val="000000"/>
        </w:rPr>
        <w:t>Coliforms</w:t>
      </w:r>
      <w:r w:rsidRPr="009174C0">
        <w:rPr>
          <w:color w:val="000000"/>
        </w:rPr>
        <w:tab/>
        <w:t>5</w:t>
      </w:r>
      <w:r w:rsidRPr="009174C0">
        <w:rPr>
          <w:color w:val="000000"/>
        </w:rPr>
        <w:tab/>
        <w:t>1</w:t>
      </w:r>
      <w:r w:rsidRPr="009174C0">
        <w:rPr>
          <w:color w:val="000000"/>
        </w:rPr>
        <w:tab/>
        <w:t>10</w:t>
      </w:r>
      <w:r w:rsidRPr="009174C0">
        <w:rPr>
          <w:color w:val="000000"/>
          <w:position w:val="6"/>
          <w:vertAlign w:val="superscript"/>
        </w:rPr>
        <w:t>2</w:t>
      </w:r>
      <w:r>
        <w:rPr>
          <w:color w:val="000000"/>
          <w:position w:val="6"/>
          <w:vertAlign w:val="superscript"/>
        </w:rPr>
        <w:t xml:space="preserve"> </w:t>
      </w:r>
      <w:r w:rsidRPr="009A71C2">
        <w:rPr>
          <w:color w:val="000000"/>
        </w:rPr>
        <w:t>/mL</w:t>
      </w:r>
      <w:r w:rsidRPr="009174C0">
        <w:rPr>
          <w:color w:val="000000"/>
        </w:rPr>
        <w:tab/>
        <w:t>10</w:t>
      </w:r>
      <w:r w:rsidRPr="009174C0">
        <w:rPr>
          <w:color w:val="000000"/>
          <w:position w:val="6"/>
          <w:vertAlign w:val="superscript"/>
        </w:rPr>
        <w:t>3</w:t>
      </w:r>
      <w:r>
        <w:rPr>
          <w:color w:val="000000"/>
          <w:position w:val="6"/>
        </w:rPr>
        <w:t xml:space="preserve"> </w:t>
      </w:r>
      <w:r w:rsidRPr="009A71C2">
        <w:rPr>
          <w:color w:val="000000"/>
        </w:rPr>
        <w:t>/mL</w:t>
      </w: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w:t>
      </w:r>
      <w:r w:rsidRPr="002A6003">
        <w:rPr>
          <w:i/>
          <w:color w:val="000000"/>
        </w:rPr>
        <w:t>Escherichia coli</w:t>
      </w:r>
      <w:r w:rsidRPr="009174C0">
        <w:rPr>
          <w:color w:val="000000"/>
        </w:rPr>
        <w:tab/>
        <w:t>5</w:t>
      </w:r>
      <w:r w:rsidRPr="009174C0">
        <w:rPr>
          <w:color w:val="000000"/>
        </w:rPr>
        <w:tab/>
        <w:t>1</w:t>
      </w:r>
      <w:r w:rsidRPr="009174C0">
        <w:rPr>
          <w:color w:val="000000"/>
        </w:rPr>
        <w:tab/>
        <w:t>3</w:t>
      </w:r>
      <w:r>
        <w:rPr>
          <w:color w:val="000000"/>
        </w:rPr>
        <w:t xml:space="preserve"> /mL</w:t>
      </w:r>
      <w:r w:rsidRPr="009174C0">
        <w:rPr>
          <w:color w:val="000000"/>
        </w:rPr>
        <w:tab/>
        <w:t>9</w:t>
      </w:r>
      <w:r>
        <w:rPr>
          <w:color w:val="000000"/>
        </w:rPr>
        <w:t xml:space="preserve"> /mL</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Pr>
          <w:color w:val="000000"/>
        </w:rPr>
        <w:t>mL</w:t>
      </w:r>
    </w:p>
    <w:p w:rsidR="00372387" w:rsidRPr="00017739" w:rsidRDefault="00372387" w:rsidP="00372387">
      <w:pPr>
        <w:pStyle w:val="TablePlainParagraph"/>
        <w:pBdr>
          <w:bottom w:val="single" w:sz="4" w:space="1" w:color="auto"/>
        </w:pBdr>
        <w:tabs>
          <w:tab w:val="left" w:pos="3234"/>
          <w:tab w:val="left" w:pos="4342"/>
          <w:tab w:val="left" w:pos="5482"/>
          <w:tab w:val="left" w:pos="6656"/>
        </w:tabs>
        <w:rPr>
          <w:color w:val="000000"/>
        </w:rPr>
      </w:pPr>
      <w:r w:rsidRPr="009174C0">
        <w:rPr>
          <w:color w:val="000000"/>
        </w:rPr>
        <w:t xml:space="preserve">   </w:t>
      </w:r>
      <w:r>
        <w:rPr>
          <w:color w:val="000000"/>
        </w:rPr>
        <w:t>SPC</w:t>
      </w:r>
      <w:r w:rsidRPr="009174C0">
        <w:rPr>
          <w:color w:val="000000"/>
        </w:rPr>
        <w:tab/>
        <w:t>5</w:t>
      </w:r>
      <w:r w:rsidRPr="009174C0">
        <w:rPr>
          <w:color w:val="000000"/>
        </w:rPr>
        <w:tab/>
        <w:t>1</w:t>
      </w:r>
      <w:r w:rsidRPr="009174C0">
        <w:rPr>
          <w:color w:val="000000"/>
        </w:rPr>
        <w:tab/>
        <w:t>2.5x10</w:t>
      </w:r>
      <w:r w:rsidRPr="009174C0">
        <w:rPr>
          <w:color w:val="000000"/>
          <w:position w:val="6"/>
          <w:vertAlign w:val="superscript"/>
        </w:rPr>
        <w:t>4</w:t>
      </w:r>
      <w:r>
        <w:rPr>
          <w:color w:val="000000"/>
          <w:position w:val="6"/>
        </w:rPr>
        <w:t xml:space="preserve"> </w:t>
      </w:r>
      <w:r w:rsidRPr="009A71C2">
        <w:rPr>
          <w:color w:val="000000"/>
        </w:rPr>
        <w:t>/mL</w:t>
      </w:r>
      <w:r w:rsidRPr="009174C0">
        <w:rPr>
          <w:color w:val="000000"/>
        </w:rPr>
        <w:tab/>
        <w:t>2.5x10</w:t>
      </w:r>
      <w:r w:rsidRPr="009174C0">
        <w:rPr>
          <w:color w:val="000000"/>
          <w:position w:val="6"/>
          <w:vertAlign w:val="superscript"/>
        </w:rPr>
        <w:t>5</w:t>
      </w:r>
      <w:r>
        <w:rPr>
          <w:color w:val="000000"/>
          <w:position w:val="6"/>
        </w:rPr>
        <w:t xml:space="preserve"> </w:t>
      </w:r>
      <w:r w:rsidRPr="009A71C2">
        <w:rPr>
          <w:color w:val="000000"/>
        </w:rPr>
        <w:t>/mL</w:t>
      </w:r>
    </w:p>
    <w:p w:rsidR="00372387" w:rsidRPr="009174C0" w:rsidRDefault="00372387" w:rsidP="00372387">
      <w:pPr>
        <w:pStyle w:val="TablePlainParagraph"/>
        <w:rPr>
          <w:i/>
          <w:color w:val="000000"/>
        </w:rPr>
      </w:pPr>
      <w:r w:rsidRPr="009174C0">
        <w:rPr>
          <w:i/>
          <w:color w:val="000000"/>
        </w:rPr>
        <w:t>Packaged cooked cured/salted meat</w:t>
      </w: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Coagulase-positive</w:t>
      </w:r>
      <w:r w:rsidRPr="009174C0">
        <w:rPr>
          <w:color w:val="000000"/>
        </w:rPr>
        <w:tab/>
        <w:t>5</w:t>
      </w:r>
      <w:r w:rsidRPr="009174C0">
        <w:rPr>
          <w:color w:val="000000"/>
        </w:rPr>
        <w:tab/>
        <w:t>1</w:t>
      </w:r>
      <w:r w:rsidRPr="009174C0">
        <w:rPr>
          <w:color w:val="000000"/>
        </w:rPr>
        <w:tab/>
        <w:t>10</w:t>
      </w:r>
      <w:r w:rsidRPr="009174C0">
        <w:rPr>
          <w:color w:val="000000"/>
          <w:position w:val="6"/>
          <w:vertAlign w:val="superscript"/>
        </w:rPr>
        <w:t>2</w:t>
      </w:r>
      <w:r>
        <w:rPr>
          <w:color w:val="000000"/>
          <w:position w:val="6"/>
        </w:rPr>
        <w:t xml:space="preserve"> </w:t>
      </w:r>
      <w:r w:rsidRPr="009A71C2">
        <w:rPr>
          <w:color w:val="000000"/>
        </w:rPr>
        <w:t>/g</w:t>
      </w:r>
      <w:r w:rsidRPr="009174C0">
        <w:rPr>
          <w:color w:val="000000"/>
        </w:rPr>
        <w:tab/>
        <w:t>10</w:t>
      </w:r>
      <w:r w:rsidRPr="009174C0">
        <w:rPr>
          <w:color w:val="000000"/>
          <w:position w:val="6"/>
          <w:vertAlign w:val="superscript"/>
        </w:rPr>
        <w:t>3</w:t>
      </w:r>
      <w:r>
        <w:rPr>
          <w:color w:val="000000"/>
          <w:position w:val="6"/>
        </w:rPr>
        <w:t xml:space="preserve"> </w:t>
      </w:r>
      <w:r w:rsidRPr="009A71C2">
        <w:rPr>
          <w:color w:val="000000"/>
        </w:rPr>
        <w:t>/g</w:t>
      </w:r>
      <w:r w:rsidRPr="009174C0">
        <w:rPr>
          <w:color w:val="000000"/>
          <w:position w:val="6"/>
          <w:vertAlign w:val="superscript"/>
        </w:rPr>
        <w:br/>
      </w:r>
      <w:r w:rsidRPr="009174C0">
        <w:rPr>
          <w:color w:val="000000"/>
        </w:rPr>
        <w:t xml:space="preserve">   </w:t>
      </w:r>
      <w:r>
        <w:rPr>
          <w:color w:val="000000"/>
        </w:rPr>
        <w:t>staphylococci</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FE3D62">
        <w:rPr>
          <w:i/>
          <w:color w:val="000000"/>
        </w:rPr>
        <w:t>Salmonella</w:t>
      </w:r>
      <w:r w:rsidRPr="00FE3D62">
        <w:rPr>
          <w:color w:val="000000"/>
        </w:rPr>
        <w:tab/>
        <w:t>5</w:t>
      </w:r>
      <w:r w:rsidRPr="00FE3D62">
        <w:rPr>
          <w:color w:val="000000"/>
        </w:rPr>
        <w:tab/>
        <w:t>0</w:t>
      </w:r>
      <w:r w:rsidRPr="00FE3D62">
        <w:rPr>
          <w:color w:val="000000"/>
        </w:rPr>
        <w:tab/>
      </w:r>
      <w:r w:rsidRPr="00FE3D62">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372387">
      <w:pPr>
        <w:pStyle w:val="TablePlainParagraph"/>
        <w:rPr>
          <w:i/>
          <w:color w:val="000000"/>
        </w:rPr>
      </w:pPr>
      <w:r w:rsidRPr="009174C0">
        <w:rPr>
          <w:i/>
          <w:color w:val="000000"/>
        </w:rPr>
        <w:t>Packaged heat treated meat paste and packaged heat treated pâté</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iCs/>
          <w:color w:val="000000"/>
        </w:rPr>
        <w:tab/>
      </w:r>
      <w:r w:rsidRPr="009174C0">
        <w:rPr>
          <w:color w:val="000000"/>
        </w:rPr>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372387">
      <w:pPr>
        <w:pStyle w:val="TablePlainParagraph"/>
        <w:rPr>
          <w:i/>
          <w:color w:val="000000"/>
        </w:rPr>
      </w:pPr>
      <w:r w:rsidRPr="009174C0">
        <w:rPr>
          <w:i/>
          <w:color w:val="000000"/>
        </w:rPr>
        <w:t>All comminuted fermented meat which has not been cooked during the production process</w:t>
      </w: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Coagulase-positive</w:t>
      </w:r>
      <w:r w:rsidRPr="009174C0">
        <w:rPr>
          <w:color w:val="000000"/>
        </w:rPr>
        <w:tab/>
        <w:t>5</w:t>
      </w:r>
      <w:r w:rsidRPr="009174C0">
        <w:rPr>
          <w:color w:val="000000"/>
        </w:rPr>
        <w:tab/>
        <w:t>1</w:t>
      </w:r>
      <w:r w:rsidRPr="009174C0">
        <w:rPr>
          <w:color w:val="000000"/>
        </w:rPr>
        <w:tab/>
        <w:t>10</w:t>
      </w:r>
      <w:r w:rsidRPr="009174C0">
        <w:rPr>
          <w:color w:val="000000"/>
          <w:position w:val="6"/>
          <w:vertAlign w:val="superscript"/>
        </w:rPr>
        <w:t>3</w:t>
      </w:r>
      <w:r>
        <w:rPr>
          <w:color w:val="000000"/>
          <w:position w:val="6"/>
          <w:vertAlign w:val="superscript"/>
        </w:rPr>
        <w:t xml:space="preserve"> </w:t>
      </w:r>
      <w:r w:rsidRPr="009A71C2">
        <w:rPr>
          <w:color w:val="000000"/>
        </w:rPr>
        <w:t>/g</w:t>
      </w:r>
      <w:r w:rsidRPr="009174C0">
        <w:rPr>
          <w:color w:val="000000"/>
        </w:rPr>
        <w:tab/>
        <w:t>10</w:t>
      </w:r>
      <w:r w:rsidRPr="009174C0">
        <w:rPr>
          <w:color w:val="000000"/>
          <w:position w:val="6"/>
          <w:vertAlign w:val="superscript"/>
        </w:rPr>
        <w:t>4</w:t>
      </w:r>
      <w:r>
        <w:rPr>
          <w:color w:val="000000"/>
          <w:position w:val="6"/>
          <w:vertAlign w:val="superscript"/>
        </w:rPr>
        <w:t xml:space="preserve"> </w:t>
      </w:r>
      <w:r w:rsidRPr="009A71C2">
        <w:rPr>
          <w:color w:val="000000"/>
        </w:rPr>
        <w:t>/g</w:t>
      </w:r>
      <w:r w:rsidRPr="009174C0">
        <w:rPr>
          <w:color w:val="000000"/>
          <w:position w:val="6"/>
          <w:vertAlign w:val="superscript"/>
        </w:rPr>
        <w:br/>
      </w:r>
      <w:r w:rsidRPr="009174C0">
        <w:rPr>
          <w:color w:val="000000"/>
        </w:rPr>
        <w:t xml:space="preserve">   st</w:t>
      </w:r>
      <w:r>
        <w:rPr>
          <w:color w:val="000000"/>
        </w:rPr>
        <w:t>aphylococci</w:t>
      </w: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w:t>
      </w:r>
      <w:r w:rsidRPr="002A6003">
        <w:rPr>
          <w:i/>
          <w:color w:val="000000"/>
        </w:rPr>
        <w:t>Escherichia</w:t>
      </w:r>
      <w:r w:rsidRPr="009174C0">
        <w:rPr>
          <w:color w:val="000000"/>
        </w:rPr>
        <w:t xml:space="preserve"> </w:t>
      </w:r>
      <w:r w:rsidRPr="002A6003">
        <w:rPr>
          <w:i/>
          <w:color w:val="000000"/>
        </w:rPr>
        <w:t>coli</w:t>
      </w:r>
      <w:r w:rsidRPr="009174C0">
        <w:rPr>
          <w:color w:val="000000"/>
        </w:rPr>
        <w:tab/>
        <w:t>5</w:t>
      </w:r>
      <w:r w:rsidRPr="009174C0">
        <w:rPr>
          <w:color w:val="000000"/>
        </w:rPr>
        <w:tab/>
        <w:t>1</w:t>
      </w:r>
      <w:r w:rsidRPr="009174C0">
        <w:rPr>
          <w:color w:val="000000"/>
        </w:rPr>
        <w:tab/>
        <w:t>3.6</w:t>
      </w:r>
      <w:r>
        <w:rPr>
          <w:color w:val="000000"/>
        </w:rPr>
        <w:t xml:space="preserve"> </w:t>
      </w:r>
      <w:r w:rsidRPr="00BC13BE">
        <w:rPr>
          <w:szCs w:val="24"/>
        </w:rPr>
        <w:t>g</w:t>
      </w:r>
      <w:r w:rsidRPr="009174C0">
        <w:rPr>
          <w:color w:val="000000"/>
        </w:rPr>
        <w:tab/>
        <w:t>9.2</w:t>
      </w:r>
      <w:r>
        <w:rPr>
          <w:color w:val="000000"/>
        </w:rPr>
        <w:t xml:space="preserve"> </w:t>
      </w:r>
      <w:r w:rsidRPr="00BC13BE">
        <w:rPr>
          <w:szCs w:val="24"/>
        </w:rPr>
        <w:t>g</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537E94" w:rsidRDefault="00537E94" w:rsidP="00372387">
      <w:pPr>
        <w:pStyle w:val="TablePlainParagraph"/>
        <w:pBdr>
          <w:top w:val="single" w:sz="4" w:space="1" w:color="auto"/>
        </w:pBdr>
        <w:rPr>
          <w:i/>
          <w:color w:val="000000"/>
        </w:rPr>
      </w:pPr>
      <w:r>
        <w:rPr>
          <w:i/>
          <w:color w:val="000000"/>
        </w:rPr>
        <w:br w:type="page"/>
      </w:r>
    </w:p>
    <w:p w:rsidR="00537E94" w:rsidRPr="009174C0" w:rsidRDefault="00537E94" w:rsidP="00537E94">
      <w:pPr>
        <w:pStyle w:val="TablePlainParagraph"/>
        <w:rPr>
          <w:b/>
          <w:color w:val="000000"/>
        </w:rPr>
      </w:pPr>
      <w:r w:rsidRPr="009174C0">
        <w:rPr>
          <w:b/>
          <w:color w:val="000000"/>
        </w:rPr>
        <w:lastRenderedPageBreak/>
        <w:t>Microbiological limits for foods (cont)</w:t>
      </w:r>
    </w:p>
    <w:p w:rsidR="00537E94" w:rsidRPr="00C87BA0" w:rsidRDefault="00537E94" w:rsidP="00537E94">
      <w:pPr>
        <w:pStyle w:val="TablePlainParagraph"/>
        <w:pBdr>
          <w:top w:val="single" w:sz="4" w:space="1" w:color="auto"/>
          <w:between w:val="single" w:sz="4" w:space="1" w:color="auto"/>
        </w:pBdr>
        <w:tabs>
          <w:tab w:val="left" w:pos="3234"/>
          <w:tab w:val="left" w:pos="4342"/>
          <w:tab w:val="left" w:pos="5482"/>
          <w:tab w:val="left" w:pos="6656"/>
        </w:tabs>
        <w:rPr>
          <w:b/>
          <w:color w:val="000000"/>
        </w:rPr>
      </w:pPr>
      <w:r w:rsidRPr="009174C0">
        <w:rPr>
          <w:b/>
          <w:color w:val="000000"/>
        </w:rPr>
        <w:t>Column 1</w:t>
      </w:r>
      <w:r w:rsidRPr="009174C0">
        <w:rPr>
          <w:b/>
          <w:color w:val="000000"/>
        </w:rPr>
        <w:tab/>
        <w:t>Column 2</w:t>
      </w:r>
      <w:r w:rsidRPr="009174C0">
        <w:rPr>
          <w:b/>
          <w:color w:val="000000"/>
        </w:rPr>
        <w:tab/>
        <w:t>Column 3</w:t>
      </w:r>
      <w:r w:rsidRPr="009174C0">
        <w:rPr>
          <w:b/>
          <w:color w:val="000000"/>
        </w:rPr>
        <w:tab/>
        <w:t>Column 4</w:t>
      </w:r>
      <w:r w:rsidRPr="009174C0">
        <w:rPr>
          <w:b/>
          <w:color w:val="000000"/>
        </w:rPr>
        <w:tab/>
        <w:t>Column 5</w:t>
      </w:r>
      <w:r>
        <w:rPr>
          <w:b/>
          <w:color w:val="000000"/>
        </w:rPr>
        <w:br/>
        <w:t xml:space="preserve"> </w:t>
      </w:r>
      <w:r>
        <w:rPr>
          <w:b/>
          <w:color w:val="000000"/>
        </w:rPr>
        <w:tab/>
        <w:t>(</w:t>
      </w:r>
      <w:r w:rsidRPr="00C87BA0">
        <w:rPr>
          <w:b/>
          <w:color w:val="000000"/>
        </w:rPr>
        <w:t>n</w:t>
      </w:r>
      <w:r>
        <w:rPr>
          <w:b/>
          <w:color w:val="000000"/>
        </w:rPr>
        <w:t>)</w:t>
      </w:r>
      <w:r>
        <w:rPr>
          <w:b/>
          <w:color w:val="000000"/>
        </w:rPr>
        <w:tab/>
        <w:t>(</w:t>
      </w:r>
      <w:r>
        <w:rPr>
          <w:b/>
          <w:i/>
          <w:color w:val="000000"/>
        </w:rPr>
        <w:t>c</w:t>
      </w:r>
      <w:r>
        <w:rPr>
          <w:b/>
          <w:color w:val="000000"/>
        </w:rPr>
        <w:t>)</w:t>
      </w:r>
      <w:r>
        <w:rPr>
          <w:b/>
          <w:color w:val="000000"/>
        </w:rPr>
        <w:tab/>
        <w:t>(m)</w:t>
      </w:r>
      <w:r>
        <w:rPr>
          <w:b/>
          <w:color w:val="000000"/>
        </w:rPr>
        <w:tab/>
        <w:t>(M)</w:t>
      </w:r>
    </w:p>
    <w:p w:rsidR="00537E94" w:rsidRPr="00FE3D62" w:rsidRDefault="00537E94" w:rsidP="00537E94">
      <w:pPr>
        <w:pStyle w:val="TablePlainParagraph"/>
        <w:pBdr>
          <w:bottom w:val="single" w:sz="4" w:space="1" w:color="auto"/>
        </w:pBdr>
        <w:tabs>
          <w:tab w:val="left" w:pos="3234"/>
          <w:tab w:val="left" w:pos="4342"/>
          <w:tab w:val="left" w:pos="5482"/>
          <w:tab w:val="left" w:pos="6656"/>
        </w:tabs>
        <w:rPr>
          <w:color w:val="000000"/>
        </w:rPr>
      </w:pPr>
    </w:p>
    <w:p w:rsidR="00372387" w:rsidRPr="009174C0" w:rsidRDefault="00372387" w:rsidP="00537E94">
      <w:pPr>
        <w:pStyle w:val="TablePlainParagraph"/>
        <w:rPr>
          <w:i/>
          <w:color w:val="000000"/>
        </w:rPr>
      </w:pPr>
      <w:r w:rsidRPr="009174C0">
        <w:rPr>
          <w:i/>
          <w:color w:val="000000"/>
        </w:rPr>
        <w:t>Cooked crustacea</w:t>
      </w: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Coagulase-positive</w:t>
      </w:r>
      <w:r w:rsidRPr="009174C0">
        <w:rPr>
          <w:color w:val="000000"/>
        </w:rPr>
        <w:tab/>
        <w:t>5</w:t>
      </w:r>
      <w:r w:rsidRPr="009174C0">
        <w:rPr>
          <w:color w:val="000000"/>
        </w:rPr>
        <w:tab/>
        <w:t>2</w:t>
      </w:r>
      <w:r w:rsidRPr="009174C0">
        <w:rPr>
          <w:color w:val="000000"/>
        </w:rPr>
        <w:tab/>
        <w:t>10</w:t>
      </w:r>
      <w:r w:rsidRPr="009174C0">
        <w:rPr>
          <w:color w:val="000000"/>
          <w:position w:val="6"/>
          <w:vertAlign w:val="superscript"/>
        </w:rPr>
        <w:t>2</w:t>
      </w:r>
      <w:r>
        <w:rPr>
          <w:color w:val="000000"/>
          <w:position w:val="6"/>
        </w:rPr>
        <w:t xml:space="preserve"> </w:t>
      </w:r>
      <w:r w:rsidRPr="009A71C2">
        <w:rPr>
          <w:color w:val="000000"/>
        </w:rPr>
        <w:t>/g</w:t>
      </w:r>
      <w:r w:rsidRPr="009174C0">
        <w:rPr>
          <w:color w:val="000000"/>
        </w:rPr>
        <w:tab/>
        <w:t>10</w:t>
      </w:r>
      <w:r w:rsidRPr="009174C0">
        <w:rPr>
          <w:color w:val="000000"/>
          <w:position w:val="6"/>
          <w:vertAlign w:val="superscript"/>
        </w:rPr>
        <w:t>3</w:t>
      </w:r>
      <w:r>
        <w:rPr>
          <w:color w:val="000000"/>
          <w:position w:val="6"/>
        </w:rPr>
        <w:t xml:space="preserve"> </w:t>
      </w:r>
      <w:r w:rsidRPr="009A71C2">
        <w:rPr>
          <w:color w:val="000000"/>
        </w:rPr>
        <w:t>/g</w:t>
      </w:r>
      <w:r w:rsidRPr="009174C0">
        <w:rPr>
          <w:color w:val="000000"/>
          <w:position w:val="6"/>
          <w:vertAlign w:val="superscript"/>
        </w:rPr>
        <w:br/>
      </w:r>
      <w:r w:rsidRPr="009174C0">
        <w:rPr>
          <w:color w:val="000000"/>
        </w:rPr>
        <w:t xml:space="preserve">   </w:t>
      </w:r>
      <w:r>
        <w:rPr>
          <w:color w:val="000000"/>
        </w:rPr>
        <w:t>staphylococci</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537E94" w:rsidRDefault="00372387" w:rsidP="00372387">
      <w:pPr>
        <w:pStyle w:val="TablePlainParagraph"/>
        <w:pBdr>
          <w:bottom w:val="single" w:sz="4" w:space="1" w:color="auto"/>
        </w:pBdr>
        <w:tabs>
          <w:tab w:val="left" w:pos="3234"/>
          <w:tab w:val="left" w:pos="4342"/>
          <w:tab w:val="left" w:pos="5482"/>
          <w:tab w:val="left" w:pos="6656"/>
        </w:tabs>
        <w:rPr>
          <w:color w:val="000000"/>
        </w:rPr>
      </w:pPr>
      <w:r w:rsidRPr="009174C0">
        <w:rPr>
          <w:color w:val="000000"/>
        </w:rPr>
        <w:t xml:space="preserve">   </w:t>
      </w:r>
      <w:r>
        <w:rPr>
          <w:color w:val="000000"/>
        </w:rPr>
        <w:t>SPC</w:t>
      </w:r>
      <w:r w:rsidRPr="009174C0">
        <w:rPr>
          <w:color w:val="000000"/>
        </w:rPr>
        <w:tab/>
        <w:t>5</w:t>
      </w:r>
      <w:r w:rsidRPr="009174C0">
        <w:rPr>
          <w:color w:val="000000"/>
        </w:rPr>
        <w:tab/>
        <w:t>2</w:t>
      </w:r>
      <w:r w:rsidRPr="009174C0">
        <w:rPr>
          <w:color w:val="000000"/>
        </w:rPr>
        <w:tab/>
        <w:t>10</w:t>
      </w:r>
      <w:r w:rsidRPr="009174C0">
        <w:rPr>
          <w:color w:val="000000"/>
          <w:position w:val="6"/>
          <w:vertAlign w:val="superscript"/>
        </w:rPr>
        <w:t>5</w:t>
      </w:r>
      <w:r>
        <w:rPr>
          <w:color w:val="000000"/>
          <w:position w:val="6"/>
        </w:rPr>
        <w:t xml:space="preserve"> </w:t>
      </w:r>
      <w:r w:rsidRPr="009A71C2">
        <w:rPr>
          <w:color w:val="000000"/>
        </w:rPr>
        <w:t>/g</w:t>
      </w:r>
      <w:r w:rsidRPr="009174C0">
        <w:rPr>
          <w:color w:val="000000"/>
        </w:rPr>
        <w:tab/>
        <w:t>10</w:t>
      </w:r>
      <w:r w:rsidRPr="009174C0">
        <w:rPr>
          <w:color w:val="000000"/>
          <w:position w:val="6"/>
          <w:vertAlign w:val="superscript"/>
        </w:rPr>
        <w:t>6</w:t>
      </w:r>
      <w:r>
        <w:rPr>
          <w:color w:val="000000"/>
          <w:position w:val="6"/>
        </w:rPr>
        <w:t xml:space="preserve"> </w:t>
      </w:r>
      <w:r w:rsidRPr="009A71C2">
        <w:rPr>
          <w:color w:val="000000"/>
        </w:rPr>
        <w:t>/g</w:t>
      </w:r>
    </w:p>
    <w:p w:rsidR="00372387" w:rsidRPr="009174C0" w:rsidRDefault="00372387" w:rsidP="00372387">
      <w:pPr>
        <w:pStyle w:val="TablePlainParagraph"/>
        <w:rPr>
          <w:i/>
          <w:color w:val="000000"/>
        </w:rPr>
      </w:pPr>
      <w:r w:rsidRPr="009174C0">
        <w:rPr>
          <w:i/>
          <w:color w:val="000000"/>
        </w:rPr>
        <w:t>Raw crustacea</w:t>
      </w: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Coagulase-positive</w:t>
      </w:r>
      <w:r w:rsidRPr="009174C0">
        <w:rPr>
          <w:color w:val="000000"/>
        </w:rPr>
        <w:tab/>
        <w:t>5</w:t>
      </w:r>
      <w:r w:rsidRPr="009174C0">
        <w:rPr>
          <w:color w:val="000000"/>
        </w:rPr>
        <w:tab/>
        <w:t>2</w:t>
      </w:r>
      <w:r w:rsidRPr="009174C0">
        <w:rPr>
          <w:color w:val="000000"/>
        </w:rPr>
        <w:tab/>
        <w:t>10</w:t>
      </w:r>
      <w:r w:rsidRPr="009174C0">
        <w:rPr>
          <w:rFonts w:cs="Times"/>
          <w:color w:val="000000"/>
          <w:position w:val="6"/>
          <w:vertAlign w:val="superscript"/>
        </w:rPr>
        <w:t>2</w:t>
      </w:r>
      <w:r>
        <w:rPr>
          <w:rFonts w:cs="Times"/>
          <w:color w:val="000000"/>
          <w:position w:val="6"/>
        </w:rPr>
        <w:t xml:space="preserve"> </w:t>
      </w:r>
      <w:r w:rsidRPr="009A71C2">
        <w:rPr>
          <w:color w:val="000000"/>
        </w:rPr>
        <w:t>/g</w:t>
      </w:r>
      <w:r w:rsidRPr="009174C0">
        <w:rPr>
          <w:color w:val="000000"/>
        </w:rPr>
        <w:tab/>
        <w:t>10</w:t>
      </w:r>
      <w:r w:rsidRPr="009174C0">
        <w:rPr>
          <w:rFonts w:cs="Times"/>
          <w:color w:val="000000"/>
          <w:position w:val="6"/>
          <w:vertAlign w:val="superscript"/>
        </w:rPr>
        <w:t>3</w:t>
      </w:r>
      <w:r>
        <w:rPr>
          <w:rFonts w:cs="Times"/>
          <w:color w:val="000000"/>
          <w:position w:val="6"/>
        </w:rPr>
        <w:t xml:space="preserve"> </w:t>
      </w:r>
      <w:r w:rsidRPr="009A71C2">
        <w:rPr>
          <w:color w:val="000000"/>
        </w:rPr>
        <w:t>/g</w:t>
      </w:r>
      <w:r w:rsidRPr="009174C0">
        <w:rPr>
          <w:rFonts w:cs="Times"/>
          <w:color w:val="000000"/>
          <w:position w:val="6"/>
          <w:vertAlign w:val="superscript"/>
        </w:rPr>
        <w:br/>
      </w:r>
      <w:r w:rsidRPr="009174C0">
        <w:rPr>
          <w:color w:val="000000"/>
        </w:rPr>
        <w:t xml:space="preserve">   </w:t>
      </w:r>
      <w:r>
        <w:rPr>
          <w:color w:val="000000"/>
        </w:rPr>
        <w:t>staphylococci</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FE3D62" w:rsidRDefault="00372387" w:rsidP="00372387">
      <w:pPr>
        <w:pStyle w:val="TablePlainParagraph"/>
        <w:pBdr>
          <w:bottom w:val="single" w:sz="4" w:space="1" w:color="auto"/>
        </w:pBdr>
        <w:tabs>
          <w:tab w:val="left" w:pos="3234"/>
          <w:tab w:val="left" w:pos="4342"/>
          <w:tab w:val="left" w:pos="5482"/>
          <w:tab w:val="left" w:pos="6656"/>
        </w:tabs>
        <w:rPr>
          <w:color w:val="000000"/>
        </w:rPr>
      </w:pPr>
      <w:r w:rsidRPr="009174C0">
        <w:rPr>
          <w:color w:val="000000"/>
        </w:rPr>
        <w:t xml:space="preserve">   </w:t>
      </w:r>
      <w:r>
        <w:rPr>
          <w:color w:val="000000"/>
        </w:rPr>
        <w:t>SPC</w:t>
      </w:r>
      <w:r w:rsidRPr="009174C0">
        <w:rPr>
          <w:color w:val="000000"/>
        </w:rPr>
        <w:tab/>
        <w:t>5</w:t>
      </w:r>
      <w:r w:rsidRPr="009174C0">
        <w:rPr>
          <w:color w:val="000000"/>
        </w:rPr>
        <w:tab/>
        <w:t>2</w:t>
      </w:r>
      <w:r w:rsidRPr="009174C0">
        <w:rPr>
          <w:color w:val="000000"/>
        </w:rPr>
        <w:tab/>
        <w:t>5x10</w:t>
      </w:r>
      <w:r w:rsidRPr="009174C0">
        <w:rPr>
          <w:rFonts w:cs="Times"/>
          <w:color w:val="000000"/>
          <w:position w:val="6"/>
          <w:vertAlign w:val="superscript"/>
        </w:rPr>
        <w:t>5</w:t>
      </w:r>
      <w:r>
        <w:rPr>
          <w:rFonts w:cs="Times"/>
          <w:color w:val="000000"/>
          <w:position w:val="6"/>
        </w:rPr>
        <w:t xml:space="preserve"> </w:t>
      </w:r>
      <w:r w:rsidRPr="009A71C2">
        <w:rPr>
          <w:color w:val="000000"/>
        </w:rPr>
        <w:t>/g</w:t>
      </w:r>
      <w:r w:rsidRPr="009174C0">
        <w:rPr>
          <w:color w:val="000000"/>
        </w:rPr>
        <w:tab/>
        <w:t>5x10</w:t>
      </w:r>
      <w:r w:rsidRPr="009174C0">
        <w:rPr>
          <w:rFonts w:cs="Times"/>
          <w:color w:val="000000"/>
          <w:position w:val="6"/>
          <w:vertAlign w:val="superscript"/>
        </w:rPr>
        <w:t>6</w:t>
      </w:r>
      <w:r>
        <w:rPr>
          <w:rFonts w:cs="Times"/>
          <w:color w:val="000000"/>
          <w:position w:val="6"/>
        </w:rPr>
        <w:t xml:space="preserve"> </w:t>
      </w:r>
      <w:r w:rsidRPr="009A71C2">
        <w:rPr>
          <w:color w:val="000000"/>
        </w:rPr>
        <w:t>/g</w:t>
      </w:r>
    </w:p>
    <w:p w:rsidR="00372387" w:rsidRPr="00A61A64" w:rsidRDefault="00372387" w:rsidP="00372387">
      <w:pPr>
        <w:pStyle w:val="TablePlainParagraph"/>
        <w:rPr>
          <w:color w:val="000000"/>
        </w:rPr>
      </w:pPr>
      <w:r w:rsidRPr="009174C0">
        <w:rPr>
          <w:i/>
          <w:color w:val="000000"/>
        </w:rPr>
        <w:t xml:space="preserve">Ready-to-eat </w:t>
      </w:r>
      <w:r>
        <w:rPr>
          <w:i/>
          <w:color w:val="000000"/>
        </w:rPr>
        <w:t>food in which growth of Listeria monocytogenes</w:t>
      </w:r>
      <w:r w:rsidRPr="0008594B">
        <w:rPr>
          <w:i/>
          <w:color w:val="000000"/>
        </w:rPr>
        <w:t xml:space="preserve"> </w:t>
      </w:r>
      <w:r w:rsidRPr="009A71C2">
        <w:rPr>
          <w:i/>
          <w:color w:val="000000"/>
        </w:rPr>
        <w:t>will not occur</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after="0"/>
        <w:rPr>
          <w:color w:val="000000"/>
        </w:rPr>
      </w:pPr>
      <w:r w:rsidRPr="009174C0">
        <w:rPr>
          <w:color w:val="000000"/>
        </w:rPr>
        <w:t xml:space="preserve">   </w:t>
      </w:r>
      <w:r w:rsidRPr="002A6003">
        <w:rPr>
          <w:i/>
          <w:color w:val="000000"/>
        </w:rPr>
        <w:t>Listeria monocytogenes</w:t>
      </w:r>
      <w:r w:rsidRPr="009174C0">
        <w:rPr>
          <w:iCs/>
          <w:color w:val="000000"/>
        </w:rPr>
        <w:tab/>
      </w:r>
      <w:r w:rsidRPr="009174C0">
        <w:rPr>
          <w:color w:val="000000"/>
        </w:rPr>
        <w:t>5</w:t>
      </w:r>
      <w:r w:rsidRPr="009174C0">
        <w:rPr>
          <w:color w:val="000000"/>
        </w:rPr>
        <w:tab/>
      </w:r>
      <w:r>
        <w:rPr>
          <w:color w:val="000000"/>
        </w:rPr>
        <w:t>0</w:t>
      </w:r>
      <w:r w:rsidRPr="009174C0">
        <w:rPr>
          <w:color w:val="000000"/>
        </w:rPr>
        <w:tab/>
        <w:t>10</w:t>
      </w:r>
      <w:r w:rsidRPr="009174C0">
        <w:rPr>
          <w:rFonts w:cs="Times"/>
          <w:color w:val="000000"/>
          <w:position w:val="6"/>
          <w:vertAlign w:val="superscript"/>
        </w:rPr>
        <w:t>2</w:t>
      </w:r>
      <w:r>
        <w:rPr>
          <w:rFonts w:cs="Times"/>
          <w:color w:val="000000"/>
          <w:position w:val="6"/>
          <w:vertAlign w:val="superscript"/>
        </w:rPr>
        <w:t xml:space="preserve"> </w:t>
      </w:r>
      <w:r w:rsidRPr="009A71C2">
        <w:rPr>
          <w:color w:val="000000"/>
        </w:rPr>
        <w:t>cfu/g</w:t>
      </w:r>
      <w:r w:rsidRPr="009174C0">
        <w:rPr>
          <w:color w:val="000000"/>
        </w:rPr>
        <w:tab/>
      </w:r>
    </w:p>
    <w:p w:rsidR="00372387" w:rsidRPr="00A61A64" w:rsidRDefault="00372387" w:rsidP="00372387">
      <w:pPr>
        <w:pStyle w:val="TablePlainParagraph"/>
        <w:rPr>
          <w:color w:val="000000"/>
        </w:rPr>
      </w:pPr>
      <w:r w:rsidRPr="009174C0">
        <w:rPr>
          <w:i/>
          <w:color w:val="000000"/>
        </w:rPr>
        <w:t xml:space="preserve">Ready-to-eat </w:t>
      </w:r>
      <w:r>
        <w:rPr>
          <w:i/>
          <w:color w:val="000000"/>
        </w:rPr>
        <w:t>food in which growth of Listeria monocytogenes</w:t>
      </w:r>
      <w:r w:rsidRPr="0008594B">
        <w:rPr>
          <w:i/>
          <w:color w:val="000000"/>
        </w:rPr>
        <w:t xml:space="preserve"> </w:t>
      </w:r>
      <w:r w:rsidRPr="009A71C2">
        <w:rPr>
          <w:i/>
          <w:color w:val="000000"/>
        </w:rPr>
        <w:t>can occur</w:t>
      </w:r>
    </w:p>
    <w:p w:rsidR="00372387" w:rsidRDefault="00372387" w:rsidP="00372387">
      <w:pPr>
        <w:pStyle w:val="TablePlainParagraph"/>
        <w:pBdr>
          <w:bottom w:val="single" w:sz="4" w:space="1" w:color="auto"/>
        </w:pBdr>
        <w:tabs>
          <w:tab w:val="left" w:pos="3234"/>
          <w:tab w:val="left" w:pos="4342"/>
          <w:tab w:val="left" w:pos="5482"/>
          <w:tab w:val="left" w:pos="6656"/>
        </w:tabs>
        <w:spacing w:before="0" w:after="0"/>
        <w:rPr>
          <w:color w:val="000000"/>
        </w:rPr>
      </w:pPr>
      <w:r w:rsidRPr="009174C0">
        <w:rPr>
          <w:color w:val="000000"/>
        </w:rPr>
        <w:t xml:space="preserve">   </w:t>
      </w:r>
      <w:r w:rsidRPr="002A6003">
        <w:rPr>
          <w:i/>
          <w:color w:val="000000"/>
        </w:rPr>
        <w:t>Listeria monocytogenes</w:t>
      </w:r>
      <w:r w:rsidRPr="009174C0">
        <w:rPr>
          <w:iCs/>
          <w:color w:val="000000"/>
        </w:rPr>
        <w:tab/>
      </w:r>
      <w:r w:rsidRPr="009174C0">
        <w:rPr>
          <w:color w:val="000000"/>
        </w:rPr>
        <w:t>5</w:t>
      </w:r>
      <w:r w:rsidRPr="009174C0">
        <w:rPr>
          <w:color w:val="000000"/>
        </w:rPr>
        <w:tab/>
      </w:r>
      <w:r>
        <w:rPr>
          <w:color w:val="000000"/>
        </w:rPr>
        <w:t>0</w:t>
      </w:r>
      <w:r w:rsidRPr="009174C0">
        <w:rPr>
          <w:color w:val="000000"/>
        </w:rPr>
        <w:tab/>
      </w:r>
      <w:r>
        <w:rPr>
          <w:color w:val="000000"/>
        </w:rPr>
        <w:t>not detected</w:t>
      </w:r>
      <w:r>
        <w:rPr>
          <w:color w:val="000000"/>
        </w:rPr>
        <w:tab/>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after="0"/>
        <w:rPr>
          <w:color w:val="000000"/>
        </w:rPr>
      </w:pPr>
      <w:r>
        <w:rPr>
          <w:color w:val="000000"/>
        </w:rPr>
        <w:tab/>
      </w:r>
      <w:r>
        <w:rPr>
          <w:color w:val="000000"/>
        </w:rPr>
        <w:tab/>
      </w:r>
      <w:r>
        <w:rPr>
          <w:color w:val="000000"/>
        </w:rPr>
        <w:tab/>
        <w:t>in 25 g</w:t>
      </w:r>
    </w:p>
    <w:p w:rsidR="00372387" w:rsidRPr="009174C0" w:rsidRDefault="00372387" w:rsidP="00372387">
      <w:pPr>
        <w:pStyle w:val="TablePlainParagraph"/>
        <w:rPr>
          <w:i/>
          <w:color w:val="000000"/>
        </w:rPr>
      </w:pPr>
      <w:r w:rsidRPr="009174C0">
        <w:rPr>
          <w:i/>
          <w:color w:val="000000"/>
        </w:rPr>
        <w:t>Bivalve molluscs, other than scallops</w:t>
      </w:r>
    </w:p>
    <w:p w:rsidR="00372387" w:rsidRPr="009174C0" w:rsidRDefault="00372387" w:rsidP="00372387">
      <w:pPr>
        <w:pStyle w:val="TablePlainParagraph"/>
        <w:pBdr>
          <w:bottom w:val="single" w:sz="4" w:space="1" w:color="auto"/>
        </w:pBdr>
        <w:tabs>
          <w:tab w:val="left" w:pos="3234"/>
          <w:tab w:val="left" w:pos="4342"/>
          <w:tab w:val="left" w:pos="5482"/>
          <w:tab w:val="left" w:pos="6656"/>
        </w:tabs>
        <w:rPr>
          <w:color w:val="000000"/>
        </w:rPr>
      </w:pPr>
      <w:r w:rsidRPr="009174C0">
        <w:rPr>
          <w:color w:val="000000"/>
        </w:rPr>
        <w:t xml:space="preserve">   </w:t>
      </w:r>
      <w:r>
        <w:rPr>
          <w:i/>
          <w:color w:val="000000"/>
        </w:rPr>
        <w:t>Escherichia coli</w:t>
      </w:r>
      <w:r w:rsidRPr="009174C0">
        <w:rPr>
          <w:iCs/>
          <w:color w:val="000000"/>
        </w:rPr>
        <w:tab/>
      </w:r>
      <w:r w:rsidRPr="009174C0">
        <w:rPr>
          <w:color w:val="000000"/>
        </w:rPr>
        <w:t>5</w:t>
      </w:r>
      <w:r w:rsidRPr="009174C0">
        <w:rPr>
          <w:color w:val="000000"/>
        </w:rPr>
        <w:tab/>
        <w:t>1</w:t>
      </w:r>
      <w:r w:rsidRPr="009174C0">
        <w:rPr>
          <w:color w:val="000000"/>
        </w:rPr>
        <w:tab/>
        <w:t>2.3</w:t>
      </w:r>
      <w:r>
        <w:rPr>
          <w:color w:val="000000"/>
        </w:rPr>
        <w:t xml:space="preserve"> /g</w:t>
      </w:r>
      <w:r w:rsidRPr="009174C0">
        <w:rPr>
          <w:color w:val="000000"/>
        </w:rPr>
        <w:tab/>
        <w:t>7</w:t>
      </w:r>
      <w:r>
        <w:rPr>
          <w:color w:val="000000"/>
        </w:rPr>
        <w:t xml:space="preserve"> /g</w:t>
      </w:r>
    </w:p>
    <w:p w:rsidR="00372387" w:rsidRPr="009174C0" w:rsidRDefault="00372387" w:rsidP="00372387">
      <w:pPr>
        <w:pStyle w:val="TablePlainParagraph"/>
        <w:rPr>
          <w:i/>
          <w:color w:val="000000"/>
        </w:rPr>
      </w:pPr>
      <w:r w:rsidRPr="009174C0">
        <w:rPr>
          <w:i/>
          <w:color w:val="000000"/>
        </w:rPr>
        <w:t>Cereal based foods for infants</w:t>
      </w: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w:t>
      </w:r>
      <w:r>
        <w:rPr>
          <w:color w:val="000000"/>
        </w:rPr>
        <w:t>Coliforms</w:t>
      </w:r>
      <w:r w:rsidRPr="009174C0">
        <w:rPr>
          <w:color w:val="000000"/>
        </w:rPr>
        <w:tab/>
        <w:t>5</w:t>
      </w:r>
      <w:r w:rsidRPr="009174C0">
        <w:rPr>
          <w:color w:val="000000"/>
        </w:rPr>
        <w:tab/>
        <w:t>2</w:t>
      </w:r>
      <w:r w:rsidRPr="009174C0">
        <w:rPr>
          <w:color w:val="000000"/>
        </w:rPr>
        <w:tab/>
        <w:t>&lt;3</w:t>
      </w:r>
      <w:r>
        <w:rPr>
          <w:color w:val="000000"/>
        </w:rPr>
        <w:t xml:space="preserve"> /g</w:t>
      </w:r>
      <w:r w:rsidRPr="009174C0">
        <w:rPr>
          <w:color w:val="000000"/>
        </w:rPr>
        <w:tab/>
        <w:t>20</w:t>
      </w:r>
      <w:r>
        <w:rPr>
          <w:color w:val="000000"/>
        </w:rPr>
        <w:t xml:space="preserve"> /g</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iCs/>
          <w:color w:val="000000"/>
        </w:rPr>
        <w:tab/>
      </w:r>
      <w:r w:rsidRPr="009174C0">
        <w:rPr>
          <w:color w:val="000000"/>
        </w:rPr>
        <w:t>10</w:t>
      </w:r>
      <w:r w:rsidRPr="009174C0">
        <w:rPr>
          <w:color w:val="000000"/>
        </w:rPr>
        <w:tab/>
        <w:t>0</w:t>
      </w:r>
      <w:r w:rsidRPr="009174C0">
        <w:rPr>
          <w:color w:val="000000"/>
        </w:rPr>
        <w:tab/>
      </w:r>
      <w:r w:rsidRPr="00BC13BE">
        <w:rPr>
          <w:szCs w:val="24"/>
        </w:rPr>
        <w:t>not detected</w:t>
      </w:r>
    </w:p>
    <w:p w:rsidR="00372387" w:rsidRDefault="00372387" w:rsidP="00372387">
      <w:pPr>
        <w:pStyle w:val="TablePlainParagraph"/>
        <w:pBdr>
          <w:bottom w:val="single" w:sz="4" w:space="1" w:color="auto"/>
        </w:pBdr>
        <w:tabs>
          <w:tab w:val="left" w:pos="3234"/>
          <w:tab w:val="left" w:pos="4342"/>
          <w:tab w:val="left" w:pos="5482"/>
          <w:tab w:val="left" w:pos="6656"/>
        </w:tabs>
        <w:spacing w:before="0"/>
        <w:rPr>
          <w:i/>
          <w:color w:val="000000"/>
        </w:rPr>
      </w:pP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i/>
          <w:color w:val="000000"/>
        </w:rPr>
        <w:t xml:space="preserve"> </w:t>
      </w:r>
    </w:p>
    <w:p w:rsidR="00372387" w:rsidRPr="009174C0" w:rsidRDefault="00372387" w:rsidP="00372387">
      <w:pPr>
        <w:pStyle w:val="TablePlainParagraph"/>
        <w:tabs>
          <w:tab w:val="left" w:pos="3234"/>
          <w:tab w:val="left" w:pos="4342"/>
          <w:tab w:val="left" w:pos="5482"/>
          <w:tab w:val="left" w:pos="6656"/>
        </w:tabs>
        <w:rPr>
          <w:i/>
          <w:color w:val="000000"/>
        </w:rPr>
      </w:pPr>
      <w:r w:rsidRPr="009174C0">
        <w:rPr>
          <w:i/>
          <w:color w:val="000000"/>
        </w:rPr>
        <w:t>Powdered infant formula products</w:t>
      </w:r>
    </w:p>
    <w:p w:rsidR="00372387" w:rsidRPr="009174C0" w:rsidRDefault="00372387" w:rsidP="00372387">
      <w:pPr>
        <w:pStyle w:val="TablePlainParagraph"/>
        <w:tabs>
          <w:tab w:val="left" w:pos="3234"/>
          <w:tab w:val="left" w:pos="4342"/>
          <w:tab w:val="left" w:pos="5482"/>
          <w:tab w:val="left" w:pos="6656"/>
        </w:tabs>
        <w:rPr>
          <w:color w:val="000000"/>
        </w:rPr>
      </w:pPr>
      <w:r w:rsidRPr="009174C0">
        <w:rPr>
          <w:color w:val="000000"/>
        </w:rPr>
        <w:t xml:space="preserve">   </w:t>
      </w:r>
      <w:r w:rsidRPr="002A6003">
        <w:rPr>
          <w:i/>
          <w:color w:val="000000"/>
        </w:rPr>
        <w:t>Bacillus cereus</w:t>
      </w:r>
      <w:r w:rsidRPr="009174C0">
        <w:rPr>
          <w:color w:val="000000"/>
        </w:rPr>
        <w:tab/>
        <w:t>5</w:t>
      </w:r>
      <w:r w:rsidRPr="009174C0">
        <w:rPr>
          <w:color w:val="000000"/>
        </w:rPr>
        <w:tab/>
        <w:t>0</w:t>
      </w:r>
      <w:r w:rsidRPr="009174C0">
        <w:rPr>
          <w:color w:val="000000"/>
        </w:rPr>
        <w:tab/>
        <w:t>10</w:t>
      </w:r>
      <w:r w:rsidRPr="003F6305">
        <w:rPr>
          <w:color w:val="000000"/>
          <w:vertAlign w:val="superscript"/>
        </w:rPr>
        <w:t>2</w:t>
      </w:r>
      <w:r>
        <w:rPr>
          <w:color w:val="000000"/>
          <w:vertAlign w:val="superscript"/>
        </w:rPr>
        <w:t xml:space="preserve"> </w:t>
      </w:r>
      <w:r w:rsidRPr="003F6305">
        <w:rPr>
          <w:color w:val="000000"/>
        </w:rPr>
        <w:t>/g</w:t>
      </w:r>
      <w:r w:rsidRPr="009174C0">
        <w:rPr>
          <w:color w:val="000000"/>
        </w:rPr>
        <w:tab/>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Coagulase-positive</w:t>
      </w:r>
      <w:r w:rsidRPr="009174C0">
        <w:rPr>
          <w:color w:val="000000"/>
        </w:rPr>
        <w:tab/>
        <w:t>5</w:t>
      </w:r>
      <w:r w:rsidRPr="009174C0">
        <w:rPr>
          <w:color w:val="000000"/>
        </w:rPr>
        <w:tab/>
        <w:t>1</w:t>
      </w:r>
      <w:r w:rsidRPr="009174C0">
        <w:rPr>
          <w:color w:val="000000"/>
        </w:rPr>
        <w:tab/>
      </w:r>
      <w:r w:rsidRPr="00BC13BE">
        <w:rPr>
          <w:szCs w:val="24"/>
        </w:rPr>
        <w:t>not detected</w:t>
      </w:r>
    </w:p>
    <w:p w:rsidR="00372387" w:rsidRPr="009174C0" w:rsidRDefault="00372387" w:rsidP="00372387">
      <w:pPr>
        <w:pStyle w:val="TablePlainParagraph"/>
        <w:tabs>
          <w:tab w:val="left" w:pos="3234"/>
          <w:tab w:val="left" w:pos="4342"/>
          <w:tab w:val="left" w:pos="5482"/>
          <w:tab w:val="left" w:pos="6656"/>
        </w:tabs>
        <w:spacing w:before="0"/>
        <w:rPr>
          <w:color w:val="000000"/>
        </w:rPr>
      </w:pPr>
      <w:r w:rsidRPr="009174C0">
        <w:rPr>
          <w:color w:val="000000"/>
        </w:rPr>
        <w:t xml:space="preserve">   </w:t>
      </w:r>
      <w:r>
        <w:rPr>
          <w:color w:val="000000"/>
        </w:rPr>
        <w:t>staphylococci</w:t>
      </w:r>
      <w:r>
        <w:rPr>
          <w:i/>
          <w:color w:val="000000"/>
        </w:rPr>
        <w:tab/>
      </w:r>
      <w:r>
        <w:rPr>
          <w:i/>
          <w:color w:val="000000"/>
        </w:rPr>
        <w:tab/>
      </w:r>
      <w:r>
        <w:rPr>
          <w:i/>
          <w:color w:val="000000"/>
        </w:rPr>
        <w:tab/>
      </w:r>
      <w:r>
        <w:rPr>
          <w:szCs w:val="24"/>
        </w:rPr>
        <w:t>in 1 </w:t>
      </w:r>
      <w:r w:rsidRPr="00BC13BE">
        <w:rPr>
          <w:szCs w:val="24"/>
        </w:rPr>
        <w:t>g</w:t>
      </w:r>
      <w:r w:rsidRPr="009174C0">
        <w:rPr>
          <w:color w:val="000000"/>
        </w:rPr>
        <w:tab/>
        <w:t>10</w:t>
      </w:r>
      <w:r>
        <w:rPr>
          <w:color w:val="000000"/>
        </w:rPr>
        <w:t xml:space="preserve"> /g</w:t>
      </w:r>
      <w:r w:rsidRPr="009174C0">
        <w:rPr>
          <w:color w:val="000000"/>
        </w:rPr>
        <w:br/>
        <w:t xml:space="preserve">   </w:t>
      </w:r>
      <w:r>
        <w:rPr>
          <w:color w:val="000000"/>
        </w:rPr>
        <w:t>Coliforms</w:t>
      </w:r>
      <w:r w:rsidRPr="009174C0">
        <w:rPr>
          <w:color w:val="000000"/>
        </w:rPr>
        <w:tab/>
        <w:t>5</w:t>
      </w:r>
      <w:r w:rsidRPr="009174C0">
        <w:rPr>
          <w:color w:val="000000"/>
        </w:rPr>
        <w:tab/>
        <w:t>2</w:t>
      </w:r>
      <w:r w:rsidRPr="009174C0">
        <w:rPr>
          <w:color w:val="000000"/>
        </w:rPr>
        <w:tab/>
        <w:t>&lt;3</w:t>
      </w:r>
      <w:r>
        <w:rPr>
          <w:color w:val="000000"/>
        </w:rPr>
        <w:t xml:space="preserve"> /g</w:t>
      </w:r>
      <w:r w:rsidRPr="009174C0">
        <w:rPr>
          <w:color w:val="000000"/>
        </w:rPr>
        <w:tab/>
        <w:t>10</w:t>
      </w:r>
      <w:r>
        <w:rPr>
          <w:color w:val="000000"/>
        </w:rPr>
        <w:t xml:space="preserve"> /g</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iCs/>
          <w:color w:val="000000"/>
        </w:rPr>
        <w:tab/>
      </w:r>
      <w:r w:rsidRPr="009174C0">
        <w:rPr>
          <w:color w:val="000000"/>
        </w:rPr>
        <w:t>10</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tabs>
          <w:tab w:val="left" w:pos="3234"/>
          <w:tab w:val="left" w:pos="4342"/>
          <w:tab w:val="left" w:pos="5482"/>
          <w:tab w:val="left" w:pos="6656"/>
        </w:tabs>
        <w:rPr>
          <w:color w:val="000000"/>
        </w:rPr>
      </w:pP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3F6305" w:rsidRDefault="00372387" w:rsidP="00372387">
      <w:pPr>
        <w:pStyle w:val="TablePlainParagraph"/>
        <w:pBdr>
          <w:bottom w:val="single" w:sz="4" w:space="1" w:color="auto"/>
        </w:pBdr>
        <w:tabs>
          <w:tab w:val="left" w:pos="3234"/>
          <w:tab w:val="left" w:pos="4342"/>
          <w:tab w:val="left" w:pos="5482"/>
          <w:tab w:val="left" w:pos="6656"/>
        </w:tabs>
        <w:rPr>
          <w:color w:val="000000"/>
        </w:rPr>
      </w:pPr>
      <w:r w:rsidRPr="009174C0">
        <w:rPr>
          <w:color w:val="000000"/>
        </w:rPr>
        <w:t xml:space="preserve">   </w:t>
      </w:r>
      <w:r>
        <w:rPr>
          <w:color w:val="000000"/>
        </w:rPr>
        <w:t>SPC</w:t>
      </w:r>
      <w:r w:rsidRPr="009174C0">
        <w:rPr>
          <w:color w:val="000000"/>
        </w:rPr>
        <w:tab/>
        <w:t>5</w:t>
      </w:r>
      <w:r w:rsidRPr="009174C0">
        <w:rPr>
          <w:color w:val="000000"/>
        </w:rPr>
        <w:tab/>
        <w:t>2</w:t>
      </w:r>
      <w:r w:rsidRPr="009174C0">
        <w:rPr>
          <w:color w:val="000000"/>
        </w:rPr>
        <w:tab/>
        <w:t>10</w:t>
      </w:r>
      <w:r w:rsidRPr="009174C0">
        <w:rPr>
          <w:rFonts w:cs="Times"/>
          <w:color w:val="000000"/>
          <w:position w:val="6"/>
          <w:vertAlign w:val="superscript"/>
        </w:rPr>
        <w:t>3</w:t>
      </w:r>
      <w:r>
        <w:rPr>
          <w:rFonts w:cs="Times"/>
          <w:color w:val="000000"/>
          <w:position w:val="6"/>
        </w:rPr>
        <w:t xml:space="preserve"> </w:t>
      </w:r>
      <w:r w:rsidRPr="009A71C2">
        <w:rPr>
          <w:color w:val="000000"/>
        </w:rPr>
        <w:t>/g</w:t>
      </w:r>
      <w:r w:rsidRPr="009174C0">
        <w:rPr>
          <w:color w:val="000000"/>
        </w:rPr>
        <w:tab/>
        <w:t>10</w:t>
      </w:r>
      <w:r w:rsidRPr="009174C0">
        <w:rPr>
          <w:rFonts w:cs="Times"/>
          <w:color w:val="000000"/>
          <w:position w:val="6"/>
          <w:vertAlign w:val="superscript"/>
        </w:rPr>
        <w:t>4</w:t>
      </w:r>
      <w:r>
        <w:rPr>
          <w:rFonts w:cs="Times"/>
          <w:color w:val="000000"/>
          <w:position w:val="6"/>
        </w:rPr>
        <w:t xml:space="preserve"> </w:t>
      </w:r>
      <w:r w:rsidRPr="009A71C2">
        <w:rPr>
          <w:color w:val="000000"/>
        </w:rPr>
        <w:t>/g</w:t>
      </w:r>
    </w:p>
    <w:p w:rsidR="00372387" w:rsidRPr="009174C0" w:rsidRDefault="00372387" w:rsidP="00372387">
      <w:pPr>
        <w:pStyle w:val="TablePlainParagraph"/>
        <w:rPr>
          <w:i/>
          <w:color w:val="000000"/>
        </w:rPr>
      </w:pPr>
      <w:r w:rsidRPr="009174C0">
        <w:rPr>
          <w:i/>
          <w:color w:val="000000"/>
        </w:rPr>
        <w:t>Pepper, paprika and cinnamon</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rPr>
          <w:color w:val="000000"/>
        </w:rPr>
      </w:pP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372387">
      <w:pPr>
        <w:pStyle w:val="TablePlainParagraph"/>
        <w:rPr>
          <w:i/>
          <w:color w:val="000000"/>
        </w:rPr>
      </w:pPr>
      <w:r w:rsidRPr="009174C0">
        <w:rPr>
          <w:i/>
          <w:color w:val="000000"/>
        </w:rPr>
        <w:t>Dried, chipped, desiccated coconut</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10</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after="0"/>
        <w:rPr>
          <w:color w:val="000000"/>
        </w:rPr>
      </w:pP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372387">
      <w:pPr>
        <w:pStyle w:val="TablePlainParagraph"/>
        <w:rPr>
          <w:i/>
          <w:color w:val="000000"/>
        </w:rPr>
      </w:pPr>
      <w:r w:rsidRPr="009174C0">
        <w:rPr>
          <w:i/>
          <w:color w:val="000000"/>
        </w:rPr>
        <w:t>Cocoa powder</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after="0"/>
        <w:rPr>
          <w:color w:val="000000"/>
        </w:rPr>
      </w:pP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372387">
      <w:pPr>
        <w:pStyle w:val="TablePlainParagraph"/>
        <w:rPr>
          <w:i/>
          <w:color w:val="000000"/>
        </w:rPr>
      </w:pPr>
      <w:r w:rsidRPr="009174C0">
        <w:rPr>
          <w:i/>
          <w:color w:val="000000"/>
        </w:rPr>
        <w:t>Cultured seeds and grains (bean sprouts, alfalfa etc)</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537E94">
      <w:pPr>
        <w:pStyle w:val="TablePlainParagraph"/>
        <w:pBdr>
          <w:bottom w:val="single" w:sz="4" w:space="1" w:color="auto"/>
        </w:pBdr>
        <w:tabs>
          <w:tab w:val="left" w:pos="3234"/>
          <w:tab w:val="left" w:pos="4342"/>
          <w:tab w:val="left" w:pos="5482"/>
          <w:tab w:val="left" w:pos="6656"/>
        </w:tabs>
        <w:spacing w:before="0" w:after="0"/>
        <w:rPr>
          <w:color w:val="000000"/>
        </w:rPr>
      </w:pP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r w:rsidRPr="009174C0">
        <w:rPr>
          <w:color w:val="000000"/>
        </w:rPr>
        <w:br w:type="page"/>
      </w:r>
    </w:p>
    <w:p w:rsidR="00372387" w:rsidRPr="009174C0" w:rsidRDefault="00372387" w:rsidP="00372387">
      <w:pPr>
        <w:pStyle w:val="TablePlainParagraph"/>
        <w:rPr>
          <w:b/>
          <w:color w:val="000000"/>
        </w:rPr>
      </w:pPr>
      <w:r w:rsidRPr="009174C0">
        <w:rPr>
          <w:b/>
          <w:color w:val="000000"/>
        </w:rPr>
        <w:lastRenderedPageBreak/>
        <w:t>Microbiological limits for foods (cont)</w:t>
      </w:r>
    </w:p>
    <w:p w:rsidR="00372387" w:rsidRPr="009174C0" w:rsidRDefault="00372387" w:rsidP="00372387">
      <w:pPr>
        <w:pStyle w:val="TablePlainParagraph"/>
        <w:pBdr>
          <w:top w:val="single" w:sz="4" w:space="1" w:color="auto"/>
          <w:bottom w:val="single" w:sz="4" w:space="1" w:color="auto"/>
          <w:between w:val="single" w:sz="4" w:space="1" w:color="auto"/>
        </w:pBdr>
        <w:tabs>
          <w:tab w:val="left" w:pos="3234"/>
          <w:tab w:val="left" w:pos="4342"/>
          <w:tab w:val="left" w:pos="5482"/>
          <w:tab w:val="left" w:pos="6656"/>
        </w:tabs>
        <w:rPr>
          <w:b/>
          <w:color w:val="000000"/>
        </w:rPr>
      </w:pPr>
      <w:r w:rsidRPr="009174C0">
        <w:rPr>
          <w:b/>
          <w:color w:val="000000"/>
        </w:rPr>
        <w:t>Column 1</w:t>
      </w:r>
      <w:r w:rsidRPr="009174C0">
        <w:rPr>
          <w:b/>
          <w:color w:val="000000"/>
        </w:rPr>
        <w:tab/>
        <w:t>Column 2</w:t>
      </w:r>
      <w:r w:rsidRPr="009174C0">
        <w:rPr>
          <w:b/>
          <w:color w:val="000000"/>
        </w:rPr>
        <w:tab/>
        <w:t>Column 3</w:t>
      </w:r>
      <w:r w:rsidRPr="009174C0">
        <w:rPr>
          <w:b/>
          <w:color w:val="000000"/>
        </w:rPr>
        <w:tab/>
        <w:t>Column 4</w:t>
      </w:r>
      <w:r w:rsidRPr="009174C0">
        <w:rPr>
          <w:b/>
          <w:color w:val="000000"/>
        </w:rPr>
        <w:tab/>
        <w:t>Column 5</w:t>
      </w:r>
      <w:r>
        <w:rPr>
          <w:b/>
          <w:color w:val="000000"/>
        </w:rPr>
        <w:br/>
        <w:t xml:space="preserve"> </w:t>
      </w:r>
      <w:r>
        <w:rPr>
          <w:b/>
          <w:color w:val="000000"/>
        </w:rPr>
        <w:tab/>
        <w:t>(</w:t>
      </w:r>
      <w:r w:rsidRPr="00C87BA0">
        <w:rPr>
          <w:b/>
          <w:color w:val="000000"/>
        </w:rPr>
        <w:t>n</w:t>
      </w:r>
      <w:r>
        <w:rPr>
          <w:b/>
          <w:color w:val="000000"/>
        </w:rPr>
        <w:t>)</w:t>
      </w:r>
      <w:r>
        <w:rPr>
          <w:b/>
          <w:color w:val="000000"/>
        </w:rPr>
        <w:tab/>
        <w:t>(</w:t>
      </w:r>
      <w:r>
        <w:rPr>
          <w:b/>
          <w:i/>
          <w:color w:val="000000"/>
        </w:rPr>
        <w:t>c</w:t>
      </w:r>
      <w:r>
        <w:rPr>
          <w:b/>
          <w:color w:val="000000"/>
        </w:rPr>
        <w:t>)</w:t>
      </w:r>
      <w:r>
        <w:rPr>
          <w:b/>
          <w:color w:val="000000"/>
        </w:rPr>
        <w:tab/>
        <w:t>(m)</w:t>
      </w:r>
      <w:r>
        <w:rPr>
          <w:b/>
          <w:color w:val="000000"/>
        </w:rPr>
        <w:tab/>
        <w:t>(M)</w:t>
      </w:r>
    </w:p>
    <w:p w:rsidR="00372387" w:rsidRPr="009174C0" w:rsidRDefault="00372387" w:rsidP="00372387">
      <w:pPr>
        <w:pStyle w:val="TablePlainParagraph"/>
        <w:rPr>
          <w:i/>
          <w:color w:val="000000"/>
        </w:rPr>
      </w:pPr>
      <w:r>
        <w:rPr>
          <w:i/>
          <w:color w:val="000000"/>
        </w:rPr>
        <w:t xml:space="preserve">Pasteurised egg products </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rPr>
          <w:color w:val="000000"/>
        </w:rPr>
      </w:pP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372387">
      <w:pPr>
        <w:pStyle w:val="TablePlainParagraph"/>
        <w:rPr>
          <w:i/>
          <w:color w:val="000000"/>
        </w:rPr>
      </w:pPr>
      <w:r w:rsidRPr="009174C0">
        <w:rPr>
          <w:i/>
          <w:color w:val="000000"/>
        </w:rPr>
        <w:t>Processed egg product</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iCs/>
          <w:color w:val="000000"/>
        </w:rPr>
        <w:tab/>
      </w:r>
      <w:r w:rsidRPr="009174C0">
        <w:rPr>
          <w:color w:val="000000"/>
        </w:rPr>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rPr>
          <w:color w:val="000000"/>
        </w:rPr>
      </w:pP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372387" w:rsidRPr="009174C0" w:rsidRDefault="00372387" w:rsidP="00372387">
      <w:pPr>
        <w:pStyle w:val="TablePlainParagraph"/>
        <w:rPr>
          <w:i/>
          <w:color w:val="000000"/>
        </w:rPr>
      </w:pPr>
      <w:r w:rsidRPr="009174C0">
        <w:rPr>
          <w:i/>
          <w:color w:val="000000"/>
        </w:rPr>
        <w:t>Mineral water</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Escherichia coli</w:t>
      </w:r>
      <w:r>
        <w:rPr>
          <w:iCs/>
          <w:color w:val="000000"/>
        </w:rPr>
        <w:t>/</w:t>
      </w:r>
      <w:r w:rsidRPr="009174C0">
        <w:rPr>
          <w:iCs/>
          <w:color w:val="000000"/>
        </w:rPr>
        <w:tab/>
      </w:r>
      <w:r w:rsidRPr="009174C0">
        <w:rPr>
          <w:color w:val="000000"/>
        </w:rPr>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rPr>
          <w:color w:val="000000"/>
        </w:rPr>
      </w:pPr>
      <w:r>
        <w:rPr>
          <w:i/>
          <w:color w:val="000000"/>
        </w:rPr>
        <w:tab/>
      </w:r>
      <w:r>
        <w:rPr>
          <w:i/>
          <w:color w:val="000000"/>
        </w:rPr>
        <w:tab/>
      </w:r>
      <w:r>
        <w:rPr>
          <w:i/>
          <w:color w:val="000000"/>
        </w:rPr>
        <w:tab/>
      </w:r>
      <w:r w:rsidRPr="00BC13BE">
        <w:rPr>
          <w:szCs w:val="24"/>
        </w:rPr>
        <w:t xml:space="preserve">in </w:t>
      </w:r>
      <w:r>
        <w:rPr>
          <w:szCs w:val="24"/>
        </w:rPr>
        <w:t xml:space="preserve">100 </w:t>
      </w:r>
      <w:r>
        <w:rPr>
          <w:color w:val="000000"/>
        </w:rPr>
        <w:t>mL</w:t>
      </w:r>
      <w:r w:rsidRPr="009174C0">
        <w:rPr>
          <w:color w:val="000000"/>
        </w:rPr>
        <w:tab/>
      </w:r>
    </w:p>
    <w:p w:rsidR="00372387" w:rsidRPr="009174C0" w:rsidRDefault="00372387" w:rsidP="00372387">
      <w:pPr>
        <w:pStyle w:val="TablePlainParagraph"/>
        <w:rPr>
          <w:i/>
          <w:color w:val="000000"/>
        </w:rPr>
      </w:pPr>
      <w:r w:rsidRPr="009174C0">
        <w:rPr>
          <w:i/>
          <w:color w:val="000000"/>
        </w:rPr>
        <w:t>Packaged water</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Escherichia coli</w:t>
      </w:r>
      <w:r>
        <w:rPr>
          <w:iCs/>
          <w:color w:val="000000"/>
        </w:rPr>
        <w:t>/</w:t>
      </w:r>
      <w:r w:rsidRPr="009174C0">
        <w:rPr>
          <w:iCs/>
          <w:color w:val="000000"/>
        </w:rPr>
        <w:tab/>
      </w:r>
      <w:r w:rsidRPr="009174C0">
        <w:rPr>
          <w:color w:val="000000"/>
        </w:rPr>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rPr>
          <w:color w:val="000000"/>
        </w:rPr>
      </w:pPr>
      <w:r>
        <w:rPr>
          <w:i/>
          <w:color w:val="000000"/>
        </w:rPr>
        <w:tab/>
      </w:r>
      <w:r>
        <w:rPr>
          <w:i/>
          <w:color w:val="000000"/>
        </w:rPr>
        <w:tab/>
      </w:r>
      <w:r>
        <w:rPr>
          <w:i/>
          <w:color w:val="000000"/>
        </w:rPr>
        <w:tab/>
      </w:r>
      <w:r w:rsidR="00B45DD0" w:rsidRPr="00BC13BE">
        <w:rPr>
          <w:szCs w:val="24"/>
        </w:rPr>
        <w:t xml:space="preserve">in </w:t>
      </w:r>
      <w:r w:rsidR="00B45DD0">
        <w:rPr>
          <w:szCs w:val="24"/>
        </w:rPr>
        <w:t>100</w:t>
      </w:r>
      <w:r>
        <w:rPr>
          <w:szCs w:val="24"/>
        </w:rPr>
        <w:t xml:space="preserve"> </w:t>
      </w:r>
      <w:r>
        <w:rPr>
          <w:color w:val="000000"/>
        </w:rPr>
        <w:t>mL</w:t>
      </w:r>
      <w:r w:rsidRPr="009174C0">
        <w:rPr>
          <w:color w:val="000000"/>
        </w:rPr>
        <w:tab/>
      </w:r>
    </w:p>
    <w:p w:rsidR="00372387" w:rsidRPr="009174C0" w:rsidRDefault="00372387" w:rsidP="00372387">
      <w:pPr>
        <w:pStyle w:val="TablePlainParagraph"/>
        <w:rPr>
          <w:i/>
          <w:color w:val="000000"/>
        </w:rPr>
      </w:pPr>
      <w:r w:rsidRPr="009174C0">
        <w:rPr>
          <w:i/>
          <w:color w:val="000000"/>
        </w:rPr>
        <w:t>Packaged ice</w:t>
      </w:r>
    </w:p>
    <w:p w:rsidR="00372387" w:rsidRDefault="00372387" w:rsidP="0037238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Escherichia coli</w:t>
      </w:r>
      <w:r>
        <w:rPr>
          <w:iCs/>
          <w:color w:val="000000"/>
        </w:rPr>
        <w:t>/</w:t>
      </w:r>
      <w:r w:rsidRPr="009174C0">
        <w:rPr>
          <w:iCs/>
          <w:color w:val="000000"/>
        </w:rPr>
        <w:tab/>
      </w:r>
      <w:r w:rsidRPr="009174C0">
        <w:rPr>
          <w:color w:val="000000"/>
        </w:rPr>
        <w:t>5</w:t>
      </w:r>
      <w:r w:rsidRPr="009174C0">
        <w:rPr>
          <w:color w:val="000000"/>
        </w:rPr>
        <w:tab/>
        <w:t>0</w:t>
      </w:r>
      <w:r w:rsidRPr="009174C0">
        <w:rPr>
          <w:color w:val="000000"/>
        </w:rPr>
        <w:tab/>
      </w:r>
      <w:r w:rsidRPr="00BC13BE">
        <w:rPr>
          <w:szCs w:val="24"/>
        </w:rPr>
        <w:t>not detected</w:t>
      </w:r>
    </w:p>
    <w:p w:rsidR="00372387" w:rsidRPr="009174C0" w:rsidRDefault="00372387" w:rsidP="00372387">
      <w:pPr>
        <w:pStyle w:val="TablePlainParagraph"/>
        <w:pBdr>
          <w:bottom w:val="single" w:sz="4" w:space="1" w:color="auto"/>
        </w:pBdr>
        <w:tabs>
          <w:tab w:val="left" w:pos="3234"/>
          <w:tab w:val="left" w:pos="4342"/>
          <w:tab w:val="left" w:pos="5482"/>
          <w:tab w:val="left" w:pos="6656"/>
        </w:tabs>
        <w:spacing w:before="0"/>
        <w:rPr>
          <w:color w:val="000000"/>
        </w:rPr>
      </w:pPr>
      <w:r>
        <w:rPr>
          <w:i/>
          <w:color w:val="000000"/>
        </w:rPr>
        <w:tab/>
      </w:r>
      <w:r>
        <w:rPr>
          <w:i/>
          <w:color w:val="000000"/>
        </w:rPr>
        <w:tab/>
      </w:r>
      <w:r>
        <w:rPr>
          <w:i/>
          <w:color w:val="000000"/>
        </w:rPr>
        <w:tab/>
      </w:r>
      <w:r w:rsidRPr="00BC13BE">
        <w:rPr>
          <w:szCs w:val="24"/>
        </w:rPr>
        <w:t xml:space="preserve">in </w:t>
      </w:r>
      <w:r>
        <w:rPr>
          <w:szCs w:val="24"/>
        </w:rPr>
        <w:t xml:space="preserve">100 </w:t>
      </w:r>
      <w:r>
        <w:rPr>
          <w:color w:val="000000"/>
        </w:rPr>
        <w:t>mL</w:t>
      </w:r>
      <w:r w:rsidRPr="009174C0">
        <w:rPr>
          <w:color w:val="000000"/>
        </w:rPr>
        <w:tab/>
      </w:r>
    </w:p>
    <w:p w:rsidR="00372387" w:rsidRPr="00A61A64" w:rsidRDefault="00372387" w:rsidP="00372387"/>
    <w:sectPr w:rsidR="00372387" w:rsidRPr="00A61A64" w:rsidSect="00E63CF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543" w:rsidRDefault="00A31543">
      <w:r>
        <w:separator/>
      </w:r>
    </w:p>
  </w:endnote>
  <w:endnote w:type="continuationSeparator" w:id="0">
    <w:p w:rsidR="00A31543" w:rsidRDefault="00A3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43" w:rsidRDefault="00A31543"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1543" w:rsidRDefault="00A315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A31543" w:rsidRDefault="00A31543" w:rsidP="00A671E6">
        <w:pPr>
          <w:pStyle w:val="Footer"/>
          <w:jc w:val="center"/>
        </w:pPr>
        <w:r>
          <w:fldChar w:fldCharType="begin"/>
        </w:r>
        <w:r>
          <w:instrText xml:space="preserve"> PAGE   \* MERGEFORMAT </w:instrText>
        </w:r>
        <w:r>
          <w:fldChar w:fldCharType="separate"/>
        </w:r>
        <w:r w:rsidR="00236B55">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3E" w:rsidRDefault="00792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543" w:rsidRDefault="00A31543">
      <w:r>
        <w:separator/>
      </w:r>
    </w:p>
  </w:footnote>
  <w:footnote w:type="continuationSeparator" w:id="0">
    <w:p w:rsidR="00A31543" w:rsidRDefault="00A31543">
      <w:r>
        <w:continuationSeparator/>
      </w:r>
    </w:p>
  </w:footnote>
  <w:footnote w:id="1">
    <w:p w:rsidR="00A31543" w:rsidRPr="0010778D" w:rsidRDefault="00A31543" w:rsidP="00861C13">
      <w:pPr>
        <w:pStyle w:val="FootnoteText"/>
        <w:rPr>
          <w:sz w:val="18"/>
          <w:szCs w:val="18"/>
          <w:lang w:val="en-AU"/>
        </w:rPr>
      </w:pPr>
      <w:r w:rsidRPr="0010778D">
        <w:rPr>
          <w:rStyle w:val="FootnoteReference"/>
          <w:sz w:val="18"/>
          <w:szCs w:val="18"/>
        </w:rPr>
        <w:footnoteRef/>
      </w:r>
      <w:r w:rsidRPr="0010778D">
        <w:rPr>
          <w:sz w:val="18"/>
          <w:szCs w:val="18"/>
        </w:rPr>
        <w:t xml:space="preserve"> </w:t>
      </w:r>
      <w:r w:rsidRPr="0010778D">
        <w:rPr>
          <w:sz w:val="18"/>
          <w:szCs w:val="18"/>
          <w:lang w:val="en-AU"/>
        </w:rPr>
        <w:t>Previously known as the Australia and New Zealand Food Regulation Ministerial Council</w:t>
      </w:r>
    </w:p>
  </w:footnote>
  <w:footnote w:id="2">
    <w:p w:rsidR="00A31543" w:rsidRPr="000C5DE5" w:rsidRDefault="00A31543">
      <w:pPr>
        <w:pStyle w:val="FootnoteText"/>
        <w:rPr>
          <w:lang w:val="en-AU"/>
        </w:rPr>
      </w:pPr>
      <w:r>
        <w:rPr>
          <w:rStyle w:val="FootnoteReference"/>
        </w:rPr>
        <w:footnoteRef/>
      </w:r>
      <w:r>
        <w:t xml:space="preserve"> </w:t>
      </w:r>
      <w:hyperlink r:id="rId1" w:history="1">
        <w:r w:rsidRPr="000C5DE5">
          <w:rPr>
            <w:rStyle w:val="Hyperlink"/>
            <w:sz w:val="18"/>
          </w:rPr>
          <w:t>http://www.foodstandards.gov.au/code/microbiollimits/Documents/20120210-reviewing-micro-limits-background-paper-word.doc</w:t>
        </w:r>
      </w:hyperlink>
      <w:r>
        <w:t xml:space="preserve"> </w:t>
      </w:r>
    </w:p>
  </w:footnote>
  <w:footnote w:id="3">
    <w:p w:rsidR="00A31543" w:rsidRPr="00530FFA" w:rsidRDefault="00A31543" w:rsidP="009F78A2">
      <w:pPr>
        <w:tabs>
          <w:tab w:val="left" w:pos="0"/>
        </w:tabs>
        <w:rPr>
          <w:noProof/>
          <w:sz w:val="18"/>
          <w:szCs w:val="18"/>
        </w:rPr>
      </w:pPr>
      <w:r w:rsidRPr="00530FFA">
        <w:rPr>
          <w:rStyle w:val="FootnoteReference"/>
          <w:sz w:val="18"/>
          <w:szCs w:val="18"/>
        </w:rPr>
        <w:footnoteRef/>
      </w:r>
      <w:r w:rsidRPr="00530FFA">
        <w:rPr>
          <w:sz w:val="18"/>
          <w:szCs w:val="18"/>
        </w:rPr>
        <w:t xml:space="preserve"> </w:t>
      </w:r>
      <w:r w:rsidRPr="00530FFA">
        <w:rPr>
          <w:noProof/>
          <w:sz w:val="18"/>
          <w:szCs w:val="18"/>
        </w:rPr>
        <w:t xml:space="preserve">Codex (2007) Guidelines on the Application of General Principals of Food Hygiene on the Control of </w:t>
      </w:r>
      <w:r w:rsidRPr="00530FFA">
        <w:rPr>
          <w:i/>
          <w:noProof/>
          <w:sz w:val="18"/>
          <w:szCs w:val="18"/>
        </w:rPr>
        <w:t>Listeria monocytogenes</w:t>
      </w:r>
      <w:r w:rsidRPr="00530FFA">
        <w:rPr>
          <w:noProof/>
          <w:sz w:val="18"/>
          <w:szCs w:val="18"/>
        </w:rPr>
        <w:t xml:space="preserve"> in Foods (CAC/GL 61 - 2007). Codex Alimentarius Commission, Geneva, Switzerland.</w:t>
      </w:r>
      <w:r w:rsidRPr="00530FFA">
        <w:rPr>
          <w:rFonts w:cs="Arial"/>
          <w:sz w:val="18"/>
          <w:szCs w:val="18"/>
        </w:rPr>
        <w:t xml:space="preserve"> </w:t>
      </w:r>
      <w:hyperlink r:id="rId2" w:history="1">
        <w:r w:rsidRPr="009F78A2">
          <w:rPr>
            <w:rStyle w:val="Hyperlink"/>
            <w:sz w:val="18"/>
            <w:szCs w:val="20"/>
          </w:rPr>
          <w:t>http://www.codexalimentarius.org/download/standards/10740/CXG_061e.pdf</w:t>
        </w:r>
      </w:hyperlink>
      <w:r w:rsidRPr="00530FFA">
        <w:rPr>
          <w:rStyle w:val="Hyperlink"/>
          <w:sz w:val="18"/>
          <w:szCs w:val="18"/>
        </w:rPr>
        <w:t xml:space="preserve"> </w:t>
      </w:r>
    </w:p>
  </w:footnote>
  <w:footnote w:id="4">
    <w:p w:rsidR="00A31543" w:rsidRPr="005D5CF1" w:rsidRDefault="00A31543" w:rsidP="005438AB">
      <w:pPr>
        <w:pStyle w:val="FootnoteText"/>
        <w:rPr>
          <w:sz w:val="18"/>
        </w:rPr>
      </w:pPr>
      <w:r w:rsidRPr="005D5CF1">
        <w:rPr>
          <w:rStyle w:val="FootnoteReference"/>
          <w:sz w:val="18"/>
        </w:rPr>
        <w:footnoteRef/>
      </w:r>
      <w:r w:rsidRPr="005D5CF1">
        <w:rPr>
          <w:sz w:val="18"/>
        </w:rPr>
        <w:t xml:space="preserve"> </w:t>
      </w:r>
      <w:hyperlink r:id="rId3" w:history="1">
        <w:r w:rsidRPr="005D5CF1">
          <w:rPr>
            <w:rStyle w:val="Hyperlink"/>
            <w:sz w:val="18"/>
          </w:rPr>
          <w:t>http://www.foodstandards.gov.au/publications/Pages/listeriarecallguidel5618.aspx</w:t>
        </w:r>
      </w:hyperlink>
      <w:r w:rsidRPr="005D5CF1">
        <w:rPr>
          <w:sz w:val="18"/>
        </w:rPr>
        <w:t xml:space="preserve"> </w:t>
      </w:r>
    </w:p>
  </w:footnote>
  <w:footnote w:id="5">
    <w:p w:rsidR="00A31543" w:rsidRPr="005D5CF1" w:rsidRDefault="00A31543" w:rsidP="005438AB">
      <w:pPr>
        <w:pStyle w:val="FootnoteText"/>
        <w:rPr>
          <w:sz w:val="18"/>
        </w:rPr>
      </w:pPr>
      <w:r w:rsidRPr="005D5CF1">
        <w:rPr>
          <w:rStyle w:val="FootnoteReference"/>
          <w:sz w:val="18"/>
        </w:rPr>
        <w:footnoteRef/>
      </w:r>
      <w:r w:rsidRPr="005D5CF1">
        <w:rPr>
          <w:sz w:val="18"/>
        </w:rPr>
        <w:t xml:space="preserve"> </w:t>
      </w:r>
      <w:hyperlink r:id="rId4" w:history="1">
        <w:r w:rsidRPr="005D5CF1">
          <w:rPr>
            <w:rStyle w:val="Hyperlink"/>
            <w:sz w:val="18"/>
          </w:rPr>
          <w:t>http://www.foodstandards.gov.au/publications/pages/guidelinesformicrobi1306.aspx</w:t>
        </w:r>
      </w:hyperlink>
      <w:r w:rsidRPr="005D5CF1">
        <w:rPr>
          <w:sz w:val="18"/>
        </w:rPr>
        <w:t xml:space="preserve"> </w:t>
      </w:r>
    </w:p>
  </w:footnote>
  <w:footnote w:id="6">
    <w:p w:rsidR="00537E94" w:rsidRPr="00537E94" w:rsidRDefault="00537E94">
      <w:pPr>
        <w:pStyle w:val="FootnoteText"/>
        <w:rPr>
          <w:sz w:val="18"/>
          <w:lang w:val="en-AU"/>
        </w:rPr>
      </w:pPr>
      <w:r w:rsidRPr="00537E94">
        <w:rPr>
          <w:rStyle w:val="FootnoteReference"/>
          <w:sz w:val="18"/>
        </w:rPr>
        <w:footnoteRef/>
      </w:r>
      <w:r w:rsidRPr="00537E94">
        <w:rPr>
          <w:sz w:val="18"/>
        </w:rPr>
        <w:t xml:space="preserve"> </w:t>
      </w:r>
      <w:hyperlink r:id="rId5" w:history="1">
        <w:r w:rsidRPr="00537E94">
          <w:rPr>
            <w:rStyle w:val="Hyperlink"/>
            <w:sz w:val="18"/>
          </w:rPr>
          <w:t>http://www.foodstandards.gov.au/consumer/safety/listeria/documents/listeria-1.pdf</w:t>
        </w:r>
      </w:hyperlink>
    </w:p>
  </w:footnote>
  <w:footnote w:id="7">
    <w:p w:rsidR="00A31543" w:rsidRPr="008828D9" w:rsidRDefault="00A31543" w:rsidP="002C1A3B">
      <w:pPr>
        <w:pStyle w:val="Footnote"/>
        <w:rPr>
          <w:lang w:val="en-AU"/>
        </w:rPr>
      </w:pPr>
      <w:r w:rsidRPr="008828D9">
        <w:rPr>
          <w:rStyle w:val="FootnoteReference"/>
        </w:rPr>
        <w:footnoteRef/>
      </w:r>
      <w:r w:rsidRPr="008828D9">
        <w:t xml:space="preserve"> </w:t>
      </w:r>
      <w:r w:rsidRPr="008828D9">
        <w:rPr>
          <w:lang w:val="en-AU"/>
        </w:rPr>
        <w:t>Now known as the COAG Legislative and Governance Forum on Food Regulation</w:t>
      </w:r>
    </w:p>
  </w:footnote>
  <w:footnote w:id="8">
    <w:p w:rsidR="00A31543" w:rsidRPr="006E1858" w:rsidRDefault="00A31543" w:rsidP="00EB25BB">
      <w:pPr>
        <w:pStyle w:val="Footnote"/>
        <w:rPr>
          <w:lang w:val="en-AU"/>
        </w:rPr>
      </w:pPr>
      <w:r>
        <w:rPr>
          <w:rStyle w:val="FootnoteReference"/>
        </w:rPr>
        <w:footnoteRef/>
      </w:r>
      <w:r>
        <w:t xml:space="preserve"> </w:t>
      </w:r>
      <w:r>
        <w:rPr>
          <w:lang w:val="en-AU"/>
        </w:rPr>
        <w:t>Previously known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3E" w:rsidRDefault="007923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33E" w:rsidRDefault="007923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543" w:rsidRDefault="00A31543">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360" w:hanging="360"/>
      </w:pPr>
      <w:rPr>
        <w:rFonts w:ascii="Symbol" w:hAnsi="Symbol" w:hint="default"/>
        <w:sz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22E58D1"/>
    <w:multiLevelType w:val="hybridMultilevel"/>
    <w:tmpl w:val="1320154E"/>
    <w:lvl w:ilvl="0" w:tplc="05A2515E">
      <w:start w:val="1"/>
      <w:numFmt w:val="lowerLetter"/>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2">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150D5981"/>
    <w:multiLevelType w:val="hybridMultilevel"/>
    <w:tmpl w:val="FDDCA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B926854"/>
    <w:multiLevelType w:val="hybridMultilevel"/>
    <w:tmpl w:val="73783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295213"/>
    <w:multiLevelType w:val="hybridMultilevel"/>
    <w:tmpl w:val="B0426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A30B0"/>
    <w:multiLevelType w:val="hybridMultilevel"/>
    <w:tmpl w:val="201A0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4620D"/>
    <w:multiLevelType w:val="hybridMultilevel"/>
    <w:tmpl w:val="8A72D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E1675E"/>
    <w:multiLevelType w:val="hybridMultilevel"/>
    <w:tmpl w:val="BFC0B43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5732EBC"/>
    <w:multiLevelType w:val="hybridMultilevel"/>
    <w:tmpl w:val="3D9E46B6"/>
    <w:lvl w:ilvl="0" w:tplc="619406F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nsid w:val="36C865D2"/>
    <w:multiLevelType w:val="hybridMultilevel"/>
    <w:tmpl w:val="0428B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9377FA"/>
    <w:multiLevelType w:val="hybridMultilevel"/>
    <w:tmpl w:val="C1429700"/>
    <w:lvl w:ilvl="0" w:tplc="16620DD4">
      <w:start w:val="1"/>
      <w:numFmt w:val="lowerLetter"/>
      <w:lvlText w:val="(%1)"/>
      <w:lvlJc w:val="left"/>
      <w:pPr>
        <w:ind w:left="1691" w:hanging="84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5">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6200A4A"/>
    <w:multiLevelType w:val="hybridMultilevel"/>
    <w:tmpl w:val="CC82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73432C"/>
    <w:multiLevelType w:val="hybridMultilevel"/>
    <w:tmpl w:val="5A9C9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0C34EB"/>
    <w:multiLevelType w:val="hybridMultilevel"/>
    <w:tmpl w:val="BA8C0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5C5C05F9"/>
    <w:multiLevelType w:val="hybridMultilevel"/>
    <w:tmpl w:val="DD1C0872"/>
    <w:lvl w:ilvl="0" w:tplc="F7C04268">
      <w:start w:val="1"/>
      <w:numFmt w:val="lowerRoman"/>
      <w:lvlText w:val="(%1)"/>
      <w:lvlJc w:val="left"/>
      <w:pPr>
        <w:ind w:left="2782" w:hanging="720"/>
      </w:pPr>
      <w:rPr>
        <w:rFonts w:hint="default"/>
      </w:rPr>
    </w:lvl>
    <w:lvl w:ilvl="1" w:tplc="08090019" w:tentative="1">
      <w:start w:val="1"/>
      <w:numFmt w:val="lowerLetter"/>
      <w:lvlText w:val="%2."/>
      <w:lvlJc w:val="left"/>
      <w:pPr>
        <w:ind w:left="3142" w:hanging="360"/>
      </w:pPr>
    </w:lvl>
    <w:lvl w:ilvl="2" w:tplc="0809001B" w:tentative="1">
      <w:start w:val="1"/>
      <w:numFmt w:val="lowerRoman"/>
      <w:lvlText w:val="%3."/>
      <w:lvlJc w:val="right"/>
      <w:pPr>
        <w:ind w:left="3862" w:hanging="180"/>
      </w:pPr>
    </w:lvl>
    <w:lvl w:ilvl="3" w:tplc="0809000F" w:tentative="1">
      <w:start w:val="1"/>
      <w:numFmt w:val="decimal"/>
      <w:lvlText w:val="%4."/>
      <w:lvlJc w:val="left"/>
      <w:pPr>
        <w:ind w:left="4582" w:hanging="360"/>
      </w:pPr>
    </w:lvl>
    <w:lvl w:ilvl="4" w:tplc="08090019" w:tentative="1">
      <w:start w:val="1"/>
      <w:numFmt w:val="lowerLetter"/>
      <w:lvlText w:val="%5."/>
      <w:lvlJc w:val="left"/>
      <w:pPr>
        <w:ind w:left="5302" w:hanging="360"/>
      </w:pPr>
    </w:lvl>
    <w:lvl w:ilvl="5" w:tplc="0809001B" w:tentative="1">
      <w:start w:val="1"/>
      <w:numFmt w:val="lowerRoman"/>
      <w:lvlText w:val="%6."/>
      <w:lvlJc w:val="right"/>
      <w:pPr>
        <w:ind w:left="6022" w:hanging="180"/>
      </w:pPr>
    </w:lvl>
    <w:lvl w:ilvl="6" w:tplc="0809000F" w:tentative="1">
      <w:start w:val="1"/>
      <w:numFmt w:val="decimal"/>
      <w:lvlText w:val="%7."/>
      <w:lvlJc w:val="left"/>
      <w:pPr>
        <w:ind w:left="6742" w:hanging="360"/>
      </w:pPr>
    </w:lvl>
    <w:lvl w:ilvl="7" w:tplc="08090019" w:tentative="1">
      <w:start w:val="1"/>
      <w:numFmt w:val="lowerLetter"/>
      <w:lvlText w:val="%8."/>
      <w:lvlJc w:val="left"/>
      <w:pPr>
        <w:ind w:left="7462" w:hanging="360"/>
      </w:pPr>
    </w:lvl>
    <w:lvl w:ilvl="8" w:tplc="0809001B" w:tentative="1">
      <w:start w:val="1"/>
      <w:numFmt w:val="lowerRoman"/>
      <w:lvlText w:val="%9."/>
      <w:lvlJc w:val="right"/>
      <w:pPr>
        <w:ind w:left="8182" w:hanging="180"/>
      </w:pPr>
    </w:lvl>
  </w:abstractNum>
  <w:abstractNum w:abstractNumId="22">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nsid w:val="69F661C6"/>
    <w:multiLevelType w:val="hybridMultilevel"/>
    <w:tmpl w:val="4CB0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F0C5D22"/>
    <w:multiLevelType w:val="hybridMultilevel"/>
    <w:tmpl w:val="45A6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2"/>
  </w:num>
  <w:num w:numId="5">
    <w:abstractNumId w:val="11"/>
  </w:num>
  <w:num w:numId="6">
    <w:abstractNumId w:val="17"/>
  </w:num>
  <w:num w:numId="7">
    <w:abstractNumId w:val="4"/>
  </w:num>
  <w:num w:numId="8">
    <w:abstractNumId w:val="8"/>
  </w:num>
  <w:num w:numId="9">
    <w:abstractNumId w:val="0"/>
  </w:num>
  <w:num w:numId="10">
    <w:abstractNumId w:val="3"/>
  </w:num>
  <w:num w:numId="11">
    <w:abstractNumId w:val="24"/>
  </w:num>
  <w:num w:numId="12">
    <w:abstractNumId w:val="23"/>
  </w:num>
  <w:num w:numId="13">
    <w:abstractNumId w:val="16"/>
  </w:num>
  <w:num w:numId="14">
    <w:abstractNumId w:val="5"/>
  </w:num>
  <w:num w:numId="15">
    <w:abstractNumId w:val="22"/>
  </w:num>
  <w:num w:numId="16">
    <w:abstractNumId w:val="13"/>
  </w:num>
  <w:num w:numId="17">
    <w:abstractNumId w:val="1"/>
  </w:num>
  <w:num w:numId="18">
    <w:abstractNumId w:val="21"/>
  </w:num>
  <w:num w:numId="19">
    <w:abstractNumId w:val="7"/>
  </w:num>
  <w:num w:numId="20">
    <w:abstractNumId w:val="19"/>
  </w:num>
  <w:num w:numId="21">
    <w:abstractNumId w:val="18"/>
  </w:num>
  <w:num w:numId="22">
    <w:abstractNumId w:val="10"/>
  </w:num>
  <w:num w:numId="23">
    <w:abstractNumId w:val="1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num>
  <w:num w:numId="28">
    <w:abstractNumId w:val="9"/>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408"/>
    <w:rsid w:val="0000247B"/>
    <w:rsid w:val="0000469B"/>
    <w:rsid w:val="00010E79"/>
    <w:rsid w:val="00011486"/>
    <w:rsid w:val="00012763"/>
    <w:rsid w:val="00014E34"/>
    <w:rsid w:val="00020C24"/>
    <w:rsid w:val="000246FF"/>
    <w:rsid w:val="00025850"/>
    <w:rsid w:val="00026B8F"/>
    <w:rsid w:val="00031814"/>
    <w:rsid w:val="0003297C"/>
    <w:rsid w:val="000332AE"/>
    <w:rsid w:val="00033701"/>
    <w:rsid w:val="00035FF3"/>
    <w:rsid w:val="00041500"/>
    <w:rsid w:val="000418F0"/>
    <w:rsid w:val="000477CE"/>
    <w:rsid w:val="00051021"/>
    <w:rsid w:val="000524F0"/>
    <w:rsid w:val="00052D54"/>
    <w:rsid w:val="000576EB"/>
    <w:rsid w:val="00064B2D"/>
    <w:rsid w:val="00065F1F"/>
    <w:rsid w:val="0006607F"/>
    <w:rsid w:val="00067B41"/>
    <w:rsid w:val="00070B80"/>
    <w:rsid w:val="00076D33"/>
    <w:rsid w:val="00076D3B"/>
    <w:rsid w:val="00077859"/>
    <w:rsid w:val="00077AEA"/>
    <w:rsid w:val="00081B0A"/>
    <w:rsid w:val="0008398C"/>
    <w:rsid w:val="00097187"/>
    <w:rsid w:val="000A0E8D"/>
    <w:rsid w:val="000A3D8B"/>
    <w:rsid w:val="000B184B"/>
    <w:rsid w:val="000B2BE9"/>
    <w:rsid w:val="000B306B"/>
    <w:rsid w:val="000B427A"/>
    <w:rsid w:val="000B6947"/>
    <w:rsid w:val="000B6AF2"/>
    <w:rsid w:val="000C38D8"/>
    <w:rsid w:val="000C5DE5"/>
    <w:rsid w:val="000D6FD4"/>
    <w:rsid w:val="000D7B1C"/>
    <w:rsid w:val="000E0AE4"/>
    <w:rsid w:val="000E1EA4"/>
    <w:rsid w:val="000E3DBC"/>
    <w:rsid w:val="000E662F"/>
    <w:rsid w:val="000F091E"/>
    <w:rsid w:val="000F131F"/>
    <w:rsid w:val="000F1326"/>
    <w:rsid w:val="000F3650"/>
    <w:rsid w:val="000F39DA"/>
    <w:rsid w:val="000F3CFE"/>
    <w:rsid w:val="000F6568"/>
    <w:rsid w:val="000F7B24"/>
    <w:rsid w:val="00102819"/>
    <w:rsid w:val="00102CE8"/>
    <w:rsid w:val="001034BB"/>
    <w:rsid w:val="0010778D"/>
    <w:rsid w:val="001122EC"/>
    <w:rsid w:val="0011653F"/>
    <w:rsid w:val="001206A0"/>
    <w:rsid w:val="00122807"/>
    <w:rsid w:val="0012388D"/>
    <w:rsid w:val="00125262"/>
    <w:rsid w:val="001252A0"/>
    <w:rsid w:val="00142C0C"/>
    <w:rsid w:val="00147D4D"/>
    <w:rsid w:val="001509D6"/>
    <w:rsid w:val="00150B54"/>
    <w:rsid w:val="0015187A"/>
    <w:rsid w:val="00182C4C"/>
    <w:rsid w:val="001878C5"/>
    <w:rsid w:val="00191685"/>
    <w:rsid w:val="001933D1"/>
    <w:rsid w:val="001938AF"/>
    <w:rsid w:val="0019399D"/>
    <w:rsid w:val="00197D8D"/>
    <w:rsid w:val="001A12B3"/>
    <w:rsid w:val="001A1A75"/>
    <w:rsid w:val="001A4673"/>
    <w:rsid w:val="001A754B"/>
    <w:rsid w:val="001A7E9A"/>
    <w:rsid w:val="001B2693"/>
    <w:rsid w:val="001C11A3"/>
    <w:rsid w:val="001C27A3"/>
    <w:rsid w:val="001C2C91"/>
    <w:rsid w:val="001D07C3"/>
    <w:rsid w:val="001D210E"/>
    <w:rsid w:val="001D43F6"/>
    <w:rsid w:val="001E09FA"/>
    <w:rsid w:val="001F19BD"/>
    <w:rsid w:val="001F23DE"/>
    <w:rsid w:val="001F52E6"/>
    <w:rsid w:val="002009CB"/>
    <w:rsid w:val="00202A6F"/>
    <w:rsid w:val="002036DD"/>
    <w:rsid w:val="00205717"/>
    <w:rsid w:val="00211CC5"/>
    <w:rsid w:val="0021430D"/>
    <w:rsid w:val="0022197C"/>
    <w:rsid w:val="00221D07"/>
    <w:rsid w:val="00224E3B"/>
    <w:rsid w:val="00226640"/>
    <w:rsid w:val="00227E4A"/>
    <w:rsid w:val="00236B55"/>
    <w:rsid w:val="002421C1"/>
    <w:rsid w:val="00250813"/>
    <w:rsid w:val="002611B4"/>
    <w:rsid w:val="0026177A"/>
    <w:rsid w:val="00267072"/>
    <w:rsid w:val="002758A0"/>
    <w:rsid w:val="0029156B"/>
    <w:rsid w:val="0029204E"/>
    <w:rsid w:val="002A0194"/>
    <w:rsid w:val="002A2523"/>
    <w:rsid w:val="002A36E2"/>
    <w:rsid w:val="002A5F8B"/>
    <w:rsid w:val="002A7E39"/>
    <w:rsid w:val="002A7F6C"/>
    <w:rsid w:val="002B2E4C"/>
    <w:rsid w:val="002B3656"/>
    <w:rsid w:val="002B6E39"/>
    <w:rsid w:val="002C1A3B"/>
    <w:rsid w:val="002C4645"/>
    <w:rsid w:val="002C68DD"/>
    <w:rsid w:val="002C6A7F"/>
    <w:rsid w:val="002D0D19"/>
    <w:rsid w:val="002D5141"/>
    <w:rsid w:val="002D7DB0"/>
    <w:rsid w:val="002E0BCF"/>
    <w:rsid w:val="002E1820"/>
    <w:rsid w:val="002E248E"/>
    <w:rsid w:val="002E6F9F"/>
    <w:rsid w:val="002F161A"/>
    <w:rsid w:val="002F35EA"/>
    <w:rsid w:val="002F3E33"/>
    <w:rsid w:val="002F6488"/>
    <w:rsid w:val="002F7A45"/>
    <w:rsid w:val="00305C54"/>
    <w:rsid w:val="0031016C"/>
    <w:rsid w:val="003174F4"/>
    <w:rsid w:val="003212C9"/>
    <w:rsid w:val="003213F9"/>
    <w:rsid w:val="00323AB6"/>
    <w:rsid w:val="00323BE0"/>
    <w:rsid w:val="00323DBF"/>
    <w:rsid w:val="00327867"/>
    <w:rsid w:val="00332B12"/>
    <w:rsid w:val="00336890"/>
    <w:rsid w:val="00337CBC"/>
    <w:rsid w:val="003428FC"/>
    <w:rsid w:val="003443DE"/>
    <w:rsid w:val="00344AE8"/>
    <w:rsid w:val="003507DB"/>
    <w:rsid w:val="00351B07"/>
    <w:rsid w:val="00352C31"/>
    <w:rsid w:val="00355B56"/>
    <w:rsid w:val="0036533D"/>
    <w:rsid w:val="003654C9"/>
    <w:rsid w:val="00366E35"/>
    <w:rsid w:val="003675BE"/>
    <w:rsid w:val="00371B29"/>
    <w:rsid w:val="00372387"/>
    <w:rsid w:val="003766F8"/>
    <w:rsid w:val="00380106"/>
    <w:rsid w:val="003814F0"/>
    <w:rsid w:val="00381E07"/>
    <w:rsid w:val="00385788"/>
    <w:rsid w:val="00387EAE"/>
    <w:rsid w:val="00391769"/>
    <w:rsid w:val="0039467A"/>
    <w:rsid w:val="003953E1"/>
    <w:rsid w:val="003956B3"/>
    <w:rsid w:val="003A01BC"/>
    <w:rsid w:val="003A0A4D"/>
    <w:rsid w:val="003A3D30"/>
    <w:rsid w:val="003A5700"/>
    <w:rsid w:val="003A68BE"/>
    <w:rsid w:val="003A68F6"/>
    <w:rsid w:val="003A7B84"/>
    <w:rsid w:val="003B09DF"/>
    <w:rsid w:val="003B0B1B"/>
    <w:rsid w:val="003C3B8F"/>
    <w:rsid w:val="003C4969"/>
    <w:rsid w:val="003C556D"/>
    <w:rsid w:val="003C5FF0"/>
    <w:rsid w:val="003D2CDC"/>
    <w:rsid w:val="003D52F5"/>
    <w:rsid w:val="003D6084"/>
    <w:rsid w:val="003D787D"/>
    <w:rsid w:val="003E41D5"/>
    <w:rsid w:val="003E46BA"/>
    <w:rsid w:val="003E4969"/>
    <w:rsid w:val="003E638B"/>
    <w:rsid w:val="003E63D9"/>
    <w:rsid w:val="003F74C1"/>
    <w:rsid w:val="00404776"/>
    <w:rsid w:val="00405B1A"/>
    <w:rsid w:val="00410C76"/>
    <w:rsid w:val="00411907"/>
    <w:rsid w:val="0041525D"/>
    <w:rsid w:val="00417EE3"/>
    <w:rsid w:val="004207EB"/>
    <w:rsid w:val="00421730"/>
    <w:rsid w:val="00422EC9"/>
    <w:rsid w:val="00423AC7"/>
    <w:rsid w:val="004247D1"/>
    <w:rsid w:val="00425C09"/>
    <w:rsid w:val="00427EF3"/>
    <w:rsid w:val="00432A42"/>
    <w:rsid w:val="00437276"/>
    <w:rsid w:val="004410AE"/>
    <w:rsid w:val="00453646"/>
    <w:rsid w:val="00456B54"/>
    <w:rsid w:val="0045707C"/>
    <w:rsid w:val="0046378C"/>
    <w:rsid w:val="00464643"/>
    <w:rsid w:val="004738E6"/>
    <w:rsid w:val="00475AF8"/>
    <w:rsid w:val="0047676F"/>
    <w:rsid w:val="004827B9"/>
    <w:rsid w:val="00486793"/>
    <w:rsid w:val="00486C66"/>
    <w:rsid w:val="00494A3F"/>
    <w:rsid w:val="00494EB9"/>
    <w:rsid w:val="004A2037"/>
    <w:rsid w:val="004A23F6"/>
    <w:rsid w:val="004A5560"/>
    <w:rsid w:val="004A6625"/>
    <w:rsid w:val="004A793C"/>
    <w:rsid w:val="004B047B"/>
    <w:rsid w:val="004B26F2"/>
    <w:rsid w:val="004B4CDC"/>
    <w:rsid w:val="004D121E"/>
    <w:rsid w:val="004D1B1C"/>
    <w:rsid w:val="004D2129"/>
    <w:rsid w:val="004D304D"/>
    <w:rsid w:val="004D3DB9"/>
    <w:rsid w:val="004E2F85"/>
    <w:rsid w:val="004E334C"/>
    <w:rsid w:val="004E4A3D"/>
    <w:rsid w:val="004F2130"/>
    <w:rsid w:val="004F4F98"/>
    <w:rsid w:val="004F69F6"/>
    <w:rsid w:val="004F79AC"/>
    <w:rsid w:val="00504FDB"/>
    <w:rsid w:val="00505ADB"/>
    <w:rsid w:val="00506E9B"/>
    <w:rsid w:val="00511B59"/>
    <w:rsid w:val="005132F0"/>
    <w:rsid w:val="005207D8"/>
    <w:rsid w:val="00523930"/>
    <w:rsid w:val="00523E6B"/>
    <w:rsid w:val="005244F1"/>
    <w:rsid w:val="00524702"/>
    <w:rsid w:val="0052582B"/>
    <w:rsid w:val="00530FFA"/>
    <w:rsid w:val="00537CDC"/>
    <w:rsid w:val="00537E94"/>
    <w:rsid w:val="005407C4"/>
    <w:rsid w:val="0054128D"/>
    <w:rsid w:val="00542A26"/>
    <w:rsid w:val="005438AB"/>
    <w:rsid w:val="00545614"/>
    <w:rsid w:val="0055118C"/>
    <w:rsid w:val="00560185"/>
    <w:rsid w:val="005604E6"/>
    <w:rsid w:val="00562917"/>
    <w:rsid w:val="00571B8C"/>
    <w:rsid w:val="005746C7"/>
    <w:rsid w:val="005811B7"/>
    <w:rsid w:val="00586228"/>
    <w:rsid w:val="005946D3"/>
    <w:rsid w:val="005960CA"/>
    <w:rsid w:val="00596C9E"/>
    <w:rsid w:val="00597E2D"/>
    <w:rsid w:val="005A051D"/>
    <w:rsid w:val="005A31E6"/>
    <w:rsid w:val="005A572E"/>
    <w:rsid w:val="005B2A30"/>
    <w:rsid w:val="005B6430"/>
    <w:rsid w:val="005B6AF4"/>
    <w:rsid w:val="005C04CB"/>
    <w:rsid w:val="005D16AD"/>
    <w:rsid w:val="005D2016"/>
    <w:rsid w:val="005D72E1"/>
    <w:rsid w:val="005E2742"/>
    <w:rsid w:val="005E32E5"/>
    <w:rsid w:val="005E58D3"/>
    <w:rsid w:val="005E6E16"/>
    <w:rsid w:val="005F3649"/>
    <w:rsid w:val="005F400E"/>
    <w:rsid w:val="005F4243"/>
    <w:rsid w:val="005F7342"/>
    <w:rsid w:val="00603E05"/>
    <w:rsid w:val="006056DC"/>
    <w:rsid w:val="00610A3C"/>
    <w:rsid w:val="006138D7"/>
    <w:rsid w:val="00613D7B"/>
    <w:rsid w:val="00615E83"/>
    <w:rsid w:val="00616017"/>
    <w:rsid w:val="0062286A"/>
    <w:rsid w:val="00627F48"/>
    <w:rsid w:val="0063455F"/>
    <w:rsid w:val="00635814"/>
    <w:rsid w:val="00644902"/>
    <w:rsid w:val="00645C24"/>
    <w:rsid w:val="00651155"/>
    <w:rsid w:val="006526A5"/>
    <w:rsid w:val="0066275E"/>
    <w:rsid w:val="00663FCF"/>
    <w:rsid w:val="006652A2"/>
    <w:rsid w:val="00667063"/>
    <w:rsid w:val="00683071"/>
    <w:rsid w:val="00692490"/>
    <w:rsid w:val="00692CBD"/>
    <w:rsid w:val="006933D8"/>
    <w:rsid w:val="006957F7"/>
    <w:rsid w:val="00695EC0"/>
    <w:rsid w:val="006969CC"/>
    <w:rsid w:val="00696A15"/>
    <w:rsid w:val="006A2579"/>
    <w:rsid w:val="006A40BA"/>
    <w:rsid w:val="006A48A7"/>
    <w:rsid w:val="006A5005"/>
    <w:rsid w:val="006A5D40"/>
    <w:rsid w:val="006B2EE1"/>
    <w:rsid w:val="006C0235"/>
    <w:rsid w:val="006C22A7"/>
    <w:rsid w:val="006C5CF5"/>
    <w:rsid w:val="006C6A85"/>
    <w:rsid w:val="006D20F6"/>
    <w:rsid w:val="006D33FF"/>
    <w:rsid w:val="006D48DE"/>
    <w:rsid w:val="006D5E51"/>
    <w:rsid w:val="006E7879"/>
    <w:rsid w:val="006F4298"/>
    <w:rsid w:val="006F45D0"/>
    <w:rsid w:val="006F4A82"/>
    <w:rsid w:val="006F6606"/>
    <w:rsid w:val="00710C37"/>
    <w:rsid w:val="0071202A"/>
    <w:rsid w:val="00712FC1"/>
    <w:rsid w:val="007155D7"/>
    <w:rsid w:val="00722039"/>
    <w:rsid w:val="00724FA4"/>
    <w:rsid w:val="00726FA2"/>
    <w:rsid w:val="007277CB"/>
    <w:rsid w:val="00730800"/>
    <w:rsid w:val="00731F67"/>
    <w:rsid w:val="00753D02"/>
    <w:rsid w:val="00755F02"/>
    <w:rsid w:val="007602AA"/>
    <w:rsid w:val="00760572"/>
    <w:rsid w:val="00760E17"/>
    <w:rsid w:val="007638F1"/>
    <w:rsid w:val="007652EF"/>
    <w:rsid w:val="00765B35"/>
    <w:rsid w:val="00765DE1"/>
    <w:rsid w:val="00772BDC"/>
    <w:rsid w:val="00777437"/>
    <w:rsid w:val="00780792"/>
    <w:rsid w:val="00781C5E"/>
    <w:rsid w:val="0078309E"/>
    <w:rsid w:val="00784E62"/>
    <w:rsid w:val="0079233E"/>
    <w:rsid w:val="007926E8"/>
    <w:rsid w:val="00795D86"/>
    <w:rsid w:val="007A44B4"/>
    <w:rsid w:val="007A53BF"/>
    <w:rsid w:val="007A7D3D"/>
    <w:rsid w:val="007B225D"/>
    <w:rsid w:val="007C1C64"/>
    <w:rsid w:val="007C22CB"/>
    <w:rsid w:val="007C459E"/>
    <w:rsid w:val="007C735B"/>
    <w:rsid w:val="007D0189"/>
    <w:rsid w:val="007D3A2A"/>
    <w:rsid w:val="007D6958"/>
    <w:rsid w:val="007E48BC"/>
    <w:rsid w:val="007E79F7"/>
    <w:rsid w:val="007F1435"/>
    <w:rsid w:val="007F3630"/>
    <w:rsid w:val="007F7BF7"/>
    <w:rsid w:val="00807559"/>
    <w:rsid w:val="00813464"/>
    <w:rsid w:val="00817064"/>
    <w:rsid w:val="00820EF6"/>
    <w:rsid w:val="008260F2"/>
    <w:rsid w:val="00831154"/>
    <w:rsid w:val="008450BC"/>
    <w:rsid w:val="00847066"/>
    <w:rsid w:val="00850B09"/>
    <w:rsid w:val="00851C70"/>
    <w:rsid w:val="0085334B"/>
    <w:rsid w:val="008537BA"/>
    <w:rsid w:val="0085628C"/>
    <w:rsid w:val="00860808"/>
    <w:rsid w:val="00861C13"/>
    <w:rsid w:val="00870214"/>
    <w:rsid w:val="0087075E"/>
    <w:rsid w:val="00871116"/>
    <w:rsid w:val="00875657"/>
    <w:rsid w:val="00875DD6"/>
    <w:rsid w:val="00880998"/>
    <w:rsid w:val="00880C1F"/>
    <w:rsid w:val="00884510"/>
    <w:rsid w:val="00885C51"/>
    <w:rsid w:val="0088744A"/>
    <w:rsid w:val="008901BE"/>
    <w:rsid w:val="00895FFA"/>
    <w:rsid w:val="00896B85"/>
    <w:rsid w:val="008A1D80"/>
    <w:rsid w:val="008A243D"/>
    <w:rsid w:val="008B00FA"/>
    <w:rsid w:val="008B0C6F"/>
    <w:rsid w:val="008C5035"/>
    <w:rsid w:val="008C72C0"/>
    <w:rsid w:val="008C736B"/>
    <w:rsid w:val="008D06C6"/>
    <w:rsid w:val="008D3722"/>
    <w:rsid w:val="008D3BB0"/>
    <w:rsid w:val="008D5E9D"/>
    <w:rsid w:val="008E2E4F"/>
    <w:rsid w:val="008E6250"/>
    <w:rsid w:val="008F6AFA"/>
    <w:rsid w:val="008F7EC5"/>
    <w:rsid w:val="00920249"/>
    <w:rsid w:val="00924650"/>
    <w:rsid w:val="00925A57"/>
    <w:rsid w:val="00927181"/>
    <w:rsid w:val="00930C34"/>
    <w:rsid w:val="0093272D"/>
    <w:rsid w:val="00932F14"/>
    <w:rsid w:val="0093695D"/>
    <w:rsid w:val="00937F2F"/>
    <w:rsid w:val="0094247F"/>
    <w:rsid w:val="00942D60"/>
    <w:rsid w:val="009456F7"/>
    <w:rsid w:val="009460FA"/>
    <w:rsid w:val="00947534"/>
    <w:rsid w:val="009478A1"/>
    <w:rsid w:val="0096523B"/>
    <w:rsid w:val="00970DDB"/>
    <w:rsid w:val="00972D06"/>
    <w:rsid w:val="00974AB0"/>
    <w:rsid w:val="0098651D"/>
    <w:rsid w:val="0099323D"/>
    <w:rsid w:val="00993825"/>
    <w:rsid w:val="009969C3"/>
    <w:rsid w:val="009A2699"/>
    <w:rsid w:val="009A391C"/>
    <w:rsid w:val="009A5944"/>
    <w:rsid w:val="009B12C1"/>
    <w:rsid w:val="009B2AB3"/>
    <w:rsid w:val="009B57CE"/>
    <w:rsid w:val="009C7191"/>
    <w:rsid w:val="009D2BF0"/>
    <w:rsid w:val="009D3F9C"/>
    <w:rsid w:val="009E0A61"/>
    <w:rsid w:val="009E1662"/>
    <w:rsid w:val="009E3010"/>
    <w:rsid w:val="009E46F5"/>
    <w:rsid w:val="009E61D2"/>
    <w:rsid w:val="009F5ED1"/>
    <w:rsid w:val="009F7065"/>
    <w:rsid w:val="009F78A2"/>
    <w:rsid w:val="00A03703"/>
    <w:rsid w:val="00A04A23"/>
    <w:rsid w:val="00A1667B"/>
    <w:rsid w:val="00A17519"/>
    <w:rsid w:val="00A2449C"/>
    <w:rsid w:val="00A30245"/>
    <w:rsid w:val="00A31543"/>
    <w:rsid w:val="00A318EB"/>
    <w:rsid w:val="00A4089A"/>
    <w:rsid w:val="00A551B9"/>
    <w:rsid w:val="00A56DC7"/>
    <w:rsid w:val="00A62DAB"/>
    <w:rsid w:val="00A64658"/>
    <w:rsid w:val="00A66FDD"/>
    <w:rsid w:val="00A671E6"/>
    <w:rsid w:val="00A70718"/>
    <w:rsid w:val="00A709E5"/>
    <w:rsid w:val="00A70DF7"/>
    <w:rsid w:val="00A71274"/>
    <w:rsid w:val="00A71FA7"/>
    <w:rsid w:val="00A741EA"/>
    <w:rsid w:val="00A74FD1"/>
    <w:rsid w:val="00A815AE"/>
    <w:rsid w:val="00A84A58"/>
    <w:rsid w:val="00A929A9"/>
    <w:rsid w:val="00A96594"/>
    <w:rsid w:val="00AA41BA"/>
    <w:rsid w:val="00AA6D0D"/>
    <w:rsid w:val="00AA6FA3"/>
    <w:rsid w:val="00AB0A2D"/>
    <w:rsid w:val="00AB4238"/>
    <w:rsid w:val="00AC0065"/>
    <w:rsid w:val="00AC428E"/>
    <w:rsid w:val="00AD344F"/>
    <w:rsid w:val="00AD6267"/>
    <w:rsid w:val="00AE29A1"/>
    <w:rsid w:val="00AE4FFD"/>
    <w:rsid w:val="00AE78D0"/>
    <w:rsid w:val="00AF21BD"/>
    <w:rsid w:val="00AF24FA"/>
    <w:rsid w:val="00AF387F"/>
    <w:rsid w:val="00AF397D"/>
    <w:rsid w:val="00B00E7F"/>
    <w:rsid w:val="00B17112"/>
    <w:rsid w:val="00B17EA1"/>
    <w:rsid w:val="00B2010B"/>
    <w:rsid w:val="00B21055"/>
    <w:rsid w:val="00B21DCC"/>
    <w:rsid w:val="00B25F37"/>
    <w:rsid w:val="00B268FE"/>
    <w:rsid w:val="00B321B3"/>
    <w:rsid w:val="00B425AA"/>
    <w:rsid w:val="00B43574"/>
    <w:rsid w:val="00B43D19"/>
    <w:rsid w:val="00B44422"/>
    <w:rsid w:val="00B45DD0"/>
    <w:rsid w:val="00B46EA0"/>
    <w:rsid w:val="00B55714"/>
    <w:rsid w:val="00B731D3"/>
    <w:rsid w:val="00B75B57"/>
    <w:rsid w:val="00B811B3"/>
    <w:rsid w:val="00B828C1"/>
    <w:rsid w:val="00B839A3"/>
    <w:rsid w:val="00B875EE"/>
    <w:rsid w:val="00B9009C"/>
    <w:rsid w:val="00B902BD"/>
    <w:rsid w:val="00B93FB3"/>
    <w:rsid w:val="00BA1009"/>
    <w:rsid w:val="00BA2599"/>
    <w:rsid w:val="00BA39AC"/>
    <w:rsid w:val="00BB06BC"/>
    <w:rsid w:val="00BB2FEF"/>
    <w:rsid w:val="00BC40D5"/>
    <w:rsid w:val="00BD2A39"/>
    <w:rsid w:val="00BD2E80"/>
    <w:rsid w:val="00BD49FF"/>
    <w:rsid w:val="00BD4B64"/>
    <w:rsid w:val="00BD77E1"/>
    <w:rsid w:val="00BE102D"/>
    <w:rsid w:val="00BE11B8"/>
    <w:rsid w:val="00BF0E49"/>
    <w:rsid w:val="00BF484A"/>
    <w:rsid w:val="00BF7AEF"/>
    <w:rsid w:val="00BF7FF0"/>
    <w:rsid w:val="00C11A20"/>
    <w:rsid w:val="00C11AEA"/>
    <w:rsid w:val="00C1224B"/>
    <w:rsid w:val="00C12502"/>
    <w:rsid w:val="00C13220"/>
    <w:rsid w:val="00C13511"/>
    <w:rsid w:val="00C14375"/>
    <w:rsid w:val="00C1674E"/>
    <w:rsid w:val="00C23DAD"/>
    <w:rsid w:val="00C26B3B"/>
    <w:rsid w:val="00C32908"/>
    <w:rsid w:val="00C3503C"/>
    <w:rsid w:val="00C40AA5"/>
    <w:rsid w:val="00C4569D"/>
    <w:rsid w:val="00C469A6"/>
    <w:rsid w:val="00C46F70"/>
    <w:rsid w:val="00C476D0"/>
    <w:rsid w:val="00C524B7"/>
    <w:rsid w:val="00C535FB"/>
    <w:rsid w:val="00C53DAB"/>
    <w:rsid w:val="00C5441D"/>
    <w:rsid w:val="00C54AF1"/>
    <w:rsid w:val="00C6237C"/>
    <w:rsid w:val="00C63529"/>
    <w:rsid w:val="00C6434A"/>
    <w:rsid w:val="00C74398"/>
    <w:rsid w:val="00C74D96"/>
    <w:rsid w:val="00C830B9"/>
    <w:rsid w:val="00C836E3"/>
    <w:rsid w:val="00C836FF"/>
    <w:rsid w:val="00C854DC"/>
    <w:rsid w:val="00C86577"/>
    <w:rsid w:val="00C91C02"/>
    <w:rsid w:val="00C92E07"/>
    <w:rsid w:val="00C96868"/>
    <w:rsid w:val="00CA0416"/>
    <w:rsid w:val="00CA1FE7"/>
    <w:rsid w:val="00CA397E"/>
    <w:rsid w:val="00CA5734"/>
    <w:rsid w:val="00CA7A32"/>
    <w:rsid w:val="00CB115C"/>
    <w:rsid w:val="00CC3764"/>
    <w:rsid w:val="00CC3A35"/>
    <w:rsid w:val="00CC5468"/>
    <w:rsid w:val="00CC560B"/>
    <w:rsid w:val="00CC721D"/>
    <w:rsid w:val="00CC75E2"/>
    <w:rsid w:val="00CD46EB"/>
    <w:rsid w:val="00CD7EBF"/>
    <w:rsid w:val="00CE59AA"/>
    <w:rsid w:val="00CE76FE"/>
    <w:rsid w:val="00CF528E"/>
    <w:rsid w:val="00CF7418"/>
    <w:rsid w:val="00D00DFA"/>
    <w:rsid w:val="00D056F1"/>
    <w:rsid w:val="00D06616"/>
    <w:rsid w:val="00D12953"/>
    <w:rsid w:val="00D13836"/>
    <w:rsid w:val="00D144D7"/>
    <w:rsid w:val="00D15A08"/>
    <w:rsid w:val="00D23122"/>
    <w:rsid w:val="00D23DB6"/>
    <w:rsid w:val="00D277FF"/>
    <w:rsid w:val="00D326FB"/>
    <w:rsid w:val="00D37C05"/>
    <w:rsid w:val="00D4123F"/>
    <w:rsid w:val="00D458F0"/>
    <w:rsid w:val="00D46757"/>
    <w:rsid w:val="00D50638"/>
    <w:rsid w:val="00D50D7F"/>
    <w:rsid w:val="00D51A95"/>
    <w:rsid w:val="00D54224"/>
    <w:rsid w:val="00D60568"/>
    <w:rsid w:val="00D658C3"/>
    <w:rsid w:val="00D7019B"/>
    <w:rsid w:val="00D70C7A"/>
    <w:rsid w:val="00D72A29"/>
    <w:rsid w:val="00D7367C"/>
    <w:rsid w:val="00D80419"/>
    <w:rsid w:val="00D834E5"/>
    <w:rsid w:val="00D85C6F"/>
    <w:rsid w:val="00D8772D"/>
    <w:rsid w:val="00D97EA1"/>
    <w:rsid w:val="00DA0E7D"/>
    <w:rsid w:val="00DA10A8"/>
    <w:rsid w:val="00DA10E9"/>
    <w:rsid w:val="00DA34BB"/>
    <w:rsid w:val="00DA37A7"/>
    <w:rsid w:val="00DB123A"/>
    <w:rsid w:val="00DB1E08"/>
    <w:rsid w:val="00DB2973"/>
    <w:rsid w:val="00DC0FBA"/>
    <w:rsid w:val="00DC1B56"/>
    <w:rsid w:val="00DC20CC"/>
    <w:rsid w:val="00DC2129"/>
    <w:rsid w:val="00DC6274"/>
    <w:rsid w:val="00DC6570"/>
    <w:rsid w:val="00DD265C"/>
    <w:rsid w:val="00DD3703"/>
    <w:rsid w:val="00DD7FD5"/>
    <w:rsid w:val="00DE5528"/>
    <w:rsid w:val="00DF25C3"/>
    <w:rsid w:val="00DF6C6C"/>
    <w:rsid w:val="00DF72BB"/>
    <w:rsid w:val="00E0001F"/>
    <w:rsid w:val="00E00A3E"/>
    <w:rsid w:val="00E04062"/>
    <w:rsid w:val="00E04D91"/>
    <w:rsid w:val="00E063C6"/>
    <w:rsid w:val="00E156F1"/>
    <w:rsid w:val="00E2003B"/>
    <w:rsid w:val="00E223B3"/>
    <w:rsid w:val="00E25380"/>
    <w:rsid w:val="00E26887"/>
    <w:rsid w:val="00E279D8"/>
    <w:rsid w:val="00E30092"/>
    <w:rsid w:val="00E319B1"/>
    <w:rsid w:val="00E327A6"/>
    <w:rsid w:val="00E3458E"/>
    <w:rsid w:val="00E47D3B"/>
    <w:rsid w:val="00E5492F"/>
    <w:rsid w:val="00E56CB8"/>
    <w:rsid w:val="00E572B1"/>
    <w:rsid w:val="00E63CFD"/>
    <w:rsid w:val="00E70A86"/>
    <w:rsid w:val="00E7265D"/>
    <w:rsid w:val="00E73E50"/>
    <w:rsid w:val="00E7473B"/>
    <w:rsid w:val="00E76157"/>
    <w:rsid w:val="00E777EC"/>
    <w:rsid w:val="00E80FCD"/>
    <w:rsid w:val="00E94A25"/>
    <w:rsid w:val="00EA3F02"/>
    <w:rsid w:val="00EA7F2F"/>
    <w:rsid w:val="00EA7FC3"/>
    <w:rsid w:val="00EB0AFA"/>
    <w:rsid w:val="00EB25BB"/>
    <w:rsid w:val="00EB6590"/>
    <w:rsid w:val="00EC00DE"/>
    <w:rsid w:val="00EC21DF"/>
    <w:rsid w:val="00EC30E1"/>
    <w:rsid w:val="00EC3436"/>
    <w:rsid w:val="00EC66BB"/>
    <w:rsid w:val="00ED172A"/>
    <w:rsid w:val="00ED1939"/>
    <w:rsid w:val="00ED43A8"/>
    <w:rsid w:val="00ED5A77"/>
    <w:rsid w:val="00ED62DC"/>
    <w:rsid w:val="00EE01DC"/>
    <w:rsid w:val="00EE2CF6"/>
    <w:rsid w:val="00EE2D0A"/>
    <w:rsid w:val="00EF5BB5"/>
    <w:rsid w:val="00F0214B"/>
    <w:rsid w:val="00F12DDF"/>
    <w:rsid w:val="00F14AB3"/>
    <w:rsid w:val="00F14BEC"/>
    <w:rsid w:val="00F17740"/>
    <w:rsid w:val="00F21200"/>
    <w:rsid w:val="00F224B7"/>
    <w:rsid w:val="00F225C5"/>
    <w:rsid w:val="00F2587A"/>
    <w:rsid w:val="00F30A12"/>
    <w:rsid w:val="00F33470"/>
    <w:rsid w:val="00F34E02"/>
    <w:rsid w:val="00F3715D"/>
    <w:rsid w:val="00F37A10"/>
    <w:rsid w:val="00F420C8"/>
    <w:rsid w:val="00F42A4C"/>
    <w:rsid w:val="00F42B30"/>
    <w:rsid w:val="00F526BD"/>
    <w:rsid w:val="00F5347D"/>
    <w:rsid w:val="00F602F8"/>
    <w:rsid w:val="00F60497"/>
    <w:rsid w:val="00F634A1"/>
    <w:rsid w:val="00F64AAD"/>
    <w:rsid w:val="00F85334"/>
    <w:rsid w:val="00F9712B"/>
    <w:rsid w:val="00FB3F98"/>
    <w:rsid w:val="00FB6E9B"/>
    <w:rsid w:val="00FB7512"/>
    <w:rsid w:val="00FC3C76"/>
    <w:rsid w:val="00FD5F23"/>
    <w:rsid w:val="00FD7547"/>
    <w:rsid w:val="00FE0ABF"/>
    <w:rsid w:val="00FE1862"/>
    <w:rsid w:val="00FE287B"/>
    <w:rsid w:val="00FE6B50"/>
    <w:rsid w:val="00FF107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header" w:qFormat="1"/>
    <w:lsdException w:name="footer"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uiPriority w:val="14"/>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uiPriority w:val="15"/>
    <w:qFormat/>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uiPriority w:val="16"/>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uiPriority w:val="12"/>
    <w:qFormat/>
    <w:rsid w:val="00A318EB"/>
    <w:pPr>
      <w:tabs>
        <w:tab w:val="clear" w:pos="851"/>
      </w:tabs>
      <w:ind w:left="1702" w:hanging="851"/>
    </w:pPr>
  </w:style>
  <w:style w:type="paragraph" w:customStyle="1" w:styleId="ScheduleHeading">
    <w:name w:val="Schedule Heading"/>
    <w:basedOn w:val="Normal"/>
    <w:next w:val="Normal"/>
    <w:uiPriority w:val="18"/>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uiPriority w:val="13"/>
    <w:qFormat/>
    <w:rsid w:val="00A318EB"/>
    <w:pPr>
      <w:ind w:left="2553"/>
    </w:pPr>
  </w:style>
  <w:style w:type="paragraph" w:customStyle="1" w:styleId="Table1">
    <w:name w:val="Table 1"/>
    <w:basedOn w:val="Normal"/>
    <w:uiPriority w:val="20"/>
    <w:qFormat/>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5B6430"/>
    <w:pPr>
      <w:widowControl/>
      <w:numPr>
        <w:numId w:val="3"/>
      </w:numPr>
      <w:ind w:left="567" w:hanging="567"/>
    </w:pPr>
    <w:rPr>
      <w:rFonts w:cs="Arial"/>
      <w:lang w:bidi="ar-SA"/>
    </w:rPr>
  </w:style>
  <w:style w:type="character" w:customStyle="1" w:styleId="FSBullet1Char">
    <w:name w:val="FSBullet 1 Char"/>
    <w:link w:val="FSBullet1"/>
    <w:rsid w:val="005B6430"/>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link w:val="FootnoteText"/>
    <w:uiPriority w:val="99"/>
    <w:rsid w:val="00695EC0"/>
    <w:rPr>
      <w:rFonts w:ascii="Arial" w:hAnsi="Arial"/>
      <w:lang w:eastAsia="en-US" w:bidi="en-US"/>
    </w:rPr>
  </w:style>
  <w:style w:type="paragraph" w:customStyle="1" w:styleId="FSHeading">
    <w:name w:val="FS Heading"/>
    <w:basedOn w:val="Normal"/>
    <w:qFormat/>
    <w:rsid w:val="003B0B1B"/>
    <w:pPr>
      <w:ind w:left="851" w:hanging="851"/>
    </w:pPr>
    <w:rPr>
      <w:b/>
      <w:szCs w:val="20"/>
      <w:lang w:val="en-AU" w:bidi="ar-SA"/>
    </w:rPr>
  </w:style>
  <w:style w:type="paragraph" w:styleId="ListParagraph">
    <w:name w:val="List Paragraph"/>
    <w:basedOn w:val="Normal"/>
    <w:uiPriority w:val="99"/>
    <w:qFormat/>
    <w:rsid w:val="000477CE"/>
    <w:pPr>
      <w:ind w:left="720"/>
      <w:contextualSpacing/>
    </w:pPr>
  </w:style>
  <w:style w:type="character" w:customStyle="1" w:styleId="ClauseChar">
    <w:name w:val="Clause Char"/>
    <w:basedOn w:val="DefaultParagraphFont"/>
    <w:link w:val="Clause"/>
    <w:uiPriority w:val="10"/>
    <w:rsid w:val="00B268FE"/>
    <w:rPr>
      <w:rFonts w:ascii="Arial" w:hAnsi="Arial"/>
      <w:lang w:eastAsia="en-US" w:bidi="en-US"/>
    </w:rPr>
  </w:style>
  <w:style w:type="paragraph" w:styleId="Title">
    <w:name w:val="Title"/>
    <w:basedOn w:val="Normal"/>
    <w:link w:val="TitleChar"/>
    <w:uiPriority w:val="10"/>
    <w:qFormat/>
    <w:rsid w:val="005F4243"/>
    <w:pPr>
      <w:widowControl/>
      <w:jc w:val="center"/>
    </w:pPr>
    <w:rPr>
      <w:rFonts w:eastAsiaTheme="minorHAnsi" w:cstheme="minorBidi"/>
      <w:b/>
      <w:bCs/>
      <w:sz w:val="20"/>
      <w:lang w:val="en-AU" w:eastAsia="en-GB" w:bidi="ar-SA"/>
    </w:rPr>
  </w:style>
  <w:style w:type="character" w:customStyle="1" w:styleId="TitleChar">
    <w:name w:val="Title Char"/>
    <w:basedOn w:val="DefaultParagraphFont"/>
    <w:link w:val="Title"/>
    <w:uiPriority w:val="10"/>
    <w:rsid w:val="005F4243"/>
    <w:rPr>
      <w:rFonts w:ascii="Arial" w:eastAsiaTheme="minorHAnsi" w:hAnsi="Arial" w:cstheme="minorBidi"/>
      <w:b/>
      <w:bCs/>
      <w:szCs w:val="24"/>
      <w:lang w:val="en-AU"/>
    </w:rPr>
  </w:style>
  <w:style w:type="paragraph" w:customStyle="1" w:styleId="t1Main">
    <w:name w:val="t1_Main"/>
    <w:rsid w:val="00372387"/>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nDrafterComment">
    <w:name w:val="n_Drafter_Comment"/>
    <w:basedOn w:val="Normal"/>
    <w:qFormat/>
    <w:rsid w:val="00372387"/>
    <w:pPr>
      <w:widowControl/>
      <w:spacing w:before="80" w:after="80"/>
    </w:pPr>
    <w:rPr>
      <w:color w:val="7030A0"/>
      <w:lang w:val="en-AU" w:eastAsia="en-AU" w:bidi="ar-SA"/>
    </w:rPr>
  </w:style>
  <w:style w:type="paragraph" w:customStyle="1" w:styleId="ttAuthorisingAct">
    <w:name w:val="tt_Authorising_Act"/>
    <w:basedOn w:val="Normal"/>
    <w:rsid w:val="00372387"/>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372387"/>
    <w:pPr>
      <w:widowControl/>
      <w:spacing w:before="60" w:after="80"/>
    </w:pPr>
    <w:rPr>
      <w:sz w:val="24"/>
      <w:lang w:val="en-AU" w:eastAsia="en-AU" w:bidi="ar-SA"/>
    </w:rPr>
  </w:style>
  <w:style w:type="paragraph" w:customStyle="1" w:styleId="ttTitleofInstrument">
    <w:name w:val="tt_Title_of_Instrument"/>
    <w:basedOn w:val="Normal"/>
    <w:rsid w:val="00372387"/>
    <w:pPr>
      <w:widowControl/>
      <w:spacing w:before="200" w:after="80"/>
    </w:pPr>
    <w:rPr>
      <w:b/>
      <w:sz w:val="32"/>
      <w:lang w:val="en-AU" w:eastAsia="en-AU" w:bidi="ar-SA"/>
    </w:rPr>
  </w:style>
  <w:style w:type="character" w:customStyle="1" w:styleId="PageBreakChar">
    <w:name w:val="PageBreak Char"/>
    <w:link w:val="PageBreak"/>
    <w:rsid w:val="00372387"/>
    <w:rPr>
      <w:sz w:val="16"/>
      <w:lang w:eastAsia="en-US"/>
    </w:rPr>
  </w:style>
  <w:style w:type="paragraph" w:customStyle="1" w:styleId="PageBreak">
    <w:name w:val="PageBreak"/>
    <w:basedOn w:val="Normal"/>
    <w:link w:val="PageBreakChar"/>
    <w:rsid w:val="00372387"/>
    <w:pPr>
      <w:widowControl/>
      <w:tabs>
        <w:tab w:val="center" w:pos="4536"/>
        <w:tab w:val="right" w:pos="9072"/>
      </w:tabs>
    </w:pPr>
    <w:rPr>
      <w:rFonts w:ascii="Calibri" w:hAnsi="Calibri"/>
      <w:sz w:val="16"/>
      <w:szCs w:val="20"/>
      <w:lang w:bidi="ar-SA"/>
    </w:rPr>
  </w:style>
  <w:style w:type="paragraph" w:customStyle="1" w:styleId="TablePlainParagraph">
    <w:name w:val="Table: Plain Paragraph"/>
    <w:aliases w:val="Table PP"/>
    <w:basedOn w:val="Normal"/>
    <w:link w:val="TablePlainParagraphChar"/>
    <w:uiPriority w:val="11"/>
    <w:qFormat/>
    <w:rsid w:val="00372387"/>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372387"/>
    <w:rPr>
      <w:rFonts w:ascii="Arial" w:hAnsi="Arial" w:cs="Arial"/>
      <w:szCs w:val="22"/>
      <w:lang w:val="en-AU" w:eastAsia="en-AU"/>
    </w:rPr>
  </w:style>
  <w:style w:type="paragraph" w:customStyle="1" w:styleId="HR">
    <w:name w:val="HR"/>
    <w:aliases w:val="Regulation Heading"/>
    <w:basedOn w:val="Normal"/>
    <w:next w:val="R1"/>
    <w:rsid w:val="00372387"/>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37238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372387"/>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372387"/>
    <w:pPr>
      <w:keepNext/>
      <w:keepLines/>
      <w:widowControl/>
      <w:spacing w:before="480"/>
      <w:ind w:left="2410" w:hanging="2410"/>
    </w:pPr>
    <w:rPr>
      <w:b/>
      <w:sz w:val="32"/>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header" w:qFormat="1"/>
    <w:lsdException w:name="footer" w:uiPriority="99"/>
    <w:lsdException w:name="caption" w:semiHidden="1" w:unhideWhenUsed="1"/>
    <w:lsdException w:name="footnote reference" w:uiPriority="99"/>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2"/>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uiPriority w:val="10"/>
    <w:qFormat/>
    <w:rsid w:val="00C6434A"/>
    <w:pPr>
      <w:tabs>
        <w:tab w:val="left" w:pos="851"/>
      </w:tabs>
    </w:pPr>
    <w:rPr>
      <w:sz w:val="20"/>
      <w:szCs w:val="20"/>
    </w:rPr>
  </w:style>
  <w:style w:type="paragraph" w:customStyle="1" w:styleId="Clauseheading">
    <w:name w:val="Clause heading"/>
    <w:basedOn w:val="Normal"/>
    <w:next w:val="Normal"/>
    <w:uiPriority w:val="14"/>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uiPriority w:val="15"/>
    <w:qFormat/>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uiPriority w:val="16"/>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uiPriority w:val="12"/>
    <w:qFormat/>
    <w:rsid w:val="00A318EB"/>
    <w:pPr>
      <w:tabs>
        <w:tab w:val="clear" w:pos="851"/>
      </w:tabs>
      <w:ind w:left="1702" w:hanging="851"/>
    </w:pPr>
  </w:style>
  <w:style w:type="paragraph" w:customStyle="1" w:styleId="ScheduleHeading">
    <w:name w:val="Schedule Heading"/>
    <w:basedOn w:val="Normal"/>
    <w:next w:val="Normal"/>
    <w:uiPriority w:val="18"/>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uiPriority w:val="13"/>
    <w:qFormat/>
    <w:rsid w:val="00A318EB"/>
    <w:pPr>
      <w:ind w:left="2553"/>
    </w:pPr>
  </w:style>
  <w:style w:type="paragraph" w:customStyle="1" w:styleId="Table1">
    <w:name w:val="Table 1"/>
    <w:basedOn w:val="Normal"/>
    <w:uiPriority w:val="20"/>
    <w:qFormat/>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uiPriority w:val="99"/>
    <w:qFormat/>
    <w:rsid w:val="00A318EB"/>
    <w:rPr>
      <w:sz w:val="20"/>
      <w:szCs w:val="20"/>
    </w:rPr>
  </w:style>
  <w:style w:type="character" w:styleId="FootnoteReference">
    <w:name w:val="footnote reference"/>
    <w:basedOn w:val="DefaultParagraphFont"/>
    <w:uiPriority w:val="99"/>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5B6430"/>
    <w:pPr>
      <w:widowControl/>
      <w:numPr>
        <w:numId w:val="3"/>
      </w:numPr>
      <w:ind w:left="567" w:hanging="567"/>
    </w:pPr>
    <w:rPr>
      <w:rFonts w:cs="Arial"/>
      <w:lang w:bidi="ar-SA"/>
    </w:rPr>
  </w:style>
  <w:style w:type="character" w:customStyle="1" w:styleId="FSBullet1Char">
    <w:name w:val="FSBullet 1 Char"/>
    <w:link w:val="FSBullet1"/>
    <w:rsid w:val="005B6430"/>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SFootnote Text Char,Footnotes Text Char,FSFootnotes Text Char"/>
    <w:link w:val="FootnoteText"/>
    <w:uiPriority w:val="99"/>
    <w:rsid w:val="00695EC0"/>
    <w:rPr>
      <w:rFonts w:ascii="Arial" w:hAnsi="Arial"/>
      <w:lang w:eastAsia="en-US" w:bidi="en-US"/>
    </w:rPr>
  </w:style>
  <w:style w:type="paragraph" w:customStyle="1" w:styleId="FSHeading">
    <w:name w:val="FS Heading"/>
    <w:basedOn w:val="Normal"/>
    <w:qFormat/>
    <w:rsid w:val="003B0B1B"/>
    <w:pPr>
      <w:ind w:left="851" w:hanging="851"/>
    </w:pPr>
    <w:rPr>
      <w:b/>
      <w:szCs w:val="20"/>
      <w:lang w:val="en-AU" w:bidi="ar-SA"/>
    </w:rPr>
  </w:style>
  <w:style w:type="paragraph" w:styleId="ListParagraph">
    <w:name w:val="List Paragraph"/>
    <w:basedOn w:val="Normal"/>
    <w:uiPriority w:val="99"/>
    <w:qFormat/>
    <w:rsid w:val="000477CE"/>
    <w:pPr>
      <w:ind w:left="720"/>
      <w:contextualSpacing/>
    </w:pPr>
  </w:style>
  <w:style w:type="character" w:customStyle="1" w:styleId="ClauseChar">
    <w:name w:val="Clause Char"/>
    <w:basedOn w:val="DefaultParagraphFont"/>
    <w:link w:val="Clause"/>
    <w:uiPriority w:val="10"/>
    <w:rsid w:val="00B268FE"/>
    <w:rPr>
      <w:rFonts w:ascii="Arial" w:hAnsi="Arial"/>
      <w:lang w:eastAsia="en-US" w:bidi="en-US"/>
    </w:rPr>
  </w:style>
  <w:style w:type="paragraph" w:styleId="Title">
    <w:name w:val="Title"/>
    <w:basedOn w:val="Normal"/>
    <w:link w:val="TitleChar"/>
    <w:uiPriority w:val="10"/>
    <w:qFormat/>
    <w:rsid w:val="005F4243"/>
    <w:pPr>
      <w:widowControl/>
      <w:jc w:val="center"/>
    </w:pPr>
    <w:rPr>
      <w:rFonts w:eastAsiaTheme="minorHAnsi" w:cstheme="minorBidi"/>
      <w:b/>
      <w:bCs/>
      <w:sz w:val="20"/>
      <w:lang w:val="en-AU" w:eastAsia="en-GB" w:bidi="ar-SA"/>
    </w:rPr>
  </w:style>
  <w:style w:type="character" w:customStyle="1" w:styleId="TitleChar">
    <w:name w:val="Title Char"/>
    <w:basedOn w:val="DefaultParagraphFont"/>
    <w:link w:val="Title"/>
    <w:uiPriority w:val="10"/>
    <w:rsid w:val="005F4243"/>
    <w:rPr>
      <w:rFonts w:ascii="Arial" w:eastAsiaTheme="minorHAnsi" w:hAnsi="Arial" w:cstheme="minorBidi"/>
      <w:b/>
      <w:bCs/>
      <w:szCs w:val="24"/>
      <w:lang w:val="en-AU"/>
    </w:rPr>
  </w:style>
  <w:style w:type="paragraph" w:customStyle="1" w:styleId="t1Main">
    <w:name w:val="t1_Main"/>
    <w:rsid w:val="00372387"/>
    <w:pPr>
      <w:tabs>
        <w:tab w:val="right" w:pos="851"/>
      </w:tabs>
      <w:spacing w:before="80" w:after="100" w:line="260" w:lineRule="exact"/>
      <w:ind w:left="964" w:hanging="964"/>
    </w:pPr>
    <w:rPr>
      <w:rFonts w:ascii="Times New Roman" w:hAnsi="Times New Roman"/>
      <w:sz w:val="24"/>
      <w:szCs w:val="24"/>
      <w:lang w:val="en-AU" w:eastAsia="en-AU"/>
    </w:rPr>
  </w:style>
  <w:style w:type="paragraph" w:customStyle="1" w:styleId="nDrafterComment">
    <w:name w:val="n_Drafter_Comment"/>
    <w:basedOn w:val="Normal"/>
    <w:qFormat/>
    <w:rsid w:val="00372387"/>
    <w:pPr>
      <w:widowControl/>
      <w:spacing w:before="80" w:after="80"/>
    </w:pPr>
    <w:rPr>
      <w:color w:val="7030A0"/>
      <w:lang w:val="en-AU" w:eastAsia="en-AU" w:bidi="ar-SA"/>
    </w:rPr>
  </w:style>
  <w:style w:type="paragraph" w:customStyle="1" w:styleId="ttAuthorisingAct">
    <w:name w:val="tt_Authorising_Act"/>
    <w:basedOn w:val="Normal"/>
    <w:rsid w:val="00372387"/>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372387"/>
    <w:pPr>
      <w:widowControl/>
      <w:spacing w:before="60" w:after="80"/>
    </w:pPr>
    <w:rPr>
      <w:sz w:val="24"/>
      <w:lang w:val="en-AU" w:eastAsia="en-AU" w:bidi="ar-SA"/>
    </w:rPr>
  </w:style>
  <w:style w:type="paragraph" w:customStyle="1" w:styleId="ttTitleofInstrument">
    <w:name w:val="tt_Title_of_Instrument"/>
    <w:basedOn w:val="Normal"/>
    <w:rsid w:val="00372387"/>
    <w:pPr>
      <w:widowControl/>
      <w:spacing w:before="200" w:after="80"/>
    </w:pPr>
    <w:rPr>
      <w:b/>
      <w:sz w:val="32"/>
      <w:lang w:val="en-AU" w:eastAsia="en-AU" w:bidi="ar-SA"/>
    </w:rPr>
  </w:style>
  <w:style w:type="character" w:customStyle="1" w:styleId="PageBreakChar">
    <w:name w:val="PageBreak Char"/>
    <w:link w:val="PageBreak"/>
    <w:rsid w:val="00372387"/>
    <w:rPr>
      <w:sz w:val="16"/>
      <w:lang w:eastAsia="en-US"/>
    </w:rPr>
  </w:style>
  <w:style w:type="paragraph" w:customStyle="1" w:styleId="PageBreak">
    <w:name w:val="PageBreak"/>
    <w:basedOn w:val="Normal"/>
    <w:link w:val="PageBreakChar"/>
    <w:rsid w:val="00372387"/>
    <w:pPr>
      <w:widowControl/>
      <w:tabs>
        <w:tab w:val="center" w:pos="4536"/>
        <w:tab w:val="right" w:pos="9072"/>
      </w:tabs>
    </w:pPr>
    <w:rPr>
      <w:rFonts w:ascii="Calibri" w:hAnsi="Calibri"/>
      <w:sz w:val="16"/>
      <w:szCs w:val="20"/>
      <w:lang w:bidi="ar-SA"/>
    </w:rPr>
  </w:style>
  <w:style w:type="paragraph" w:customStyle="1" w:styleId="TablePlainParagraph">
    <w:name w:val="Table: Plain Paragraph"/>
    <w:aliases w:val="Table PP"/>
    <w:basedOn w:val="Normal"/>
    <w:link w:val="TablePlainParagraphChar"/>
    <w:uiPriority w:val="11"/>
    <w:qFormat/>
    <w:rsid w:val="00372387"/>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372387"/>
    <w:rPr>
      <w:rFonts w:ascii="Arial" w:hAnsi="Arial" w:cs="Arial"/>
      <w:szCs w:val="22"/>
      <w:lang w:val="en-AU" w:eastAsia="en-AU"/>
    </w:rPr>
  </w:style>
  <w:style w:type="paragraph" w:customStyle="1" w:styleId="HR">
    <w:name w:val="HR"/>
    <w:aliases w:val="Regulation Heading"/>
    <w:basedOn w:val="Normal"/>
    <w:next w:val="R1"/>
    <w:rsid w:val="00372387"/>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37238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372387"/>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372387"/>
    <w:pPr>
      <w:keepNext/>
      <w:keepLines/>
      <w:widowControl/>
      <w:spacing w:before="480"/>
      <w:ind w:left="2410" w:hanging="2410"/>
    </w:pPr>
    <w:rPr>
      <w:b/>
      <w:sz w:val="32"/>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351733621">
      <w:bodyDiv w:val="1"/>
      <w:marLeft w:val="0"/>
      <w:marRight w:val="0"/>
      <w:marTop w:val="0"/>
      <w:marBottom w:val="0"/>
      <w:divBdr>
        <w:top w:val="none" w:sz="0" w:space="0" w:color="auto"/>
        <w:left w:val="none" w:sz="0" w:space="0" w:color="auto"/>
        <w:bottom w:val="none" w:sz="0" w:space="0" w:color="auto"/>
        <w:right w:val="none" w:sz="0" w:space="0" w:color="auto"/>
      </w:divBdr>
      <w:divsChild>
        <w:div w:id="1422333077">
          <w:marLeft w:val="0"/>
          <w:marRight w:val="0"/>
          <w:marTop w:val="0"/>
          <w:marBottom w:val="0"/>
          <w:divBdr>
            <w:top w:val="none" w:sz="0" w:space="0" w:color="auto"/>
            <w:left w:val="none" w:sz="0" w:space="0" w:color="auto"/>
            <w:bottom w:val="none" w:sz="0" w:space="0" w:color="auto"/>
            <w:right w:val="none" w:sz="0" w:space="0" w:color="auto"/>
          </w:divBdr>
          <w:divsChild>
            <w:div w:id="836771754">
              <w:marLeft w:val="0"/>
              <w:marRight w:val="0"/>
              <w:marTop w:val="0"/>
              <w:marBottom w:val="0"/>
              <w:divBdr>
                <w:top w:val="none" w:sz="0" w:space="0" w:color="auto"/>
                <w:left w:val="none" w:sz="0" w:space="0" w:color="auto"/>
                <w:bottom w:val="none" w:sz="0" w:space="0" w:color="auto"/>
                <w:right w:val="none" w:sz="0" w:space="0" w:color="auto"/>
              </w:divBdr>
              <w:divsChild>
                <w:div w:id="106242208">
                  <w:marLeft w:val="0"/>
                  <w:marRight w:val="0"/>
                  <w:marTop w:val="0"/>
                  <w:marBottom w:val="0"/>
                  <w:divBdr>
                    <w:top w:val="none" w:sz="0" w:space="0" w:color="auto"/>
                    <w:left w:val="none" w:sz="0" w:space="0" w:color="auto"/>
                    <w:bottom w:val="none" w:sz="0" w:space="0" w:color="auto"/>
                    <w:right w:val="none" w:sz="0" w:space="0" w:color="auto"/>
                  </w:divBdr>
                  <w:divsChild>
                    <w:div w:id="104274139">
                      <w:marLeft w:val="0"/>
                      <w:marRight w:val="0"/>
                      <w:marTop w:val="0"/>
                      <w:marBottom w:val="0"/>
                      <w:divBdr>
                        <w:top w:val="none" w:sz="0" w:space="0" w:color="auto"/>
                        <w:left w:val="none" w:sz="0" w:space="0" w:color="auto"/>
                        <w:bottom w:val="none" w:sz="0" w:space="0" w:color="auto"/>
                        <w:right w:val="none" w:sz="0" w:space="0" w:color="auto"/>
                      </w:divBdr>
                      <w:divsChild>
                        <w:div w:id="8455018">
                          <w:marLeft w:val="0"/>
                          <w:marRight w:val="0"/>
                          <w:marTop w:val="0"/>
                          <w:marBottom w:val="0"/>
                          <w:divBdr>
                            <w:top w:val="none" w:sz="0" w:space="0" w:color="auto"/>
                            <w:left w:val="none" w:sz="0" w:space="0" w:color="auto"/>
                            <w:bottom w:val="none" w:sz="0" w:space="0" w:color="auto"/>
                            <w:right w:val="none" w:sz="0" w:space="0" w:color="auto"/>
                          </w:divBdr>
                          <w:divsChild>
                            <w:div w:id="986320597">
                              <w:marLeft w:val="0"/>
                              <w:marRight w:val="0"/>
                              <w:marTop w:val="0"/>
                              <w:marBottom w:val="0"/>
                              <w:divBdr>
                                <w:top w:val="none" w:sz="0" w:space="0" w:color="auto"/>
                                <w:left w:val="none" w:sz="0" w:space="0" w:color="auto"/>
                                <w:bottom w:val="none" w:sz="0" w:space="0" w:color="auto"/>
                                <w:right w:val="none" w:sz="0" w:space="0" w:color="auto"/>
                              </w:divBdr>
                              <w:divsChild>
                                <w:div w:id="1524975419">
                                  <w:marLeft w:val="0"/>
                                  <w:marRight w:val="0"/>
                                  <w:marTop w:val="0"/>
                                  <w:marBottom w:val="0"/>
                                  <w:divBdr>
                                    <w:top w:val="none" w:sz="0" w:space="0" w:color="auto"/>
                                    <w:left w:val="none" w:sz="0" w:space="0" w:color="auto"/>
                                    <w:bottom w:val="none" w:sz="0" w:space="0" w:color="auto"/>
                                    <w:right w:val="none" w:sz="0" w:space="0" w:color="auto"/>
                                  </w:divBdr>
                                  <w:divsChild>
                                    <w:div w:id="2124768812">
                                      <w:marLeft w:val="0"/>
                                      <w:marRight w:val="0"/>
                                      <w:marTop w:val="0"/>
                                      <w:marBottom w:val="0"/>
                                      <w:divBdr>
                                        <w:top w:val="none" w:sz="0" w:space="0" w:color="auto"/>
                                        <w:left w:val="none" w:sz="0" w:space="0" w:color="auto"/>
                                        <w:bottom w:val="none" w:sz="0" w:space="0" w:color="auto"/>
                                        <w:right w:val="none" w:sz="0" w:space="0" w:color="auto"/>
                                      </w:divBdr>
                                      <w:divsChild>
                                        <w:div w:id="124394678">
                                          <w:marLeft w:val="0"/>
                                          <w:marRight w:val="0"/>
                                          <w:marTop w:val="0"/>
                                          <w:marBottom w:val="0"/>
                                          <w:divBdr>
                                            <w:top w:val="none" w:sz="0" w:space="0" w:color="auto"/>
                                            <w:left w:val="none" w:sz="0" w:space="0" w:color="auto"/>
                                            <w:bottom w:val="none" w:sz="0" w:space="0" w:color="auto"/>
                                            <w:right w:val="none" w:sz="0" w:space="0" w:color="auto"/>
                                          </w:divBdr>
                                        </w:div>
                                        <w:div w:id="87044877">
                                          <w:marLeft w:val="0"/>
                                          <w:marRight w:val="0"/>
                                          <w:marTop w:val="0"/>
                                          <w:marBottom w:val="0"/>
                                          <w:divBdr>
                                            <w:top w:val="none" w:sz="0" w:space="0" w:color="auto"/>
                                            <w:left w:val="none" w:sz="0" w:space="0" w:color="auto"/>
                                            <w:bottom w:val="none" w:sz="0" w:space="0" w:color="auto"/>
                                            <w:right w:val="none" w:sz="0" w:space="0" w:color="auto"/>
                                          </w:divBdr>
                                        </w:div>
                                        <w:div w:id="11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133337">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59175296">
      <w:bodyDiv w:val="1"/>
      <w:marLeft w:val="0"/>
      <w:marRight w:val="0"/>
      <w:marTop w:val="0"/>
      <w:marBottom w:val="0"/>
      <w:divBdr>
        <w:top w:val="none" w:sz="0" w:space="0" w:color="auto"/>
        <w:left w:val="none" w:sz="0" w:space="0" w:color="auto"/>
        <w:bottom w:val="none" w:sz="0" w:space="0" w:color="auto"/>
        <w:right w:val="none" w:sz="0" w:space="0" w:color="auto"/>
      </w:divBdr>
      <w:divsChild>
        <w:div w:id="814107777">
          <w:marLeft w:val="0"/>
          <w:marRight w:val="0"/>
          <w:marTop w:val="0"/>
          <w:marBottom w:val="0"/>
          <w:divBdr>
            <w:top w:val="none" w:sz="0" w:space="0" w:color="auto"/>
            <w:left w:val="none" w:sz="0" w:space="0" w:color="auto"/>
            <w:bottom w:val="none" w:sz="0" w:space="0" w:color="auto"/>
            <w:right w:val="none" w:sz="0" w:space="0" w:color="auto"/>
          </w:divBdr>
          <w:divsChild>
            <w:div w:id="1497454416">
              <w:marLeft w:val="0"/>
              <w:marRight w:val="0"/>
              <w:marTop w:val="0"/>
              <w:marBottom w:val="0"/>
              <w:divBdr>
                <w:top w:val="none" w:sz="0" w:space="0" w:color="auto"/>
                <w:left w:val="none" w:sz="0" w:space="0" w:color="auto"/>
                <w:bottom w:val="none" w:sz="0" w:space="0" w:color="auto"/>
                <w:right w:val="none" w:sz="0" w:space="0" w:color="auto"/>
              </w:divBdr>
              <w:divsChild>
                <w:div w:id="1337343136">
                  <w:marLeft w:val="0"/>
                  <w:marRight w:val="0"/>
                  <w:marTop w:val="0"/>
                  <w:marBottom w:val="0"/>
                  <w:divBdr>
                    <w:top w:val="none" w:sz="0" w:space="0" w:color="auto"/>
                    <w:left w:val="none" w:sz="0" w:space="0" w:color="auto"/>
                    <w:bottom w:val="none" w:sz="0" w:space="0" w:color="auto"/>
                    <w:right w:val="none" w:sz="0" w:space="0" w:color="auto"/>
                  </w:divBdr>
                  <w:divsChild>
                    <w:div w:id="229272545">
                      <w:marLeft w:val="0"/>
                      <w:marRight w:val="0"/>
                      <w:marTop w:val="0"/>
                      <w:marBottom w:val="0"/>
                      <w:divBdr>
                        <w:top w:val="none" w:sz="0" w:space="0" w:color="auto"/>
                        <w:left w:val="none" w:sz="0" w:space="0" w:color="auto"/>
                        <w:bottom w:val="none" w:sz="0" w:space="0" w:color="auto"/>
                        <w:right w:val="none" w:sz="0" w:space="0" w:color="auto"/>
                      </w:divBdr>
                      <w:divsChild>
                        <w:div w:id="1131903976">
                          <w:marLeft w:val="0"/>
                          <w:marRight w:val="0"/>
                          <w:marTop w:val="0"/>
                          <w:marBottom w:val="0"/>
                          <w:divBdr>
                            <w:top w:val="none" w:sz="0" w:space="0" w:color="auto"/>
                            <w:left w:val="none" w:sz="0" w:space="0" w:color="auto"/>
                            <w:bottom w:val="none" w:sz="0" w:space="0" w:color="auto"/>
                            <w:right w:val="none" w:sz="0" w:space="0" w:color="auto"/>
                          </w:divBdr>
                          <w:divsChild>
                            <w:div w:id="90398235">
                              <w:marLeft w:val="0"/>
                              <w:marRight w:val="0"/>
                              <w:marTop w:val="0"/>
                              <w:marBottom w:val="0"/>
                              <w:divBdr>
                                <w:top w:val="none" w:sz="0" w:space="0" w:color="auto"/>
                                <w:left w:val="none" w:sz="0" w:space="0" w:color="auto"/>
                                <w:bottom w:val="none" w:sz="0" w:space="0" w:color="auto"/>
                                <w:right w:val="none" w:sz="0" w:space="0" w:color="auto"/>
                              </w:divBdr>
                              <w:divsChild>
                                <w:div w:id="68426330">
                                  <w:marLeft w:val="0"/>
                                  <w:marRight w:val="0"/>
                                  <w:marTop w:val="0"/>
                                  <w:marBottom w:val="0"/>
                                  <w:divBdr>
                                    <w:top w:val="none" w:sz="0" w:space="0" w:color="auto"/>
                                    <w:left w:val="none" w:sz="0" w:space="0" w:color="auto"/>
                                    <w:bottom w:val="none" w:sz="0" w:space="0" w:color="auto"/>
                                    <w:right w:val="none" w:sz="0" w:space="0" w:color="auto"/>
                                  </w:divBdr>
                                  <w:divsChild>
                                    <w:div w:id="1163395569">
                                      <w:marLeft w:val="0"/>
                                      <w:marRight w:val="0"/>
                                      <w:marTop w:val="0"/>
                                      <w:marBottom w:val="0"/>
                                      <w:divBdr>
                                        <w:top w:val="none" w:sz="0" w:space="0" w:color="auto"/>
                                        <w:left w:val="none" w:sz="0" w:space="0" w:color="auto"/>
                                        <w:bottom w:val="none" w:sz="0" w:space="0" w:color="auto"/>
                                        <w:right w:val="none" w:sz="0" w:space="0" w:color="auto"/>
                                      </w:divBdr>
                                      <w:divsChild>
                                        <w:div w:id="745810993">
                                          <w:marLeft w:val="0"/>
                                          <w:marRight w:val="0"/>
                                          <w:marTop w:val="0"/>
                                          <w:marBottom w:val="0"/>
                                          <w:divBdr>
                                            <w:top w:val="none" w:sz="0" w:space="0" w:color="auto"/>
                                            <w:left w:val="none" w:sz="0" w:space="0" w:color="auto"/>
                                            <w:bottom w:val="none" w:sz="0" w:space="0" w:color="auto"/>
                                            <w:right w:val="none" w:sz="0" w:space="0" w:color="auto"/>
                                          </w:divBdr>
                                        </w:div>
                                        <w:div w:id="1798375631">
                                          <w:marLeft w:val="0"/>
                                          <w:marRight w:val="0"/>
                                          <w:marTop w:val="0"/>
                                          <w:marBottom w:val="0"/>
                                          <w:divBdr>
                                            <w:top w:val="none" w:sz="0" w:space="0" w:color="auto"/>
                                            <w:left w:val="none" w:sz="0" w:space="0" w:color="auto"/>
                                            <w:bottom w:val="none" w:sz="0" w:space="0" w:color="auto"/>
                                            <w:right w:val="none" w:sz="0" w:space="0" w:color="auto"/>
                                          </w:divBdr>
                                        </w:div>
                                        <w:div w:id="181791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228609948">
      <w:bodyDiv w:val="1"/>
      <w:marLeft w:val="0"/>
      <w:marRight w:val="0"/>
      <w:marTop w:val="0"/>
      <w:marBottom w:val="0"/>
      <w:divBdr>
        <w:top w:val="none" w:sz="0" w:space="0" w:color="auto"/>
        <w:left w:val="none" w:sz="0" w:space="0" w:color="auto"/>
        <w:bottom w:val="none" w:sz="0" w:space="0" w:color="auto"/>
        <w:right w:val="none" w:sz="0" w:space="0" w:color="auto"/>
      </w:divBdr>
    </w:div>
    <w:div w:id="156070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oodstandards.gov.au/code/microbiollimi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andards.gov.au/publications/pages/guidelinesformicrobi1306.aspx"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code/proposals/Pages/proposalp1017criteri5439.aspx"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au/code/proposals/Pages/proposalp1017criteri5439.aspx" TargetMode="External"/><Relationship Id="rId20" Type="http://schemas.openxmlformats.org/officeDocument/2006/relationships/hyperlink" Target="http://www.foodstandards.gov.au/publications/Pages/listeriarecallguidel5618.aspx"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codexalimentarius.org/download/standards/394/CXG_021e.pdf"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de/proposals/Documents/P1017%20Submissions.zip" TargetMode="Externa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foodstandards.gov.au/industry/safetystandards/programs/documents/Food_Safety_Management_in_Aust_Policy_Guideline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code/proposals/documents/P1017_CFS.pdf"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oodstandards.gov.au/publications/Pages/listeriarecallguidel5618.aspx" TargetMode="External"/><Relationship Id="rId2" Type="http://schemas.openxmlformats.org/officeDocument/2006/relationships/hyperlink" Target="http://www.codexalimentarius.org/download/standards/10740/CXG_061e.pdf" TargetMode="External"/><Relationship Id="rId1" Type="http://schemas.openxmlformats.org/officeDocument/2006/relationships/hyperlink" Target="http://www.foodstandards.gov.au/code/microbiollimits/Documents/20120210-reviewing-micro-limits-background-paper-word.doc" TargetMode="External"/><Relationship Id="rId5" Type="http://schemas.openxmlformats.org/officeDocument/2006/relationships/hyperlink" Target="http://www.foodstandards.gov.au/consumer/safety/listeria/documents/listeria-1.pdf" TargetMode="External"/><Relationship Id="rId4" Type="http://schemas.openxmlformats.org/officeDocument/2006/relationships/hyperlink" Target="http://www.foodstandards.gov.au/publications/pages/guidelinesformicrobi130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C03768-5BC9-4031-8409-D3DA93058E04}"/>
</file>

<file path=customXml/itemProps2.xml><?xml version="1.0" encoding="utf-8"?>
<ds:datastoreItem xmlns:ds="http://schemas.openxmlformats.org/officeDocument/2006/customXml" ds:itemID="{5108B821-0EAC-406A-BE96-E77ECAEDE9E3}"/>
</file>

<file path=customXml/itemProps3.xml><?xml version="1.0" encoding="utf-8"?>
<ds:datastoreItem xmlns:ds="http://schemas.openxmlformats.org/officeDocument/2006/customXml" ds:itemID="{A7538F13-2A75-4726-B1F5-95CB5DA5E909}"/>
</file>

<file path=customXml/itemProps4.xml><?xml version="1.0" encoding="utf-8"?>
<ds:datastoreItem xmlns:ds="http://schemas.openxmlformats.org/officeDocument/2006/customXml" ds:itemID="{9BA33B20-64EA-448E-BEB7-0E9843026953}"/>
</file>

<file path=docProps/app.xml><?xml version="1.0" encoding="utf-8"?>
<Properties xmlns="http://schemas.openxmlformats.org/officeDocument/2006/extended-properties" xmlns:vt="http://schemas.openxmlformats.org/officeDocument/2006/docPropsVTypes">
  <Template>Normal</Template>
  <TotalTime>0</TotalTime>
  <Pages>36</Pages>
  <Words>11367</Words>
  <Characters>66333</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77545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P1017-MicroAppR</dc:title>
  <dc:creator/>
  <cp:lastModifiedBy/>
  <cp:revision>1</cp:revision>
  <dcterms:created xsi:type="dcterms:W3CDTF">2014-05-20T04:32:00Z</dcterms:created>
  <dcterms:modified xsi:type="dcterms:W3CDTF">2014-05-20T04:32:00Z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