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ADF5D" w14:textId="77777777" w:rsidR="00420F9C" w:rsidRDefault="00420F9C" w:rsidP="00BB3D1F">
      <w:pPr>
        <w:pStyle w:val="FSTitle"/>
        <w:rPr>
          <w:rFonts w:ascii="Arial" w:hAnsi="Arial" w:cs="Arial"/>
          <w:sz w:val="32"/>
          <w:szCs w:val="32"/>
          <w:lang w:val="en-GB"/>
        </w:rPr>
      </w:pPr>
      <w:bookmarkStart w:id="0" w:name="_GoBack"/>
      <w:bookmarkEnd w:id="0"/>
      <w:r>
        <w:rPr>
          <w:noProof/>
          <w:lang w:val="en-GB" w:eastAsia="en-GB"/>
        </w:rPr>
        <w:drawing>
          <wp:inline distT="0" distB="0" distL="0" distR="0" wp14:anchorId="4E6C9301" wp14:editId="3650741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1AC1967" w14:textId="77777777" w:rsidR="00420F9C" w:rsidRPr="00420F9C" w:rsidRDefault="00420F9C" w:rsidP="00BB3D1F">
      <w:pPr>
        <w:pStyle w:val="FSTitle"/>
        <w:rPr>
          <w:rFonts w:ascii="Arial" w:hAnsi="Arial" w:cs="Arial"/>
          <w:sz w:val="22"/>
          <w:szCs w:val="32"/>
          <w:lang w:val="en-GB"/>
        </w:rPr>
      </w:pPr>
    </w:p>
    <w:p w14:paraId="2D42874B" w14:textId="64879D58" w:rsidR="001913A7" w:rsidRPr="00F85DCF" w:rsidRDefault="00BB3D1F" w:rsidP="00BB3D1F">
      <w:pPr>
        <w:pStyle w:val="FSTitle"/>
        <w:rPr>
          <w:rFonts w:ascii="Arial" w:hAnsi="Arial" w:cs="Arial"/>
          <w:sz w:val="32"/>
          <w:szCs w:val="32"/>
          <w:lang w:val="en-GB"/>
        </w:rPr>
      </w:pPr>
      <w:r w:rsidRPr="00F85DCF">
        <w:rPr>
          <w:rFonts w:ascii="Arial" w:hAnsi="Arial" w:cs="Arial"/>
          <w:sz w:val="32"/>
          <w:szCs w:val="32"/>
          <w:lang w:val="en-GB"/>
        </w:rPr>
        <w:t xml:space="preserve">Supporting Document 1 </w:t>
      </w:r>
    </w:p>
    <w:p w14:paraId="1188D2F9" w14:textId="77777777" w:rsidR="001913A7" w:rsidRPr="00F85DCF" w:rsidRDefault="001913A7" w:rsidP="00BB3D1F">
      <w:pPr>
        <w:pStyle w:val="FSTitle"/>
        <w:rPr>
          <w:rFonts w:ascii="Arial" w:hAnsi="Arial" w:cs="Arial"/>
          <w:sz w:val="22"/>
          <w:szCs w:val="32"/>
          <w:lang w:val="en-GB"/>
        </w:rPr>
      </w:pPr>
    </w:p>
    <w:p w14:paraId="2737664F" w14:textId="77777777" w:rsidR="00420F9C" w:rsidRDefault="00BB3D1F" w:rsidP="001913A7">
      <w:pPr>
        <w:pStyle w:val="FSTitle"/>
        <w:rPr>
          <w:rFonts w:ascii="Arial" w:hAnsi="Arial" w:cs="Arial"/>
          <w:b w:val="0"/>
          <w:sz w:val="28"/>
          <w:szCs w:val="28"/>
          <w:lang w:val="en-GB"/>
        </w:rPr>
      </w:pPr>
      <w:r w:rsidRPr="00F85DCF">
        <w:rPr>
          <w:rFonts w:ascii="Arial" w:hAnsi="Arial" w:cs="Arial"/>
          <w:b w:val="0"/>
          <w:sz w:val="32"/>
          <w:szCs w:val="32"/>
          <w:lang w:val="en-GB"/>
        </w:rPr>
        <w:t xml:space="preserve">The risk assessment approach to establishing </w:t>
      </w:r>
      <w:r w:rsidRPr="00F85DCF">
        <w:rPr>
          <w:rFonts w:ascii="Arial" w:hAnsi="Arial" w:cs="Arial"/>
          <w:b w:val="0"/>
          <w:i/>
          <w:sz w:val="32"/>
          <w:szCs w:val="32"/>
          <w:lang w:val="en-GB"/>
        </w:rPr>
        <w:t xml:space="preserve">All other foods except animal </w:t>
      </w:r>
      <w:r w:rsidR="00F33488">
        <w:rPr>
          <w:rFonts w:ascii="Arial" w:hAnsi="Arial" w:cs="Arial"/>
          <w:b w:val="0"/>
          <w:i/>
          <w:sz w:val="32"/>
          <w:szCs w:val="32"/>
          <w:lang w:val="en-GB"/>
        </w:rPr>
        <w:t xml:space="preserve">food </w:t>
      </w:r>
      <w:r w:rsidRPr="00F85DCF">
        <w:rPr>
          <w:rFonts w:ascii="Arial" w:hAnsi="Arial" w:cs="Arial"/>
          <w:b w:val="0"/>
          <w:i/>
          <w:sz w:val="32"/>
          <w:szCs w:val="32"/>
          <w:lang w:val="en-GB"/>
        </w:rPr>
        <w:t>commodities</w:t>
      </w:r>
      <w:r w:rsidRPr="00F85DCF">
        <w:rPr>
          <w:rFonts w:ascii="Arial" w:hAnsi="Arial" w:cs="Arial"/>
          <w:b w:val="0"/>
          <w:sz w:val="32"/>
          <w:szCs w:val="32"/>
          <w:lang w:val="en-GB"/>
        </w:rPr>
        <w:t xml:space="preserve"> MRLs </w:t>
      </w:r>
      <w:r w:rsidR="00420F9C">
        <w:rPr>
          <w:rFonts w:ascii="Arial" w:hAnsi="Arial" w:cs="Arial"/>
          <w:b w:val="0"/>
          <w:sz w:val="32"/>
          <w:szCs w:val="32"/>
          <w:lang w:val="en-GB"/>
        </w:rPr>
        <w:t xml:space="preserve">– </w:t>
      </w:r>
      <w:r w:rsidR="00B53D03" w:rsidRPr="00F85DCF">
        <w:rPr>
          <w:rFonts w:ascii="Arial" w:hAnsi="Arial" w:cs="Arial"/>
          <w:b w:val="0"/>
          <w:sz w:val="28"/>
          <w:szCs w:val="28"/>
          <w:lang w:val="en-GB"/>
        </w:rPr>
        <w:t>Proposal P1027</w:t>
      </w:r>
    </w:p>
    <w:p w14:paraId="4513CC8F" w14:textId="77777777" w:rsidR="00420F9C" w:rsidRPr="00420F9C" w:rsidRDefault="00420F9C" w:rsidP="001913A7">
      <w:pPr>
        <w:pStyle w:val="FSTitle"/>
        <w:rPr>
          <w:rFonts w:ascii="Arial" w:hAnsi="Arial" w:cs="Arial"/>
          <w:b w:val="0"/>
          <w:sz w:val="22"/>
          <w:szCs w:val="28"/>
          <w:lang w:val="en-GB"/>
        </w:rPr>
      </w:pPr>
    </w:p>
    <w:p w14:paraId="40964352" w14:textId="31026CC7" w:rsidR="007D7F81" w:rsidRPr="00420F9C" w:rsidRDefault="007D7F81" w:rsidP="001913A7">
      <w:pPr>
        <w:pStyle w:val="FSTitle"/>
        <w:rPr>
          <w:rFonts w:ascii="Arial" w:hAnsi="Arial" w:cs="Arial"/>
          <w:b w:val="0"/>
          <w:sz w:val="32"/>
          <w:szCs w:val="28"/>
          <w:lang w:val="en-GB"/>
        </w:rPr>
      </w:pPr>
      <w:r w:rsidRPr="00420F9C">
        <w:rPr>
          <w:rFonts w:ascii="Arial" w:hAnsi="Arial" w:cs="Arial"/>
          <w:b w:val="0"/>
          <w:sz w:val="32"/>
          <w:szCs w:val="28"/>
          <w:lang w:val="en-GB"/>
        </w:rPr>
        <w:t>Managing Low-level Ag</w:t>
      </w:r>
      <w:r w:rsidR="00FA7983" w:rsidRPr="00420F9C">
        <w:rPr>
          <w:rFonts w:ascii="Arial" w:hAnsi="Arial" w:cs="Arial"/>
          <w:b w:val="0"/>
          <w:sz w:val="32"/>
          <w:szCs w:val="28"/>
          <w:lang w:val="en-GB"/>
        </w:rPr>
        <w:t xml:space="preserve"> </w:t>
      </w:r>
      <w:r w:rsidR="00845B5E" w:rsidRPr="00420F9C">
        <w:rPr>
          <w:rFonts w:ascii="Arial" w:hAnsi="Arial" w:cs="Arial"/>
          <w:b w:val="0"/>
          <w:sz w:val="32"/>
          <w:szCs w:val="28"/>
          <w:lang w:val="en-GB"/>
        </w:rPr>
        <w:t>&amp;</w:t>
      </w:r>
      <w:r w:rsidR="00FA7983" w:rsidRPr="00420F9C">
        <w:rPr>
          <w:rFonts w:ascii="Arial" w:hAnsi="Arial" w:cs="Arial"/>
          <w:b w:val="0"/>
          <w:sz w:val="32"/>
          <w:szCs w:val="28"/>
          <w:lang w:val="en-GB"/>
        </w:rPr>
        <w:t xml:space="preserve"> </w:t>
      </w:r>
      <w:r w:rsidRPr="00420F9C">
        <w:rPr>
          <w:rFonts w:ascii="Arial" w:hAnsi="Arial" w:cs="Arial"/>
          <w:b w:val="0"/>
          <w:sz w:val="32"/>
          <w:szCs w:val="28"/>
          <w:lang w:val="en-GB"/>
        </w:rPr>
        <w:t>Vet Chemicals without MRLs</w:t>
      </w:r>
    </w:p>
    <w:p w14:paraId="765D38E0" w14:textId="77777777" w:rsidR="001913A7" w:rsidRPr="00F85DCF" w:rsidRDefault="001913A7" w:rsidP="001913A7">
      <w:pPr>
        <w:pBdr>
          <w:bottom w:val="single" w:sz="12" w:space="1" w:color="auto"/>
        </w:pBdr>
        <w:spacing w:line="280" w:lineRule="exact"/>
        <w:rPr>
          <w:rFonts w:cs="Arial"/>
          <w:bCs/>
          <w:lang w:val="en-GB"/>
        </w:rPr>
      </w:pPr>
    </w:p>
    <w:p w14:paraId="715BDA4A" w14:textId="77777777" w:rsidR="001913A7" w:rsidRPr="00F85DCF" w:rsidRDefault="001913A7" w:rsidP="001913A7">
      <w:pPr>
        <w:rPr>
          <w:lang w:val="en-GB"/>
        </w:rPr>
      </w:pPr>
    </w:p>
    <w:p w14:paraId="1AC88F1E" w14:textId="77777777" w:rsidR="001913A7" w:rsidRPr="00F85DCF" w:rsidRDefault="001913A7" w:rsidP="001913A7">
      <w:pPr>
        <w:pStyle w:val="Heading1"/>
        <w:ind w:left="357" w:hanging="357"/>
      </w:pPr>
      <w:bookmarkStart w:id="1" w:name="_Toc448848066"/>
      <w:r w:rsidRPr="00F85DCF">
        <w:t>Executive Summary</w:t>
      </w:r>
      <w:bookmarkEnd w:id="1"/>
    </w:p>
    <w:p w14:paraId="318B5F18" w14:textId="1CF9E85C" w:rsidR="00A72F52" w:rsidRPr="00F85DCF" w:rsidRDefault="001913A7" w:rsidP="001913A7">
      <w:pPr>
        <w:rPr>
          <w:rFonts w:cs="Arial"/>
          <w:lang w:val="en-GB"/>
        </w:rPr>
      </w:pPr>
      <w:r w:rsidRPr="00F85DCF">
        <w:rPr>
          <w:rFonts w:cs="Arial"/>
          <w:lang w:val="en-GB"/>
        </w:rPr>
        <w:t xml:space="preserve">This supporting document provides information relating to the development of an approach to establish </w:t>
      </w:r>
      <w:r w:rsidR="00A72F52">
        <w:rPr>
          <w:rFonts w:cs="Arial"/>
          <w:i/>
          <w:lang w:val="en-GB"/>
        </w:rPr>
        <w:t>A</w:t>
      </w:r>
      <w:r w:rsidRPr="00F85DCF">
        <w:rPr>
          <w:rFonts w:cs="Arial"/>
          <w:i/>
          <w:lang w:val="en-GB"/>
        </w:rPr>
        <w:t>ll other foods</w:t>
      </w:r>
      <w:r w:rsidRPr="00F85DCF">
        <w:rPr>
          <w:rFonts w:cs="Arial"/>
          <w:lang w:val="en-GB"/>
        </w:rPr>
        <w:t xml:space="preserve"> </w:t>
      </w:r>
      <w:r w:rsidR="00A72F52">
        <w:rPr>
          <w:rFonts w:cs="Arial"/>
          <w:i/>
          <w:lang w:val="en-GB"/>
        </w:rPr>
        <w:t xml:space="preserve">except animal food commodities </w:t>
      </w:r>
      <w:r w:rsidRPr="00F85DCF">
        <w:rPr>
          <w:rFonts w:cs="Arial"/>
          <w:lang w:val="en-GB"/>
        </w:rPr>
        <w:t xml:space="preserve">MRLs for agricultural and veterinary chemicals (agvet) set out in Schedule 20 of the </w:t>
      </w:r>
      <w:r w:rsidRPr="00F85DCF">
        <w:rPr>
          <w:rFonts w:cs="Arial"/>
          <w:i/>
          <w:lang w:val="en-GB"/>
        </w:rPr>
        <w:t>Australia New Zealand Food Standards Code</w:t>
      </w:r>
      <w:r w:rsidRPr="00F85DCF">
        <w:rPr>
          <w:rFonts w:cs="Arial"/>
          <w:lang w:val="en-GB"/>
        </w:rPr>
        <w:t xml:space="preserve"> (the Code). This pilot approach was undertaken with a small number of chemicals already listed in the Code with the aim of developing principles and criteria to establish for specific agvet chemicals, </w:t>
      </w:r>
      <w:r w:rsidR="00A72F52">
        <w:rPr>
          <w:rFonts w:cs="Arial"/>
          <w:i/>
          <w:lang w:val="en-GB"/>
        </w:rPr>
        <w:t>A</w:t>
      </w:r>
      <w:r w:rsidRPr="00F85DCF">
        <w:rPr>
          <w:rFonts w:cs="Arial"/>
          <w:i/>
          <w:lang w:val="en-GB"/>
        </w:rPr>
        <w:t>ll other foods</w:t>
      </w:r>
      <w:r w:rsidRPr="00F85DCF">
        <w:rPr>
          <w:rFonts w:cs="Arial"/>
          <w:lang w:val="en-GB"/>
        </w:rPr>
        <w:t xml:space="preserve"> </w:t>
      </w:r>
      <w:r w:rsidR="00A72F52">
        <w:rPr>
          <w:rFonts w:cs="Arial"/>
          <w:i/>
          <w:lang w:val="en-GB"/>
        </w:rPr>
        <w:t xml:space="preserve">except animal food commodities </w:t>
      </w:r>
      <w:r w:rsidRPr="00F85DCF">
        <w:rPr>
          <w:rFonts w:cs="Arial"/>
          <w:lang w:val="en-GB"/>
        </w:rPr>
        <w:t>MRLs that are high enough to allow for inadvertent presence of t</w:t>
      </w:r>
      <w:r w:rsidR="00FE7E7F">
        <w:rPr>
          <w:rFonts w:cs="Arial"/>
          <w:lang w:val="en-GB"/>
        </w:rPr>
        <w:t xml:space="preserve">he chemical in food but are low </w:t>
      </w:r>
      <w:r w:rsidRPr="00F85DCF">
        <w:rPr>
          <w:rFonts w:cs="Arial"/>
          <w:lang w:val="en-GB"/>
        </w:rPr>
        <w:t xml:space="preserve">enough to limit the potential for 'off label' use of the chemical. </w:t>
      </w:r>
      <w:r w:rsidRPr="00F85DCF">
        <w:rPr>
          <w:lang w:val="en-GB"/>
        </w:rPr>
        <w:t xml:space="preserve">The approach is consistent with the Australian Pesticides and Veterinary Medicines Authority's (APVMA’s) risk assessment framework for approving and registering agvet chemical products, and with the risk assessment approach for establishing MRLs in the </w:t>
      </w:r>
      <w:r w:rsidRPr="00F85DCF" w:rsidDel="0042539C">
        <w:rPr>
          <w:lang w:val="en-GB"/>
        </w:rPr>
        <w:t>Code</w:t>
      </w:r>
      <w:r w:rsidRPr="00F85DCF">
        <w:rPr>
          <w:rFonts w:cs="Arial"/>
          <w:lang w:val="en-GB"/>
        </w:rPr>
        <w:t>.</w:t>
      </w:r>
    </w:p>
    <w:p w14:paraId="46E31048" w14:textId="77777777" w:rsidR="001913A7" w:rsidRPr="00F85DCF" w:rsidRDefault="001913A7" w:rsidP="001913A7">
      <w:pPr>
        <w:rPr>
          <w:rFonts w:cs="Arial"/>
          <w:lang w:val="en-GB"/>
        </w:rPr>
      </w:pPr>
    </w:p>
    <w:p w14:paraId="71A2A987" w14:textId="46EB1B1E" w:rsidR="004243CA" w:rsidRPr="00EC65E9" w:rsidRDefault="004243CA" w:rsidP="004243CA">
      <w:r>
        <w:rPr>
          <w:rFonts w:cs="Arial"/>
          <w:lang w:val="en-GB"/>
        </w:rPr>
        <w:t xml:space="preserve">The consultation paper released in late 2014 indicated FSANZ proposed to call the MRL category for addressing the presence of low level inadvertent agvet chemical residues in food commodities </w:t>
      </w:r>
      <w:r w:rsidRPr="004243CA">
        <w:rPr>
          <w:rFonts w:cs="Arial"/>
          <w:i/>
          <w:lang w:val="en-GB"/>
        </w:rPr>
        <w:t xml:space="preserve">All other foods </w:t>
      </w:r>
      <w:r>
        <w:rPr>
          <w:rFonts w:cs="Arial"/>
          <w:lang w:val="en-GB"/>
        </w:rPr>
        <w:t>MRL.</w:t>
      </w:r>
    </w:p>
    <w:p w14:paraId="65D68469" w14:textId="77777777" w:rsidR="004243CA" w:rsidRDefault="004243CA" w:rsidP="001913A7">
      <w:pPr>
        <w:rPr>
          <w:rFonts w:cs="Arial"/>
          <w:lang w:val="en-GB"/>
        </w:rPr>
      </w:pPr>
    </w:p>
    <w:p w14:paraId="0FF47054" w14:textId="601692AD" w:rsidR="001913A7" w:rsidRPr="00F85DCF" w:rsidRDefault="004243CA" w:rsidP="001913A7">
      <w:pPr>
        <w:rPr>
          <w:rFonts w:cs="Arial"/>
          <w:lang w:val="en-GB"/>
        </w:rPr>
      </w:pPr>
      <w:r>
        <w:rPr>
          <w:rFonts w:cs="Arial"/>
          <w:lang w:val="en-GB"/>
        </w:rPr>
        <w:t>In piloting the approach it was determined that f</w:t>
      </w:r>
      <w:r w:rsidR="001913A7" w:rsidRPr="00F85DCF">
        <w:rPr>
          <w:rFonts w:cs="Arial"/>
          <w:lang w:val="en-GB"/>
        </w:rPr>
        <w:t xml:space="preserve">or animal </w:t>
      </w:r>
      <w:r w:rsidR="00584C49">
        <w:rPr>
          <w:rFonts w:cs="Arial"/>
          <w:lang w:val="en-GB"/>
        </w:rPr>
        <w:t xml:space="preserve">food </w:t>
      </w:r>
      <w:r w:rsidR="001913A7" w:rsidRPr="00F85DCF">
        <w:rPr>
          <w:rFonts w:cs="Arial"/>
          <w:lang w:val="en-GB"/>
        </w:rPr>
        <w:t xml:space="preserve">commodities, if regard is given to existing animal commodity MRLs the outcome may be an </w:t>
      </w:r>
      <w:r w:rsidR="00A72F52">
        <w:rPr>
          <w:rFonts w:cs="Arial"/>
          <w:i/>
          <w:lang w:val="en-GB"/>
        </w:rPr>
        <w:t>A</w:t>
      </w:r>
      <w:r w:rsidR="001913A7" w:rsidRPr="00F85DCF">
        <w:rPr>
          <w:rFonts w:cs="Arial"/>
          <w:i/>
          <w:lang w:val="en-GB"/>
        </w:rPr>
        <w:t>ll other foods</w:t>
      </w:r>
      <w:r w:rsidR="001913A7" w:rsidRPr="00F85DCF">
        <w:rPr>
          <w:rFonts w:cs="Arial"/>
          <w:lang w:val="en-GB"/>
        </w:rPr>
        <w:t xml:space="preserve"> MRL that is too low to allow for inadvertent presence of pesticide residues in a plant commodity. However, if </w:t>
      </w:r>
      <w:r w:rsidR="00A72F52">
        <w:rPr>
          <w:rFonts w:cs="Arial"/>
          <w:i/>
          <w:lang w:val="en-GB"/>
        </w:rPr>
        <w:t>A</w:t>
      </w:r>
      <w:r w:rsidR="001913A7" w:rsidRPr="00F85DCF">
        <w:rPr>
          <w:rFonts w:cs="Arial"/>
          <w:i/>
          <w:lang w:val="en-GB"/>
        </w:rPr>
        <w:t>ll other foods</w:t>
      </w:r>
      <w:r w:rsidR="00A72F52">
        <w:rPr>
          <w:rFonts w:cs="Arial"/>
          <w:i/>
          <w:lang w:val="en-GB"/>
        </w:rPr>
        <w:t xml:space="preserve"> </w:t>
      </w:r>
      <w:r w:rsidR="001913A7" w:rsidRPr="00F85DCF">
        <w:rPr>
          <w:rFonts w:cs="Arial"/>
          <w:lang w:val="en-GB"/>
        </w:rPr>
        <w:t xml:space="preserve">MRLs are set on the basis of comparatively higher plant commodity MRLs, permissions for animal </w:t>
      </w:r>
      <w:r w:rsidR="002C21EA">
        <w:rPr>
          <w:rFonts w:cs="Arial"/>
          <w:lang w:val="en-GB"/>
        </w:rPr>
        <w:t xml:space="preserve">food </w:t>
      </w:r>
      <w:r w:rsidR="001913A7" w:rsidRPr="00F85DCF">
        <w:rPr>
          <w:rFonts w:cs="Arial"/>
          <w:lang w:val="en-GB"/>
        </w:rPr>
        <w:t xml:space="preserve">commodities captured in </w:t>
      </w:r>
      <w:r w:rsidR="00A72F52">
        <w:rPr>
          <w:rFonts w:cs="Arial"/>
          <w:i/>
          <w:lang w:val="en-GB"/>
        </w:rPr>
        <w:t>A</w:t>
      </w:r>
      <w:r w:rsidR="001913A7" w:rsidRPr="00F85DCF">
        <w:rPr>
          <w:rFonts w:cs="Arial"/>
          <w:i/>
          <w:lang w:val="en-GB"/>
        </w:rPr>
        <w:t>ll other foods</w:t>
      </w:r>
      <w:r w:rsidR="001913A7" w:rsidRPr="00F85DCF">
        <w:rPr>
          <w:rFonts w:cs="Arial"/>
          <w:lang w:val="en-GB"/>
        </w:rPr>
        <w:t xml:space="preserve"> </w:t>
      </w:r>
      <w:r w:rsidR="00B14559">
        <w:rPr>
          <w:rFonts w:cs="Arial"/>
          <w:lang w:val="en-GB"/>
        </w:rPr>
        <w:t xml:space="preserve">MRLs </w:t>
      </w:r>
      <w:r w:rsidR="001913A7" w:rsidRPr="00F85DCF">
        <w:rPr>
          <w:rFonts w:cs="Arial"/>
          <w:lang w:val="en-GB"/>
        </w:rPr>
        <w:t xml:space="preserve">could be higher than those that exist for animal </w:t>
      </w:r>
      <w:r w:rsidR="002C21EA">
        <w:rPr>
          <w:rFonts w:cs="Arial"/>
          <w:lang w:val="en-GB"/>
        </w:rPr>
        <w:t xml:space="preserve">food </w:t>
      </w:r>
      <w:r w:rsidR="001913A7" w:rsidRPr="00F85DCF">
        <w:rPr>
          <w:rFonts w:cs="Arial"/>
          <w:lang w:val="en-GB"/>
        </w:rPr>
        <w:t xml:space="preserve">commodities with established MRLs. To resolve this issue, animal </w:t>
      </w:r>
      <w:r w:rsidR="002C21EA">
        <w:rPr>
          <w:rFonts w:cs="Arial"/>
          <w:lang w:val="en-GB"/>
        </w:rPr>
        <w:t xml:space="preserve">food </w:t>
      </w:r>
      <w:r w:rsidR="001913A7" w:rsidRPr="00F85DCF">
        <w:rPr>
          <w:rFonts w:cs="Arial"/>
          <w:lang w:val="en-GB"/>
        </w:rPr>
        <w:t xml:space="preserve">commodities are categorically excluded from the </w:t>
      </w:r>
      <w:r>
        <w:rPr>
          <w:rFonts w:cs="Arial"/>
          <w:lang w:val="en-GB"/>
        </w:rPr>
        <w:t>initial</w:t>
      </w:r>
      <w:r w:rsidR="00B14559">
        <w:rPr>
          <w:rFonts w:cs="Arial"/>
          <w:lang w:val="en-GB"/>
        </w:rPr>
        <w:t>ly proposed</w:t>
      </w:r>
      <w:r>
        <w:rPr>
          <w:rFonts w:cs="Arial"/>
          <w:lang w:val="en-GB"/>
        </w:rPr>
        <w:t xml:space="preserve"> descriptor of the MRL category </w:t>
      </w:r>
      <w:r w:rsidR="001913A7" w:rsidRPr="00F85DCF">
        <w:rPr>
          <w:rFonts w:cs="Arial"/>
          <w:lang w:val="en-GB"/>
        </w:rPr>
        <w:t xml:space="preserve">and </w:t>
      </w:r>
      <w:r w:rsidR="00B14559">
        <w:rPr>
          <w:rFonts w:cs="Arial"/>
          <w:lang w:val="en-GB"/>
        </w:rPr>
        <w:t xml:space="preserve">the descriptor </w:t>
      </w:r>
      <w:r w:rsidR="001913A7" w:rsidRPr="00F85DCF">
        <w:rPr>
          <w:rFonts w:cs="Arial"/>
          <w:lang w:val="en-GB"/>
        </w:rPr>
        <w:t xml:space="preserve">modified to </w:t>
      </w:r>
      <w:r w:rsidR="001913A7" w:rsidRPr="00F85DCF">
        <w:rPr>
          <w:rFonts w:cs="Arial"/>
          <w:i/>
          <w:lang w:val="en-GB"/>
        </w:rPr>
        <w:t xml:space="preserve">All other foods except animal </w:t>
      </w:r>
      <w:r w:rsidR="00F33488">
        <w:rPr>
          <w:rFonts w:cs="Arial"/>
          <w:i/>
          <w:lang w:val="en-GB"/>
        </w:rPr>
        <w:t xml:space="preserve">food </w:t>
      </w:r>
      <w:r w:rsidR="001913A7" w:rsidRPr="00F85DCF">
        <w:rPr>
          <w:rFonts w:cs="Arial"/>
          <w:i/>
          <w:lang w:val="en-GB"/>
        </w:rPr>
        <w:t>commodities</w:t>
      </w:r>
      <w:r w:rsidR="001913A7" w:rsidRPr="00F85DCF">
        <w:rPr>
          <w:rFonts w:cs="Arial"/>
          <w:lang w:val="en-GB"/>
        </w:rPr>
        <w:t>.</w:t>
      </w:r>
    </w:p>
    <w:p w14:paraId="1BEDB447" w14:textId="77777777" w:rsidR="00A72F52" w:rsidRPr="00F85DCF" w:rsidRDefault="00A72F52" w:rsidP="001913A7">
      <w:pPr>
        <w:rPr>
          <w:rFonts w:cs="Arial"/>
          <w:lang w:val="en-GB"/>
        </w:rPr>
      </w:pPr>
    </w:p>
    <w:p w14:paraId="412D9E72" w14:textId="398E5D0D" w:rsidR="001913A7" w:rsidRPr="00F85DCF" w:rsidRDefault="001913A7" w:rsidP="001913A7">
      <w:pPr>
        <w:rPr>
          <w:rFonts w:cs="Arial"/>
          <w:lang w:val="en-GB"/>
        </w:rPr>
      </w:pPr>
      <w:r w:rsidRPr="00F85DCF">
        <w:rPr>
          <w:lang w:val="en-GB"/>
        </w:rPr>
        <w:t>Approximately 500 agvet chemicals, including herbicides, fungicides, insecticides and</w:t>
      </w:r>
      <w:r w:rsidRPr="00F85DCF">
        <w:rPr>
          <w:rFonts w:cs="Arial"/>
          <w:lang w:val="en-GB"/>
        </w:rPr>
        <w:t xml:space="preserve"> veterinary drugs</w:t>
      </w:r>
      <w:r w:rsidRPr="00F85DCF">
        <w:rPr>
          <w:lang w:val="en-GB"/>
        </w:rPr>
        <w:t xml:space="preserve"> are currently regulated under Schedule 20</w:t>
      </w:r>
      <w:r w:rsidRPr="00F85DCF">
        <w:rPr>
          <w:rFonts w:cs="Arial"/>
          <w:lang w:val="en-GB"/>
        </w:rPr>
        <w:t xml:space="preserve">. For the purposes of the pilot, FSANZ developed a two-stage process to identify a manageable sub-set of chemicals in the Code for which an </w:t>
      </w:r>
      <w:r w:rsidRPr="00F85DCF">
        <w:rPr>
          <w:rFonts w:cs="Arial"/>
          <w:i/>
          <w:lang w:val="en-GB"/>
        </w:rPr>
        <w:t xml:space="preserve">All other food except animal </w:t>
      </w:r>
      <w:r w:rsidR="00F33488">
        <w:rPr>
          <w:rFonts w:cs="Arial"/>
          <w:i/>
          <w:lang w:val="en-GB"/>
        </w:rPr>
        <w:t xml:space="preserve">food </w:t>
      </w:r>
      <w:r w:rsidRPr="00F85DCF">
        <w:rPr>
          <w:rFonts w:cs="Arial"/>
          <w:i/>
          <w:lang w:val="en-GB"/>
        </w:rPr>
        <w:t>commodities</w:t>
      </w:r>
      <w:r w:rsidRPr="00F85DCF">
        <w:rPr>
          <w:rFonts w:cs="Arial"/>
          <w:lang w:val="en-GB"/>
        </w:rPr>
        <w:t xml:space="preserve"> MRL could be specifically assessed on a case-by-case basis. An initial list of 132 agvet chemicals was selected from </w:t>
      </w:r>
      <w:r w:rsidRPr="00F85DCF">
        <w:rPr>
          <w:lang w:val="en-GB"/>
        </w:rPr>
        <w:t>the Australian Government Department of Agriculture and Water Resources imported food inspection data, together with those suggested by stakeholders such as</w:t>
      </w:r>
      <w:r w:rsidRPr="00F85DCF" w:rsidDel="00854BB7">
        <w:rPr>
          <w:lang w:val="en-GB"/>
        </w:rPr>
        <w:t xml:space="preserve"> t</w:t>
      </w:r>
      <w:r w:rsidRPr="00F85DCF">
        <w:rPr>
          <w:lang w:val="en-GB"/>
        </w:rPr>
        <w:t xml:space="preserve">he APVMA and State-based enforcement agencies. </w:t>
      </w:r>
      <w:r w:rsidRPr="00F85DCF">
        <w:rPr>
          <w:rFonts w:cs="Arial"/>
          <w:lang w:val="en-GB"/>
        </w:rPr>
        <w:t xml:space="preserve">This list was reduced to </w:t>
      </w:r>
      <w:r w:rsidR="006B2C97">
        <w:rPr>
          <w:rFonts w:cs="Arial"/>
          <w:lang w:val="en-GB"/>
        </w:rPr>
        <w:t>19</w:t>
      </w:r>
      <w:r w:rsidRPr="00F85DCF">
        <w:rPr>
          <w:rFonts w:cs="Arial"/>
          <w:lang w:val="en-GB"/>
        </w:rPr>
        <w:t>, for a case-by-case consideration in the second stage.</w:t>
      </w:r>
    </w:p>
    <w:p w14:paraId="0E245DA6" w14:textId="77777777" w:rsidR="001913A7" w:rsidRPr="00F85DCF" w:rsidRDefault="001913A7" w:rsidP="001913A7">
      <w:pPr>
        <w:rPr>
          <w:rFonts w:cs="Arial"/>
          <w:lang w:val="en-GB"/>
        </w:rPr>
      </w:pPr>
    </w:p>
    <w:p w14:paraId="5EC15030" w14:textId="77777777" w:rsidR="00420F9C" w:rsidRDefault="00420F9C" w:rsidP="001913A7">
      <w:pPr>
        <w:rPr>
          <w:lang w:val="en-GB"/>
        </w:rPr>
      </w:pPr>
      <w:r>
        <w:rPr>
          <w:lang w:val="en-GB"/>
        </w:rPr>
        <w:br w:type="page"/>
      </w:r>
    </w:p>
    <w:p w14:paraId="739D9CBE" w14:textId="6402E969" w:rsidR="0070545C" w:rsidRDefault="001913A7" w:rsidP="001913A7">
      <w:pPr>
        <w:rPr>
          <w:lang w:val="en-GB"/>
        </w:rPr>
      </w:pPr>
      <w:r w:rsidRPr="00F85DCF">
        <w:rPr>
          <w:lang w:val="en-GB"/>
        </w:rPr>
        <w:lastRenderedPageBreak/>
        <w:t xml:space="preserve">In Stage 2, a number of principles were developed, in consultation with the APVMA, to guide setting an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 for each chemical. These principles ensured that a consistent approach was used and that chemicals of concern would be excluded from consideration. Generally, a proposed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 should be higher than the limit of detection to allow for the inadvertent presence of the agvet chemical in other foods. However, the magnitude of existing MRL permissions </w:t>
      </w:r>
      <w:r w:rsidR="0070545C">
        <w:rPr>
          <w:lang w:val="en-GB"/>
        </w:rPr>
        <w:t xml:space="preserve">was </w:t>
      </w:r>
      <w:r w:rsidRPr="00F85DCF">
        <w:rPr>
          <w:lang w:val="en-GB"/>
        </w:rPr>
        <w:t xml:space="preserve">considered and the proposed </w:t>
      </w:r>
      <w:r w:rsidR="0070545C" w:rsidRPr="00F85DCF">
        <w:rPr>
          <w:i/>
          <w:lang w:val="en-GB"/>
        </w:rPr>
        <w:t xml:space="preserve">All other foods except animal </w:t>
      </w:r>
      <w:r w:rsidR="0070545C">
        <w:rPr>
          <w:i/>
          <w:lang w:val="en-GB"/>
        </w:rPr>
        <w:t xml:space="preserve">food </w:t>
      </w:r>
      <w:r w:rsidR="0070545C" w:rsidRPr="00F85DCF">
        <w:rPr>
          <w:i/>
          <w:lang w:val="en-GB"/>
        </w:rPr>
        <w:t>commodities</w:t>
      </w:r>
      <w:r w:rsidR="0070545C" w:rsidRPr="00F85DCF">
        <w:rPr>
          <w:lang w:val="en-GB"/>
        </w:rPr>
        <w:t xml:space="preserve"> </w:t>
      </w:r>
      <w:r w:rsidRPr="00F85DCF">
        <w:rPr>
          <w:lang w:val="en-GB"/>
        </w:rPr>
        <w:t>MRL</w:t>
      </w:r>
      <w:r w:rsidR="0070545C">
        <w:rPr>
          <w:lang w:val="en-GB"/>
        </w:rPr>
        <w:t>s</w:t>
      </w:r>
      <w:r w:rsidRPr="00F85DCF">
        <w:rPr>
          <w:lang w:val="en-GB"/>
        </w:rPr>
        <w:t xml:space="preserve"> </w:t>
      </w:r>
      <w:r w:rsidR="0070545C">
        <w:rPr>
          <w:lang w:val="en-GB"/>
        </w:rPr>
        <w:t>are</w:t>
      </w:r>
      <w:r w:rsidRPr="00F85DCF">
        <w:rPr>
          <w:lang w:val="en-GB"/>
        </w:rPr>
        <w:t xml:space="preserve"> low enough to discourage off-label use</w:t>
      </w:r>
      <w:r w:rsidR="0070545C">
        <w:rPr>
          <w:lang w:val="en-GB"/>
        </w:rPr>
        <w:t xml:space="preserve"> of the agvet chemicals</w:t>
      </w:r>
      <w:r w:rsidRPr="00F85DCF">
        <w:rPr>
          <w:lang w:val="en-GB"/>
        </w:rPr>
        <w:t xml:space="preserve">. </w:t>
      </w:r>
    </w:p>
    <w:p w14:paraId="25DA4CE9" w14:textId="77777777" w:rsidR="0070545C" w:rsidRDefault="0070545C" w:rsidP="001913A7">
      <w:pPr>
        <w:rPr>
          <w:lang w:val="en-GB"/>
        </w:rPr>
      </w:pPr>
    </w:p>
    <w:p w14:paraId="4173C494" w14:textId="3CCCE431" w:rsidR="001913A7" w:rsidRPr="00F85DCF" w:rsidRDefault="001913A7" w:rsidP="001913A7">
      <w:pPr>
        <w:rPr>
          <w:lang w:val="en-GB"/>
        </w:rPr>
      </w:pPr>
      <w:r w:rsidRPr="00F85DCF">
        <w:rPr>
          <w:lang w:val="en-GB"/>
        </w:rPr>
        <w:t>An individual dietary exposure assessment (DEA) based on internationally agreed methodologies was undertaken for each chemical, which took into consideration current estimates of dietary exposure from risk assessments relating to existing MRL permissions, as well as a conservative 'worst case' assessment of po</w:t>
      </w:r>
      <w:r w:rsidR="00224935">
        <w:rPr>
          <w:lang w:val="en-GB"/>
        </w:rPr>
        <w:t xml:space="preserve">tential contribution to dietary </w:t>
      </w:r>
      <w:r w:rsidRPr="00F85DCF">
        <w:rPr>
          <w:lang w:val="en-GB"/>
        </w:rPr>
        <w:t xml:space="preserve">exposure from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Both chronic and, where appropriate, acute dietary exposures were considered. Health based guidance values (HBGVs</w:t>
      </w:r>
      <w:r w:rsidRPr="00F85DCF">
        <w:rPr>
          <w:rStyle w:val="FootnoteReference"/>
          <w:lang w:val="en-GB"/>
        </w:rPr>
        <w:footnoteReference w:id="2"/>
      </w:r>
      <w:r w:rsidRPr="00F85DCF">
        <w:rPr>
          <w:lang w:val="en-GB"/>
        </w:rPr>
        <w:t xml:space="preserve">) used in the DEAs were those listed on the web pages of the Australian Government’s Office of Chemical Safety (OCS) or Food and Agricultural Organization/World Health Organization’s (FAO/WHO) Joint Meeting of Pesticide Residues (JMPR). Overall, an agreed criterion was that the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 should be low enough that the contributi</w:t>
      </w:r>
      <w:r w:rsidR="00CA4F5E">
        <w:rPr>
          <w:lang w:val="en-GB"/>
        </w:rPr>
        <w:t xml:space="preserve">on from commodities included to </w:t>
      </w:r>
      <w:r w:rsidRPr="00F85DCF">
        <w:rPr>
          <w:lang w:val="en-GB"/>
        </w:rPr>
        <w:t>estimate the total chronic dietary exposure would not exceed approximately 20% at the time the MRL was proposed. This was to ensure that future establishment of specific commodity MRLs for a chemical does not result in estimates of dietary exposure exceeding relevant HBGVs.</w:t>
      </w:r>
    </w:p>
    <w:p w14:paraId="11494918" w14:textId="77777777" w:rsidR="001913A7" w:rsidRPr="00F85DCF" w:rsidRDefault="001913A7" w:rsidP="001913A7">
      <w:pPr>
        <w:rPr>
          <w:lang w:val="en-GB"/>
        </w:rPr>
      </w:pPr>
    </w:p>
    <w:p w14:paraId="4385E3B4" w14:textId="42615764" w:rsidR="001913A7" w:rsidRPr="00F85DCF" w:rsidRDefault="001913A7" w:rsidP="001913A7">
      <w:pPr>
        <w:rPr>
          <w:lang w:val="en-GB" w:eastAsia="en-GB"/>
        </w:rPr>
      </w:pPr>
      <w:r w:rsidRPr="00F85DCF">
        <w:rPr>
          <w:lang w:val="en-GB"/>
        </w:rPr>
        <w:t>At the completion of the Stage 2 assessment process,</w:t>
      </w:r>
      <w:r w:rsidRPr="00F85DCF">
        <w:rPr>
          <w:i/>
          <w:lang w:val="en-GB"/>
        </w:rPr>
        <w:t xml:space="preserve"> All other foods except animal </w:t>
      </w:r>
      <w:r w:rsidR="00F33488">
        <w:rPr>
          <w:i/>
          <w:lang w:val="en-GB"/>
        </w:rPr>
        <w:t xml:space="preserve">food </w:t>
      </w:r>
      <w:r w:rsidRPr="00F85DCF">
        <w:rPr>
          <w:i/>
          <w:lang w:val="en-GB"/>
        </w:rPr>
        <w:t xml:space="preserve">commodities </w:t>
      </w:r>
      <w:r w:rsidRPr="00F85DCF">
        <w:rPr>
          <w:lang w:val="en-GB"/>
        </w:rPr>
        <w:t>MRLs were proposed for these chemicals:</w:t>
      </w:r>
      <w:r w:rsidRPr="00F85DCF">
        <w:rPr>
          <w:lang w:val="en-GB" w:eastAsia="en-GB"/>
        </w:rPr>
        <w:t xml:space="preserve"> 2-phenylphenol, ametoctradin, azoxystrobin, bifenthrin, captan, cyfluthrin, deltamethrin, fenhexamid, fludioxonil, glyphosate, iprodione, methomyl, thiodicarb, penthiopyrad, pyrimethanil, spinosad, thiabendazole, triadimefon and triadimenol.</w:t>
      </w:r>
    </w:p>
    <w:p w14:paraId="027D3CE6" w14:textId="77777777" w:rsidR="001913A7" w:rsidRPr="00F85DCF" w:rsidRDefault="001913A7" w:rsidP="001913A7">
      <w:pPr>
        <w:rPr>
          <w:lang w:val="en-GB"/>
        </w:rPr>
      </w:pPr>
    </w:p>
    <w:p w14:paraId="1995E221" w14:textId="0F8EA54F" w:rsidR="001913A7" w:rsidRPr="00F85DCF" w:rsidRDefault="001913A7" w:rsidP="001913A7">
      <w:pPr>
        <w:rPr>
          <w:lang w:val="en-GB"/>
        </w:rPr>
      </w:pPr>
      <w:r w:rsidRPr="00F85DCF">
        <w:rPr>
          <w:lang w:val="en-GB"/>
        </w:rPr>
        <w:t xml:space="preserve">On completing the application of this pilot approach to the selected agvet chemicals, the outcomes were reviewed as were the principles and processes developed in Stage 2 to establish the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MRLs. The proposed revised principles and processes would provide a consistent approach to review agvet chemicals listed in Schedule 20 with the aim of establishing </w:t>
      </w:r>
      <w:r w:rsidRPr="00F85DCF">
        <w:rPr>
          <w:i/>
          <w:lang w:val="en-GB"/>
        </w:rPr>
        <w:t xml:space="preserve">All other foods except animal </w:t>
      </w:r>
      <w:r w:rsidR="00F33488">
        <w:rPr>
          <w:i/>
          <w:lang w:val="en-GB"/>
        </w:rPr>
        <w:t xml:space="preserve">food </w:t>
      </w:r>
      <w:r w:rsidRPr="00F85DCF">
        <w:rPr>
          <w:i/>
          <w:lang w:val="en-GB"/>
        </w:rPr>
        <w:t>commodities</w:t>
      </w:r>
      <w:r w:rsidRPr="00F85DCF">
        <w:rPr>
          <w:lang w:val="en-GB"/>
        </w:rPr>
        <w:t xml:space="preserve"> MRLs for additional agvet chemicals over time, on a case-by-case basis. This process would also take into consideration ongoing amendments to Schedule 20 proposed or considered by the APVMA and from FSANZ’s annual MRL harmonisation process.</w:t>
      </w:r>
    </w:p>
    <w:p w14:paraId="441247C3" w14:textId="77777777" w:rsidR="007D7F81" w:rsidRPr="00F85DCF" w:rsidRDefault="007D7F81" w:rsidP="001913A7">
      <w:pPr>
        <w:rPr>
          <w:lang w:val="en-GB"/>
        </w:rPr>
      </w:pPr>
    </w:p>
    <w:p w14:paraId="54E9A493" w14:textId="77777777" w:rsidR="00826BA9" w:rsidRPr="00F85DCF" w:rsidRDefault="00826BA9" w:rsidP="001913A7">
      <w:pPr>
        <w:rPr>
          <w:lang w:val="en-GB"/>
        </w:rPr>
      </w:pPr>
    </w:p>
    <w:p w14:paraId="78F9F9B8" w14:textId="77777777" w:rsidR="006B2C97" w:rsidRPr="00F85DCF" w:rsidRDefault="006B2C97" w:rsidP="006B2C97">
      <w:pPr>
        <w:rPr>
          <w:b/>
          <w:sz w:val="32"/>
          <w:lang w:val="en-GB"/>
        </w:rPr>
        <w:sectPr w:rsidR="006B2C97" w:rsidRPr="00F85DCF" w:rsidSect="001913A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418" w:left="1418" w:header="709" w:footer="709" w:gutter="0"/>
          <w:pgNumType w:fmt="lowerRoman"/>
          <w:cols w:space="708"/>
          <w:docGrid w:linePitch="360"/>
        </w:sectPr>
      </w:pPr>
    </w:p>
    <w:p w14:paraId="1D753ECF" w14:textId="155964E1" w:rsidR="00826BA9" w:rsidRPr="00F85DCF" w:rsidRDefault="00826BA9" w:rsidP="001913A7">
      <w:pPr>
        <w:jc w:val="center"/>
        <w:rPr>
          <w:b/>
          <w:sz w:val="32"/>
          <w:lang w:val="en-GB"/>
        </w:rPr>
      </w:pPr>
      <w:r w:rsidRPr="00F85DCF">
        <w:rPr>
          <w:sz w:val="32"/>
          <w:lang w:val="en-GB"/>
        </w:rPr>
        <w:lastRenderedPageBreak/>
        <w:t xml:space="preserve">Table of </w:t>
      </w:r>
      <w:r w:rsidR="001913A7" w:rsidRPr="00F85DCF">
        <w:rPr>
          <w:sz w:val="32"/>
          <w:lang w:val="en-GB"/>
        </w:rPr>
        <w:t>contents</w:t>
      </w:r>
    </w:p>
    <w:p w14:paraId="17D48B40" w14:textId="77777777" w:rsidR="00420F9C" w:rsidRDefault="001913A7">
      <w:pPr>
        <w:pStyle w:val="TOC1"/>
        <w:tabs>
          <w:tab w:val="right" w:leader="dot" w:pos="9060"/>
        </w:tabs>
        <w:rPr>
          <w:rFonts w:eastAsiaTheme="minorEastAsia"/>
          <w:b w:val="0"/>
          <w:bCs w:val="0"/>
          <w:caps w:val="0"/>
          <w:noProof/>
          <w:sz w:val="22"/>
          <w:szCs w:val="22"/>
          <w:lang w:val="en-GB" w:eastAsia="en-GB"/>
        </w:rPr>
      </w:pPr>
      <w:r w:rsidRPr="00F85DCF">
        <w:rPr>
          <w:lang w:val="en-GB"/>
        </w:rPr>
        <w:fldChar w:fldCharType="begin"/>
      </w:r>
      <w:r w:rsidRPr="00F85DCF">
        <w:rPr>
          <w:lang w:val="en-GB"/>
        </w:rPr>
        <w:instrText xml:space="preserve"> TOC \o "1-2" \h \z \u </w:instrText>
      </w:r>
      <w:r w:rsidRPr="00F85DCF">
        <w:rPr>
          <w:lang w:val="en-GB"/>
        </w:rPr>
        <w:fldChar w:fldCharType="separate"/>
      </w:r>
      <w:hyperlink w:anchor="_Toc448848066" w:history="1">
        <w:r w:rsidR="00420F9C" w:rsidRPr="006B6F78">
          <w:rPr>
            <w:rStyle w:val="Hyperlink"/>
            <w:noProof/>
          </w:rPr>
          <w:t>Executive Summary</w:t>
        </w:r>
        <w:r w:rsidR="00420F9C">
          <w:rPr>
            <w:noProof/>
            <w:webHidden/>
          </w:rPr>
          <w:tab/>
        </w:r>
        <w:r w:rsidR="00420F9C">
          <w:rPr>
            <w:noProof/>
            <w:webHidden/>
          </w:rPr>
          <w:fldChar w:fldCharType="begin"/>
        </w:r>
        <w:r w:rsidR="00420F9C">
          <w:rPr>
            <w:noProof/>
            <w:webHidden/>
          </w:rPr>
          <w:instrText xml:space="preserve"> PAGEREF _Toc448848066 \h </w:instrText>
        </w:r>
        <w:r w:rsidR="00420F9C">
          <w:rPr>
            <w:noProof/>
            <w:webHidden/>
          </w:rPr>
        </w:r>
        <w:r w:rsidR="00420F9C">
          <w:rPr>
            <w:noProof/>
            <w:webHidden/>
          </w:rPr>
          <w:fldChar w:fldCharType="separate"/>
        </w:r>
        <w:r w:rsidR="00742354">
          <w:rPr>
            <w:noProof/>
            <w:webHidden/>
          </w:rPr>
          <w:t>i</w:t>
        </w:r>
        <w:r w:rsidR="00420F9C">
          <w:rPr>
            <w:noProof/>
            <w:webHidden/>
          </w:rPr>
          <w:fldChar w:fldCharType="end"/>
        </w:r>
      </w:hyperlink>
    </w:p>
    <w:p w14:paraId="4FEED3C4" w14:textId="77777777" w:rsidR="00420F9C" w:rsidRDefault="00816AC3">
      <w:pPr>
        <w:pStyle w:val="TOC1"/>
        <w:tabs>
          <w:tab w:val="right" w:leader="dot" w:pos="9060"/>
        </w:tabs>
        <w:rPr>
          <w:rFonts w:eastAsiaTheme="minorEastAsia"/>
          <w:b w:val="0"/>
          <w:bCs w:val="0"/>
          <w:caps w:val="0"/>
          <w:noProof/>
          <w:sz w:val="22"/>
          <w:szCs w:val="22"/>
          <w:lang w:val="en-GB" w:eastAsia="en-GB"/>
        </w:rPr>
      </w:pPr>
      <w:hyperlink w:anchor="_Toc448848067" w:history="1">
        <w:r w:rsidR="00420F9C" w:rsidRPr="006B6F78">
          <w:rPr>
            <w:rStyle w:val="Hyperlink"/>
            <w:noProof/>
          </w:rPr>
          <w:t>Glossary</w:t>
        </w:r>
        <w:r w:rsidR="00420F9C">
          <w:rPr>
            <w:noProof/>
            <w:webHidden/>
          </w:rPr>
          <w:tab/>
        </w:r>
        <w:r w:rsidR="00420F9C">
          <w:rPr>
            <w:noProof/>
            <w:webHidden/>
          </w:rPr>
          <w:fldChar w:fldCharType="begin"/>
        </w:r>
        <w:r w:rsidR="00420F9C">
          <w:rPr>
            <w:noProof/>
            <w:webHidden/>
          </w:rPr>
          <w:instrText xml:space="preserve"> PAGEREF _Toc448848067 \h </w:instrText>
        </w:r>
        <w:r w:rsidR="00420F9C">
          <w:rPr>
            <w:noProof/>
            <w:webHidden/>
          </w:rPr>
        </w:r>
        <w:r w:rsidR="00420F9C">
          <w:rPr>
            <w:noProof/>
            <w:webHidden/>
          </w:rPr>
          <w:fldChar w:fldCharType="separate"/>
        </w:r>
        <w:r w:rsidR="00742354">
          <w:rPr>
            <w:noProof/>
            <w:webHidden/>
          </w:rPr>
          <w:t>2</w:t>
        </w:r>
        <w:r w:rsidR="00420F9C">
          <w:rPr>
            <w:noProof/>
            <w:webHidden/>
          </w:rPr>
          <w:fldChar w:fldCharType="end"/>
        </w:r>
      </w:hyperlink>
    </w:p>
    <w:p w14:paraId="183EE4EA" w14:textId="77777777" w:rsidR="00420F9C" w:rsidRDefault="00816AC3">
      <w:pPr>
        <w:pStyle w:val="TOC1"/>
        <w:tabs>
          <w:tab w:val="left" w:pos="440"/>
          <w:tab w:val="right" w:leader="dot" w:pos="9060"/>
        </w:tabs>
        <w:rPr>
          <w:rFonts w:eastAsiaTheme="minorEastAsia"/>
          <w:b w:val="0"/>
          <w:bCs w:val="0"/>
          <w:caps w:val="0"/>
          <w:noProof/>
          <w:sz w:val="22"/>
          <w:szCs w:val="22"/>
          <w:lang w:val="en-GB" w:eastAsia="en-GB"/>
        </w:rPr>
      </w:pPr>
      <w:hyperlink w:anchor="_Toc448848068" w:history="1">
        <w:r w:rsidR="00420F9C" w:rsidRPr="006B6F78">
          <w:rPr>
            <w:rStyle w:val="Hyperlink"/>
            <w:noProof/>
          </w:rPr>
          <w:t>1</w:t>
        </w:r>
        <w:r w:rsidR="00420F9C">
          <w:rPr>
            <w:rFonts w:eastAsiaTheme="minorEastAsia"/>
            <w:b w:val="0"/>
            <w:bCs w:val="0"/>
            <w:caps w:val="0"/>
            <w:noProof/>
            <w:sz w:val="22"/>
            <w:szCs w:val="22"/>
            <w:lang w:val="en-GB" w:eastAsia="en-GB"/>
          </w:rPr>
          <w:tab/>
        </w:r>
        <w:r w:rsidR="00420F9C" w:rsidRPr="006B6F78">
          <w:rPr>
            <w:rStyle w:val="Hyperlink"/>
            <w:noProof/>
          </w:rPr>
          <w:t>Introduction</w:t>
        </w:r>
        <w:r w:rsidR="00420F9C">
          <w:rPr>
            <w:noProof/>
            <w:webHidden/>
          </w:rPr>
          <w:tab/>
        </w:r>
        <w:r w:rsidR="00420F9C">
          <w:rPr>
            <w:noProof/>
            <w:webHidden/>
          </w:rPr>
          <w:fldChar w:fldCharType="begin"/>
        </w:r>
        <w:r w:rsidR="00420F9C">
          <w:rPr>
            <w:noProof/>
            <w:webHidden/>
          </w:rPr>
          <w:instrText xml:space="preserve"> PAGEREF _Toc448848068 \h </w:instrText>
        </w:r>
        <w:r w:rsidR="00420F9C">
          <w:rPr>
            <w:noProof/>
            <w:webHidden/>
          </w:rPr>
        </w:r>
        <w:r w:rsidR="00420F9C">
          <w:rPr>
            <w:noProof/>
            <w:webHidden/>
          </w:rPr>
          <w:fldChar w:fldCharType="separate"/>
        </w:r>
        <w:r w:rsidR="00742354">
          <w:rPr>
            <w:noProof/>
            <w:webHidden/>
          </w:rPr>
          <w:t>4</w:t>
        </w:r>
        <w:r w:rsidR="00420F9C">
          <w:rPr>
            <w:noProof/>
            <w:webHidden/>
          </w:rPr>
          <w:fldChar w:fldCharType="end"/>
        </w:r>
      </w:hyperlink>
    </w:p>
    <w:p w14:paraId="3FE0AF43"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69" w:history="1">
        <w:r w:rsidR="00420F9C" w:rsidRPr="006B6F78">
          <w:rPr>
            <w:rStyle w:val="Hyperlink"/>
            <w:noProof/>
          </w:rPr>
          <w:t>1.1</w:t>
        </w:r>
        <w:r w:rsidR="00420F9C">
          <w:rPr>
            <w:rFonts w:eastAsiaTheme="minorEastAsia"/>
            <w:smallCaps w:val="0"/>
            <w:noProof/>
            <w:sz w:val="22"/>
            <w:szCs w:val="22"/>
            <w:lang w:val="en-GB" w:eastAsia="en-GB"/>
          </w:rPr>
          <w:tab/>
        </w:r>
        <w:r w:rsidR="00420F9C" w:rsidRPr="006B6F78">
          <w:rPr>
            <w:rStyle w:val="Hyperlink"/>
            <w:noProof/>
          </w:rPr>
          <w:t>Maximum residue limits</w:t>
        </w:r>
        <w:r w:rsidR="00420F9C">
          <w:rPr>
            <w:noProof/>
            <w:webHidden/>
          </w:rPr>
          <w:tab/>
        </w:r>
        <w:r w:rsidR="00420F9C">
          <w:rPr>
            <w:noProof/>
            <w:webHidden/>
          </w:rPr>
          <w:fldChar w:fldCharType="begin"/>
        </w:r>
        <w:r w:rsidR="00420F9C">
          <w:rPr>
            <w:noProof/>
            <w:webHidden/>
          </w:rPr>
          <w:instrText xml:space="preserve"> PAGEREF _Toc448848069 \h </w:instrText>
        </w:r>
        <w:r w:rsidR="00420F9C">
          <w:rPr>
            <w:noProof/>
            <w:webHidden/>
          </w:rPr>
        </w:r>
        <w:r w:rsidR="00420F9C">
          <w:rPr>
            <w:noProof/>
            <w:webHidden/>
          </w:rPr>
          <w:fldChar w:fldCharType="separate"/>
        </w:r>
        <w:r w:rsidR="00742354">
          <w:rPr>
            <w:noProof/>
            <w:webHidden/>
          </w:rPr>
          <w:t>4</w:t>
        </w:r>
        <w:r w:rsidR="00420F9C">
          <w:rPr>
            <w:noProof/>
            <w:webHidden/>
          </w:rPr>
          <w:fldChar w:fldCharType="end"/>
        </w:r>
      </w:hyperlink>
    </w:p>
    <w:p w14:paraId="29B07768" w14:textId="77777777" w:rsidR="00420F9C" w:rsidRDefault="00816AC3">
      <w:pPr>
        <w:pStyle w:val="TOC1"/>
        <w:tabs>
          <w:tab w:val="left" w:pos="440"/>
          <w:tab w:val="right" w:leader="dot" w:pos="9060"/>
        </w:tabs>
        <w:rPr>
          <w:rFonts w:eastAsiaTheme="minorEastAsia"/>
          <w:b w:val="0"/>
          <w:bCs w:val="0"/>
          <w:caps w:val="0"/>
          <w:noProof/>
          <w:sz w:val="22"/>
          <w:szCs w:val="22"/>
          <w:lang w:val="en-GB" w:eastAsia="en-GB"/>
        </w:rPr>
      </w:pPr>
      <w:hyperlink w:anchor="_Toc448848070" w:history="1">
        <w:r w:rsidR="00420F9C" w:rsidRPr="006B6F78">
          <w:rPr>
            <w:rStyle w:val="Hyperlink"/>
            <w:noProof/>
          </w:rPr>
          <w:t>2</w:t>
        </w:r>
        <w:r w:rsidR="00420F9C">
          <w:rPr>
            <w:rFonts w:eastAsiaTheme="minorEastAsia"/>
            <w:b w:val="0"/>
            <w:bCs w:val="0"/>
            <w:caps w:val="0"/>
            <w:noProof/>
            <w:sz w:val="22"/>
            <w:szCs w:val="22"/>
            <w:lang w:val="en-GB" w:eastAsia="en-GB"/>
          </w:rPr>
          <w:tab/>
        </w:r>
        <w:r w:rsidR="00420F9C" w:rsidRPr="006B6F78">
          <w:rPr>
            <w:rStyle w:val="Hyperlink"/>
            <w:noProof/>
          </w:rPr>
          <w:t>Approach</w:t>
        </w:r>
        <w:r w:rsidR="00420F9C">
          <w:rPr>
            <w:noProof/>
            <w:webHidden/>
          </w:rPr>
          <w:tab/>
        </w:r>
        <w:r w:rsidR="00420F9C">
          <w:rPr>
            <w:noProof/>
            <w:webHidden/>
          </w:rPr>
          <w:fldChar w:fldCharType="begin"/>
        </w:r>
        <w:r w:rsidR="00420F9C">
          <w:rPr>
            <w:noProof/>
            <w:webHidden/>
          </w:rPr>
          <w:instrText xml:space="preserve"> PAGEREF _Toc448848070 \h </w:instrText>
        </w:r>
        <w:r w:rsidR="00420F9C">
          <w:rPr>
            <w:noProof/>
            <w:webHidden/>
          </w:rPr>
        </w:r>
        <w:r w:rsidR="00420F9C">
          <w:rPr>
            <w:noProof/>
            <w:webHidden/>
          </w:rPr>
          <w:fldChar w:fldCharType="separate"/>
        </w:r>
        <w:r w:rsidR="00742354">
          <w:rPr>
            <w:noProof/>
            <w:webHidden/>
          </w:rPr>
          <w:t>4</w:t>
        </w:r>
        <w:r w:rsidR="00420F9C">
          <w:rPr>
            <w:noProof/>
            <w:webHidden/>
          </w:rPr>
          <w:fldChar w:fldCharType="end"/>
        </w:r>
      </w:hyperlink>
    </w:p>
    <w:p w14:paraId="71E190FE" w14:textId="77777777" w:rsidR="00420F9C" w:rsidRDefault="00816AC3">
      <w:pPr>
        <w:pStyle w:val="TOC1"/>
        <w:tabs>
          <w:tab w:val="left" w:pos="440"/>
          <w:tab w:val="right" w:leader="dot" w:pos="9060"/>
        </w:tabs>
        <w:rPr>
          <w:rFonts w:eastAsiaTheme="minorEastAsia"/>
          <w:b w:val="0"/>
          <w:bCs w:val="0"/>
          <w:caps w:val="0"/>
          <w:noProof/>
          <w:sz w:val="22"/>
          <w:szCs w:val="22"/>
          <w:lang w:val="en-GB" w:eastAsia="en-GB"/>
        </w:rPr>
      </w:pPr>
      <w:hyperlink w:anchor="_Toc448848071" w:history="1">
        <w:r w:rsidR="00420F9C" w:rsidRPr="006B6F78">
          <w:rPr>
            <w:rStyle w:val="Hyperlink"/>
            <w:noProof/>
          </w:rPr>
          <w:t>3</w:t>
        </w:r>
        <w:r w:rsidR="00420F9C">
          <w:rPr>
            <w:rFonts w:eastAsiaTheme="minorEastAsia"/>
            <w:b w:val="0"/>
            <w:bCs w:val="0"/>
            <w:caps w:val="0"/>
            <w:noProof/>
            <w:sz w:val="22"/>
            <w:szCs w:val="22"/>
            <w:lang w:val="en-GB" w:eastAsia="en-GB"/>
          </w:rPr>
          <w:tab/>
        </w:r>
        <w:r w:rsidR="00420F9C" w:rsidRPr="006B6F78">
          <w:rPr>
            <w:rStyle w:val="Hyperlink"/>
            <w:noProof/>
          </w:rPr>
          <w:t xml:space="preserve">Stage 1: Screening of chemicals to establish the risk assessment approach for </w:t>
        </w:r>
        <w:r w:rsidR="00420F9C" w:rsidRPr="006B6F78">
          <w:rPr>
            <w:rStyle w:val="Hyperlink"/>
            <w:i/>
            <w:noProof/>
          </w:rPr>
          <w:t>All other foods except animal food commodities</w:t>
        </w:r>
        <w:r w:rsidR="00420F9C" w:rsidRPr="006B6F78">
          <w:rPr>
            <w:rStyle w:val="Hyperlink"/>
            <w:noProof/>
          </w:rPr>
          <w:t xml:space="preserve"> MRLs</w:t>
        </w:r>
        <w:r w:rsidR="00420F9C">
          <w:rPr>
            <w:noProof/>
            <w:webHidden/>
          </w:rPr>
          <w:tab/>
        </w:r>
        <w:r w:rsidR="00420F9C">
          <w:rPr>
            <w:noProof/>
            <w:webHidden/>
          </w:rPr>
          <w:fldChar w:fldCharType="begin"/>
        </w:r>
        <w:r w:rsidR="00420F9C">
          <w:rPr>
            <w:noProof/>
            <w:webHidden/>
          </w:rPr>
          <w:instrText xml:space="preserve"> PAGEREF _Toc448848071 \h </w:instrText>
        </w:r>
        <w:r w:rsidR="00420F9C">
          <w:rPr>
            <w:noProof/>
            <w:webHidden/>
          </w:rPr>
        </w:r>
        <w:r w:rsidR="00420F9C">
          <w:rPr>
            <w:noProof/>
            <w:webHidden/>
          </w:rPr>
          <w:fldChar w:fldCharType="separate"/>
        </w:r>
        <w:r w:rsidR="00742354">
          <w:rPr>
            <w:noProof/>
            <w:webHidden/>
          </w:rPr>
          <w:t>5</w:t>
        </w:r>
        <w:r w:rsidR="00420F9C">
          <w:rPr>
            <w:noProof/>
            <w:webHidden/>
          </w:rPr>
          <w:fldChar w:fldCharType="end"/>
        </w:r>
      </w:hyperlink>
    </w:p>
    <w:p w14:paraId="758453A9"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72" w:history="1">
        <w:r w:rsidR="00420F9C" w:rsidRPr="006B6F78">
          <w:rPr>
            <w:rStyle w:val="Hyperlink"/>
            <w:noProof/>
          </w:rPr>
          <w:t>3.1</w:t>
        </w:r>
        <w:r w:rsidR="00420F9C">
          <w:rPr>
            <w:rFonts w:eastAsiaTheme="minorEastAsia"/>
            <w:smallCaps w:val="0"/>
            <w:noProof/>
            <w:sz w:val="22"/>
            <w:szCs w:val="22"/>
            <w:lang w:val="en-GB" w:eastAsia="en-GB"/>
          </w:rPr>
          <w:tab/>
        </w:r>
        <w:r w:rsidR="00420F9C" w:rsidRPr="006B6F78">
          <w:rPr>
            <w:rStyle w:val="Hyperlink"/>
            <w:noProof/>
          </w:rPr>
          <w:t>Exclusion criteria</w:t>
        </w:r>
        <w:r w:rsidR="00420F9C">
          <w:rPr>
            <w:noProof/>
            <w:webHidden/>
          </w:rPr>
          <w:tab/>
        </w:r>
        <w:r w:rsidR="00420F9C">
          <w:rPr>
            <w:noProof/>
            <w:webHidden/>
          </w:rPr>
          <w:fldChar w:fldCharType="begin"/>
        </w:r>
        <w:r w:rsidR="00420F9C">
          <w:rPr>
            <w:noProof/>
            <w:webHidden/>
          </w:rPr>
          <w:instrText xml:space="preserve"> PAGEREF _Toc448848072 \h </w:instrText>
        </w:r>
        <w:r w:rsidR="00420F9C">
          <w:rPr>
            <w:noProof/>
            <w:webHidden/>
          </w:rPr>
        </w:r>
        <w:r w:rsidR="00420F9C">
          <w:rPr>
            <w:noProof/>
            <w:webHidden/>
          </w:rPr>
          <w:fldChar w:fldCharType="separate"/>
        </w:r>
        <w:r w:rsidR="00742354">
          <w:rPr>
            <w:noProof/>
            <w:webHidden/>
          </w:rPr>
          <w:t>6</w:t>
        </w:r>
        <w:r w:rsidR="00420F9C">
          <w:rPr>
            <w:noProof/>
            <w:webHidden/>
          </w:rPr>
          <w:fldChar w:fldCharType="end"/>
        </w:r>
      </w:hyperlink>
    </w:p>
    <w:p w14:paraId="708A701B"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73" w:history="1">
        <w:r w:rsidR="00420F9C" w:rsidRPr="006B6F78">
          <w:rPr>
            <w:rStyle w:val="Hyperlink"/>
            <w:noProof/>
          </w:rPr>
          <w:t>3.2</w:t>
        </w:r>
        <w:r w:rsidR="00420F9C">
          <w:rPr>
            <w:rFonts w:eastAsiaTheme="minorEastAsia"/>
            <w:smallCaps w:val="0"/>
            <w:noProof/>
            <w:sz w:val="22"/>
            <w:szCs w:val="22"/>
            <w:lang w:val="en-GB" w:eastAsia="en-GB"/>
          </w:rPr>
          <w:tab/>
        </w:r>
        <w:r w:rsidR="00420F9C" w:rsidRPr="006B6F78">
          <w:rPr>
            <w:rStyle w:val="Hyperlink"/>
            <w:noProof/>
          </w:rPr>
          <w:t>Existing permissions</w:t>
        </w:r>
        <w:r w:rsidR="00420F9C">
          <w:rPr>
            <w:noProof/>
            <w:webHidden/>
          </w:rPr>
          <w:tab/>
        </w:r>
        <w:r w:rsidR="00420F9C">
          <w:rPr>
            <w:noProof/>
            <w:webHidden/>
          </w:rPr>
          <w:fldChar w:fldCharType="begin"/>
        </w:r>
        <w:r w:rsidR="00420F9C">
          <w:rPr>
            <w:noProof/>
            <w:webHidden/>
          </w:rPr>
          <w:instrText xml:space="preserve"> PAGEREF _Toc448848073 \h </w:instrText>
        </w:r>
        <w:r w:rsidR="00420F9C">
          <w:rPr>
            <w:noProof/>
            <w:webHidden/>
          </w:rPr>
        </w:r>
        <w:r w:rsidR="00420F9C">
          <w:rPr>
            <w:noProof/>
            <w:webHidden/>
          </w:rPr>
          <w:fldChar w:fldCharType="separate"/>
        </w:r>
        <w:r w:rsidR="00742354">
          <w:rPr>
            <w:noProof/>
            <w:webHidden/>
          </w:rPr>
          <w:t>6</w:t>
        </w:r>
        <w:r w:rsidR="00420F9C">
          <w:rPr>
            <w:noProof/>
            <w:webHidden/>
          </w:rPr>
          <w:fldChar w:fldCharType="end"/>
        </w:r>
      </w:hyperlink>
    </w:p>
    <w:p w14:paraId="09FBA370"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74" w:history="1">
        <w:r w:rsidR="00420F9C" w:rsidRPr="006B6F78">
          <w:rPr>
            <w:rStyle w:val="Hyperlink"/>
            <w:noProof/>
          </w:rPr>
          <w:t>3.3</w:t>
        </w:r>
        <w:r w:rsidR="00420F9C">
          <w:rPr>
            <w:rFonts w:eastAsiaTheme="minorEastAsia"/>
            <w:smallCaps w:val="0"/>
            <w:noProof/>
            <w:sz w:val="22"/>
            <w:szCs w:val="22"/>
            <w:lang w:val="en-GB" w:eastAsia="en-GB"/>
          </w:rPr>
          <w:tab/>
        </w:r>
        <w:r w:rsidR="00420F9C" w:rsidRPr="006B6F78">
          <w:rPr>
            <w:rStyle w:val="Hyperlink"/>
            <w:noProof/>
          </w:rPr>
          <w:t>Health-based guidance values</w:t>
        </w:r>
        <w:r w:rsidR="00420F9C">
          <w:rPr>
            <w:noProof/>
            <w:webHidden/>
          </w:rPr>
          <w:tab/>
        </w:r>
        <w:r w:rsidR="00420F9C">
          <w:rPr>
            <w:noProof/>
            <w:webHidden/>
          </w:rPr>
          <w:fldChar w:fldCharType="begin"/>
        </w:r>
        <w:r w:rsidR="00420F9C">
          <w:rPr>
            <w:noProof/>
            <w:webHidden/>
          </w:rPr>
          <w:instrText xml:space="preserve"> PAGEREF _Toc448848074 \h </w:instrText>
        </w:r>
        <w:r w:rsidR="00420F9C">
          <w:rPr>
            <w:noProof/>
            <w:webHidden/>
          </w:rPr>
        </w:r>
        <w:r w:rsidR="00420F9C">
          <w:rPr>
            <w:noProof/>
            <w:webHidden/>
          </w:rPr>
          <w:fldChar w:fldCharType="separate"/>
        </w:r>
        <w:r w:rsidR="00742354">
          <w:rPr>
            <w:noProof/>
            <w:webHidden/>
          </w:rPr>
          <w:t>7</w:t>
        </w:r>
        <w:r w:rsidR="00420F9C">
          <w:rPr>
            <w:noProof/>
            <w:webHidden/>
          </w:rPr>
          <w:fldChar w:fldCharType="end"/>
        </w:r>
      </w:hyperlink>
    </w:p>
    <w:p w14:paraId="15B9BB42"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75" w:history="1">
        <w:r w:rsidR="00420F9C" w:rsidRPr="006B6F78">
          <w:rPr>
            <w:rStyle w:val="Hyperlink"/>
            <w:noProof/>
          </w:rPr>
          <w:t>3.4</w:t>
        </w:r>
        <w:r w:rsidR="00420F9C">
          <w:rPr>
            <w:rFonts w:eastAsiaTheme="minorEastAsia"/>
            <w:smallCaps w:val="0"/>
            <w:noProof/>
            <w:sz w:val="22"/>
            <w:szCs w:val="22"/>
            <w:lang w:val="en-GB" w:eastAsia="en-GB"/>
          </w:rPr>
          <w:tab/>
        </w:r>
        <w:r w:rsidR="00420F9C" w:rsidRPr="006B6F78">
          <w:rPr>
            <w:rStyle w:val="Hyperlink"/>
            <w:noProof/>
          </w:rPr>
          <w:t>Food consumption data</w:t>
        </w:r>
        <w:r w:rsidR="00420F9C">
          <w:rPr>
            <w:noProof/>
            <w:webHidden/>
          </w:rPr>
          <w:tab/>
        </w:r>
        <w:r w:rsidR="00420F9C">
          <w:rPr>
            <w:noProof/>
            <w:webHidden/>
          </w:rPr>
          <w:fldChar w:fldCharType="begin"/>
        </w:r>
        <w:r w:rsidR="00420F9C">
          <w:rPr>
            <w:noProof/>
            <w:webHidden/>
          </w:rPr>
          <w:instrText xml:space="preserve"> PAGEREF _Toc448848075 \h </w:instrText>
        </w:r>
        <w:r w:rsidR="00420F9C">
          <w:rPr>
            <w:noProof/>
            <w:webHidden/>
          </w:rPr>
        </w:r>
        <w:r w:rsidR="00420F9C">
          <w:rPr>
            <w:noProof/>
            <w:webHidden/>
          </w:rPr>
          <w:fldChar w:fldCharType="separate"/>
        </w:r>
        <w:r w:rsidR="00742354">
          <w:rPr>
            <w:noProof/>
            <w:webHidden/>
          </w:rPr>
          <w:t>7</w:t>
        </w:r>
        <w:r w:rsidR="00420F9C">
          <w:rPr>
            <w:noProof/>
            <w:webHidden/>
          </w:rPr>
          <w:fldChar w:fldCharType="end"/>
        </w:r>
      </w:hyperlink>
    </w:p>
    <w:p w14:paraId="115195F7" w14:textId="77777777" w:rsidR="00420F9C" w:rsidRDefault="00816AC3">
      <w:pPr>
        <w:pStyle w:val="TOC1"/>
        <w:tabs>
          <w:tab w:val="left" w:pos="440"/>
          <w:tab w:val="right" w:leader="dot" w:pos="9060"/>
        </w:tabs>
        <w:rPr>
          <w:rFonts w:eastAsiaTheme="minorEastAsia"/>
          <w:b w:val="0"/>
          <w:bCs w:val="0"/>
          <w:caps w:val="0"/>
          <w:noProof/>
          <w:sz w:val="22"/>
          <w:szCs w:val="22"/>
          <w:lang w:val="en-GB" w:eastAsia="en-GB"/>
        </w:rPr>
      </w:pPr>
      <w:hyperlink w:anchor="_Toc448848076" w:history="1">
        <w:r w:rsidR="00420F9C" w:rsidRPr="006B6F78">
          <w:rPr>
            <w:rStyle w:val="Hyperlink"/>
            <w:noProof/>
          </w:rPr>
          <w:t>4</w:t>
        </w:r>
        <w:r w:rsidR="00420F9C">
          <w:rPr>
            <w:rFonts w:eastAsiaTheme="minorEastAsia"/>
            <w:b w:val="0"/>
            <w:bCs w:val="0"/>
            <w:caps w:val="0"/>
            <w:noProof/>
            <w:sz w:val="22"/>
            <w:szCs w:val="22"/>
            <w:lang w:val="en-GB" w:eastAsia="en-GB"/>
          </w:rPr>
          <w:tab/>
        </w:r>
        <w:r w:rsidR="00420F9C" w:rsidRPr="006B6F78">
          <w:rPr>
            <w:rStyle w:val="Hyperlink"/>
            <w:noProof/>
          </w:rPr>
          <w:t xml:space="preserve">Stage 2: Establishing </w:t>
        </w:r>
        <w:r w:rsidR="00420F9C" w:rsidRPr="006B6F78">
          <w:rPr>
            <w:rStyle w:val="Hyperlink"/>
            <w:i/>
            <w:noProof/>
          </w:rPr>
          <w:t>All other foods</w:t>
        </w:r>
        <w:r w:rsidR="00420F9C" w:rsidRPr="006B6F78">
          <w:rPr>
            <w:rStyle w:val="Hyperlink"/>
            <w:noProof/>
          </w:rPr>
          <w:t xml:space="preserve"> except animal food commodities MRLs on a case-by-case basis</w:t>
        </w:r>
        <w:r w:rsidR="00420F9C">
          <w:rPr>
            <w:noProof/>
            <w:webHidden/>
          </w:rPr>
          <w:tab/>
        </w:r>
        <w:r w:rsidR="00420F9C">
          <w:rPr>
            <w:noProof/>
            <w:webHidden/>
          </w:rPr>
          <w:fldChar w:fldCharType="begin"/>
        </w:r>
        <w:r w:rsidR="00420F9C">
          <w:rPr>
            <w:noProof/>
            <w:webHidden/>
          </w:rPr>
          <w:instrText xml:space="preserve"> PAGEREF _Toc448848076 \h </w:instrText>
        </w:r>
        <w:r w:rsidR="00420F9C">
          <w:rPr>
            <w:noProof/>
            <w:webHidden/>
          </w:rPr>
        </w:r>
        <w:r w:rsidR="00420F9C">
          <w:rPr>
            <w:noProof/>
            <w:webHidden/>
          </w:rPr>
          <w:fldChar w:fldCharType="separate"/>
        </w:r>
        <w:r w:rsidR="00742354">
          <w:rPr>
            <w:noProof/>
            <w:webHidden/>
          </w:rPr>
          <w:t>7</w:t>
        </w:r>
        <w:r w:rsidR="00420F9C">
          <w:rPr>
            <w:noProof/>
            <w:webHidden/>
          </w:rPr>
          <w:fldChar w:fldCharType="end"/>
        </w:r>
      </w:hyperlink>
    </w:p>
    <w:p w14:paraId="01F2E70C"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77" w:history="1">
        <w:r w:rsidR="00420F9C" w:rsidRPr="006B6F78">
          <w:rPr>
            <w:rStyle w:val="Hyperlink"/>
            <w:noProof/>
          </w:rPr>
          <w:t>4.1</w:t>
        </w:r>
        <w:r w:rsidR="00420F9C">
          <w:rPr>
            <w:rFonts w:eastAsiaTheme="minorEastAsia"/>
            <w:smallCaps w:val="0"/>
            <w:noProof/>
            <w:sz w:val="22"/>
            <w:szCs w:val="22"/>
            <w:lang w:val="en-GB" w:eastAsia="en-GB"/>
          </w:rPr>
          <w:tab/>
        </w:r>
        <w:r w:rsidR="00420F9C" w:rsidRPr="006B6F78">
          <w:rPr>
            <w:rStyle w:val="Hyperlink"/>
            <w:noProof/>
          </w:rPr>
          <w:t>Principles</w:t>
        </w:r>
        <w:r w:rsidR="00420F9C">
          <w:rPr>
            <w:noProof/>
            <w:webHidden/>
          </w:rPr>
          <w:tab/>
        </w:r>
        <w:r w:rsidR="00420F9C">
          <w:rPr>
            <w:noProof/>
            <w:webHidden/>
          </w:rPr>
          <w:fldChar w:fldCharType="begin"/>
        </w:r>
        <w:r w:rsidR="00420F9C">
          <w:rPr>
            <w:noProof/>
            <w:webHidden/>
          </w:rPr>
          <w:instrText xml:space="preserve"> PAGEREF _Toc448848077 \h </w:instrText>
        </w:r>
        <w:r w:rsidR="00420F9C">
          <w:rPr>
            <w:noProof/>
            <w:webHidden/>
          </w:rPr>
        </w:r>
        <w:r w:rsidR="00420F9C">
          <w:rPr>
            <w:noProof/>
            <w:webHidden/>
          </w:rPr>
          <w:fldChar w:fldCharType="separate"/>
        </w:r>
        <w:r w:rsidR="00742354">
          <w:rPr>
            <w:noProof/>
            <w:webHidden/>
          </w:rPr>
          <w:t>7</w:t>
        </w:r>
        <w:r w:rsidR="00420F9C">
          <w:rPr>
            <w:noProof/>
            <w:webHidden/>
          </w:rPr>
          <w:fldChar w:fldCharType="end"/>
        </w:r>
      </w:hyperlink>
    </w:p>
    <w:p w14:paraId="5E966151"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78" w:history="1">
        <w:r w:rsidR="00420F9C" w:rsidRPr="006B6F78">
          <w:rPr>
            <w:rStyle w:val="Hyperlink"/>
            <w:noProof/>
          </w:rPr>
          <w:t>4.2</w:t>
        </w:r>
        <w:r w:rsidR="00420F9C">
          <w:rPr>
            <w:rFonts w:eastAsiaTheme="minorEastAsia"/>
            <w:smallCaps w:val="0"/>
            <w:noProof/>
            <w:sz w:val="22"/>
            <w:szCs w:val="22"/>
            <w:lang w:val="en-GB" w:eastAsia="en-GB"/>
          </w:rPr>
          <w:tab/>
        </w:r>
        <w:r w:rsidR="00420F9C" w:rsidRPr="006B6F78">
          <w:rPr>
            <w:rStyle w:val="Hyperlink"/>
            <w:noProof/>
          </w:rPr>
          <w:t xml:space="preserve">Lowest concentration at which an </w:t>
        </w:r>
        <w:r w:rsidR="00420F9C" w:rsidRPr="006B6F78">
          <w:rPr>
            <w:rStyle w:val="Hyperlink"/>
            <w:i/>
            <w:noProof/>
          </w:rPr>
          <w:t>All other foods except animal food commodities</w:t>
        </w:r>
        <w:r w:rsidR="00420F9C" w:rsidRPr="006B6F78">
          <w:rPr>
            <w:rStyle w:val="Hyperlink"/>
            <w:noProof/>
          </w:rPr>
          <w:t xml:space="preserve"> MRL can be set</w:t>
        </w:r>
        <w:r w:rsidR="00420F9C">
          <w:rPr>
            <w:noProof/>
            <w:webHidden/>
          </w:rPr>
          <w:tab/>
        </w:r>
        <w:r w:rsidR="00420F9C">
          <w:rPr>
            <w:noProof/>
            <w:webHidden/>
          </w:rPr>
          <w:fldChar w:fldCharType="begin"/>
        </w:r>
        <w:r w:rsidR="00420F9C">
          <w:rPr>
            <w:noProof/>
            <w:webHidden/>
          </w:rPr>
          <w:instrText xml:space="preserve"> PAGEREF _Toc448848078 \h </w:instrText>
        </w:r>
        <w:r w:rsidR="00420F9C">
          <w:rPr>
            <w:noProof/>
            <w:webHidden/>
          </w:rPr>
        </w:r>
        <w:r w:rsidR="00420F9C">
          <w:rPr>
            <w:noProof/>
            <w:webHidden/>
          </w:rPr>
          <w:fldChar w:fldCharType="separate"/>
        </w:r>
        <w:r w:rsidR="00742354">
          <w:rPr>
            <w:noProof/>
            <w:webHidden/>
          </w:rPr>
          <w:t>8</w:t>
        </w:r>
        <w:r w:rsidR="00420F9C">
          <w:rPr>
            <w:noProof/>
            <w:webHidden/>
          </w:rPr>
          <w:fldChar w:fldCharType="end"/>
        </w:r>
      </w:hyperlink>
    </w:p>
    <w:p w14:paraId="4A2055D7"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79" w:history="1">
        <w:r w:rsidR="00420F9C" w:rsidRPr="006B6F78">
          <w:rPr>
            <w:rStyle w:val="Hyperlink"/>
            <w:noProof/>
          </w:rPr>
          <w:t>4.3</w:t>
        </w:r>
        <w:r w:rsidR="00420F9C">
          <w:rPr>
            <w:rFonts w:eastAsiaTheme="minorEastAsia"/>
            <w:smallCaps w:val="0"/>
            <w:noProof/>
            <w:sz w:val="22"/>
            <w:szCs w:val="22"/>
            <w:lang w:val="en-GB" w:eastAsia="en-GB"/>
          </w:rPr>
          <w:tab/>
        </w:r>
        <w:r w:rsidR="00420F9C" w:rsidRPr="006B6F78">
          <w:rPr>
            <w:rStyle w:val="Hyperlink"/>
            <w:noProof/>
          </w:rPr>
          <w:t xml:space="preserve">Contribution to total dietary exposure from </w:t>
        </w:r>
        <w:r w:rsidR="00420F9C" w:rsidRPr="006B6F78">
          <w:rPr>
            <w:rStyle w:val="Hyperlink"/>
            <w:i/>
            <w:noProof/>
          </w:rPr>
          <w:t>All other foods except animal food commodities</w:t>
        </w:r>
        <w:r w:rsidR="00420F9C">
          <w:rPr>
            <w:noProof/>
            <w:webHidden/>
          </w:rPr>
          <w:tab/>
        </w:r>
        <w:r w:rsidR="00420F9C">
          <w:rPr>
            <w:noProof/>
            <w:webHidden/>
          </w:rPr>
          <w:fldChar w:fldCharType="begin"/>
        </w:r>
        <w:r w:rsidR="00420F9C">
          <w:rPr>
            <w:noProof/>
            <w:webHidden/>
          </w:rPr>
          <w:instrText xml:space="preserve"> PAGEREF _Toc448848079 \h </w:instrText>
        </w:r>
        <w:r w:rsidR="00420F9C">
          <w:rPr>
            <w:noProof/>
            <w:webHidden/>
          </w:rPr>
        </w:r>
        <w:r w:rsidR="00420F9C">
          <w:rPr>
            <w:noProof/>
            <w:webHidden/>
          </w:rPr>
          <w:fldChar w:fldCharType="separate"/>
        </w:r>
        <w:r w:rsidR="00742354">
          <w:rPr>
            <w:noProof/>
            <w:webHidden/>
          </w:rPr>
          <w:t>8</w:t>
        </w:r>
        <w:r w:rsidR="00420F9C">
          <w:rPr>
            <w:noProof/>
            <w:webHidden/>
          </w:rPr>
          <w:fldChar w:fldCharType="end"/>
        </w:r>
      </w:hyperlink>
    </w:p>
    <w:p w14:paraId="5589FBC9"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80" w:history="1">
        <w:r w:rsidR="00420F9C" w:rsidRPr="006B6F78">
          <w:rPr>
            <w:rStyle w:val="Hyperlink"/>
            <w:noProof/>
          </w:rPr>
          <w:t>4.4</w:t>
        </w:r>
        <w:r w:rsidR="00420F9C">
          <w:rPr>
            <w:rFonts w:eastAsiaTheme="minorEastAsia"/>
            <w:smallCaps w:val="0"/>
            <w:noProof/>
            <w:sz w:val="22"/>
            <w:szCs w:val="22"/>
            <w:lang w:val="en-GB" w:eastAsia="en-GB"/>
          </w:rPr>
          <w:tab/>
        </w:r>
        <w:r w:rsidR="00420F9C" w:rsidRPr="006B6F78">
          <w:rPr>
            <w:rStyle w:val="Hyperlink"/>
            <w:noProof/>
          </w:rPr>
          <w:t>Estimating Dietary Exposure</w:t>
        </w:r>
        <w:r w:rsidR="00420F9C">
          <w:rPr>
            <w:noProof/>
            <w:webHidden/>
          </w:rPr>
          <w:tab/>
        </w:r>
        <w:r w:rsidR="00420F9C">
          <w:rPr>
            <w:noProof/>
            <w:webHidden/>
          </w:rPr>
          <w:fldChar w:fldCharType="begin"/>
        </w:r>
        <w:r w:rsidR="00420F9C">
          <w:rPr>
            <w:noProof/>
            <w:webHidden/>
          </w:rPr>
          <w:instrText xml:space="preserve"> PAGEREF _Toc448848080 \h </w:instrText>
        </w:r>
        <w:r w:rsidR="00420F9C">
          <w:rPr>
            <w:noProof/>
            <w:webHidden/>
          </w:rPr>
        </w:r>
        <w:r w:rsidR="00420F9C">
          <w:rPr>
            <w:noProof/>
            <w:webHidden/>
          </w:rPr>
          <w:fldChar w:fldCharType="separate"/>
        </w:r>
        <w:r w:rsidR="00742354">
          <w:rPr>
            <w:noProof/>
            <w:webHidden/>
          </w:rPr>
          <w:t>9</w:t>
        </w:r>
        <w:r w:rsidR="00420F9C">
          <w:rPr>
            <w:noProof/>
            <w:webHidden/>
          </w:rPr>
          <w:fldChar w:fldCharType="end"/>
        </w:r>
      </w:hyperlink>
    </w:p>
    <w:p w14:paraId="298D3054"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81" w:history="1">
        <w:r w:rsidR="00420F9C" w:rsidRPr="006B6F78">
          <w:rPr>
            <w:rStyle w:val="Hyperlink"/>
            <w:noProof/>
          </w:rPr>
          <w:t>4.5</w:t>
        </w:r>
        <w:r w:rsidR="00420F9C">
          <w:rPr>
            <w:rFonts w:eastAsiaTheme="minorEastAsia"/>
            <w:smallCaps w:val="0"/>
            <w:noProof/>
            <w:sz w:val="22"/>
            <w:szCs w:val="22"/>
            <w:lang w:val="en-GB" w:eastAsia="en-GB"/>
          </w:rPr>
          <w:tab/>
        </w:r>
        <w:r w:rsidR="00420F9C" w:rsidRPr="006B6F78">
          <w:rPr>
            <w:rStyle w:val="Hyperlink"/>
            <w:noProof/>
          </w:rPr>
          <w:t>Chronic Dietary Exposure Assessment</w:t>
        </w:r>
        <w:r w:rsidR="00420F9C">
          <w:rPr>
            <w:noProof/>
            <w:webHidden/>
          </w:rPr>
          <w:tab/>
        </w:r>
        <w:r w:rsidR="00420F9C">
          <w:rPr>
            <w:noProof/>
            <w:webHidden/>
          </w:rPr>
          <w:fldChar w:fldCharType="begin"/>
        </w:r>
        <w:r w:rsidR="00420F9C">
          <w:rPr>
            <w:noProof/>
            <w:webHidden/>
          </w:rPr>
          <w:instrText xml:space="preserve"> PAGEREF _Toc448848081 \h </w:instrText>
        </w:r>
        <w:r w:rsidR="00420F9C">
          <w:rPr>
            <w:noProof/>
            <w:webHidden/>
          </w:rPr>
        </w:r>
        <w:r w:rsidR="00420F9C">
          <w:rPr>
            <w:noProof/>
            <w:webHidden/>
          </w:rPr>
          <w:fldChar w:fldCharType="separate"/>
        </w:r>
        <w:r w:rsidR="00742354">
          <w:rPr>
            <w:noProof/>
            <w:webHidden/>
          </w:rPr>
          <w:t>9</w:t>
        </w:r>
        <w:r w:rsidR="00420F9C">
          <w:rPr>
            <w:noProof/>
            <w:webHidden/>
          </w:rPr>
          <w:fldChar w:fldCharType="end"/>
        </w:r>
      </w:hyperlink>
    </w:p>
    <w:p w14:paraId="2883C5FB"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82" w:history="1">
        <w:r w:rsidR="00420F9C" w:rsidRPr="006B6F78">
          <w:rPr>
            <w:rStyle w:val="Hyperlink"/>
            <w:noProof/>
          </w:rPr>
          <w:t>4.6</w:t>
        </w:r>
        <w:r w:rsidR="00420F9C">
          <w:rPr>
            <w:rFonts w:eastAsiaTheme="minorEastAsia"/>
            <w:smallCaps w:val="0"/>
            <w:noProof/>
            <w:sz w:val="22"/>
            <w:szCs w:val="22"/>
            <w:lang w:val="en-GB" w:eastAsia="en-GB"/>
          </w:rPr>
          <w:tab/>
        </w:r>
        <w:r w:rsidR="00420F9C" w:rsidRPr="006B6F78">
          <w:rPr>
            <w:rStyle w:val="Hyperlink"/>
            <w:noProof/>
          </w:rPr>
          <w:t>Acute Dietary Exposure Assessment</w:t>
        </w:r>
        <w:r w:rsidR="00420F9C">
          <w:rPr>
            <w:noProof/>
            <w:webHidden/>
          </w:rPr>
          <w:tab/>
        </w:r>
        <w:r w:rsidR="00420F9C">
          <w:rPr>
            <w:noProof/>
            <w:webHidden/>
          </w:rPr>
          <w:fldChar w:fldCharType="begin"/>
        </w:r>
        <w:r w:rsidR="00420F9C">
          <w:rPr>
            <w:noProof/>
            <w:webHidden/>
          </w:rPr>
          <w:instrText xml:space="preserve"> PAGEREF _Toc448848082 \h </w:instrText>
        </w:r>
        <w:r w:rsidR="00420F9C">
          <w:rPr>
            <w:noProof/>
            <w:webHidden/>
          </w:rPr>
        </w:r>
        <w:r w:rsidR="00420F9C">
          <w:rPr>
            <w:noProof/>
            <w:webHidden/>
          </w:rPr>
          <w:fldChar w:fldCharType="separate"/>
        </w:r>
        <w:r w:rsidR="00742354">
          <w:rPr>
            <w:noProof/>
            <w:webHidden/>
          </w:rPr>
          <w:t>10</w:t>
        </w:r>
        <w:r w:rsidR="00420F9C">
          <w:rPr>
            <w:noProof/>
            <w:webHidden/>
          </w:rPr>
          <w:fldChar w:fldCharType="end"/>
        </w:r>
      </w:hyperlink>
    </w:p>
    <w:p w14:paraId="624F0240" w14:textId="77777777" w:rsidR="00420F9C" w:rsidRDefault="00816AC3">
      <w:pPr>
        <w:pStyle w:val="TOC1"/>
        <w:tabs>
          <w:tab w:val="left" w:pos="440"/>
          <w:tab w:val="right" w:leader="dot" w:pos="9060"/>
        </w:tabs>
        <w:rPr>
          <w:rFonts w:eastAsiaTheme="minorEastAsia"/>
          <w:b w:val="0"/>
          <w:bCs w:val="0"/>
          <w:caps w:val="0"/>
          <w:noProof/>
          <w:sz w:val="22"/>
          <w:szCs w:val="22"/>
          <w:lang w:val="en-GB" w:eastAsia="en-GB"/>
        </w:rPr>
      </w:pPr>
      <w:hyperlink w:anchor="_Toc448848083" w:history="1">
        <w:r w:rsidR="00420F9C" w:rsidRPr="006B6F78">
          <w:rPr>
            <w:rStyle w:val="Hyperlink"/>
            <w:noProof/>
          </w:rPr>
          <w:t>5</w:t>
        </w:r>
        <w:r w:rsidR="00420F9C">
          <w:rPr>
            <w:rFonts w:eastAsiaTheme="minorEastAsia"/>
            <w:b w:val="0"/>
            <w:bCs w:val="0"/>
            <w:caps w:val="0"/>
            <w:noProof/>
            <w:sz w:val="22"/>
            <w:szCs w:val="22"/>
            <w:lang w:val="en-GB" w:eastAsia="en-GB"/>
          </w:rPr>
          <w:tab/>
        </w:r>
        <w:r w:rsidR="00420F9C" w:rsidRPr="006B6F78">
          <w:rPr>
            <w:rStyle w:val="Hyperlink"/>
            <w:noProof/>
          </w:rPr>
          <w:t xml:space="preserve">Review of principles and process for dietary exposure assessments (DEAs) including </w:t>
        </w:r>
        <w:r w:rsidR="00420F9C" w:rsidRPr="006B6F78">
          <w:rPr>
            <w:rStyle w:val="Hyperlink"/>
            <w:i/>
            <w:noProof/>
          </w:rPr>
          <w:t xml:space="preserve">All other foods except animal food commodities </w:t>
        </w:r>
        <w:r w:rsidR="00420F9C" w:rsidRPr="006B6F78">
          <w:rPr>
            <w:rStyle w:val="Hyperlink"/>
            <w:noProof/>
          </w:rPr>
          <w:t>MRLs</w:t>
        </w:r>
        <w:r w:rsidR="00420F9C">
          <w:rPr>
            <w:noProof/>
            <w:webHidden/>
          </w:rPr>
          <w:tab/>
        </w:r>
        <w:r w:rsidR="00420F9C">
          <w:rPr>
            <w:noProof/>
            <w:webHidden/>
          </w:rPr>
          <w:fldChar w:fldCharType="begin"/>
        </w:r>
        <w:r w:rsidR="00420F9C">
          <w:rPr>
            <w:noProof/>
            <w:webHidden/>
          </w:rPr>
          <w:instrText xml:space="preserve"> PAGEREF _Toc448848083 \h </w:instrText>
        </w:r>
        <w:r w:rsidR="00420F9C">
          <w:rPr>
            <w:noProof/>
            <w:webHidden/>
          </w:rPr>
        </w:r>
        <w:r w:rsidR="00420F9C">
          <w:rPr>
            <w:noProof/>
            <w:webHidden/>
          </w:rPr>
          <w:fldChar w:fldCharType="separate"/>
        </w:r>
        <w:r w:rsidR="00742354">
          <w:rPr>
            <w:noProof/>
            <w:webHidden/>
          </w:rPr>
          <w:t>12</w:t>
        </w:r>
        <w:r w:rsidR="00420F9C">
          <w:rPr>
            <w:noProof/>
            <w:webHidden/>
          </w:rPr>
          <w:fldChar w:fldCharType="end"/>
        </w:r>
      </w:hyperlink>
    </w:p>
    <w:p w14:paraId="0C1649D0"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84" w:history="1">
        <w:r w:rsidR="00420F9C" w:rsidRPr="006B6F78">
          <w:rPr>
            <w:rStyle w:val="Hyperlink"/>
            <w:noProof/>
          </w:rPr>
          <w:t>5.1</w:t>
        </w:r>
        <w:r w:rsidR="00420F9C">
          <w:rPr>
            <w:rFonts w:eastAsiaTheme="minorEastAsia"/>
            <w:smallCaps w:val="0"/>
            <w:noProof/>
            <w:sz w:val="22"/>
            <w:szCs w:val="22"/>
            <w:lang w:val="en-GB" w:eastAsia="en-GB"/>
          </w:rPr>
          <w:tab/>
        </w:r>
        <w:r w:rsidR="00420F9C" w:rsidRPr="006B6F78">
          <w:rPr>
            <w:rStyle w:val="Hyperlink"/>
            <w:noProof/>
          </w:rPr>
          <w:t>Summary</w:t>
        </w:r>
        <w:r w:rsidR="00420F9C">
          <w:rPr>
            <w:noProof/>
            <w:webHidden/>
          </w:rPr>
          <w:tab/>
        </w:r>
        <w:r w:rsidR="00420F9C">
          <w:rPr>
            <w:noProof/>
            <w:webHidden/>
          </w:rPr>
          <w:fldChar w:fldCharType="begin"/>
        </w:r>
        <w:r w:rsidR="00420F9C">
          <w:rPr>
            <w:noProof/>
            <w:webHidden/>
          </w:rPr>
          <w:instrText xml:space="preserve"> PAGEREF _Toc448848084 \h </w:instrText>
        </w:r>
        <w:r w:rsidR="00420F9C">
          <w:rPr>
            <w:noProof/>
            <w:webHidden/>
          </w:rPr>
        </w:r>
        <w:r w:rsidR="00420F9C">
          <w:rPr>
            <w:noProof/>
            <w:webHidden/>
          </w:rPr>
          <w:fldChar w:fldCharType="separate"/>
        </w:r>
        <w:r w:rsidR="00742354">
          <w:rPr>
            <w:noProof/>
            <w:webHidden/>
          </w:rPr>
          <w:t>12</w:t>
        </w:r>
        <w:r w:rsidR="00420F9C">
          <w:rPr>
            <w:noProof/>
            <w:webHidden/>
          </w:rPr>
          <w:fldChar w:fldCharType="end"/>
        </w:r>
      </w:hyperlink>
    </w:p>
    <w:p w14:paraId="4E1A6E01"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85" w:history="1">
        <w:r w:rsidR="00420F9C" w:rsidRPr="006B6F78">
          <w:rPr>
            <w:rStyle w:val="Hyperlink"/>
            <w:noProof/>
          </w:rPr>
          <w:t>5.2</w:t>
        </w:r>
        <w:r w:rsidR="00420F9C">
          <w:rPr>
            <w:rFonts w:eastAsiaTheme="minorEastAsia"/>
            <w:smallCaps w:val="0"/>
            <w:noProof/>
            <w:sz w:val="22"/>
            <w:szCs w:val="22"/>
            <w:lang w:val="en-GB" w:eastAsia="en-GB"/>
          </w:rPr>
          <w:tab/>
        </w:r>
        <w:r w:rsidR="00420F9C" w:rsidRPr="006B6F78">
          <w:rPr>
            <w:rStyle w:val="Hyperlink"/>
            <w:noProof/>
          </w:rPr>
          <w:t>Conclusions</w:t>
        </w:r>
        <w:r w:rsidR="00420F9C">
          <w:rPr>
            <w:noProof/>
            <w:webHidden/>
          </w:rPr>
          <w:tab/>
        </w:r>
        <w:r w:rsidR="00420F9C">
          <w:rPr>
            <w:noProof/>
            <w:webHidden/>
          </w:rPr>
          <w:fldChar w:fldCharType="begin"/>
        </w:r>
        <w:r w:rsidR="00420F9C">
          <w:rPr>
            <w:noProof/>
            <w:webHidden/>
          </w:rPr>
          <w:instrText xml:space="preserve"> PAGEREF _Toc448848085 \h </w:instrText>
        </w:r>
        <w:r w:rsidR="00420F9C">
          <w:rPr>
            <w:noProof/>
            <w:webHidden/>
          </w:rPr>
        </w:r>
        <w:r w:rsidR="00420F9C">
          <w:rPr>
            <w:noProof/>
            <w:webHidden/>
          </w:rPr>
          <w:fldChar w:fldCharType="separate"/>
        </w:r>
        <w:r w:rsidR="00742354">
          <w:rPr>
            <w:noProof/>
            <w:webHidden/>
          </w:rPr>
          <w:t>13</w:t>
        </w:r>
        <w:r w:rsidR="00420F9C">
          <w:rPr>
            <w:noProof/>
            <w:webHidden/>
          </w:rPr>
          <w:fldChar w:fldCharType="end"/>
        </w:r>
      </w:hyperlink>
    </w:p>
    <w:p w14:paraId="66FAF41A" w14:textId="77777777" w:rsidR="00420F9C" w:rsidRDefault="00816AC3">
      <w:pPr>
        <w:pStyle w:val="TOC1"/>
        <w:tabs>
          <w:tab w:val="left" w:pos="440"/>
          <w:tab w:val="right" w:leader="dot" w:pos="9060"/>
        </w:tabs>
        <w:rPr>
          <w:rFonts w:eastAsiaTheme="minorEastAsia"/>
          <w:b w:val="0"/>
          <w:bCs w:val="0"/>
          <w:caps w:val="0"/>
          <w:noProof/>
          <w:sz w:val="22"/>
          <w:szCs w:val="22"/>
          <w:lang w:val="en-GB" w:eastAsia="en-GB"/>
        </w:rPr>
      </w:pPr>
      <w:hyperlink w:anchor="_Toc448848086" w:history="1">
        <w:r w:rsidR="00420F9C" w:rsidRPr="006B6F78">
          <w:rPr>
            <w:rStyle w:val="Hyperlink"/>
            <w:noProof/>
          </w:rPr>
          <w:t>6</w:t>
        </w:r>
        <w:r w:rsidR="00420F9C">
          <w:rPr>
            <w:rFonts w:eastAsiaTheme="minorEastAsia"/>
            <w:b w:val="0"/>
            <w:bCs w:val="0"/>
            <w:caps w:val="0"/>
            <w:noProof/>
            <w:sz w:val="22"/>
            <w:szCs w:val="22"/>
            <w:lang w:val="en-GB" w:eastAsia="en-GB"/>
          </w:rPr>
          <w:tab/>
        </w:r>
        <w:r w:rsidR="00420F9C" w:rsidRPr="006B6F78">
          <w:rPr>
            <w:rStyle w:val="Hyperlink"/>
            <w:noProof/>
          </w:rPr>
          <w:t xml:space="preserve">Future DEA process for setting </w:t>
        </w:r>
        <w:r w:rsidR="00420F9C" w:rsidRPr="006B6F78">
          <w:rPr>
            <w:rStyle w:val="Hyperlink"/>
            <w:i/>
            <w:noProof/>
          </w:rPr>
          <w:t>All other foods except animal food commodities</w:t>
        </w:r>
        <w:r w:rsidR="00420F9C" w:rsidRPr="006B6F78">
          <w:rPr>
            <w:rStyle w:val="Hyperlink"/>
            <w:noProof/>
          </w:rPr>
          <w:t xml:space="preserve"> MRLs</w:t>
        </w:r>
        <w:r w:rsidR="00420F9C">
          <w:rPr>
            <w:noProof/>
            <w:webHidden/>
          </w:rPr>
          <w:tab/>
        </w:r>
        <w:r w:rsidR="00420F9C">
          <w:rPr>
            <w:noProof/>
            <w:webHidden/>
          </w:rPr>
          <w:fldChar w:fldCharType="begin"/>
        </w:r>
        <w:r w:rsidR="00420F9C">
          <w:rPr>
            <w:noProof/>
            <w:webHidden/>
          </w:rPr>
          <w:instrText xml:space="preserve"> PAGEREF _Toc448848086 \h </w:instrText>
        </w:r>
        <w:r w:rsidR="00420F9C">
          <w:rPr>
            <w:noProof/>
            <w:webHidden/>
          </w:rPr>
        </w:r>
        <w:r w:rsidR="00420F9C">
          <w:rPr>
            <w:noProof/>
            <w:webHidden/>
          </w:rPr>
          <w:fldChar w:fldCharType="separate"/>
        </w:r>
        <w:r w:rsidR="00742354">
          <w:rPr>
            <w:noProof/>
            <w:webHidden/>
          </w:rPr>
          <w:t>13</w:t>
        </w:r>
        <w:r w:rsidR="00420F9C">
          <w:rPr>
            <w:noProof/>
            <w:webHidden/>
          </w:rPr>
          <w:fldChar w:fldCharType="end"/>
        </w:r>
      </w:hyperlink>
    </w:p>
    <w:p w14:paraId="44737E2F"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87" w:history="1">
        <w:r w:rsidR="00420F9C" w:rsidRPr="006B6F78">
          <w:rPr>
            <w:rStyle w:val="Hyperlink"/>
            <w:noProof/>
          </w:rPr>
          <w:t>6.1</w:t>
        </w:r>
        <w:r w:rsidR="00420F9C">
          <w:rPr>
            <w:rFonts w:eastAsiaTheme="minorEastAsia"/>
            <w:smallCaps w:val="0"/>
            <w:noProof/>
            <w:sz w:val="22"/>
            <w:szCs w:val="22"/>
            <w:lang w:val="en-GB" w:eastAsia="en-GB"/>
          </w:rPr>
          <w:tab/>
        </w:r>
        <w:r w:rsidR="00420F9C" w:rsidRPr="006B6F78">
          <w:rPr>
            <w:rStyle w:val="Hyperlink"/>
            <w:noProof/>
          </w:rPr>
          <w:t>Step 1: Apply exclusion criteria</w:t>
        </w:r>
        <w:r w:rsidR="00420F9C">
          <w:rPr>
            <w:noProof/>
            <w:webHidden/>
          </w:rPr>
          <w:tab/>
        </w:r>
        <w:r w:rsidR="00420F9C">
          <w:rPr>
            <w:noProof/>
            <w:webHidden/>
          </w:rPr>
          <w:fldChar w:fldCharType="begin"/>
        </w:r>
        <w:r w:rsidR="00420F9C">
          <w:rPr>
            <w:noProof/>
            <w:webHidden/>
          </w:rPr>
          <w:instrText xml:space="preserve"> PAGEREF _Toc448848087 \h </w:instrText>
        </w:r>
        <w:r w:rsidR="00420F9C">
          <w:rPr>
            <w:noProof/>
            <w:webHidden/>
          </w:rPr>
        </w:r>
        <w:r w:rsidR="00420F9C">
          <w:rPr>
            <w:noProof/>
            <w:webHidden/>
          </w:rPr>
          <w:fldChar w:fldCharType="separate"/>
        </w:r>
        <w:r w:rsidR="00742354">
          <w:rPr>
            <w:noProof/>
            <w:webHidden/>
          </w:rPr>
          <w:t>13</w:t>
        </w:r>
        <w:r w:rsidR="00420F9C">
          <w:rPr>
            <w:noProof/>
            <w:webHidden/>
          </w:rPr>
          <w:fldChar w:fldCharType="end"/>
        </w:r>
      </w:hyperlink>
    </w:p>
    <w:p w14:paraId="1DBCAAC4"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88" w:history="1">
        <w:r w:rsidR="00420F9C" w:rsidRPr="006B6F78">
          <w:rPr>
            <w:rStyle w:val="Hyperlink"/>
            <w:noProof/>
          </w:rPr>
          <w:t>6.2</w:t>
        </w:r>
        <w:r w:rsidR="00420F9C">
          <w:rPr>
            <w:rFonts w:eastAsiaTheme="minorEastAsia"/>
            <w:smallCaps w:val="0"/>
            <w:noProof/>
            <w:sz w:val="22"/>
            <w:szCs w:val="22"/>
            <w:lang w:val="en-GB" w:eastAsia="en-GB"/>
          </w:rPr>
          <w:tab/>
        </w:r>
        <w:r w:rsidR="00420F9C" w:rsidRPr="006B6F78">
          <w:rPr>
            <w:rStyle w:val="Hyperlink"/>
            <w:noProof/>
          </w:rPr>
          <w:t>Step 2: DEA based on existing permissions</w:t>
        </w:r>
        <w:r w:rsidR="00420F9C">
          <w:rPr>
            <w:noProof/>
            <w:webHidden/>
          </w:rPr>
          <w:tab/>
        </w:r>
        <w:r w:rsidR="00420F9C">
          <w:rPr>
            <w:noProof/>
            <w:webHidden/>
          </w:rPr>
          <w:fldChar w:fldCharType="begin"/>
        </w:r>
        <w:r w:rsidR="00420F9C">
          <w:rPr>
            <w:noProof/>
            <w:webHidden/>
          </w:rPr>
          <w:instrText xml:space="preserve"> PAGEREF _Toc448848088 \h </w:instrText>
        </w:r>
        <w:r w:rsidR="00420F9C">
          <w:rPr>
            <w:noProof/>
            <w:webHidden/>
          </w:rPr>
        </w:r>
        <w:r w:rsidR="00420F9C">
          <w:rPr>
            <w:noProof/>
            <w:webHidden/>
          </w:rPr>
          <w:fldChar w:fldCharType="separate"/>
        </w:r>
        <w:r w:rsidR="00742354">
          <w:rPr>
            <w:noProof/>
            <w:webHidden/>
          </w:rPr>
          <w:t>14</w:t>
        </w:r>
        <w:r w:rsidR="00420F9C">
          <w:rPr>
            <w:noProof/>
            <w:webHidden/>
          </w:rPr>
          <w:fldChar w:fldCharType="end"/>
        </w:r>
      </w:hyperlink>
    </w:p>
    <w:p w14:paraId="69EFE4F0" w14:textId="77777777" w:rsidR="00420F9C" w:rsidRDefault="00816AC3">
      <w:pPr>
        <w:pStyle w:val="TOC2"/>
        <w:tabs>
          <w:tab w:val="left" w:pos="880"/>
          <w:tab w:val="right" w:leader="dot" w:pos="9060"/>
        </w:tabs>
        <w:rPr>
          <w:rFonts w:eastAsiaTheme="minorEastAsia"/>
          <w:smallCaps w:val="0"/>
          <w:noProof/>
          <w:sz w:val="22"/>
          <w:szCs w:val="22"/>
          <w:lang w:val="en-GB" w:eastAsia="en-GB"/>
        </w:rPr>
      </w:pPr>
      <w:hyperlink w:anchor="_Toc448848089" w:history="1">
        <w:r w:rsidR="00420F9C" w:rsidRPr="006B6F78">
          <w:rPr>
            <w:rStyle w:val="Hyperlink"/>
            <w:noProof/>
          </w:rPr>
          <w:t>6.3</w:t>
        </w:r>
        <w:r w:rsidR="00420F9C">
          <w:rPr>
            <w:rFonts w:eastAsiaTheme="minorEastAsia"/>
            <w:smallCaps w:val="0"/>
            <w:noProof/>
            <w:sz w:val="22"/>
            <w:szCs w:val="22"/>
            <w:lang w:val="en-GB" w:eastAsia="en-GB"/>
          </w:rPr>
          <w:tab/>
        </w:r>
        <w:r w:rsidR="00420F9C" w:rsidRPr="006B6F78">
          <w:rPr>
            <w:rStyle w:val="Hyperlink"/>
            <w:noProof/>
          </w:rPr>
          <w:t xml:space="preserve">Step 3: DEA to propose </w:t>
        </w:r>
        <w:r w:rsidR="00420F9C" w:rsidRPr="006B6F78">
          <w:rPr>
            <w:rStyle w:val="Hyperlink"/>
            <w:i/>
            <w:noProof/>
          </w:rPr>
          <w:t>All other foods except animal food commodities</w:t>
        </w:r>
        <w:r w:rsidR="00420F9C" w:rsidRPr="006B6F78">
          <w:rPr>
            <w:rStyle w:val="Hyperlink"/>
            <w:noProof/>
          </w:rPr>
          <w:t xml:space="preserve"> MRLs</w:t>
        </w:r>
        <w:r w:rsidR="00420F9C">
          <w:rPr>
            <w:noProof/>
            <w:webHidden/>
          </w:rPr>
          <w:tab/>
        </w:r>
        <w:r w:rsidR="00420F9C">
          <w:rPr>
            <w:noProof/>
            <w:webHidden/>
          </w:rPr>
          <w:fldChar w:fldCharType="begin"/>
        </w:r>
        <w:r w:rsidR="00420F9C">
          <w:rPr>
            <w:noProof/>
            <w:webHidden/>
          </w:rPr>
          <w:instrText xml:space="preserve"> PAGEREF _Toc448848089 \h </w:instrText>
        </w:r>
        <w:r w:rsidR="00420F9C">
          <w:rPr>
            <w:noProof/>
            <w:webHidden/>
          </w:rPr>
        </w:r>
        <w:r w:rsidR="00420F9C">
          <w:rPr>
            <w:noProof/>
            <w:webHidden/>
          </w:rPr>
          <w:fldChar w:fldCharType="separate"/>
        </w:r>
        <w:r w:rsidR="00742354">
          <w:rPr>
            <w:noProof/>
            <w:webHidden/>
          </w:rPr>
          <w:t>14</w:t>
        </w:r>
        <w:r w:rsidR="00420F9C">
          <w:rPr>
            <w:noProof/>
            <w:webHidden/>
          </w:rPr>
          <w:fldChar w:fldCharType="end"/>
        </w:r>
      </w:hyperlink>
    </w:p>
    <w:p w14:paraId="332EACD2" w14:textId="77777777" w:rsidR="00420F9C" w:rsidRDefault="00816AC3">
      <w:pPr>
        <w:pStyle w:val="TOC1"/>
        <w:tabs>
          <w:tab w:val="left" w:pos="440"/>
          <w:tab w:val="right" w:leader="dot" w:pos="9060"/>
        </w:tabs>
        <w:rPr>
          <w:rFonts w:eastAsiaTheme="minorEastAsia"/>
          <w:b w:val="0"/>
          <w:bCs w:val="0"/>
          <w:caps w:val="0"/>
          <w:noProof/>
          <w:sz w:val="22"/>
          <w:szCs w:val="22"/>
          <w:lang w:val="en-GB" w:eastAsia="en-GB"/>
        </w:rPr>
      </w:pPr>
      <w:hyperlink w:anchor="_Toc448848090" w:history="1">
        <w:r w:rsidR="00420F9C" w:rsidRPr="006B6F78">
          <w:rPr>
            <w:rStyle w:val="Hyperlink"/>
            <w:noProof/>
          </w:rPr>
          <w:t>7</w:t>
        </w:r>
        <w:r w:rsidR="00420F9C">
          <w:rPr>
            <w:rFonts w:eastAsiaTheme="minorEastAsia"/>
            <w:b w:val="0"/>
            <w:bCs w:val="0"/>
            <w:caps w:val="0"/>
            <w:noProof/>
            <w:sz w:val="22"/>
            <w:szCs w:val="22"/>
            <w:lang w:val="en-GB" w:eastAsia="en-GB"/>
          </w:rPr>
          <w:tab/>
        </w:r>
        <w:r w:rsidR="00420F9C" w:rsidRPr="006B6F78">
          <w:rPr>
            <w:rStyle w:val="Hyperlink"/>
            <w:noProof/>
          </w:rPr>
          <w:t>References</w:t>
        </w:r>
        <w:r w:rsidR="00420F9C">
          <w:rPr>
            <w:noProof/>
            <w:webHidden/>
          </w:rPr>
          <w:tab/>
        </w:r>
        <w:r w:rsidR="00420F9C">
          <w:rPr>
            <w:noProof/>
            <w:webHidden/>
          </w:rPr>
          <w:fldChar w:fldCharType="begin"/>
        </w:r>
        <w:r w:rsidR="00420F9C">
          <w:rPr>
            <w:noProof/>
            <w:webHidden/>
          </w:rPr>
          <w:instrText xml:space="preserve"> PAGEREF _Toc448848090 \h </w:instrText>
        </w:r>
        <w:r w:rsidR="00420F9C">
          <w:rPr>
            <w:noProof/>
            <w:webHidden/>
          </w:rPr>
        </w:r>
        <w:r w:rsidR="00420F9C">
          <w:rPr>
            <w:noProof/>
            <w:webHidden/>
          </w:rPr>
          <w:fldChar w:fldCharType="separate"/>
        </w:r>
        <w:r w:rsidR="00742354">
          <w:rPr>
            <w:noProof/>
            <w:webHidden/>
          </w:rPr>
          <w:t>15</w:t>
        </w:r>
        <w:r w:rsidR="00420F9C">
          <w:rPr>
            <w:noProof/>
            <w:webHidden/>
          </w:rPr>
          <w:fldChar w:fldCharType="end"/>
        </w:r>
      </w:hyperlink>
    </w:p>
    <w:p w14:paraId="20A8C1C4" w14:textId="77777777" w:rsidR="00420F9C" w:rsidRDefault="00816AC3">
      <w:pPr>
        <w:pStyle w:val="TOC2"/>
        <w:tabs>
          <w:tab w:val="right" w:leader="dot" w:pos="9060"/>
        </w:tabs>
        <w:rPr>
          <w:rFonts w:eastAsiaTheme="minorEastAsia"/>
          <w:smallCaps w:val="0"/>
          <w:noProof/>
          <w:sz w:val="22"/>
          <w:szCs w:val="22"/>
          <w:lang w:val="en-GB" w:eastAsia="en-GB"/>
        </w:rPr>
      </w:pPr>
      <w:hyperlink w:anchor="_Toc448848091" w:history="1">
        <w:r w:rsidR="00420F9C" w:rsidRPr="006B6F78">
          <w:rPr>
            <w:rStyle w:val="Hyperlink"/>
            <w:noProof/>
          </w:rPr>
          <w:t>Appendix A1 – Stage 1 - Chemicals for assessment</w:t>
        </w:r>
        <w:r w:rsidR="00420F9C">
          <w:rPr>
            <w:noProof/>
            <w:webHidden/>
          </w:rPr>
          <w:tab/>
        </w:r>
        <w:r w:rsidR="00420F9C">
          <w:rPr>
            <w:noProof/>
            <w:webHidden/>
          </w:rPr>
          <w:fldChar w:fldCharType="begin"/>
        </w:r>
        <w:r w:rsidR="00420F9C">
          <w:rPr>
            <w:noProof/>
            <w:webHidden/>
          </w:rPr>
          <w:instrText xml:space="preserve"> PAGEREF _Toc448848091 \h </w:instrText>
        </w:r>
        <w:r w:rsidR="00420F9C">
          <w:rPr>
            <w:noProof/>
            <w:webHidden/>
          </w:rPr>
        </w:r>
        <w:r w:rsidR="00420F9C">
          <w:rPr>
            <w:noProof/>
            <w:webHidden/>
          </w:rPr>
          <w:fldChar w:fldCharType="separate"/>
        </w:r>
        <w:r w:rsidR="00742354">
          <w:rPr>
            <w:noProof/>
            <w:webHidden/>
          </w:rPr>
          <w:t>16</w:t>
        </w:r>
        <w:r w:rsidR="00420F9C">
          <w:rPr>
            <w:noProof/>
            <w:webHidden/>
          </w:rPr>
          <w:fldChar w:fldCharType="end"/>
        </w:r>
      </w:hyperlink>
    </w:p>
    <w:p w14:paraId="051E4F01" w14:textId="77777777" w:rsidR="00420F9C" w:rsidRDefault="00816AC3">
      <w:pPr>
        <w:pStyle w:val="TOC2"/>
        <w:tabs>
          <w:tab w:val="right" w:leader="dot" w:pos="9060"/>
        </w:tabs>
        <w:rPr>
          <w:rFonts w:eastAsiaTheme="minorEastAsia"/>
          <w:smallCaps w:val="0"/>
          <w:noProof/>
          <w:sz w:val="22"/>
          <w:szCs w:val="22"/>
          <w:lang w:val="en-GB" w:eastAsia="en-GB"/>
        </w:rPr>
      </w:pPr>
      <w:hyperlink w:anchor="_Toc448848092" w:history="1">
        <w:r w:rsidR="00420F9C" w:rsidRPr="006B6F78">
          <w:rPr>
            <w:rStyle w:val="Hyperlink"/>
            <w:noProof/>
          </w:rPr>
          <w:t xml:space="preserve">Appendix A2 – Stage 2 - Dietary exposure assessments including </w:t>
        </w:r>
        <w:r w:rsidR="00420F9C" w:rsidRPr="006B6F78">
          <w:rPr>
            <w:rStyle w:val="Hyperlink"/>
            <w:i/>
            <w:noProof/>
          </w:rPr>
          <w:t>All other foods except animal food commodities</w:t>
        </w:r>
        <w:r w:rsidR="00420F9C">
          <w:rPr>
            <w:noProof/>
            <w:webHidden/>
          </w:rPr>
          <w:tab/>
        </w:r>
        <w:r w:rsidR="00420F9C">
          <w:rPr>
            <w:noProof/>
            <w:webHidden/>
          </w:rPr>
          <w:fldChar w:fldCharType="begin"/>
        </w:r>
        <w:r w:rsidR="00420F9C">
          <w:rPr>
            <w:noProof/>
            <w:webHidden/>
          </w:rPr>
          <w:instrText xml:space="preserve"> PAGEREF _Toc448848092 \h </w:instrText>
        </w:r>
        <w:r w:rsidR="00420F9C">
          <w:rPr>
            <w:noProof/>
            <w:webHidden/>
          </w:rPr>
        </w:r>
        <w:r w:rsidR="00420F9C">
          <w:rPr>
            <w:noProof/>
            <w:webHidden/>
          </w:rPr>
          <w:fldChar w:fldCharType="separate"/>
        </w:r>
        <w:r w:rsidR="00742354">
          <w:rPr>
            <w:noProof/>
            <w:webHidden/>
          </w:rPr>
          <w:t>17</w:t>
        </w:r>
        <w:r w:rsidR="00420F9C">
          <w:rPr>
            <w:noProof/>
            <w:webHidden/>
          </w:rPr>
          <w:fldChar w:fldCharType="end"/>
        </w:r>
      </w:hyperlink>
    </w:p>
    <w:p w14:paraId="76C981D2" w14:textId="77777777" w:rsidR="00420F9C" w:rsidRDefault="00816AC3">
      <w:pPr>
        <w:pStyle w:val="TOC2"/>
        <w:tabs>
          <w:tab w:val="right" w:leader="dot" w:pos="9060"/>
        </w:tabs>
        <w:rPr>
          <w:rFonts w:eastAsiaTheme="minorEastAsia"/>
          <w:smallCaps w:val="0"/>
          <w:noProof/>
          <w:sz w:val="22"/>
          <w:szCs w:val="22"/>
          <w:lang w:val="en-GB" w:eastAsia="en-GB"/>
        </w:rPr>
      </w:pPr>
      <w:hyperlink w:anchor="_Toc448848093" w:history="1">
        <w:r w:rsidR="00420F9C" w:rsidRPr="006B6F78">
          <w:rPr>
            <w:rStyle w:val="Hyperlink"/>
            <w:noProof/>
          </w:rPr>
          <w:t xml:space="preserve">Appendix A3 – Summary of Dietary Exposure Assessments including </w:t>
        </w:r>
        <w:r w:rsidR="00420F9C" w:rsidRPr="006B6F78">
          <w:rPr>
            <w:rStyle w:val="Hyperlink"/>
            <w:i/>
            <w:noProof/>
          </w:rPr>
          <w:t>All other foods except animal food commodities</w:t>
        </w:r>
        <w:r w:rsidR="00420F9C" w:rsidRPr="006B6F78">
          <w:rPr>
            <w:rStyle w:val="Hyperlink"/>
            <w:noProof/>
          </w:rPr>
          <w:t xml:space="preserve"> MRLs</w:t>
        </w:r>
        <w:r w:rsidR="00420F9C">
          <w:rPr>
            <w:noProof/>
            <w:webHidden/>
          </w:rPr>
          <w:tab/>
        </w:r>
        <w:r w:rsidR="00420F9C">
          <w:rPr>
            <w:noProof/>
            <w:webHidden/>
          </w:rPr>
          <w:fldChar w:fldCharType="begin"/>
        </w:r>
        <w:r w:rsidR="00420F9C">
          <w:rPr>
            <w:noProof/>
            <w:webHidden/>
          </w:rPr>
          <w:instrText xml:space="preserve"> PAGEREF _Toc448848093 \h </w:instrText>
        </w:r>
        <w:r w:rsidR="00420F9C">
          <w:rPr>
            <w:noProof/>
            <w:webHidden/>
          </w:rPr>
        </w:r>
        <w:r w:rsidR="00420F9C">
          <w:rPr>
            <w:noProof/>
            <w:webHidden/>
          </w:rPr>
          <w:fldChar w:fldCharType="separate"/>
        </w:r>
        <w:r w:rsidR="00742354">
          <w:rPr>
            <w:noProof/>
            <w:webHidden/>
          </w:rPr>
          <w:t>35</w:t>
        </w:r>
        <w:r w:rsidR="00420F9C">
          <w:rPr>
            <w:noProof/>
            <w:webHidden/>
          </w:rPr>
          <w:fldChar w:fldCharType="end"/>
        </w:r>
      </w:hyperlink>
    </w:p>
    <w:p w14:paraId="2B8658CA" w14:textId="77777777" w:rsidR="00420F9C" w:rsidRDefault="00816AC3">
      <w:pPr>
        <w:pStyle w:val="TOC2"/>
        <w:tabs>
          <w:tab w:val="right" w:leader="dot" w:pos="9060"/>
        </w:tabs>
        <w:rPr>
          <w:rFonts w:eastAsiaTheme="minorEastAsia"/>
          <w:smallCaps w:val="0"/>
          <w:noProof/>
          <w:sz w:val="22"/>
          <w:szCs w:val="22"/>
          <w:lang w:val="en-GB" w:eastAsia="en-GB"/>
        </w:rPr>
      </w:pPr>
      <w:hyperlink w:anchor="_Toc448848094" w:history="1">
        <w:r w:rsidR="00420F9C" w:rsidRPr="006B6F78">
          <w:rPr>
            <w:rStyle w:val="Hyperlink"/>
            <w:noProof/>
          </w:rPr>
          <w:t>Appendix A4 – List of agvet chemicals excluded from further consideration at Step 1</w:t>
        </w:r>
        <w:r w:rsidR="00420F9C">
          <w:rPr>
            <w:noProof/>
            <w:webHidden/>
          </w:rPr>
          <w:tab/>
        </w:r>
        <w:r w:rsidR="00420F9C">
          <w:rPr>
            <w:noProof/>
            <w:webHidden/>
          </w:rPr>
          <w:fldChar w:fldCharType="begin"/>
        </w:r>
        <w:r w:rsidR="00420F9C">
          <w:rPr>
            <w:noProof/>
            <w:webHidden/>
          </w:rPr>
          <w:instrText xml:space="preserve"> PAGEREF _Toc448848094 \h </w:instrText>
        </w:r>
        <w:r w:rsidR="00420F9C">
          <w:rPr>
            <w:noProof/>
            <w:webHidden/>
          </w:rPr>
        </w:r>
        <w:r w:rsidR="00420F9C">
          <w:rPr>
            <w:noProof/>
            <w:webHidden/>
          </w:rPr>
          <w:fldChar w:fldCharType="separate"/>
        </w:r>
        <w:r w:rsidR="00742354">
          <w:rPr>
            <w:noProof/>
            <w:webHidden/>
          </w:rPr>
          <w:t>38</w:t>
        </w:r>
        <w:r w:rsidR="00420F9C">
          <w:rPr>
            <w:noProof/>
            <w:webHidden/>
          </w:rPr>
          <w:fldChar w:fldCharType="end"/>
        </w:r>
      </w:hyperlink>
    </w:p>
    <w:p w14:paraId="5C090ED4" w14:textId="77777777" w:rsidR="00420F9C" w:rsidRDefault="00816AC3">
      <w:pPr>
        <w:pStyle w:val="TOC2"/>
        <w:tabs>
          <w:tab w:val="right" w:leader="dot" w:pos="9060"/>
        </w:tabs>
        <w:rPr>
          <w:rFonts w:eastAsiaTheme="minorEastAsia"/>
          <w:smallCaps w:val="0"/>
          <w:noProof/>
          <w:sz w:val="22"/>
          <w:szCs w:val="22"/>
          <w:lang w:val="en-GB" w:eastAsia="en-GB"/>
        </w:rPr>
      </w:pPr>
      <w:hyperlink w:anchor="_Toc448848095" w:history="1">
        <w:r w:rsidR="00420F9C" w:rsidRPr="006B6F78">
          <w:rPr>
            <w:rStyle w:val="Hyperlink"/>
            <w:noProof/>
          </w:rPr>
          <w:t>Appendix A5 – National Nutrition Surveys used in the dietary exposure assessments</w:t>
        </w:r>
        <w:r w:rsidR="00420F9C">
          <w:rPr>
            <w:noProof/>
            <w:webHidden/>
          </w:rPr>
          <w:tab/>
        </w:r>
        <w:r w:rsidR="00420F9C">
          <w:rPr>
            <w:noProof/>
            <w:webHidden/>
          </w:rPr>
          <w:fldChar w:fldCharType="begin"/>
        </w:r>
        <w:r w:rsidR="00420F9C">
          <w:rPr>
            <w:noProof/>
            <w:webHidden/>
          </w:rPr>
          <w:instrText xml:space="preserve"> PAGEREF _Toc448848095 \h </w:instrText>
        </w:r>
        <w:r w:rsidR="00420F9C">
          <w:rPr>
            <w:noProof/>
            <w:webHidden/>
          </w:rPr>
        </w:r>
        <w:r w:rsidR="00420F9C">
          <w:rPr>
            <w:noProof/>
            <w:webHidden/>
          </w:rPr>
          <w:fldChar w:fldCharType="separate"/>
        </w:r>
        <w:r w:rsidR="00742354">
          <w:rPr>
            <w:noProof/>
            <w:webHidden/>
          </w:rPr>
          <w:t>43</w:t>
        </w:r>
        <w:r w:rsidR="00420F9C">
          <w:rPr>
            <w:noProof/>
            <w:webHidden/>
          </w:rPr>
          <w:fldChar w:fldCharType="end"/>
        </w:r>
      </w:hyperlink>
    </w:p>
    <w:p w14:paraId="628AC5DD" w14:textId="77777777" w:rsidR="00420F9C" w:rsidRDefault="00816AC3">
      <w:pPr>
        <w:pStyle w:val="TOC2"/>
        <w:tabs>
          <w:tab w:val="right" w:leader="dot" w:pos="9060"/>
        </w:tabs>
        <w:rPr>
          <w:rFonts w:eastAsiaTheme="minorEastAsia"/>
          <w:smallCaps w:val="0"/>
          <w:noProof/>
          <w:sz w:val="22"/>
          <w:szCs w:val="22"/>
          <w:lang w:val="en-GB" w:eastAsia="en-GB"/>
        </w:rPr>
      </w:pPr>
      <w:hyperlink w:anchor="_Toc448848096" w:history="1">
        <w:r w:rsidR="00420F9C" w:rsidRPr="006B6F78">
          <w:rPr>
            <w:rStyle w:val="Hyperlink"/>
            <w:noProof/>
          </w:rPr>
          <w:t>Appendix A6 – NESTI Calculations</w:t>
        </w:r>
        <w:r w:rsidR="00420F9C">
          <w:rPr>
            <w:noProof/>
            <w:webHidden/>
          </w:rPr>
          <w:tab/>
        </w:r>
        <w:r w:rsidR="00420F9C">
          <w:rPr>
            <w:noProof/>
            <w:webHidden/>
          </w:rPr>
          <w:fldChar w:fldCharType="begin"/>
        </w:r>
        <w:r w:rsidR="00420F9C">
          <w:rPr>
            <w:noProof/>
            <w:webHidden/>
          </w:rPr>
          <w:instrText xml:space="preserve"> PAGEREF _Toc448848096 \h </w:instrText>
        </w:r>
        <w:r w:rsidR="00420F9C">
          <w:rPr>
            <w:noProof/>
            <w:webHidden/>
          </w:rPr>
        </w:r>
        <w:r w:rsidR="00420F9C">
          <w:rPr>
            <w:noProof/>
            <w:webHidden/>
          </w:rPr>
          <w:fldChar w:fldCharType="separate"/>
        </w:r>
        <w:r w:rsidR="00742354">
          <w:rPr>
            <w:noProof/>
            <w:webHidden/>
          </w:rPr>
          <w:t>44</w:t>
        </w:r>
        <w:r w:rsidR="00420F9C">
          <w:rPr>
            <w:noProof/>
            <w:webHidden/>
          </w:rPr>
          <w:fldChar w:fldCharType="end"/>
        </w:r>
      </w:hyperlink>
    </w:p>
    <w:p w14:paraId="7C73128A" w14:textId="49B625E6" w:rsidR="0016624D" w:rsidRPr="00F85DCF" w:rsidRDefault="001913A7" w:rsidP="003766F6">
      <w:pPr>
        <w:rPr>
          <w:lang w:val="en-GB"/>
        </w:rPr>
      </w:pPr>
      <w:r w:rsidRPr="00F85DCF">
        <w:rPr>
          <w:lang w:val="en-GB"/>
        </w:rPr>
        <w:fldChar w:fldCharType="end"/>
      </w:r>
    </w:p>
    <w:p w14:paraId="6CF45D14" w14:textId="77777777" w:rsidR="00623D09" w:rsidRPr="00F85DCF" w:rsidRDefault="00623D09" w:rsidP="00623D09">
      <w:pPr>
        <w:rPr>
          <w:rFonts w:cs="Arial"/>
          <w:lang w:val="en-GB"/>
        </w:rPr>
      </w:pPr>
    </w:p>
    <w:p w14:paraId="0BD49C84" w14:textId="77777777" w:rsidR="000E0D6C" w:rsidRPr="00F85DCF" w:rsidRDefault="001913A7" w:rsidP="000E0D6C">
      <w:pPr>
        <w:pStyle w:val="Heading1"/>
      </w:pPr>
      <w:r w:rsidRPr="00F85DCF">
        <w:br w:type="page"/>
      </w:r>
      <w:bookmarkStart w:id="2" w:name="_Toc448848067"/>
      <w:r w:rsidR="000E0D6C" w:rsidRPr="00F85DCF">
        <w:lastRenderedPageBreak/>
        <w:t>Glossary</w:t>
      </w:r>
      <w:bookmarkEnd w:id="2"/>
    </w:p>
    <w:p w14:paraId="76852122" w14:textId="77777777" w:rsidR="000E0D6C" w:rsidRPr="00F85DCF" w:rsidRDefault="000E0D6C" w:rsidP="00420F9C">
      <w:pPr>
        <w:pStyle w:val="Definition"/>
        <w:ind w:left="851"/>
        <w:rPr>
          <w:lang w:val="en-GB"/>
        </w:rPr>
      </w:pPr>
      <w:r w:rsidRPr="00F85DCF">
        <w:rPr>
          <w:lang w:val="en-GB"/>
        </w:rPr>
        <w:t xml:space="preserve">ADI </w:t>
      </w:r>
      <w:r w:rsidRPr="00F85DCF">
        <w:rPr>
          <w:lang w:val="en-GB"/>
        </w:rPr>
        <w:tab/>
      </w:r>
      <w:r w:rsidRPr="00F85DCF">
        <w:rPr>
          <w:i/>
          <w:lang w:val="en-GB"/>
        </w:rPr>
        <w:t>Acceptable Daily Intake</w:t>
      </w:r>
      <w:r w:rsidRPr="00F85DCF">
        <w:rPr>
          <w:lang w:val="en-GB"/>
        </w:rPr>
        <w:t>. The amount of a chemical that can be consumed every day of life without appreciable risk to health, expressed in mg/kg body weight.</w:t>
      </w:r>
    </w:p>
    <w:p w14:paraId="6C55037E" w14:textId="77777777" w:rsidR="000E0D6C" w:rsidRPr="00F85DCF" w:rsidRDefault="000E0D6C" w:rsidP="00420F9C">
      <w:pPr>
        <w:pStyle w:val="Definition"/>
        <w:ind w:left="851"/>
        <w:rPr>
          <w:lang w:val="en-GB"/>
        </w:rPr>
      </w:pPr>
      <w:r w:rsidRPr="00F85DCF">
        <w:rPr>
          <w:lang w:val="en-GB"/>
        </w:rPr>
        <w:t xml:space="preserve">ARfD </w:t>
      </w:r>
      <w:r w:rsidRPr="00F85DCF">
        <w:rPr>
          <w:lang w:val="en-GB"/>
        </w:rPr>
        <w:tab/>
      </w:r>
      <w:r w:rsidRPr="00F85DCF">
        <w:rPr>
          <w:i/>
          <w:lang w:val="en-GB"/>
        </w:rPr>
        <w:t>Acute Reference Dose</w:t>
      </w:r>
      <w:r w:rsidRPr="00F85DCF">
        <w:rPr>
          <w:lang w:val="en-GB"/>
        </w:rPr>
        <w:t>. The amount of a chemical that can be consumed in a short period of time, usually over one meal or one day, without appreciable risk to health, expressed in mg/kg body weight.</w:t>
      </w:r>
    </w:p>
    <w:p w14:paraId="1473F96E" w14:textId="77777777" w:rsidR="000E0D6C" w:rsidRPr="00F85DCF" w:rsidRDefault="000E0D6C" w:rsidP="00420F9C">
      <w:pPr>
        <w:pStyle w:val="Definition"/>
        <w:ind w:left="851"/>
        <w:rPr>
          <w:lang w:val="en-GB"/>
        </w:rPr>
      </w:pPr>
      <w:r w:rsidRPr="00F85DCF">
        <w:rPr>
          <w:lang w:val="en-GB"/>
        </w:rPr>
        <w:t>bw</w:t>
      </w:r>
      <w:r w:rsidRPr="00F85DCF">
        <w:rPr>
          <w:lang w:val="en-GB"/>
        </w:rPr>
        <w:tab/>
      </w:r>
      <w:r w:rsidRPr="005D443E">
        <w:rPr>
          <w:i/>
          <w:lang w:val="en-GB"/>
        </w:rPr>
        <w:t>The mean body weight</w:t>
      </w:r>
      <w:r w:rsidRPr="00F85DCF">
        <w:rPr>
          <w:lang w:val="en-GB"/>
        </w:rPr>
        <w:t xml:space="preserve"> (kg) of all respondents in the population group.</w:t>
      </w:r>
    </w:p>
    <w:p w14:paraId="40349FCB" w14:textId="77777777" w:rsidR="000E0D6C" w:rsidRPr="00F85DCF" w:rsidRDefault="000E0D6C" w:rsidP="00420F9C">
      <w:pPr>
        <w:pStyle w:val="Definition"/>
        <w:ind w:left="851"/>
        <w:rPr>
          <w:lang w:val="en-GB"/>
        </w:rPr>
      </w:pPr>
      <w:r w:rsidRPr="00F85DCF">
        <w:rPr>
          <w:lang w:val="en-GB"/>
        </w:rPr>
        <w:t>ERL</w:t>
      </w:r>
      <w:r w:rsidRPr="00F85DCF">
        <w:rPr>
          <w:lang w:val="en-GB"/>
        </w:rPr>
        <w:tab/>
      </w:r>
      <w:r w:rsidRPr="00F85DCF">
        <w:rPr>
          <w:i/>
          <w:lang w:val="en-GB"/>
        </w:rPr>
        <w:t>Extraneous Residue Limit</w:t>
      </w:r>
      <w:r w:rsidRPr="00F85DCF">
        <w:rPr>
          <w:lang w:val="en-GB"/>
        </w:rPr>
        <w:t xml:space="preserve"> means the maximum level of a residue of a chemical permitted to be present in a food and which arises from environmental sources other than the use of a chemical directly or indirectly on the food.</w:t>
      </w:r>
    </w:p>
    <w:p w14:paraId="3DE2F661" w14:textId="77777777" w:rsidR="000E0D6C" w:rsidRPr="00F85DCF" w:rsidRDefault="000E0D6C" w:rsidP="00420F9C">
      <w:pPr>
        <w:pStyle w:val="Definition"/>
        <w:ind w:left="851"/>
        <w:rPr>
          <w:lang w:val="en-GB"/>
        </w:rPr>
      </w:pPr>
      <w:r w:rsidRPr="00F85DCF">
        <w:rPr>
          <w:lang w:val="en-GB"/>
        </w:rPr>
        <w:t>GAP</w:t>
      </w:r>
      <w:r w:rsidRPr="00F85DCF">
        <w:rPr>
          <w:lang w:val="en-GB"/>
        </w:rPr>
        <w:tab/>
      </w:r>
      <w:r w:rsidRPr="00F85DCF">
        <w:rPr>
          <w:i/>
          <w:lang w:val="en-GB"/>
        </w:rPr>
        <w:t>Good Agricultural Practice</w:t>
      </w:r>
      <w:r w:rsidRPr="00F85DCF">
        <w:rPr>
          <w:lang w:val="en-GB"/>
        </w:rPr>
        <w:t>. The application of a chemical according to label instructions.</w:t>
      </w:r>
    </w:p>
    <w:p w14:paraId="4712B397" w14:textId="77777777" w:rsidR="000E0D6C" w:rsidRPr="00F85DCF" w:rsidRDefault="000E0D6C" w:rsidP="00420F9C">
      <w:pPr>
        <w:pStyle w:val="Definition"/>
        <w:ind w:left="851"/>
        <w:rPr>
          <w:lang w:val="en-GB"/>
        </w:rPr>
      </w:pPr>
      <w:r w:rsidRPr="00F85DCF">
        <w:rPr>
          <w:lang w:val="en-GB"/>
        </w:rPr>
        <w:t>HR</w:t>
      </w:r>
      <w:r w:rsidRPr="00F85DCF">
        <w:rPr>
          <w:lang w:val="en-GB"/>
        </w:rPr>
        <w:tab/>
      </w:r>
      <w:r w:rsidRPr="00F85DCF">
        <w:rPr>
          <w:i/>
          <w:lang w:val="en-GB"/>
        </w:rPr>
        <w:t>The Highest Residue</w:t>
      </w:r>
      <w:r w:rsidRPr="00F85DCF">
        <w:rPr>
          <w:lang w:val="en-GB"/>
        </w:rPr>
        <w:t xml:space="preserve"> (mg/kg) from a supervised trial that results from using the chemical according to the label directions. The MRL is usually set based on this figure.</w:t>
      </w:r>
    </w:p>
    <w:p w14:paraId="33808538" w14:textId="77777777" w:rsidR="000E0D6C" w:rsidRPr="00F85DCF" w:rsidRDefault="000E0D6C" w:rsidP="00420F9C">
      <w:pPr>
        <w:pStyle w:val="Definition"/>
        <w:ind w:left="851"/>
        <w:rPr>
          <w:lang w:val="en-GB"/>
        </w:rPr>
      </w:pPr>
      <w:r w:rsidRPr="00F85DCF">
        <w:rPr>
          <w:lang w:val="en-GB"/>
        </w:rPr>
        <w:t>HR-P</w:t>
      </w:r>
      <w:r w:rsidRPr="00F85DCF">
        <w:rPr>
          <w:lang w:val="en-GB"/>
        </w:rPr>
        <w:tab/>
      </w:r>
      <w:r w:rsidRPr="00F85DCF">
        <w:rPr>
          <w:i/>
          <w:lang w:val="en-GB"/>
        </w:rPr>
        <w:t>Highest residue - Processed</w:t>
      </w:r>
      <w:r w:rsidRPr="00F85DCF">
        <w:rPr>
          <w:lang w:val="en-GB"/>
        </w:rPr>
        <w:t>. Highest residue (mg/kg) in the processed commodity, calculated by multiplying the HR in the raw commodity by the processing factor.</w:t>
      </w:r>
    </w:p>
    <w:p w14:paraId="64837541" w14:textId="67D6F8E5" w:rsidR="000E0D6C" w:rsidRPr="00F85DCF" w:rsidRDefault="000E0D6C" w:rsidP="00420F9C">
      <w:pPr>
        <w:pStyle w:val="Definition"/>
        <w:ind w:left="851"/>
        <w:rPr>
          <w:lang w:val="en-GB"/>
        </w:rPr>
      </w:pPr>
      <w:r w:rsidRPr="00F85DCF">
        <w:rPr>
          <w:lang w:val="en-GB"/>
        </w:rPr>
        <w:t>LOD</w:t>
      </w:r>
      <w:r w:rsidRPr="00F85DCF">
        <w:rPr>
          <w:lang w:val="en-GB"/>
        </w:rPr>
        <w:tab/>
      </w:r>
      <w:r w:rsidRPr="0099748C">
        <w:rPr>
          <w:i/>
          <w:lang w:val="en-GB"/>
        </w:rPr>
        <w:t>Limit of Determination</w:t>
      </w:r>
      <w:r w:rsidRPr="00F85DCF">
        <w:rPr>
          <w:lang w:val="en-GB"/>
        </w:rPr>
        <w:t xml:space="preserve"> - the lowest quantity or concentration of</w:t>
      </w:r>
      <w:r w:rsidR="0099748C">
        <w:rPr>
          <w:lang w:val="en-GB"/>
        </w:rPr>
        <w:t xml:space="preserve"> residue that can be determined.</w:t>
      </w:r>
    </w:p>
    <w:p w14:paraId="22363C7F" w14:textId="693B3E08" w:rsidR="000E0D6C" w:rsidRPr="00F85DCF" w:rsidRDefault="000E0D6C" w:rsidP="00420F9C">
      <w:pPr>
        <w:pStyle w:val="Definition"/>
        <w:ind w:left="851"/>
        <w:rPr>
          <w:lang w:val="en-GB"/>
        </w:rPr>
      </w:pPr>
      <w:r w:rsidRPr="00F85DCF">
        <w:rPr>
          <w:lang w:val="en-GB"/>
        </w:rPr>
        <w:t>LOQ</w:t>
      </w:r>
      <w:r w:rsidRPr="00F85DCF">
        <w:rPr>
          <w:lang w:val="en-GB"/>
        </w:rPr>
        <w:tab/>
      </w:r>
      <w:r w:rsidRPr="0099748C">
        <w:rPr>
          <w:i/>
          <w:lang w:val="en-GB"/>
        </w:rPr>
        <w:t>Limit of Quantification</w:t>
      </w:r>
      <w:r w:rsidRPr="00F85DCF">
        <w:rPr>
          <w:lang w:val="en-GB"/>
        </w:rPr>
        <w:t xml:space="preserve"> – the lowest concentration at which the analyte cannot be reliably measured by an analytical method but at which some predefined goals for bias and imprecision are met. The LOQ may be equivalent to the LOD or it could be</w:t>
      </w:r>
      <w:r w:rsidR="006567F9">
        <w:rPr>
          <w:lang w:val="en-GB"/>
        </w:rPr>
        <w:t xml:space="preserve"> </w:t>
      </w:r>
      <w:r w:rsidRPr="00F85DCF">
        <w:rPr>
          <w:lang w:val="en-GB"/>
        </w:rPr>
        <w:t xml:space="preserve">at a much higher concentration. </w:t>
      </w:r>
    </w:p>
    <w:p w14:paraId="15BB8D9C" w14:textId="77777777" w:rsidR="000E0D6C" w:rsidRPr="00F85DCF" w:rsidRDefault="000E0D6C" w:rsidP="00420F9C">
      <w:pPr>
        <w:pStyle w:val="Definition"/>
        <w:ind w:left="851"/>
        <w:rPr>
          <w:lang w:val="en-GB"/>
        </w:rPr>
      </w:pPr>
      <w:r w:rsidRPr="00F85DCF">
        <w:rPr>
          <w:lang w:val="en-GB"/>
        </w:rPr>
        <w:t>LOR</w:t>
      </w:r>
      <w:r w:rsidRPr="00F85DCF">
        <w:rPr>
          <w:lang w:val="en-GB"/>
        </w:rPr>
        <w:tab/>
      </w:r>
      <w:r w:rsidRPr="0099748C">
        <w:rPr>
          <w:i/>
          <w:lang w:val="en-GB"/>
        </w:rPr>
        <w:t>Limit of Reporting</w:t>
      </w:r>
      <w:r w:rsidRPr="00F85DCF">
        <w:rPr>
          <w:lang w:val="en-GB"/>
        </w:rPr>
        <w:t xml:space="preserve"> - the smallest concentration (or amount) of analyte that can be reported by a laboratory</w:t>
      </w:r>
    </w:p>
    <w:p w14:paraId="5734595C" w14:textId="77777777" w:rsidR="000E0D6C" w:rsidRPr="00F85DCF" w:rsidRDefault="000E0D6C" w:rsidP="00420F9C">
      <w:pPr>
        <w:pStyle w:val="Definition"/>
        <w:ind w:left="851"/>
        <w:rPr>
          <w:lang w:val="en-GB"/>
        </w:rPr>
      </w:pPr>
      <w:r w:rsidRPr="00F85DCF">
        <w:rPr>
          <w:lang w:val="en-GB"/>
        </w:rPr>
        <w:t>LP</w:t>
      </w:r>
      <w:r w:rsidRPr="00F85DCF">
        <w:rPr>
          <w:lang w:val="en-GB"/>
        </w:rPr>
        <w:tab/>
        <w:t xml:space="preserve">Highest </w:t>
      </w:r>
      <w:r w:rsidRPr="00F85DCF">
        <w:rPr>
          <w:i/>
          <w:lang w:val="en-GB"/>
        </w:rPr>
        <w:t>Large Portion</w:t>
      </w:r>
      <w:r w:rsidRPr="00F85DCF">
        <w:rPr>
          <w:lang w:val="en-GB"/>
        </w:rPr>
        <w:t xml:space="preserve"> provided (97.5</w:t>
      </w:r>
      <w:r w:rsidRPr="00F85DCF">
        <w:rPr>
          <w:vertAlign w:val="superscript"/>
          <w:lang w:val="en-GB"/>
        </w:rPr>
        <w:t>th</w:t>
      </w:r>
      <w:r w:rsidRPr="00F85DCF">
        <w:rPr>
          <w:lang w:val="en-GB"/>
        </w:rPr>
        <w:t xml:space="preserve"> percentile of consumption for consumers of the commodity), in kg of food per day.</w:t>
      </w:r>
    </w:p>
    <w:p w14:paraId="0E550766" w14:textId="77777777" w:rsidR="000E0D6C" w:rsidRPr="00F85DCF" w:rsidRDefault="000E0D6C" w:rsidP="00420F9C">
      <w:pPr>
        <w:pStyle w:val="Definition"/>
        <w:ind w:left="851"/>
        <w:rPr>
          <w:lang w:val="en-GB"/>
        </w:rPr>
      </w:pPr>
      <w:r w:rsidRPr="00F85DCF">
        <w:rPr>
          <w:lang w:val="en-GB"/>
        </w:rPr>
        <w:t>MRL</w:t>
      </w:r>
      <w:r w:rsidRPr="00F85DCF">
        <w:rPr>
          <w:lang w:val="en-GB"/>
        </w:rPr>
        <w:tab/>
      </w:r>
      <w:r w:rsidRPr="00F85DCF">
        <w:rPr>
          <w:i/>
          <w:lang w:val="en-GB"/>
        </w:rPr>
        <w:t>Maximum Residue Limit</w:t>
      </w:r>
      <w:r w:rsidRPr="00F85DCF">
        <w:rPr>
          <w:lang w:val="en-GB"/>
        </w:rPr>
        <w:t>. The maximum residue of a chemical permitted in food.</w:t>
      </w:r>
    </w:p>
    <w:p w14:paraId="6F0999E3" w14:textId="77777777" w:rsidR="000E0D6C" w:rsidRPr="00F85DCF" w:rsidRDefault="000E0D6C" w:rsidP="00420F9C">
      <w:pPr>
        <w:pStyle w:val="Definition"/>
        <w:ind w:left="851"/>
        <w:rPr>
          <w:lang w:val="en-GB"/>
        </w:rPr>
      </w:pPr>
      <w:r w:rsidRPr="00F85DCF">
        <w:rPr>
          <w:lang w:val="en-GB"/>
        </w:rPr>
        <w:t>NEDI</w:t>
      </w:r>
      <w:r w:rsidRPr="00F85DCF">
        <w:rPr>
          <w:lang w:val="en-GB"/>
        </w:rPr>
        <w:tab/>
      </w:r>
      <w:r w:rsidRPr="00F85DCF">
        <w:rPr>
          <w:i/>
          <w:lang w:val="en-GB"/>
        </w:rPr>
        <w:t>National Estimate of Dietary Intake</w:t>
      </w:r>
      <w:r w:rsidRPr="00F85DCF">
        <w:rPr>
          <w:lang w:val="en-GB"/>
        </w:rPr>
        <w:t>. A dietary exposure assessment calculated across the population for all foods with an MRL and related commodities. It determines long term (chronic) exposure across a lifetime. Exposures are calculated for each food using consumption data at the mean for all respondents and summed across all foods to determine an exposure from all foods with MRLs. The summed dietary exposure assessment is compared to the ADI in order to determine whether estimated total dietary exposures are likely to be a risk to public health and safety.</w:t>
      </w:r>
    </w:p>
    <w:p w14:paraId="5E617E64" w14:textId="77777777" w:rsidR="000E0D6C" w:rsidRPr="00F85DCF" w:rsidRDefault="000E0D6C" w:rsidP="00420F9C">
      <w:pPr>
        <w:pStyle w:val="Definition"/>
        <w:ind w:left="851"/>
        <w:rPr>
          <w:lang w:val="en-GB"/>
        </w:rPr>
      </w:pPr>
      <w:r w:rsidRPr="00F85DCF">
        <w:rPr>
          <w:lang w:val="en-GB"/>
        </w:rPr>
        <w:t>NESTI</w:t>
      </w:r>
      <w:r w:rsidRPr="00F85DCF">
        <w:rPr>
          <w:lang w:val="en-GB"/>
        </w:rPr>
        <w:tab/>
      </w:r>
      <w:r w:rsidRPr="00F85DCF">
        <w:rPr>
          <w:i/>
          <w:lang w:val="en-GB"/>
        </w:rPr>
        <w:t>National Estimate of Short Term Intake</w:t>
      </w:r>
      <w:r w:rsidRPr="00F85DCF">
        <w:rPr>
          <w:lang w:val="en-GB"/>
        </w:rPr>
        <w:t>. A dietary exposure assessment calculated for high consumers for all foods individually that have an MRL and related commodities. It determines short term exposure over one meal or one day. Exposures are calculated for each food separately using consumption data at the 97.5</w:t>
      </w:r>
      <w:r w:rsidRPr="00F85DCF">
        <w:rPr>
          <w:vertAlign w:val="superscript"/>
          <w:lang w:val="en-GB"/>
        </w:rPr>
        <w:t>th</w:t>
      </w:r>
      <w:r w:rsidRPr="00F85DCF">
        <w:rPr>
          <w:lang w:val="en-GB"/>
        </w:rPr>
        <w:t xml:space="preserve"> percentile for consumers of the food only and IS NOT summed across all foods. The estimated dietary exposure is compared to the ARfD in order to determine whether estimated dietary exposures are likely to be a risk to public health and safety.</w:t>
      </w:r>
    </w:p>
    <w:p w14:paraId="5D3AB5F1" w14:textId="77777777" w:rsidR="000E0D6C" w:rsidRPr="00F85DCF" w:rsidRDefault="000E0D6C" w:rsidP="00420F9C">
      <w:pPr>
        <w:pStyle w:val="Definition"/>
        <w:ind w:left="851"/>
        <w:rPr>
          <w:lang w:val="en-GB"/>
        </w:rPr>
      </w:pPr>
      <w:r w:rsidRPr="00F85DCF">
        <w:rPr>
          <w:lang w:val="en-GB"/>
        </w:rPr>
        <w:t>PF</w:t>
      </w:r>
      <w:r w:rsidRPr="00F85DCF">
        <w:rPr>
          <w:lang w:val="en-GB"/>
        </w:rPr>
        <w:tab/>
      </w:r>
      <w:r w:rsidRPr="00F85DCF">
        <w:rPr>
          <w:i/>
          <w:lang w:val="en-GB"/>
        </w:rPr>
        <w:t>Processing Factor</w:t>
      </w:r>
      <w:r w:rsidRPr="00F85DCF">
        <w:rPr>
          <w:lang w:val="en-GB"/>
        </w:rPr>
        <w:t>. A numerical factor that can be applied to an MRL to represent the change in concentration of a chemical due to the food being processed. For example, the residues in orange juice have a factor of 0.8 of the MRL for oranges, or the residues in sultanas is 1.2 the MRL of the residues in grapes.</w:t>
      </w:r>
    </w:p>
    <w:p w14:paraId="3062C2CE" w14:textId="77777777" w:rsidR="000E0D6C" w:rsidRPr="00F85DCF" w:rsidRDefault="000E0D6C" w:rsidP="00420F9C">
      <w:pPr>
        <w:pStyle w:val="Definition"/>
        <w:ind w:left="851"/>
        <w:rPr>
          <w:lang w:val="en-GB"/>
        </w:rPr>
      </w:pPr>
      <w:r w:rsidRPr="00F85DCF">
        <w:rPr>
          <w:lang w:val="en-GB"/>
        </w:rPr>
        <w:t>STMR</w:t>
      </w:r>
      <w:r w:rsidRPr="00F85DCF">
        <w:rPr>
          <w:lang w:val="en-GB"/>
        </w:rPr>
        <w:tab/>
      </w:r>
      <w:r w:rsidRPr="00F85DCF">
        <w:rPr>
          <w:i/>
          <w:lang w:val="en-GB"/>
        </w:rPr>
        <w:t>Supervised Trial Median Residue</w:t>
      </w:r>
      <w:r w:rsidRPr="00F85DCF">
        <w:rPr>
          <w:lang w:val="en-GB"/>
        </w:rPr>
        <w:t>. The median concentration of a chemical in mg/kg from a number of analyses of resides in the food following application of the chemical according to the label directions.</w:t>
      </w:r>
    </w:p>
    <w:p w14:paraId="57D83406" w14:textId="77777777" w:rsidR="000E0D6C" w:rsidRPr="00F85DCF" w:rsidRDefault="000E0D6C" w:rsidP="00420F9C">
      <w:pPr>
        <w:pStyle w:val="Definition"/>
        <w:ind w:left="851"/>
        <w:rPr>
          <w:lang w:val="en-GB"/>
        </w:rPr>
      </w:pPr>
      <w:r w:rsidRPr="00F85DCF">
        <w:rPr>
          <w:lang w:val="en-GB"/>
        </w:rPr>
        <w:t>STMR-P</w:t>
      </w:r>
      <w:r w:rsidRPr="00F85DCF">
        <w:rPr>
          <w:lang w:val="en-GB"/>
        </w:rPr>
        <w:tab/>
      </w:r>
      <w:r w:rsidRPr="0099748C">
        <w:rPr>
          <w:i/>
          <w:lang w:val="en-GB"/>
        </w:rPr>
        <w:t>Supervised Trial Median Residue</w:t>
      </w:r>
      <w:r w:rsidRPr="00F85DCF">
        <w:rPr>
          <w:lang w:val="en-GB"/>
        </w:rPr>
        <w:t xml:space="preserve"> in the processed commodity, in mg/kg</w:t>
      </w:r>
    </w:p>
    <w:p w14:paraId="1C50A632" w14:textId="77777777" w:rsidR="000E0D6C" w:rsidRPr="00F85DCF" w:rsidRDefault="000E0D6C" w:rsidP="00420F9C">
      <w:pPr>
        <w:pStyle w:val="Definition"/>
        <w:ind w:left="851"/>
        <w:rPr>
          <w:lang w:val="en-GB"/>
        </w:rPr>
      </w:pPr>
      <w:r w:rsidRPr="00F85DCF">
        <w:rPr>
          <w:lang w:val="en-GB"/>
        </w:rPr>
        <w:t>U</w:t>
      </w:r>
      <w:r w:rsidRPr="00F85DCF">
        <w:rPr>
          <w:lang w:val="en-GB"/>
        </w:rPr>
        <w:tab/>
      </w:r>
      <w:r w:rsidRPr="00F85DCF">
        <w:rPr>
          <w:i/>
          <w:lang w:val="en-GB"/>
        </w:rPr>
        <w:t>Unit Weight</w:t>
      </w:r>
      <w:r w:rsidRPr="00F85DCF">
        <w:rPr>
          <w:lang w:val="en-GB"/>
        </w:rPr>
        <w:t xml:space="preserve"> edible portion of the commodity, in kg of food per day.</w:t>
      </w:r>
    </w:p>
    <w:p w14:paraId="5D0481BD" w14:textId="77777777" w:rsidR="000E0D6C" w:rsidRPr="00F85DCF" w:rsidRDefault="000E0D6C" w:rsidP="00420F9C">
      <w:pPr>
        <w:pStyle w:val="Definition"/>
        <w:ind w:left="851"/>
        <w:rPr>
          <w:lang w:val="en-GB"/>
        </w:rPr>
      </w:pPr>
      <w:r w:rsidRPr="00F85DCF">
        <w:rPr>
          <w:lang w:val="en-GB"/>
        </w:rPr>
        <w:lastRenderedPageBreak/>
        <w:t>v</w:t>
      </w:r>
      <w:r w:rsidRPr="00F85DCF">
        <w:rPr>
          <w:lang w:val="en-GB"/>
        </w:rPr>
        <w:tab/>
        <w:t xml:space="preserve">The </w:t>
      </w:r>
      <w:r w:rsidRPr="00F85DCF">
        <w:rPr>
          <w:i/>
          <w:lang w:val="en-GB"/>
        </w:rPr>
        <w:t>variability factor</w:t>
      </w:r>
      <w:r w:rsidRPr="00F85DCF">
        <w:rPr>
          <w:lang w:val="en-GB"/>
        </w:rPr>
        <w:t xml:space="preserve"> represents the range of variability in residues in the individual units within the composite samples that have been analysed.</w:t>
      </w:r>
    </w:p>
    <w:p w14:paraId="015F27CB" w14:textId="77777777" w:rsidR="000E0D6C" w:rsidRPr="00F85DCF" w:rsidRDefault="000E0D6C" w:rsidP="00234708">
      <w:pPr>
        <w:pStyle w:val="Heading1"/>
      </w:pPr>
      <w:r w:rsidRPr="00F85DCF">
        <w:br w:type="page"/>
      </w:r>
    </w:p>
    <w:p w14:paraId="17237F2A" w14:textId="68B4F670" w:rsidR="00957E2A" w:rsidRPr="00F85DCF" w:rsidRDefault="001913A7" w:rsidP="00234708">
      <w:pPr>
        <w:pStyle w:val="Heading1"/>
      </w:pPr>
      <w:bookmarkStart w:id="3" w:name="_Toc448848068"/>
      <w:r w:rsidRPr="00F85DCF">
        <w:lastRenderedPageBreak/>
        <w:t>1</w:t>
      </w:r>
      <w:r w:rsidRPr="00F85DCF">
        <w:tab/>
      </w:r>
      <w:r w:rsidR="003F7329" w:rsidRPr="00F85DCF">
        <w:t>Introduction</w:t>
      </w:r>
      <w:bookmarkEnd w:id="3"/>
      <w:r w:rsidR="003F7329" w:rsidRPr="00F85DCF">
        <w:t xml:space="preserve"> </w:t>
      </w:r>
    </w:p>
    <w:p w14:paraId="57E45FB2" w14:textId="43CE74D7" w:rsidR="009E4DE8" w:rsidRPr="00F85DCF" w:rsidRDefault="001913A7" w:rsidP="00227DF3">
      <w:pPr>
        <w:pStyle w:val="Heading2"/>
      </w:pPr>
      <w:bookmarkStart w:id="4" w:name="_Toc448848069"/>
      <w:r w:rsidRPr="00F85DCF">
        <w:t>1.1</w:t>
      </w:r>
      <w:r w:rsidRPr="00F85DCF">
        <w:tab/>
      </w:r>
      <w:r w:rsidR="009E4DE8" w:rsidRPr="00F85DCF">
        <w:t xml:space="preserve">Maximum </w:t>
      </w:r>
      <w:r w:rsidRPr="00F85DCF">
        <w:t>r</w:t>
      </w:r>
      <w:r w:rsidR="009E4DE8" w:rsidRPr="00F85DCF">
        <w:t>esidue limits</w:t>
      </w:r>
      <w:bookmarkEnd w:id="4"/>
    </w:p>
    <w:p w14:paraId="29ED1E3A" w14:textId="6D0D5BEE" w:rsidR="0065003E" w:rsidRPr="00F85DCF" w:rsidRDefault="0065003E" w:rsidP="0065003E">
      <w:pPr>
        <w:rPr>
          <w:lang w:val="en-GB"/>
        </w:rPr>
      </w:pPr>
      <w:r w:rsidRPr="00F85DCF">
        <w:rPr>
          <w:lang w:val="en-GB"/>
        </w:rPr>
        <w:t>Standard 1.4.2 and Schedule</w:t>
      </w:r>
      <w:r w:rsidR="008F0F99" w:rsidRPr="00F85DCF">
        <w:rPr>
          <w:lang w:val="en-GB"/>
        </w:rPr>
        <w:t>s</w:t>
      </w:r>
      <w:r w:rsidRPr="00F85DCF">
        <w:rPr>
          <w:lang w:val="en-GB"/>
        </w:rPr>
        <w:t xml:space="preserve"> 20</w:t>
      </w:r>
      <w:r w:rsidR="001913A7" w:rsidRPr="00F85DCF">
        <w:rPr>
          <w:lang w:val="en-GB"/>
        </w:rPr>
        <w:sym w:font="Symbol" w:char="F02D"/>
      </w:r>
      <w:r w:rsidRPr="00F85DCF">
        <w:rPr>
          <w:lang w:val="en-GB"/>
        </w:rPr>
        <w:t>2</w:t>
      </w:r>
      <w:r w:rsidR="001913A7" w:rsidRPr="00F85DCF">
        <w:rPr>
          <w:lang w:val="en-GB"/>
        </w:rPr>
        <w:t>1</w:t>
      </w:r>
      <w:r w:rsidRPr="00F85DCF">
        <w:rPr>
          <w:lang w:val="en-GB"/>
        </w:rPr>
        <w:t xml:space="preserve"> </w:t>
      </w:r>
      <w:r w:rsidR="001913A7" w:rsidRPr="00F85DCF">
        <w:rPr>
          <w:lang w:val="en-GB"/>
        </w:rPr>
        <w:t>in</w:t>
      </w:r>
      <w:r w:rsidRPr="00F85DCF">
        <w:rPr>
          <w:lang w:val="en-GB"/>
        </w:rPr>
        <w:t xml:space="preserve"> the </w:t>
      </w:r>
      <w:r w:rsidR="001913A7" w:rsidRPr="00F85DCF">
        <w:rPr>
          <w:i/>
          <w:lang w:val="en-GB"/>
        </w:rPr>
        <w:t xml:space="preserve">Australia New Zealand Food Standards </w:t>
      </w:r>
      <w:r w:rsidRPr="00F85DCF">
        <w:rPr>
          <w:i/>
          <w:lang w:val="en-GB"/>
        </w:rPr>
        <w:t>Code</w:t>
      </w:r>
      <w:r w:rsidRPr="00F85DCF">
        <w:rPr>
          <w:lang w:val="en-GB"/>
        </w:rPr>
        <w:t xml:space="preserve"> </w:t>
      </w:r>
      <w:r w:rsidR="001913A7" w:rsidRPr="00F85DCF">
        <w:rPr>
          <w:lang w:val="en-GB"/>
        </w:rPr>
        <w:t xml:space="preserve">(the Code) </w:t>
      </w:r>
      <w:r w:rsidRPr="00F85DCF">
        <w:rPr>
          <w:lang w:val="en-GB"/>
        </w:rPr>
        <w:t xml:space="preserve">set out the </w:t>
      </w:r>
      <w:r w:rsidR="001913A7" w:rsidRPr="00F85DCF">
        <w:rPr>
          <w:lang w:val="en-GB"/>
        </w:rPr>
        <w:t>m</w:t>
      </w:r>
      <w:r w:rsidRPr="00F85DCF">
        <w:rPr>
          <w:lang w:val="en-GB"/>
        </w:rPr>
        <w:t xml:space="preserve">aximum </w:t>
      </w:r>
      <w:r w:rsidR="001913A7" w:rsidRPr="00F85DCF">
        <w:rPr>
          <w:lang w:val="en-GB"/>
        </w:rPr>
        <w:t>r</w:t>
      </w:r>
      <w:r w:rsidRPr="00F85DCF">
        <w:rPr>
          <w:lang w:val="en-GB"/>
        </w:rPr>
        <w:t xml:space="preserve">esidue </w:t>
      </w:r>
      <w:r w:rsidR="001913A7" w:rsidRPr="00F85DCF">
        <w:rPr>
          <w:lang w:val="en-GB"/>
        </w:rPr>
        <w:t>l</w:t>
      </w:r>
      <w:r w:rsidRPr="00F85DCF">
        <w:rPr>
          <w:lang w:val="en-GB"/>
        </w:rPr>
        <w:t xml:space="preserve">imits (MRLs) and </w:t>
      </w:r>
      <w:r w:rsidR="001913A7" w:rsidRPr="00F85DCF">
        <w:rPr>
          <w:lang w:val="en-GB"/>
        </w:rPr>
        <w:t>e</w:t>
      </w:r>
      <w:r w:rsidRPr="00F85DCF">
        <w:rPr>
          <w:lang w:val="en-GB"/>
        </w:rPr>
        <w:t xml:space="preserve">xtraneous </w:t>
      </w:r>
      <w:r w:rsidR="001913A7" w:rsidRPr="00F85DCF">
        <w:rPr>
          <w:lang w:val="en-GB"/>
        </w:rPr>
        <w:t>r</w:t>
      </w:r>
      <w:r w:rsidRPr="00F85DCF">
        <w:rPr>
          <w:lang w:val="en-GB"/>
        </w:rPr>
        <w:t xml:space="preserve">esidue </w:t>
      </w:r>
      <w:r w:rsidR="001913A7" w:rsidRPr="00F85DCF">
        <w:rPr>
          <w:lang w:val="en-GB"/>
        </w:rPr>
        <w:t>l</w:t>
      </w:r>
      <w:r w:rsidRPr="00F85DCF">
        <w:rPr>
          <w:lang w:val="en-GB"/>
        </w:rPr>
        <w:t>imits (ERLs) for agricultural or veterinary chemicals that are permitted in foods for sale.</w:t>
      </w:r>
    </w:p>
    <w:p w14:paraId="123097C6" w14:textId="0D9C0F06" w:rsidR="003F7329" w:rsidRPr="00F85DCF" w:rsidRDefault="001913A7" w:rsidP="001913A7">
      <w:pPr>
        <w:pStyle w:val="Heading3"/>
      </w:pPr>
      <w:r w:rsidRPr="00F85DCF">
        <w:t>1.1.1</w:t>
      </w:r>
      <w:r w:rsidRPr="00F85DCF">
        <w:tab/>
      </w:r>
      <w:r w:rsidR="00B243CE" w:rsidRPr="00F85DCF">
        <w:t xml:space="preserve">All other foods except animal </w:t>
      </w:r>
      <w:r w:rsidR="00F33488">
        <w:t xml:space="preserve">food </w:t>
      </w:r>
      <w:r w:rsidR="00B243CE" w:rsidRPr="00F85DCF">
        <w:t>commodities</w:t>
      </w:r>
      <w:r w:rsidR="009E4DE8" w:rsidRPr="00F85DCF">
        <w:t xml:space="preserve"> MRLs</w:t>
      </w:r>
    </w:p>
    <w:p w14:paraId="291432C4" w14:textId="6CE2D251" w:rsidR="00C0349A" w:rsidRPr="00F85DCF" w:rsidRDefault="0080332A" w:rsidP="0080332A">
      <w:pPr>
        <w:rPr>
          <w:lang w:val="en-GB"/>
        </w:rPr>
      </w:pPr>
      <w:r w:rsidRPr="00F85DCF">
        <w:rPr>
          <w:lang w:val="en-GB"/>
        </w:rPr>
        <w:t>F</w:t>
      </w:r>
      <w:r w:rsidR="00C0349A" w:rsidRPr="00F85DCF">
        <w:rPr>
          <w:lang w:val="en-GB"/>
        </w:rPr>
        <w:t xml:space="preserve">or the purpose of this Proposal, </w:t>
      </w:r>
      <w:r w:rsidR="00906243">
        <w:rPr>
          <w:i/>
          <w:lang w:val="en-GB"/>
        </w:rPr>
        <w:t>A</w:t>
      </w:r>
      <w:r w:rsidR="00B243CE" w:rsidRPr="00F85DCF">
        <w:rPr>
          <w:i/>
          <w:lang w:val="en-GB"/>
        </w:rPr>
        <w:t>ll other foods</w:t>
      </w:r>
      <w:r w:rsidR="003F5C26">
        <w:rPr>
          <w:i/>
          <w:lang w:val="en-GB"/>
        </w:rPr>
        <w:t xml:space="preserve"> except animal food commodities</w:t>
      </w:r>
      <w:r w:rsidR="00B243CE" w:rsidRPr="00F85DCF">
        <w:rPr>
          <w:i/>
          <w:lang w:val="en-GB"/>
        </w:rPr>
        <w:t xml:space="preserve"> </w:t>
      </w:r>
      <w:r w:rsidR="00C0349A" w:rsidRPr="00F85DCF">
        <w:rPr>
          <w:lang w:val="en-GB"/>
        </w:rPr>
        <w:t xml:space="preserve">MRL </w:t>
      </w:r>
      <w:r w:rsidRPr="00F85DCF">
        <w:rPr>
          <w:lang w:val="en-GB"/>
        </w:rPr>
        <w:t>mean</w:t>
      </w:r>
      <w:r w:rsidR="00C0349A" w:rsidRPr="00F85DCF">
        <w:rPr>
          <w:lang w:val="en-GB"/>
        </w:rPr>
        <w:t xml:space="preserve">s </w:t>
      </w:r>
      <w:r w:rsidRPr="00F85DCF">
        <w:rPr>
          <w:lang w:val="en-GB"/>
        </w:rPr>
        <w:t xml:space="preserve">all </w:t>
      </w:r>
      <w:r w:rsidR="003F7329" w:rsidRPr="00F85DCF">
        <w:rPr>
          <w:lang w:val="en-GB"/>
        </w:rPr>
        <w:t xml:space="preserve">foods </w:t>
      </w:r>
      <w:r w:rsidR="00AA201D" w:rsidRPr="00F85DCF">
        <w:rPr>
          <w:lang w:val="en-GB"/>
        </w:rPr>
        <w:t xml:space="preserve">except for animal </w:t>
      </w:r>
      <w:r w:rsidR="00AF2E9A">
        <w:rPr>
          <w:lang w:val="en-GB"/>
        </w:rPr>
        <w:t xml:space="preserve">food </w:t>
      </w:r>
      <w:r w:rsidR="00AA201D" w:rsidRPr="00F85DCF">
        <w:rPr>
          <w:lang w:val="en-GB"/>
        </w:rPr>
        <w:t xml:space="preserve">commodities </w:t>
      </w:r>
      <w:r w:rsidRPr="00F85DCF">
        <w:rPr>
          <w:lang w:val="en-GB"/>
        </w:rPr>
        <w:t>for which an MRL has not been established</w:t>
      </w:r>
      <w:r w:rsidR="000D5868" w:rsidRPr="00F85DCF">
        <w:rPr>
          <w:lang w:val="en-GB"/>
        </w:rPr>
        <w:t>,</w:t>
      </w:r>
      <w:r w:rsidRPr="00F85DCF">
        <w:rPr>
          <w:lang w:val="en-GB"/>
        </w:rPr>
        <w:t xml:space="preserve"> or </w:t>
      </w:r>
      <w:r w:rsidR="008B4A53" w:rsidRPr="00F85DCF">
        <w:rPr>
          <w:lang w:val="en-GB"/>
        </w:rPr>
        <w:t xml:space="preserve">is </w:t>
      </w:r>
      <w:r w:rsidR="00395BB9" w:rsidRPr="00F85DCF">
        <w:rPr>
          <w:lang w:val="en-GB"/>
        </w:rPr>
        <w:t xml:space="preserve">not </w:t>
      </w:r>
      <w:r w:rsidRPr="00F85DCF">
        <w:rPr>
          <w:lang w:val="en-GB"/>
        </w:rPr>
        <w:t>currently being established</w:t>
      </w:r>
      <w:r w:rsidR="0051252F" w:rsidRPr="00F85DCF">
        <w:rPr>
          <w:lang w:val="en-GB"/>
        </w:rPr>
        <w:t xml:space="preserve"> for a specific </w:t>
      </w:r>
      <w:r w:rsidR="007B7ABA" w:rsidRPr="00F85DCF">
        <w:rPr>
          <w:lang w:val="en-GB"/>
        </w:rPr>
        <w:t>agvet</w:t>
      </w:r>
      <w:r w:rsidR="0051252F" w:rsidRPr="00F85DCF">
        <w:rPr>
          <w:lang w:val="en-GB"/>
        </w:rPr>
        <w:t xml:space="preserve"> chem</w:t>
      </w:r>
      <w:r w:rsidR="00B3656C" w:rsidRPr="00F85DCF">
        <w:rPr>
          <w:lang w:val="en-GB"/>
        </w:rPr>
        <w:t>ic</w:t>
      </w:r>
      <w:r w:rsidR="0051252F" w:rsidRPr="00F85DCF">
        <w:rPr>
          <w:lang w:val="en-GB"/>
        </w:rPr>
        <w:t>al</w:t>
      </w:r>
      <w:r w:rsidR="00C0349A" w:rsidRPr="00F85DCF">
        <w:rPr>
          <w:lang w:val="en-GB"/>
        </w:rPr>
        <w:t xml:space="preserve">. </w:t>
      </w:r>
      <w:r w:rsidRPr="00F85DCF">
        <w:rPr>
          <w:lang w:val="en-GB"/>
        </w:rPr>
        <w:t xml:space="preserve">This </w:t>
      </w:r>
      <w:r w:rsidR="00C0349A" w:rsidRPr="00F85DCF">
        <w:rPr>
          <w:lang w:val="en-GB"/>
        </w:rPr>
        <w:t>would</w:t>
      </w:r>
      <w:r w:rsidRPr="00F85DCF">
        <w:rPr>
          <w:lang w:val="en-GB"/>
        </w:rPr>
        <w:t xml:space="preserve"> result in the </w:t>
      </w:r>
      <w:r w:rsidR="00906243">
        <w:rPr>
          <w:i/>
          <w:lang w:val="en-GB"/>
        </w:rPr>
        <w:t>A</w:t>
      </w:r>
      <w:r w:rsidR="00CF144C" w:rsidRPr="00F85DCF">
        <w:rPr>
          <w:i/>
          <w:lang w:val="en-GB"/>
        </w:rPr>
        <w:t>ll other food</w:t>
      </w:r>
      <w:r w:rsidR="00C0349A" w:rsidRPr="00F85DCF">
        <w:rPr>
          <w:i/>
          <w:lang w:val="en-GB"/>
        </w:rPr>
        <w:t>s</w:t>
      </w:r>
      <w:r w:rsidR="003F5C26">
        <w:rPr>
          <w:i/>
          <w:lang w:val="en-GB"/>
        </w:rPr>
        <w:t xml:space="preserve"> except animal food commodities</w:t>
      </w:r>
      <w:r w:rsidR="00CF144C" w:rsidRPr="00F85DCF">
        <w:rPr>
          <w:lang w:val="en-GB"/>
        </w:rPr>
        <w:t xml:space="preserve"> </w:t>
      </w:r>
      <w:r w:rsidRPr="00F85DCF">
        <w:rPr>
          <w:lang w:val="en-GB"/>
        </w:rPr>
        <w:t xml:space="preserve">MRL </w:t>
      </w:r>
      <w:r w:rsidR="00CF144C" w:rsidRPr="00F85DCF">
        <w:rPr>
          <w:lang w:val="en-GB"/>
        </w:rPr>
        <w:t xml:space="preserve">for each agvet chemical </w:t>
      </w:r>
      <w:r w:rsidRPr="00F85DCF">
        <w:rPr>
          <w:lang w:val="en-GB"/>
        </w:rPr>
        <w:t xml:space="preserve">being applicable to foods other than the raw or primary agricultural commodities. </w:t>
      </w:r>
    </w:p>
    <w:p w14:paraId="267DA00A" w14:textId="77777777" w:rsidR="00364CB6" w:rsidRPr="00F85DCF" w:rsidRDefault="00364CB6" w:rsidP="0080332A">
      <w:pPr>
        <w:rPr>
          <w:lang w:val="en-GB"/>
        </w:rPr>
      </w:pPr>
    </w:p>
    <w:p w14:paraId="6B8ACEB4" w14:textId="01D00BEC" w:rsidR="009E4DE8" w:rsidRPr="00F85DCF" w:rsidRDefault="009E4DE8" w:rsidP="00364CB6">
      <w:pPr>
        <w:rPr>
          <w:lang w:val="en-GB"/>
        </w:rPr>
      </w:pPr>
      <w:r w:rsidRPr="00F85DCF">
        <w:rPr>
          <w:lang w:val="en-GB"/>
        </w:rPr>
        <w:t xml:space="preserve">The APVMA sets MRLs in animal </w:t>
      </w:r>
      <w:r w:rsidR="00703E29">
        <w:rPr>
          <w:lang w:val="en-GB"/>
        </w:rPr>
        <w:t xml:space="preserve">food </w:t>
      </w:r>
      <w:r w:rsidRPr="00F85DCF">
        <w:rPr>
          <w:lang w:val="en-GB"/>
        </w:rPr>
        <w:t xml:space="preserve">commodities to control the use of veterinary drugs. </w:t>
      </w:r>
      <w:r w:rsidR="00364CB6" w:rsidRPr="00F85DCF">
        <w:rPr>
          <w:lang w:val="en-GB"/>
        </w:rPr>
        <w:t xml:space="preserve">In </w:t>
      </w:r>
      <w:r w:rsidRPr="00F85DCF">
        <w:rPr>
          <w:lang w:val="en-GB"/>
        </w:rPr>
        <w:t xml:space="preserve">addition, in </w:t>
      </w:r>
      <w:r w:rsidR="00364CB6" w:rsidRPr="00F85DCF">
        <w:rPr>
          <w:lang w:val="en-GB"/>
        </w:rPr>
        <w:t>some case</w:t>
      </w:r>
      <w:r w:rsidRPr="00F85DCF">
        <w:rPr>
          <w:lang w:val="en-GB"/>
        </w:rPr>
        <w:t>s</w:t>
      </w:r>
      <w:r w:rsidR="00364CB6" w:rsidRPr="00F85DCF">
        <w:rPr>
          <w:lang w:val="en-GB"/>
        </w:rPr>
        <w:t xml:space="preserve"> the APVMA has set specific </w:t>
      </w:r>
      <w:r w:rsidRPr="00F85DCF">
        <w:rPr>
          <w:lang w:val="en-GB"/>
        </w:rPr>
        <w:t>MRLs</w:t>
      </w:r>
      <w:r w:rsidR="00364CB6" w:rsidRPr="00F85DCF">
        <w:rPr>
          <w:lang w:val="en-GB"/>
        </w:rPr>
        <w:t xml:space="preserve"> </w:t>
      </w:r>
      <w:r w:rsidRPr="00F85DCF">
        <w:rPr>
          <w:lang w:val="en-GB"/>
        </w:rPr>
        <w:t xml:space="preserve">for animal products </w:t>
      </w:r>
      <w:r w:rsidR="00364CB6" w:rsidRPr="00F85DCF">
        <w:rPr>
          <w:lang w:val="en-GB"/>
        </w:rPr>
        <w:t xml:space="preserve">where a </w:t>
      </w:r>
      <w:r w:rsidRPr="00F85DCF">
        <w:rPr>
          <w:lang w:val="en-GB"/>
        </w:rPr>
        <w:t xml:space="preserve">plant commodity </w:t>
      </w:r>
      <w:r w:rsidR="00364CB6" w:rsidRPr="00F85DCF">
        <w:rPr>
          <w:lang w:val="en-GB"/>
        </w:rPr>
        <w:t xml:space="preserve">is treated according to registered directions but trace levels of residues might be present in animal </w:t>
      </w:r>
      <w:r w:rsidR="00703E29">
        <w:rPr>
          <w:lang w:val="en-GB"/>
        </w:rPr>
        <w:t xml:space="preserve">food </w:t>
      </w:r>
      <w:r w:rsidR="00364CB6" w:rsidRPr="00F85DCF">
        <w:rPr>
          <w:lang w:val="en-GB"/>
        </w:rPr>
        <w:t xml:space="preserve">commodities even if Good Agricultural Practice is adhered to. In </w:t>
      </w:r>
      <w:r w:rsidRPr="00F85DCF">
        <w:rPr>
          <w:lang w:val="en-GB"/>
        </w:rPr>
        <w:t>both</w:t>
      </w:r>
      <w:r w:rsidR="00364CB6" w:rsidRPr="00F85DCF">
        <w:rPr>
          <w:lang w:val="en-GB"/>
        </w:rPr>
        <w:t xml:space="preserve"> cases, </w:t>
      </w:r>
      <w:r w:rsidRPr="00F85DCF">
        <w:rPr>
          <w:lang w:val="en-GB"/>
        </w:rPr>
        <w:t xml:space="preserve">the </w:t>
      </w:r>
      <w:r w:rsidR="00364CB6" w:rsidRPr="00F85DCF">
        <w:rPr>
          <w:lang w:val="en-GB"/>
        </w:rPr>
        <w:t xml:space="preserve">MRLs between plant and animal </w:t>
      </w:r>
      <w:r w:rsidR="00703E29">
        <w:rPr>
          <w:lang w:val="en-GB"/>
        </w:rPr>
        <w:t xml:space="preserve">food </w:t>
      </w:r>
      <w:r w:rsidR="00364CB6" w:rsidRPr="00F85DCF">
        <w:rPr>
          <w:lang w:val="en-GB"/>
        </w:rPr>
        <w:t xml:space="preserve">commodities may vary by orders of magnitude. </w:t>
      </w:r>
    </w:p>
    <w:p w14:paraId="02831067" w14:textId="77777777" w:rsidR="009E4DE8" w:rsidRPr="00F85DCF" w:rsidRDefault="009E4DE8" w:rsidP="00364CB6">
      <w:pPr>
        <w:rPr>
          <w:lang w:val="en-GB"/>
        </w:rPr>
      </w:pPr>
    </w:p>
    <w:p w14:paraId="30128530" w14:textId="64E45E04" w:rsidR="00B20416" w:rsidRPr="00F85DCF" w:rsidRDefault="00364CB6" w:rsidP="00364CB6">
      <w:pPr>
        <w:rPr>
          <w:lang w:val="en-GB"/>
        </w:rPr>
      </w:pPr>
      <w:r w:rsidRPr="00F85DCF">
        <w:rPr>
          <w:lang w:val="en-GB"/>
        </w:rPr>
        <w:t xml:space="preserve">For animal </w:t>
      </w:r>
      <w:r w:rsidR="00703E29">
        <w:rPr>
          <w:lang w:val="en-GB"/>
        </w:rPr>
        <w:t xml:space="preserve">food </w:t>
      </w:r>
      <w:r w:rsidRPr="00F85DCF">
        <w:rPr>
          <w:lang w:val="en-GB"/>
        </w:rPr>
        <w:t xml:space="preserve">commodities, if regard is given to existing animal </w:t>
      </w:r>
      <w:r w:rsidR="00703E29">
        <w:rPr>
          <w:lang w:val="en-GB"/>
        </w:rPr>
        <w:t xml:space="preserve">food </w:t>
      </w:r>
      <w:r w:rsidRPr="00F85DCF">
        <w:rPr>
          <w:lang w:val="en-GB"/>
        </w:rPr>
        <w:t xml:space="preserve">commodity MRLs, and the </w:t>
      </w:r>
      <w:r w:rsidR="00627501">
        <w:rPr>
          <w:lang w:val="en-GB"/>
        </w:rPr>
        <w:t xml:space="preserve">initially proposed term of </w:t>
      </w:r>
      <w:r w:rsidR="00627501">
        <w:rPr>
          <w:i/>
          <w:lang w:val="en-GB"/>
        </w:rPr>
        <w:t>A</w:t>
      </w:r>
      <w:r w:rsidRPr="00F85DCF">
        <w:rPr>
          <w:i/>
          <w:lang w:val="en-GB"/>
        </w:rPr>
        <w:t>ll other food</w:t>
      </w:r>
      <w:r w:rsidR="000D5868" w:rsidRPr="00F85DCF">
        <w:rPr>
          <w:i/>
          <w:lang w:val="en-GB"/>
        </w:rPr>
        <w:t xml:space="preserve">s </w:t>
      </w:r>
      <w:r w:rsidRPr="00F85DCF">
        <w:rPr>
          <w:lang w:val="en-GB"/>
        </w:rPr>
        <w:t xml:space="preserve">MRL is set at that level, the outcome may be an </w:t>
      </w:r>
      <w:r w:rsidR="00627501">
        <w:rPr>
          <w:i/>
          <w:lang w:val="en-GB"/>
        </w:rPr>
        <w:t>A</w:t>
      </w:r>
      <w:r w:rsidR="0003601D" w:rsidRPr="00F85DCF">
        <w:rPr>
          <w:i/>
          <w:lang w:val="en-GB"/>
        </w:rPr>
        <w:t>ll other foods</w:t>
      </w:r>
      <w:r w:rsidR="000D5868" w:rsidRPr="00F85DCF">
        <w:rPr>
          <w:i/>
          <w:lang w:val="en-GB"/>
        </w:rPr>
        <w:t xml:space="preserve"> </w:t>
      </w:r>
      <w:r w:rsidRPr="00F85DCF">
        <w:rPr>
          <w:lang w:val="en-GB"/>
        </w:rPr>
        <w:t xml:space="preserve">MRL that is too low to allow for inadvertent presence of pesticide residues in a plant commodity. </w:t>
      </w:r>
      <w:r w:rsidR="00D919C5" w:rsidRPr="00F85DCF">
        <w:rPr>
          <w:lang w:val="en-GB"/>
        </w:rPr>
        <w:t xml:space="preserve">However, if </w:t>
      </w:r>
      <w:r w:rsidR="000D5868" w:rsidRPr="00F85DCF">
        <w:rPr>
          <w:lang w:val="en-GB"/>
        </w:rPr>
        <w:t xml:space="preserve">the </w:t>
      </w:r>
      <w:r w:rsidR="00627501">
        <w:rPr>
          <w:i/>
          <w:lang w:val="en-GB"/>
        </w:rPr>
        <w:t>A</w:t>
      </w:r>
      <w:r w:rsidR="0003601D" w:rsidRPr="00F85DCF">
        <w:rPr>
          <w:i/>
          <w:lang w:val="en-GB"/>
        </w:rPr>
        <w:t>ll other foods</w:t>
      </w:r>
      <w:r w:rsidR="000D5868" w:rsidRPr="00F85DCF">
        <w:rPr>
          <w:i/>
          <w:lang w:val="en-GB"/>
        </w:rPr>
        <w:t xml:space="preserve"> </w:t>
      </w:r>
      <w:r w:rsidR="00D919C5" w:rsidRPr="00F85DCF">
        <w:rPr>
          <w:lang w:val="en-GB"/>
        </w:rPr>
        <w:t xml:space="preserve">MRLs are set on the basis of </w:t>
      </w:r>
      <w:r w:rsidR="009E4DE8" w:rsidRPr="00F85DCF">
        <w:rPr>
          <w:lang w:val="en-GB"/>
        </w:rPr>
        <w:t xml:space="preserve">comparatively higher </w:t>
      </w:r>
      <w:r w:rsidR="00D919C5" w:rsidRPr="00F85DCF">
        <w:rPr>
          <w:lang w:val="en-GB"/>
        </w:rPr>
        <w:t xml:space="preserve">plant commodity MRLs, </w:t>
      </w:r>
      <w:r w:rsidR="00906243">
        <w:rPr>
          <w:lang w:val="en-GB"/>
        </w:rPr>
        <w:t xml:space="preserve">the </w:t>
      </w:r>
      <w:r w:rsidR="00D919C5" w:rsidRPr="00F85DCF">
        <w:rPr>
          <w:lang w:val="en-GB"/>
        </w:rPr>
        <w:t xml:space="preserve">permission for animal </w:t>
      </w:r>
      <w:r w:rsidR="00703E29">
        <w:rPr>
          <w:lang w:val="en-GB"/>
        </w:rPr>
        <w:t xml:space="preserve">food </w:t>
      </w:r>
      <w:r w:rsidR="00D919C5" w:rsidRPr="00F85DCF">
        <w:rPr>
          <w:lang w:val="en-GB"/>
        </w:rPr>
        <w:t xml:space="preserve">commodities captured in </w:t>
      </w:r>
      <w:r w:rsidR="00627501">
        <w:rPr>
          <w:i/>
          <w:lang w:val="en-GB"/>
        </w:rPr>
        <w:t>A</w:t>
      </w:r>
      <w:r w:rsidR="0003601D" w:rsidRPr="00F85DCF">
        <w:rPr>
          <w:i/>
          <w:lang w:val="en-GB"/>
        </w:rPr>
        <w:t>ll other foods</w:t>
      </w:r>
      <w:r w:rsidR="000D5868" w:rsidRPr="00F85DCF">
        <w:rPr>
          <w:i/>
          <w:lang w:val="en-GB"/>
        </w:rPr>
        <w:t xml:space="preserve"> </w:t>
      </w:r>
      <w:r w:rsidR="00D919C5" w:rsidRPr="00F85DCF">
        <w:rPr>
          <w:lang w:val="en-GB"/>
        </w:rPr>
        <w:t xml:space="preserve">could be higher than those that exist for animal </w:t>
      </w:r>
      <w:r w:rsidR="00703E29">
        <w:rPr>
          <w:lang w:val="en-GB"/>
        </w:rPr>
        <w:t xml:space="preserve">food </w:t>
      </w:r>
      <w:r w:rsidR="00D919C5" w:rsidRPr="00F85DCF">
        <w:rPr>
          <w:lang w:val="en-GB"/>
        </w:rPr>
        <w:t xml:space="preserve">commodities with established MRLs. </w:t>
      </w:r>
      <w:r w:rsidRPr="00F85DCF">
        <w:rPr>
          <w:lang w:val="en-GB"/>
        </w:rPr>
        <w:t xml:space="preserve">To resolve this issue, animal </w:t>
      </w:r>
      <w:r w:rsidR="00703E29">
        <w:rPr>
          <w:lang w:val="en-GB"/>
        </w:rPr>
        <w:t xml:space="preserve">food </w:t>
      </w:r>
      <w:r w:rsidRPr="00F85DCF">
        <w:rPr>
          <w:lang w:val="en-GB"/>
        </w:rPr>
        <w:t xml:space="preserve">commodities </w:t>
      </w:r>
      <w:r w:rsidR="008F0F99" w:rsidRPr="00F85DCF">
        <w:rPr>
          <w:lang w:val="en-GB"/>
        </w:rPr>
        <w:t>have been</w:t>
      </w:r>
      <w:r w:rsidR="009E4DE8" w:rsidRPr="00F85DCF">
        <w:rPr>
          <w:lang w:val="en-GB"/>
        </w:rPr>
        <w:t xml:space="preserve"> </w:t>
      </w:r>
      <w:r w:rsidRPr="00F85DCF">
        <w:rPr>
          <w:lang w:val="en-GB"/>
        </w:rPr>
        <w:t xml:space="preserve">excluded from </w:t>
      </w:r>
      <w:r w:rsidR="00627501">
        <w:rPr>
          <w:i/>
          <w:lang w:val="en-GB"/>
        </w:rPr>
        <w:t>A</w:t>
      </w:r>
      <w:r w:rsidR="0003601D" w:rsidRPr="00F85DCF">
        <w:rPr>
          <w:i/>
          <w:lang w:val="en-GB"/>
        </w:rPr>
        <w:t>ll other foods</w:t>
      </w:r>
      <w:r w:rsidR="0003601D" w:rsidRPr="00F85DCF">
        <w:rPr>
          <w:lang w:val="en-GB"/>
        </w:rPr>
        <w:t xml:space="preserve"> MRLs </w:t>
      </w:r>
      <w:r w:rsidR="008F0F99" w:rsidRPr="00F85DCF">
        <w:rPr>
          <w:lang w:val="en-GB"/>
        </w:rPr>
        <w:t xml:space="preserve">and the new descriptor </w:t>
      </w:r>
      <w:r w:rsidR="00535E1A" w:rsidRPr="00F85DCF">
        <w:rPr>
          <w:lang w:val="en-GB"/>
        </w:rPr>
        <w:t>used throughout this document</w:t>
      </w:r>
      <w:r w:rsidR="00627501">
        <w:rPr>
          <w:lang w:val="en-GB"/>
        </w:rPr>
        <w:t xml:space="preserve"> for this MRL category</w:t>
      </w:r>
      <w:r w:rsidR="000D5868" w:rsidRPr="00F85DCF">
        <w:rPr>
          <w:lang w:val="en-GB"/>
        </w:rPr>
        <w:t xml:space="preserve"> </w:t>
      </w:r>
      <w:r w:rsidR="00627501">
        <w:rPr>
          <w:lang w:val="en-GB"/>
        </w:rPr>
        <w:t>is,</w:t>
      </w:r>
      <w:r w:rsidR="004F5162" w:rsidRPr="00F85DCF">
        <w:rPr>
          <w:lang w:val="en-GB"/>
        </w:rPr>
        <w:t xml:space="preserve"> </w:t>
      </w:r>
      <w:r w:rsidR="000D5868" w:rsidRPr="00F85DCF">
        <w:rPr>
          <w:i/>
          <w:lang w:val="en-GB"/>
        </w:rPr>
        <w:t>A</w:t>
      </w:r>
      <w:r w:rsidR="00B243CE" w:rsidRPr="00F85DCF">
        <w:rPr>
          <w:i/>
          <w:lang w:val="en-GB"/>
        </w:rPr>
        <w:t xml:space="preserve">ll other foods </w:t>
      </w:r>
      <w:r w:rsidR="0003601D" w:rsidRPr="00F85DCF">
        <w:rPr>
          <w:i/>
          <w:lang w:val="en-GB"/>
        </w:rPr>
        <w:t xml:space="preserve">except animal </w:t>
      </w:r>
      <w:r w:rsidR="00F33488">
        <w:rPr>
          <w:i/>
          <w:lang w:val="en-GB"/>
        </w:rPr>
        <w:t xml:space="preserve">food </w:t>
      </w:r>
      <w:r w:rsidR="0003601D" w:rsidRPr="00F85DCF">
        <w:rPr>
          <w:i/>
          <w:lang w:val="en-GB"/>
        </w:rPr>
        <w:t>commodities</w:t>
      </w:r>
      <w:r w:rsidR="0003601D" w:rsidRPr="00F85DCF">
        <w:rPr>
          <w:lang w:val="en-GB"/>
        </w:rPr>
        <w:t xml:space="preserve"> MRLs</w:t>
      </w:r>
      <w:r w:rsidR="000D5868" w:rsidRPr="00F85DCF">
        <w:rPr>
          <w:lang w:val="en-GB"/>
        </w:rPr>
        <w:t>.</w:t>
      </w:r>
      <w:r w:rsidR="0003601D" w:rsidRPr="00F85DCF">
        <w:rPr>
          <w:lang w:val="en-GB"/>
        </w:rPr>
        <w:t xml:space="preserve"> </w:t>
      </w:r>
    </w:p>
    <w:p w14:paraId="0B18B68E" w14:textId="77777777" w:rsidR="001913A7" w:rsidRPr="00F85DCF" w:rsidRDefault="001913A7" w:rsidP="00364CB6">
      <w:pPr>
        <w:rPr>
          <w:lang w:val="en-GB"/>
        </w:rPr>
      </w:pPr>
    </w:p>
    <w:p w14:paraId="6D73B5ED" w14:textId="7C2F3DF0" w:rsidR="003F7329" w:rsidRPr="00F85DCF" w:rsidRDefault="001913A7" w:rsidP="00234708">
      <w:pPr>
        <w:pStyle w:val="Heading1"/>
        <w:rPr>
          <w:rFonts w:cs="Arial"/>
        </w:rPr>
      </w:pPr>
      <w:bookmarkStart w:id="5" w:name="_Toc448848070"/>
      <w:r w:rsidRPr="00F85DCF">
        <w:t>2</w:t>
      </w:r>
      <w:r w:rsidRPr="00F85DCF">
        <w:tab/>
      </w:r>
      <w:r w:rsidR="003F7329" w:rsidRPr="00F85DCF">
        <w:t>Approach</w:t>
      </w:r>
      <w:bookmarkEnd w:id="5"/>
      <w:r w:rsidR="003F7329" w:rsidRPr="00F85DCF">
        <w:rPr>
          <w:rFonts w:cs="Arial"/>
        </w:rPr>
        <w:t xml:space="preserve"> </w:t>
      </w:r>
    </w:p>
    <w:p w14:paraId="46874C1B" w14:textId="16EE9D59" w:rsidR="008C3A3F" w:rsidRPr="00F85DCF" w:rsidRDefault="003603D9" w:rsidP="005B6306">
      <w:pPr>
        <w:rPr>
          <w:lang w:val="en-GB"/>
        </w:rPr>
      </w:pPr>
      <w:r w:rsidRPr="00F85DCF">
        <w:rPr>
          <w:rFonts w:cs="Arial"/>
          <w:lang w:val="en-GB"/>
        </w:rPr>
        <w:t xml:space="preserve">For the purposes of the </w:t>
      </w:r>
      <w:r w:rsidR="00535E1A" w:rsidRPr="00F85DCF">
        <w:rPr>
          <w:rFonts w:cs="Arial"/>
          <w:lang w:val="en-GB"/>
        </w:rPr>
        <w:t xml:space="preserve">P1027, </w:t>
      </w:r>
      <w:r w:rsidR="00F76CEC" w:rsidRPr="00F85DCF">
        <w:rPr>
          <w:rFonts w:cs="Arial"/>
          <w:lang w:val="en-GB"/>
        </w:rPr>
        <w:t>FSANZ developed a two stage process</w:t>
      </w:r>
      <w:r w:rsidR="00B64DDF" w:rsidRPr="00F85DCF">
        <w:rPr>
          <w:rFonts w:cs="Arial"/>
          <w:lang w:val="en-GB"/>
        </w:rPr>
        <w:t xml:space="preserve"> </w:t>
      </w:r>
      <w:r w:rsidR="00B07BAB" w:rsidRPr="00F85DCF">
        <w:rPr>
          <w:lang w:val="en-GB"/>
        </w:rPr>
        <w:t>(Table 1</w:t>
      </w:r>
      <w:r w:rsidR="00B64DDF" w:rsidRPr="00F85DCF">
        <w:rPr>
          <w:lang w:val="en-GB"/>
        </w:rPr>
        <w:t>)</w:t>
      </w:r>
      <w:r w:rsidR="00D85C87" w:rsidRPr="00F85DCF">
        <w:rPr>
          <w:lang w:val="en-GB"/>
        </w:rPr>
        <w:t xml:space="preserve"> to identify suitable </w:t>
      </w:r>
      <w:r w:rsidR="00E712A1" w:rsidRPr="00F85DCF">
        <w:rPr>
          <w:lang w:val="en-GB"/>
        </w:rPr>
        <w:t xml:space="preserve">agvet </w:t>
      </w:r>
      <w:r w:rsidR="00D85C87" w:rsidRPr="00F85DCF">
        <w:rPr>
          <w:lang w:val="en-GB"/>
        </w:rPr>
        <w:t xml:space="preserve">chemicals </w:t>
      </w:r>
      <w:r w:rsidR="00B45EAF" w:rsidRPr="00F85DCF">
        <w:rPr>
          <w:lang w:val="en-GB"/>
        </w:rPr>
        <w:t xml:space="preserve">to </w:t>
      </w:r>
      <w:r w:rsidR="00D85C87" w:rsidRPr="00F85DCF">
        <w:rPr>
          <w:lang w:val="en-GB"/>
        </w:rPr>
        <w:t xml:space="preserve">evaluate the </w:t>
      </w:r>
      <w:r w:rsidR="00010FA9" w:rsidRPr="00F85DCF">
        <w:rPr>
          <w:lang w:val="en-GB"/>
        </w:rPr>
        <w:t>proposed</w:t>
      </w:r>
      <w:r w:rsidR="00D85C87" w:rsidRPr="00F85DCF">
        <w:rPr>
          <w:lang w:val="en-GB"/>
        </w:rPr>
        <w:t xml:space="preserve"> </w:t>
      </w:r>
      <w:r w:rsidR="003F4C85" w:rsidRPr="00F85DCF">
        <w:rPr>
          <w:rFonts w:cs="Arial"/>
          <w:i/>
          <w:lang w:val="en-GB" w:eastAsia="en-GB"/>
        </w:rPr>
        <w:t>A</w:t>
      </w:r>
      <w:r w:rsidR="005068CC" w:rsidRPr="00F85DCF">
        <w:rPr>
          <w:rFonts w:cs="Arial"/>
          <w:i/>
          <w:lang w:val="en-GB" w:eastAsia="en-GB"/>
        </w:rPr>
        <w:t xml:space="preserve">ll other foods except animal </w:t>
      </w:r>
      <w:r w:rsidR="00BF0B15">
        <w:rPr>
          <w:rFonts w:cs="Arial"/>
          <w:i/>
          <w:lang w:val="en-GB" w:eastAsia="en-GB"/>
        </w:rPr>
        <w:t xml:space="preserve">food </w:t>
      </w:r>
      <w:r w:rsidR="005068CC" w:rsidRPr="00F85DCF">
        <w:rPr>
          <w:rFonts w:cs="Arial"/>
          <w:i/>
          <w:lang w:val="en-GB" w:eastAsia="en-GB"/>
        </w:rPr>
        <w:t>commodities</w:t>
      </w:r>
      <w:r w:rsidR="005068CC" w:rsidRPr="00F85DCF">
        <w:rPr>
          <w:lang w:val="en-GB"/>
        </w:rPr>
        <w:t xml:space="preserve"> </w:t>
      </w:r>
      <w:r w:rsidR="00D85C87" w:rsidRPr="00F85DCF">
        <w:rPr>
          <w:lang w:val="en-GB"/>
        </w:rPr>
        <w:t xml:space="preserve">MRL </w:t>
      </w:r>
      <w:r w:rsidR="0075131C">
        <w:rPr>
          <w:lang w:val="en-GB"/>
        </w:rPr>
        <w:t>approach</w:t>
      </w:r>
      <w:r w:rsidR="00F76CEC" w:rsidRPr="00F85DCF">
        <w:rPr>
          <w:rFonts w:cs="Arial"/>
          <w:lang w:val="en-GB"/>
        </w:rPr>
        <w:t xml:space="preserve">. </w:t>
      </w:r>
      <w:r w:rsidR="00B45EAF" w:rsidRPr="00F85DCF">
        <w:rPr>
          <w:lang w:val="en-GB"/>
        </w:rPr>
        <w:t xml:space="preserve">A </w:t>
      </w:r>
      <w:r w:rsidR="005B6306" w:rsidRPr="00F85DCF">
        <w:rPr>
          <w:lang w:val="en-GB"/>
        </w:rPr>
        <w:t>screening process</w:t>
      </w:r>
      <w:r w:rsidR="005E751B" w:rsidRPr="00F85DCF">
        <w:rPr>
          <w:lang w:val="en-GB"/>
        </w:rPr>
        <w:t>, Stage 1,</w:t>
      </w:r>
      <w:r w:rsidR="005B6306" w:rsidRPr="00F85DCF">
        <w:rPr>
          <w:lang w:val="en-GB"/>
        </w:rPr>
        <w:t xml:space="preserve"> was used to derive a list of</w:t>
      </w:r>
      <w:r w:rsidR="007966CE" w:rsidRPr="00F85DCF">
        <w:rPr>
          <w:lang w:val="en-GB"/>
        </w:rPr>
        <w:t xml:space="preserve"> agvet</w:t>
      </w:r>
      <w:r w:rsidR="005B6306" w:rsidRPr="00F85DCF">
        <w:rPr>
          <w:lang w:val="en-GB"/>
        </w:rPr>
        <w:t xml:space="preserve"> chemicals that could be considered as part of P1027</w:t>
      </w:r>
      <w:r w:rsidR="005846CF" w:rsidRPr="00F85DCF">
        <w:rPr>
          <w:lang w:val="en-GB"/>
        </w:rPr>
        <w:t xml:space="preserve"> (</w:t>
      </w:r>
      <w:r w:rsidR="00526D51" w:rsidRPr="00F85DCF">
        <w:rPr>
          <w:lang w:val="en-GB"/>
        </w:rPr>
        <w:t xml:space="preserve">initial list of 132 chemicals netted </w:t>
      </w:r>
      <w:r w:rsidR="00FA7983">
        <w:rPr>
          <w:lang w:val="en-GB"/>
        </w:rPr>
        <w:t>19</w:t>
      </w:r>
      <w:r w:rsidR="00FA7983" w:rsidRPr="00F85DCF">
        <w:rPr>
          <w:lang w:val="en-GB"/>
        </w:rPr>
        <w:t xml:space="preserve"> </w:t>
      </w:r>
      <w:r w:rsidR="00526D51" w:rsidRPr="00F85DCF">
        <w:rPr>
          <w:lang w:val="en-GB"/>
        </w:rPr>
        <w:t>chemicals for consideration,</w:t>
      </w:r>
      <w:r w:rsidR="002443C9" w:rsidRPr="00F85DCF">
        <w:rPr>
          <w:lang w:val="en-GB"/>
        </w:rPr>
        <w:t xml:space="preserve"> </w:t>
      </w:r>
      <w:r w:rsidR="005846CF" w:rsidRPr="00F85DCF">
        <w:rPr>
          <w:lang w:val="en-GB"/>
        </w:rPr>
        <w:t xml:space="preserve">see </w:t>
      </w:r>
      <w:r w:rsidR="00B64DDF" w:rsidRPr="00F85DCF">
        <w:rPr>
          <w:lang w:val="en-GB"/>
        </w:rPr>
        <w:t>S</w:t>
      </w:r>
      <w:r w:rsidR="005846CF" w:rsidRPr="00F85DCF">
        <w:rPr>
          <w:lang w:val="en-GB"/>
        </w:rPr>
        <w:t>ection 3)</w:t>
      </w:r>
      <w:r w:rsidR="005B6306" w:rsidRPr="00F85DCF">
        <w:rPr>
          <w:lang w:val="en-GB"/>
        </w:rPr>
        <w:t xml:space="preserve">. The list of chemicals generated was then used to consider </w:t>
      </w:r>
      <w:r w:rsidR="005816A4" w:rsidRPr="00F85DCF">
        <w:rPr>
          <w:lang w:val="en-GB"/>
        </w:rPr>
        <w:t xml:space="preserve">establishing </w:t>
      </w:r>
      <w:r w:rsidR="003F4C85" w:rsidRPr="00F85DCF">
        <w:rPr>
          <w:i/>
          <w:lang w:val="en-GB"/>
        </w:rPr>
        <w:t>A</w:t>
      </w:r>
      <w:r w:rsidR="005068CC" w:rsidRPr="00F85DCF">
        <w:rPr>
          <w:i/>
          <w:lang w:val="en-GB"/>
        </w:rPr>
        <w:t xml:space="preserve">ll other foods </w:t>
      </w:r>
      <w:r w:rsidR="0003601D" w:rsidRPr="00F85DCF">
        <w:rPr>
          <w:i/>
          <w:lang w:val="en-GB"/>
        </w:rPr>
        <w:t xml:space="preserve">except animal </w:t>
      </w:r>
      <w:r w:rsidR="00F33488">
        <w:rPr>
          <w:i/>
          <w:lang w:val="en-GB"/>
        </w:rPr>
        <w:t xml:space="preserve">food </w:t>
      </w:r>
      <w:r w:rsidR="0003601D" w:rsidRPr="00F85DCF">
        <w:rPr>
          <w:i/>
          <w:lang w:val="en-GB"/>
        </w:rPr>
        <w:t>commodities</w:t>
      </w:r>
      <w:r w:rsidR="00792E20" w:rsidRPr="00F85DCF">
        <w:rPr>
          <w:lang w:val="en-GB"/>
        </w:rPr>
        <w:t xml:space="preserve"> </w:t>
      </w:r>
      <w:r w:rsidR="005816A4" w:rsidRPr="00F85DCF">
        <w:rPr>
          <w:lang w:val="en-GB"/>
        </w:rPr>
        <w:t xml:space="preserve">MRLs on a case-by-case basis for each </w:t>
      </w:r>
      <w:r w:rsidR="00B769D3" w:rsidRPr="00F85DCF">
        <w:rPr>
          <w:lang w:val="en-GB"/>
        </w:rPr>
        <w:t xml:space="preserve">agvet </w:t>
      </w:r>
      <w:r w:rsidR="005816A4" w:rsidRPr="00F85DCF">
        <w:rPr>
          <w:lang w:val="en-GB"/>
        </w:rPr>
        <w:t>chemical in Stage 2</w:t>
      </w:r>
      <w:r w:rsidR="00B64DDF" w:rsidRPr="00F85DCF">
        <w:rPr>
          <w:lang w:val="en-GB"/>
        </w:rPr>
        <w:t xml:space="preserve"> (see Section 4)</w:t>
      </w:r>
      <w:r w:rsidR="005816A4" w:rsidRPr="00F85DCF">
        <w:rPr>
          <w:lang w:val="en-GB"/>
        </w:rPr>
        <w:t>.</w:t>
      </w:r>
      <w:r w:rsidR="008C3A3F" w:rsidRPr="00F85DCF">
        <w:rPr>
          <w:lang w:val="en-GB"/>
        </w:rPr>
        <w:t xml:space="preserve"> </w:t>
      </w:r>
    </w:p>
    <w:p w14:paraId="6C8BCD38" w14:textId="77777777" w:rsidR="008C3A3F" w:rsidRPr="00F85DCF" w:rsidRDefault="008C3A3F" w:rsidP="005B6306">
      <w:pPr>
        <w:rPr>
          <w:lang w:val="en-GB"/>
        </w:rPr>
      </w:pPr>
    </w:p>
    <w:p w14:paraId="187404A1" w14:textId="7833F378" w:rsidR="005B6306" w:rsidRPr="00F85DCF" w:rsidRDefault="002E53A2" w:rsidP="005B6306">
      <w:pPr>
        <w:rPr>
          <w:lang w:val="en-GB"/>
        </w:rPr>
      </w:pPr>
      <w:r w:rsidRPr="00F85DCF">
        <w:rPr>
          <w:lang w:val="en-GB"/>
        </w:rPr>
        <w:t>This</w:t>
      </w:r>
      <w:r w:rsidR="008C3A3F" w:rsidRPr="00F85DCF">
        <w:rPr>
          <w:lang w:val="en-GB"/>
        </w:rPr>
        <w:t xml:space="preserve"> </w:t>
      </w:r>
      <w:r w:rsidRPr="00F85DCF">
        <w:rPr>
          <w:lang w:val="en-GB"/>
        </w:rPr>
        <w:t>Proposal</w:t>
      </w:r>
      <w:r w:rsidR="008C3A3F" w:rsidRPr="00F85DCF">
        <w:rPr>
          <w:lang w:val="en-GB"/>
        </w:rPr>
        <w:t xml:space="preserve"> </w:t>
      </w:r>
      <w:r w:rsidRPr="00F85DCF">
        <w:rPr>
          <w:lang w:val="en-GB"/>
        </w:rPr>
        <w:t>sets out</w:t>
      </w:r>
      <w:r w:rsidR="008C3A3F" w:rsidRPr="00F85DCF">
        <w:rPr>
          <w:lang w:val="en-GB"/>
        </w:rPr>
        <w:t xml:space="preserve"> </w:t>
      </w:r>
      <w:r w:rsidR="00663687" w:rsidRPr="00F85DCF">
        <w:rPr>
          <w:lang w:val="en-GB"/>
        </w:rPr>
        <w:t xml:space="preserve">the </w:t>
      </w:r>
      <w:r w:rsidR="004E2A4F" w:rsidRPr="00F85DCF">
        <w:rPr>
          <w:lang w:val="en-GB"/>
        </w:rPr>
        <w:t xml:space="preserve">principles, </w:t>
      </w:r>
      <w:r w:rsidR="00BE6BD1" w:rsidRPr="00F85DCF">
        <w:rPr>
          <w:lang w:val="en-GB"/>
        </w:rPr>
        <w:t>approache</w:t>
      </w:r>
      <w:r w:rsidR="008C3A3F" w:rsidRPr="00F85DCF">
        <w:rPr>
          <w:lang w:val="en-GB"/>
        </w:rPr>
        <w:t xml:space="preserve">s and procedures for the ongoing establishment of </w:t>
      </w:r>
      <w:r w:rsidR="002A4F90" w:rsidRPr="00F85DCF">
        <w:rPr>
          <w:i/>
          <w:lang w:val="en-GB"/>
        </w:rPr>
        <w:t>A</w:t>
      </w:r>
      <w:r w:rsidR="0003601D" w:rsidRPr="00F85DCF">
        <w:rPr>
          <w:i/>
          <w:lang w:val="en-GB"/>
        </w:rPr>
        <w:t xml:space="preserve">ll other foods except animal </w:t>
      </w:r>
      <w:r w:rsidR="00F33488">
        <w:rPr>
          <w:i/>
          <w:lang w:val="en-GB"/>
        </w:rPr>
        <w:t xml:space="preserve">food </w:t>
      </w:r>
      <w:r w:rsidR="0003601D" w:rsidRPr="00F85DCF">
        <w:rPr>
          <w:i/>
          <w:lang w:val="en-GB"/>
        </w:rPr>
        <w:t>commodities</w:t>
      </w:r>
      <w:r w:rsidR="008C3A3F" w:rsidRPr="00F85DCF">
        <w:rPr>
          <w:lang w:val="en-GB"/>
        </w:rPr>
        <w:t xml:space="preserve"> MRLs for </w:t>
      </w:r>
      <w:r w:rsidR="007B7ABA" w:rsidRPr="00F85DCF">
        <w:rPr>
          <w:lang w:val="en-GB"/>
        </w:rPr>
        <w:t>agvet</w:t>
      </w:r>
      <w:r w:rsidR="008C3A3F" w:rsidRPr="00F85DCF">
        <w:rPr>
          <w:lang w:val="en-GB"/>
        </w:rPr>
        <w:t xml:space="preserve"> chemicals </w:t>
      </w:r>
      <w:r w:rsidR="00FC1860" w:rsidRPr="00F85DCF">
        <w:rPr>
          <w:lang w:val="en-GB"/>
        </w:rPr>
        <w:t xml:space="preserve">listed in the Code </w:t>
      </w:r>
      <w:r w:rsidR="008C3A3F" w:rsidRPr="00F85DCF">
        <w:rPr>
          <w:lang w:val="en-GB"/>
        </w:rPr>
        <w:t xml:space="preserve">as part of FSANZ's </w:t>
      </w:r>
      <w:r w:rsidR="00535E1A" w:rsidRPr="00F85DCF">
        <w:rPr>
          <w:lang w:val="en-GB"/>
        </w:rPr>
        <w:t xml:space="preserve">routine </w:t>
      </w:r>
      <w:r w:rsidR="00807576" w:rsidRPr="00F85DCF">
        <w:rPr>
          <w:lang w:val="en-GB"/>
        </w:rPr>
        <w:t xml:space="preserve">MRL evaluation </w:t>
      </w:r>
      <w:r w:rsidR="008C3A3F" w:rsidRPr="00F85DCF">
        <w:rPr>
          <w:lang w:val="en-GB"/>
        </w:rPr>
        <w:t>processes</w:t>
      </w:r>
      <w:r w:rsidR="003B13B1" w:rsidRPr="00F85DCF">
        <w:rPr>
          <w:lang w:val="en-GB"/>
        </w:rPr>
        <w:t>, which incorporates the findings f</w:t>
      </w:r>
      <w:r w:rsidR="00B3113F" w:rsidRPr="00F85DCF">
        <w:rPr>
          <w:lang w:val="en-GB"/>
        </w:rPr>
        <w:t>r</w:t>
      </w:r>
      <w:r w:rsidR="003B13B1" w:rsidRPr="00F85DCF">
        <w:rPr>
          <w:lang w:val="en-GB"/>
        </w:rPr>
        <w:t xml:space="preserve">om a review of the pilot </w:t>
      </w:r>
      <w:r w:rsidR="00F24E9F" w:rsidRPr="00F85DCF">
        <w:rPr>
          <w:lang w:val="en-GB"/>
        </w:rPr>
        <w:t>(Stag</w:t>
      </w:r>
      <w:r w:rsidR="00535E1A" w:rsidRPr="00F85DCF">
        <w:rPr>
          <w:lang w:val="en-GB"/>
        </w:rPr>
        <w:t xml:space="preserve">e 1) </w:t>
      </w:r>
      <w:r w:rsidR="003B13B1" w:rsidRPr="00F85DCF">
        <w:rPr>
          <w:lang w:val="en-GB"/>
        </w:rPr>
        <w:t>outcomes</w:t>
      </w:r>
      <w:r w:rsidR="008C3A3F" w:rsidRPr="00F85DCF">
        <w:rPr>
          <w:lang w:val="en-GB"/>
        </w:rPr>
        <w:t xml:space="preserve">. </w:t>
      </w:r>
    </w:p>
    <w:p w14:paraId="553BE51B" w14:textId="77777777" w:rsidR="001913A7" w:rsidRPr="00F85DCF" w:rsidRDefault="001913A7" w:rsidP="00A94F94">
      <w:pPr>
        <w:pStyle w:val="FSTableColumnRowheading"/>
        <w:tabs>
          <w:tab w:val="left" w:pos="1134"/>
        </w:tabs>
        <w:rPr>
          <w:lang w:val="en-GB"/>
        </w:rPr>
      </w:pPr>
      <w:bookmarkStart w:id="6" w:name="Table1"/>
      <w:r w:rsidRPr="00F85DCF">
        <w:rPr>
          <w:lang w:val="en-GB"/>
        </w:rPr>
        <w:br w:type="page"/>
      </w:r>
    </w:p>
    <w:p w14:paraId="65D37E39" w14:textId="33EF43C3" w:rsidR="00623D51" w:rsidRDefault="000C170D" w:rsidP="00420F9C">
      <w:pPr>
        <w:pStyle w:val="FSTableColumnRowheading"/>
        <w:tabs>
          <w:tab w:val="left" w:pos="1134"/>
        </w:tabs>
        <w:spacing w:before="0" w:beforeAutospacing="0" w:after="0" w:afterAutospacing="0"/>
        <w:rPr>
          <w:lang w:val="en-GB"/>
        </w:rPr>
      </w:pPr>
      <w:r w:rsidRPr="00F85DCF">
        <w:rPr>
          <w:lang w:val="en-GB"/>
        </w:rPr>
        <w:lastRenderedPageBreak/>
        <w:t xml:space="preserve">Table </w:t>
      </w:r>
      <w:r w:rsidR="00623D51" w:rsidRPr="00F85DCF">
        <w:rPr>
          <w:lang w:val="en-GB"/>
        </w:rPr>
        <w:t>1</w:t>
      </w:r>
      <w:r w:rsidR="001913A7" w:rsidRPr="00F85DCF">
        <w:rPr>
          <w:lang w:val="en-GB"/>
        </w:rPr>
        <w:t xml:space="preserve">: </w:t>
      </w:r>
      <w:r w:rsidR="00623D51" w:rsidRPr="00F85DCF">
        <w:rPr>
          <w:lang w:val="en-GB"/>
        </w:rPr>
        <w:t xml:space="preserve">Stages for </w:t>
      </w:r>
      <w:r w:rsidR="00F76CEC" w:rsidRPr="00F85DCF">
        <w:rPr>
          <w:lang w:val="en-GB"/>
        </w:rPr>
        <w:t xml:space="preserve">proposing </w:t>
      </w:r>
      <w:r w:rsidR="002A4F90" w:rsidRPr="00F85DCF">
        <w:rPr>
          <w:i/>
          <w:lang w:val="en-GB"/>
        </w:rPr>
        <w:t>A</w:t>
      </w:r>
      <w:r w:rsidR="00400B93" w:rsidRPr="00F85DCF">
        <w:rPr>
          <w:i/>
          <w:lang w:val="en-GB"/>
        </w:rPr>
        <w:t xml:space="preserve">ll other foods </w:t>
      </w:r>
      <w:r w:rsidR="0003601D" w:rsidRPr="00F85DCF">
        <w:rPr>
          <w:i/>
          <w:lang w:val="en-GB"/>
        </w:rPr>
        <w:t xml:space="preserve">except animal </w:t>
      </w:r>
      <w:r w:rsidR="00F33488">
        <w:rPr>
          <w:i/>
          <w:lang w:val="en-GB"/>
        </w:rPr>
        <w:t xml:space="preserve">food </w:t>
      </w:r>
      <w:r w:rsidR="0003601D" w:rsidRPr="00F85DCF">
        <w:rPr>
          <w:i/>
          <w:lang w:val="en-GB"/>
        </w:rPr>
        <w:t>commodities</w:t>
      </w:r>
      <w:r w:rsidR="00623D51" w:rsidRPr="00F85DCF">
        <w:rPr>
          <w:lang w:val="en-GB"/>
        </w:rPr>
        <w:t xml:space="preserve"> MRL</w:t>
      </w:r>
      <w:r w:rsidR="004E2A4F" w:rsidRPr="00F85DCF">
        <w:rPr>
          <w:lang w:val="en-GB"/>
        </w:rPr>
        <w:t>s</w:t>
      </w:r>
      <w:r w:rsidR="000F14BC" w:rsidRPr="00F85DCF">
        <w:rPr>
          <w:lang w:val="en-GB"/>
        </w:rPr>
        <w:t xml:space="preserve"> </w:t>
      </w:r>
    </w:p>
    <w:p w14:paraId="30D6C7B3" w14:textId="77777777" w:rsidR="00420F9C" w:rsidRPr="00F85DCF" w:rsidRDefault="00420F9C" w:rsidP="00420F9C">
      <w:pPr>
        <w:pStyle w:val="FSTableColumnRowheading"/>
        <w:tabs>
          <w:tab w:val="left" w:pos="1134"/>
        </w:tabs>
        <w:spacing w:before="0" w:beforeAutospacing="0" w:after="0" w:afterAutospacing="0"/>
        <w:rPr>
          <w:lang w:val="en-GB"/>
        </w:rPr>
      </w:pPr>
    </w:p>
    <w:tbl>
      <w:tblPr>
        <w:tblStyle w:val="MediumGrid3-Accent1"/>
        <w:tblW w:w="9072" w:type="dxa"/>
        <w:tblLook w:val="04A0" w:firstRow="1" w:lastRow="0" w:firstColumn="1" w:lastColumn="0" w:noHBand="0" w:noVBand="1"/>
      </w:tblPr>
      <w:tblGrid>
        <w:gridCol w:w="809"/>
        <w:gridCol w:w="1440"/>
        <w:gridCol w:w="1439"/>
        <w:gridCol w:w="1658"/>
        <w:gridCol w:w="1885"/>
        <w:gridCol w:w="1841"/>
      </w:tblGrid>
      <w:tr w:rsidR="00F33488" w:rsidRPr="00F85DCF" w14:paraId="2345E3B4" w14:textId="77777777" w:rsidTr="001913A7">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880" w:type="dxa"/>
            <w:shd w:val="clear" w:color="auto" w:fill="EEECE1" w:themeFill="background2"/>
          </w:tcPr>
          <w:bookmarkEnd w:id="6"/>
          <w:p w14:paraId="4E086985" w14:textId="77777777" w:rsidR="00F35771" w:rsidRPr="00F85DCF" w:rsidRDefault="00F35771" w:rsidP="00D810D5">
            <w:pPr>
              <w:rPr>
                <w:rFonts w:ascii="Arial" w:hAnsi="Arial" w:cs="Arial"/>
                <w:color w:val="000000" w:themeColor="text1"/>
                <w:lang w:val="en-GB"/>
              </w:rPr>
            </w:pPr>
            <w:r w:rsidRPr="00F85DCF">
              <w:rPr>
                <w:rFonts w:ascii="Arial" w:hAnsi="Arial" w:cs="Arial"/>
                <w:color w:val="000000" w:themeColor="text1"/>
                <w:lang w:val="en-GB"/>
              </w:rPr>
              <w:t>Stage</w:t>
            </w:r>
          </w:p>
        </w:tc>
        <w:tc>
          <w:tcPr>
            <w:tcW w:w="1593" w:type="dxa"/>
            <w:shd w:val="clear" w:color="auto" w:fill="EEECE1" w:themeFill="background2"/>
          </w:tcPr>
          <w:p w14:paraId="33C4EA62" w14:textId="77777777"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Description</w:t>
            </w:r>
          </w:p>
        </w:tc>
        <w:tc>
          <w:tcPr>
            <w:tcW w:w="1590" w:type="dxa"/>
            <w:shd w:val="clear" w:color="auto" w:fill="EEECE1" w:themeFill="background2"/>
          </w:tcPr>
          <w:p w14:paraId="24608DFD" w14:textId="77777777"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Purpose</w:t>
            </w:r>
          </w:p>
        </w:tc>
        <w:tc>
          <w:tcPr>
            <w:tcW w:w="1941" w:type="dxa"/>
            <w:shd w:val="clear" w:color="auto" w:fill="EEECE1" w:themeFill="background2"/>
          </w:tcPr>
          <w:p w14:paraId="2733FB54" w14:textId="77777777"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Process</w:t>
            </w:r>
          </w:p>
        </w:tc>
        <w:tc>
          <w:tcPr>
            <w:tcW w:w="2249" w:type="dxa"/>
            <w:shd w:val="clear" w:color="auto" w:fill="EEECE1" w:themeFill="background2"/>
          </w:tcPr>
          <w:p w14:paraId="3AD13C47" w14:textId="32A10E8E"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Inputs</w:t>
            </w:r>
          </w:p>
        </w:tc>
        <w:tc>
          <w:tcPr>
            <w:tcW w:w="2551" w:type="dxa"/>
            <w:shd w:val="clear" w:color="auto" w:fill="EEECE1" w:themeFill="background2"/>
          </w:tcPr>
          <w:p w14:paraId="103D85E2" w14:textId="4758F58F" w:rsidR="00F35771" w:rsidRPr="00F85DCF" w:rsidRDefault="00F35771" w:rsidP="00D810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lang w:val="en-GB"/>
              </w:rPr>
            </w:pPr>
            <w:r w:rsidRPr="00F85DCF">
              <w:rPr>
                <w:rFonts w:ascii="Arial" w:hAnsi="Arial" w:cs="Arial"/>
                <w:color w:val="000000" w:themeColor="text1"/>
                <w:lang w:val="en-GB"/>
              </w:rPr>
              <w:t>Outputs</w:t>
            </w:r>
          </w:p>
        </w:tc>
      </w:tr>
      <w:tr w:rsidR="00F33488" w:rsidRPr="00F85DCF" w14:paraId="1B25E3BE" w14:textId="77777777" w:rsidTr="001913A7">
        <w:trPr>
          <w:cnfStyle w:val="000000100000" w:firstRow="0" w:lastRow="0" w:firstColumn="0" w:lastColumn="0" w:oddVBand="0" w:evenVBand="0" w:oddHBand="1" w:evenHBand="0" w:firstRowFirstColumn="0" w:firstRowLastColumn="0" w:lastRowFirstColumn="0" w:lastRowLastColumn="0"/>
          <w:trHeight w:val="3254"/>
        </w:trPr>
        <w:tc>
          <w:tcPr>
            <w:cnfStyle w:val="001000000000" w:firstRow="0" w:lastRow="0" w:firstColumn="1" w:lastColumn="0" w:oddVBand="0" w:evenVBand="0" w:oddHBand="0" w:evenHBand="0" w:firstRowFirstColumn="0" w:firstRowLastColumn="0" w:lastRowFirstColumn="0" w:lastRowLastColumn="0"/>
            <w:tcW w:w="880" w:type="dxa"/>
            <w:shd w:val="clear" w:color="auto" w:fill="95B3D7" w:themeFill="accent1" w:themeFillTint="99"/>
          </w:tcPr>
          <w:p w14:paraId="4B3D377F" w14:textId="77777777" w:rsidR="00F35771" w:rsidRPr="00F85DCF" w:rsidRDefault="00F35771" w:rsidP="00D810D5">
            <w:pPr>
              <w:rPr>
                <w:rFonts w:ascii="Arial" w:hAnsi="Arial" w:cs="Arial"/>
                <w:b w:val="0"/>
                <w:color w:val="auto"/>
                <w:lang w:val="en-GB"/>
              </w:rPr>
            </w:pPr>
            <w:r w:rsidRPr="00F85DCF">
              <w:rPr>
                <w:rFonts w:ascii="Arial" w:hAnsi="Arial" w:cs="Arial"/>
                <w:color w:val="auto"/>
                <w:lang w:val="en-GB"/>
              </w:rPr>
              <w:t>1</w:t>
            </w:r>
          </w:p>
        </w:tc>
        <w:tc>
          <w:tcPr>
            <w:tcW w:w="1593" w:type="dxa"/>
          </w:tcPr>
          <w:p w14:paraId="0686EB71" w14:textId="77777777" w:rsidR="00F35771" w:rsidRPr="00F85DCF" w:rsidRDefault="00F35771" w:rsidP="00D810D5">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Screening</w:t>
            </w:r>
          </w:p>
        </w:tc>
        <w:tc>
          <w:tcPr>
            <w:tcW w:w="1590" w:type="dxa"/>
          </w:tcPr>
          <w:p w14:paraId="0102FB89" w14:textId="7272AC16" w:rsidR="00F35771" w:rsidRPr="00F85DCF" w:rsidRDefault="00F35771" w:rsidP="002A4F90">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 xml:space="preserve">Obtain a list of </w:t>
            </w:r>
            <w:r w:rsidR="003E52CB" w:rsidRPr="00F85DCF">
              <w:rPr>
                <w:rFonts w:ascii="Arial" w:hAnsi="Arial" w:cs="Arial"/>
                <w:lang w:val="en-GB"/>
              </w:rPr>
              <w:t xml:space="preserve">agvet </w:t>
            </w:r>
            <w:r w:rsidRPr="00F85DCF">
              <w:rPr>
                <w:rFonts w:ascii="Arial" w:hAnsi="Arial" w:cs="Arial"/>
                <w:lang w:val="en-GB"/>
              </w:rPr>
              <w:t xml:space="preserve">chemicals to pilot new process for setting </w:t>
            </w:r>
            <w:r w:rsidR="002A4F90" w:rsidRPr="00F85DCF">
              <w:rPr>
                <w:rFonts w:ascii="Arial" w:hAnsi="Arial" w:cs="Arial"/>
                <w:i/>
                <w:lang w:val="en-GB"/>
              </w:rPr>
              <w:t>A</w:t>
            </w:r>
            <w:r w:rsidR="0003601D" w:rsidRPr="00F85DCF">
              <w:rPr>
                <w:rFonts w:ascii="Arial" w:hAnsi="Arial" w:cs="Arial"/>
                <w:i/>
                <w:lang w:val="en-GB"/>
              </w:rPr>
              <w:t>ll</w:t>
            </w:r>
            <w:r w:rsidR="00504987" w:rsidRPr="00F85DCF">
              <w:rPr>
                <w:rFonts w:ascii="Arial" w:hAnsi="Arial" w:cs="Arial"/>
                <w:i/>
                <w:lang w:val="en-GB"/>
              </w:rPr>
              <w:t xml:space="preserve"> other foods </w:t>
            </w:r>
            <w:r w:rsidR="0003601D" w:rsidRPr="00F85DCF">
              <w:rPr>
                <w:rFonts w:ascii="Arial" w:hAnsi="Arial" w:cs="Arial"/>
                <w:i/>
                <w:lang w:val="en-GB"/>
              </w:rPr>
              <w:t xml:space="preserve">except animal </w:t>
            </w:r>
            <w:r w:rsidR="00F33488">
              <w:rPr>
                <w:rFonts w:ascii="Arial" w:hAnsi="Arial" w:cs="Arial"/>
                <w:i/>
                <w:lang w:val="en-GB"/>
              </w:rPr>
              <w:t xml:space="preserve">food </w:t>
            </w:r>
            <w:r w:rsidR="0003601D" w:rsidRPr="00F85DCF">
              <w:rPr>
                <w:rFonts w:ascii="Arial" w:hAnsi="Arial" w:cs="Arial"/>
                <w:i/>
                <w:lang w:val="en-GB"/>
              </w:rPr>
              <w:t>commodities</w:t>
            </w:r>
            <w:r w:rsidRPr="00F85DCF">
              <w:rPr>
                <w:rFonts w:ascii="Arial" w:hAnsi="Arial" w:cs="Arial"/>
                <w:lang w:val="en-GB"/>
              </w:rPr>
              <w:t xml:space="preserve"> MRL</w:t>
            </w:r>
          </w:p>
        </w:tc>
        <w:tc>
          <w:tcPr>
            <w:tcW w:w="1941" w:type="dxa"/>
          </w:tcPr>
          <w:p w14:paraId="6A78740F" w14:textId="0D117F6B" w:rsidR="00F35771" w:rsidRPr="00F85DCF" w:rsidRDefault="00F35771" w:rsidP="005846CF">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lang w:val="en-GB"/>
              </w:rPr>
              <w:t>Administrative</w:t>
            </w:r>
            <w:r w:rsidRPr="00F85DCF">
              <w:rPr>
                <w:rFonts w:ascii="Arial" w:hAnsi="Arial" w:cs="Arial"/>
                <w:b/>
                <w:lang w:val="en-GB"/>
              </w:rPr>
              <w:t xml:space="preserve"> </w:t>
            </w:r>
            <w:r w:rsidRPr="00F85DCF">
              <w:rPr>
                <w:rFonts w:ascii="Arial" w:hAnsi="Arial" w:cs="Arial"/>
                <w:lang w:val="en-GB"/>
              </w:rPr>
              <w:t xml:space="preserve">inputs used to derive a suitable list of </w:t>
            </w:r>
            <w:r w:rsidR="003E52CB" w:rsidRPr="00F85DCF">
              <w:rPr>
                <w:rFonts w:ascii="Arial" w:hAnsi="Arial" w:cs="Arial"/>
                <w:lang w:val="en-GB"/>
              </w:rPr>
              <w:t xml:space="preserve">agvet </w:t>
            </w:r>
            <w:r w:rsidRPr="00F85DCF">
              <w:rPr>
                <w:rFonts w:ascii="Arial" w:hAnsi="Arial" w:cs="Arial"/>
                <w:lang w:val="en-GB"/>
              </w:rPr>
              <w:t>chemicals to pilot in Stage 2</w:t>
            </w:r>
          </w:p>
        </w:tc>
        <w:tc>
          <w:tcPr>
            <w:tcW w:w="2249" w:type="dxa"/>
          </w:tcPr>
          <w:p w14:paraId="7A8D96D8" w14:textId="77777777" w:rsidR="00F35771" w:rsidRPr="00F85DCF" w:rsidRDefault="00F35771"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Assumptions</w:t>
            </w:r>
          </w:p>
          <w:p w14:paraId="24E0CF56" w14:textId="77777777" w:rsidR="00F35771" w:rsidRPr="00F85DCF" w:rsidRDefault="00F35771"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Analytical limits</w:t>
            </w:r>
          </w:p>
          <w:p w14:paraId="5F7EDB40" w14:textId="77777777" w:rsidR="00F35771" w:rsidRPr="00F85DCF" w:rsidRDefault="00F35771"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Existing permissions</w:t>
            </w:r>
          </w:p>
          <w:p w14:paraId="20AE0B41" w14:textId="0F2ABCA4" w:rsidR="00F35771" w:rsidRPr="00F85DCF" w:rsidRDefault="007966CE"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 xml:space="preserve">Available </w:t>
            </w:r>
            <w:r w:rsidR="00F35771" w:rsidRPr="00F85DCF">
              <w:rPr>
                <w:rFonts w:ascii="Arial" w:hAnsi="Arial" w:cs="Arial"/>
                <w:lang w:val="en-GB"/>
              </w:rPr>
              <w:t>HBGV</w:t>
            </w:r>
            <w:r w:rsidR="0095084D" w:rsidRPr="00F85DCF">
              <w:rPr>
                <w:rFonts w:ascii="Arial" w:hAnsi="Arial" w:cs="Arial"/>
                <w:lang w:val="en-GB"/>
              </w:rPr>
              <w:t xml:space="preserve"> </w:t>
            </w:r>
          </w:p>
          <w:p w14:paraId="74CD82FD" w14:textId="773C0190" w:rsidR="00F35771" w:rsidRPr="00F85DCF" w:rsidRDefault="005C7D9F" w:rsidP="001913A7">
            <w:pPr>
              <w:pStyle w:val="ListParagraph"/>
              <w:numPr>
                <w:ilvl w:val="0"/>
                <w:numId w:val="6"/>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Food c</w:t>
            </w:r>
            <w:r w:rsidR="0095084D" w:rsidRPr="00F85DCF">
              <w:rPr>
                <w:rFonts w:ascii="Arial" w:hAnsi="Arial" w:cs="Arial"/>
                <w:lang w:val="en-GB"/>
              </w:rPr>
              <w:t>onsumption data</w:t>
            </w:r>
          </w:p>
        </w:tc>
        <w:tc>
          <w:tcPr>
            <w:tcW w:w="2551" w:type="dxa"/>
          </w:tcPr>
          <w:p w14:paraId="2A09539F" w14:textId="4CD725AF" w:rsidR="00F35771" w:rsidRPr="00F85DCF" w:rsidRDefault="00F35771" w:rsidP="00D810D5">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Lists of:</w:t>
            </w:r>
          </w:p>
          <w:p w14:paraId="42D9B67B" w14:textId="7C0ABA5B" w:rsidR="00F35771" w:rsidRPr="00F85DCF" w:rsidRDefault="003E52CB" w:rsidP="001913A7">
            <w:pPr>
              <w:numPr>
                <w:ilvl w:val="0"/>
                <w:numId w:val="7"/>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Agvet c</w:t>
            </w:r>
            <w:r w:rsidR="00F35771" w:rsidRPr="00F85DCF">
              <w:rPr>
                <w:rFonts w:ascii="Arial" w:hAnsi="Arial" w:cs="Arial"/>
                <w:lang w:val="en-GB"/>
              </w:rPr>
              <w:t>hemicals excluded from Stage 2</w:t>
            </w:r>
          </w:p>
          <w:p w14:paraId="353A5D9B" w14:textId="33751F7B" w:rsidR="00F35771" w:rsidRPr="00F85DCF" w:rsidRDefault="003E52CB" w:rsidP="001913A7">
            <w:pPr>
              <w:numPr>
                <w:ilvl w:val="0"/>
                <w:numId w:val="7"/>
              </w:numPr>
              <w:ind w:left="284" w:hanging="284"/>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F85DCF">
              <w:rPr>
                <w:rFonts w:ascii="Arial" w:hAnsi="Arial" w:cs="Arial"/>
                <w:lang w:val="en-GB"/>
              </w:rPr>
              <w:t>Agvet c</w:t>
            </w:r>
            <w:r w:rsidR="00F35771" w:rsidRPr="00F85DCF">
              <w:rPr>
                <w:rFonts w:ascii="Arial" w:hAnsi="Arial" w:cs="Arial"/>
                <w:lang w:val="en-GB"/>
              </w:rPr>
              <w:t>hemicals included in Stage 2</w:t>
            </w:r>
          </w:p>
        </w:tc>
      </w:tr>
      <w:tr w:rsidR="00F33488" w:rsidRPr="00F85DCF" w14:paraId="39AD7CC2" w14:textId="77777777" w:rsidTr="001913A7">
        <w:trPr>
          <w:trHeight w:val="849"/>
        </w:trPr>
        <w:tc>
          <w:tcPr>
            <w:cnfStyle w:val="001000000000" w:firstRow="0" w:lastRow="0" w:firstColumn="1" w:lastColumn="0" w:oddVBand="0" w:evenVBand="0" w:oddHBand="0" w:evenHBand="0" w:firstRowFirstColumn="0" w:firstRowLastColumn="0" w:lastRowFirstColumn="0" w:lastRowLastColumn="0"/>
            <w:tcW w:w="880" w:type="dxa"/>
            <w:shd w:val="clear" w:color="auto" w:fill="FFCC99"/>
          </w:tcPr>
          <w:p w14:paraId="179EC119" w14:textId="77777777" w:rsidR="00F35771" w:rsidRPr="00F85DCF" w:rsidRDefault="00F35771" w:rsidP="00D810D5">
            <w:pPr>
              <w:rPr>
                <w:rFonts w:ascii="Arial" w:hAnsi="Arial" w:cs="Arial"/>
                <w:b w:val="0"/>
                <w:color w:val="auto"/>
                <w:lang w:val="en-GB"/>
              </w:rPr>
            </w:pPr>
            <w:r w:rsidRPr="00F85DCF">
              <w:rPr>
                <w:rFonts w:ascii="Arial" w:hAnsi="Arial" w:cs="Arial"/>
                <w:color w:val="auto"/>
                <w:lang w:val="en-GB"/>
              </w:rPr>
              <w:t>2</w:t>
            </w:r>
          </w:p>
        </w:tc>
        <w:tc>
          <w:tcPr>
            <w:tcW w:w="1593" w:type="dxa"/>
            <w:shd w:val="clear" w:color="auto" w:fill="FFCC99"/>
          </w:tcPr>
          <w:p w14:paraId="4062A417" w14:textId="6F15E669" w:rsidR="00F35771" w:rsidRPr="00F85DCF" w:rsidRDefault="00F76CEC" w:rsidP="009E5210">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Proposing </w:t>
            </w:r>
            <w:r w:rsidR="009E5210" w:rsidRPr="00F85DCF">
              <w:rPr>
                <w:rFonts w:ascii="Arial" w:hAnsi="Arial" w:cs="Arial"/>
                <w:i/>
                <w:lang w:val="en-GB"/>
              </w:rPr>
              <w:t xml:space="preserve">all other foods </w:t>
            </w:r>
            <w:r w:rsidR="0003601D" w:rsidRPr="00F85DCF">
              <w:rPr>
                <w:rFonts w:ascii="Arial" w:hAnsi="Arial" w:cs="Arial"/>
                <w:i/>
                <w:lang w:val="en-GB"/>
              </w:rPr>
              <w:t xml:space="preserve">except animal </w:t>
            </w:r>
            <w:r w:rsidR="00F33488">
              <w:rPr>
                <w:rFonts w:ascii="Arial" w:hAnsi="Arial" w:cs="Arial"/>
                <w:i/>
                <w:lang w:val="en-GB"/>
              </w:rPr>
              <w:t xml:space="preserve">food </w:t>
            </w:r>
            <w:r w:rsidR="0003601D" w:rsidRPr="00F85DCF">
              <w:rPr>
                <w:rFonts w:ascii="Arial" w:hAnsi="Arial" w:cs="Arial"/>
                <w:i/>
                <w:lang w:val="en-GB"/>
              </w:rPr>
              <w:t>commodities</w:t>
            </w:r>
            <w:r w:rsidR="009E5210" w:rsidRPr="00F85DCF">
              <w:rPr>
                <w:rFonts w:ascii="Arial" w:hAnsi="Arial" w:cs="Arial"/>
                <w:i/>
                <w:lang w:val="en-GB"/>
              </w:rPr>
              <w:t xml:space="preserve"> </w:t>
            </w:r>
            <w:r w:rsidR="00364CB6" w:rsidRPr="00F85DCF">
              <w:rPr>
                <w:rFonts w:ascii="Arial" w:hAnsi="Arial" w:cs="Arial"/>
                <w:lang w:val="en-GB"/>
              </w:rPr>
              <w:t xml:space="preserve"> </w:t>
            </w:r>
            <w:r w:rsidR="00F35771" w:rsidRPr="00F85DCF">
              <w:rPr>
                <w:rFonts w:ascii="Arial" w:hAnsi="Arial" w:cs="Arial"/>
                <w:lang w:val="en-GB"/>
              </w:rPr>
              <w:t>MRL</w:t>
            </w:r>
            <w:r w:rsidR="002E53A2" w:rsidRPr="00F85DCF">
              <w:rPr>
                <w:rFonts w:ascii="Arial" w:hAnsi="Arial" w:cs="Arial"/>
                <w:lang w:val="en-GB"/>
              </w:rPr>
              <w:t>s</w:t>
            </w:r>
          </w:p>
        </w:tc>
        <w:tc>
          <w:tcPr>
            <w:tcW w:w="1590" w:type="dxa"/>
            <w:shd w:val="clear" w:color="auto" w:fill="FFCC99"/>
          </w:tcPr>
          <w:p w14:paraId="233DCF30" w14:textId="61BD06A6" w:rsidR="00F35771" w:rsidRPr="00F85DCF" w:rsidRDefault="005846CF" w:rsidP="002A4F90">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D</w:t>
            </w:r>
            <w:r w:rsidR="00F35771" w:rsidRPr="00F85DCF">
              <w:rPr>
                <w:rFonts w:ascii="Arial" w:hAnsi="Arial" w:cs="Arial"/>
                <w:lang w:val="en-GB"/>
              </w:rPr>
              <w:t xml:space="preserve">etermine appropriate </w:t>
            </w:r>
            <w:r w:rsidR="002A4F90" w:rsidRPr="00F85DCF">
              <w:rPr>
                <w:rFonts w:ascii="Arial" w:hAnsi="Arial" w:cs="Arial"/>
                <w:i/>
                <w:lang w:val="en-GB"/>
              </w:rPr>
              <w:t>A</w:t>
            </w:r>
            <w:r w:rsidR="009E5210" w:rsidRPr="00F85DCF">
              <w:rPr>
                <w:rFonts w:ascii="Arial" w:hAnsi="Arial" w:cs="Arial"/>
                <w:i/>
                <w:lang w:val="en-GB"/>
              </w:rPr>
              <w:t xml:space="preserve">ll other foods </w:t>
            </w:r>
            <w:r w:rsidR="0003601D" w:rsidRPr="00F85DCF">
              <w:rPr>
                <w:rFonts w:ascii="Arial" w:hAnsi="Arial" w:cs="Arial"/>
                <w:i/>
                <w:lang w:val="en-GB"/>
              </w:rPr>
              <w:t xml:space="preserve">except animal </w:t>
            </w:r>
            <w:r w:rsidR="00F33488">
              <w:rPr>
                <w:rFonts w:ascii="Arial" w:hAnsi="Arial" w:cs="Arial"/>
                <w:i/>
                <w:lang w:val="en-GB"/>
              </w:rPr>
              <w:t xml:space="preserve">food </w:t>
            </w:r>
            <w:r w:rsidR="0003601D" w:rsidRPr="00F85DCF">
              <w:rPr>
                <w:rFonts w:ascii="Arial" w:hAnsi="Arial" w:cs="Arial"/>
                <w:i/>
                <w:lang w:val="en-GB"/>
              </w:rPr>
              <w:t>commodities</w:t>
            </w:r>
            <w:r w:rsidR="00F35771" w:rsidRPr="00F85DCF">
              <w:rPr>
                <w:rFonts w:ascii="Arial" w:hAnsi="Arial" w:cs="Arial"/>
                <w:lang w:val="en-GB"/>
              </w:rPr>
              <w:t xml:space="preserve"> MRL on a case by case basis</w:t>
            </w:r>
          </w:p>
        </w:tc>
        <w:tc>
          <w:tcPr>
            <w:tcW w:w="1941" w:type="dxa"/>
            <w:shd w:val="clear" w:color="auto" w:fill="FFCC99"/>
          </w:tcPr>
          <w:p w14:paraId="28114F38" w14:textId="77777777" w:rsidR="00F35771" w:rsidRPr="00F85DCF" w:rsidRDefault="00F35771" w:rsidP="00D810D5">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lang w:val="en-GB"/>
              </w:rPr>
              <w:t>Scientific</w:t>
            </w:r>
          </w:p>
          <w:p w14:paraId="15422D32" w14:textId="3465133D" w:rsidR="00F35771" w:rsidRPr="00F85DCF" w:rsidRDefault="00F35771" w:rsidP="005846CF">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inputs used to calculate </w:t>
            </w:r>
            <w:r w:rsidR="00F76CEC" w:rsidRPr="00F85DCF">
              <w:rPr>
                <w:rFonts w:ascii="Arial" w:hAnsi="Arial" w:cs="Arial"/>
                <w:lang w:val="en-GB"/>
              </w:rPr>
              <w:t xml:space="preserve">estimated </w:t>
            </w:r>
            <w:r w:rsidRPr="00F85DCF">
              <w:rPr>
                <w:rFonts w:ascii="Arial" w:hAnsi="Arial" w:cs="Arial"/>
                <w:lang w:val="en-GB"/>
              </w:rPr>
              <w:t>dietary exposure</w:t>
            </w:r>
          </w:p>
        </w:tc>
        <w:tc>
          <w:tcPr>
            <w:tcW w:w="2249" w:type="dxa"/>
            <w:shd w:val="clear" w:color="auto" w:fill="FFCC99"/>
          </w:tcPr>
          <w:p w14:paraId="6990D2EC" w14:textId="77777777" w:rsidR="00F35771" w:rsidRPr="00F85DCF" w:rsidRDefault="00F35771" w:rsidP="001913A7">
            <w:pPr>
              <w:pStyle w:val="ListParagraph"/>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List from Stage 1</w:t>
            </w:r>
          </w:p>
          <w:p w14:paraId="73F8859E" w14:textId="00FF5C6B" w:rsidR="00F35771" w:rsidRPr="00F85DCF" w:rsidRDefault="00F35771" w:rsidP="001913A7">
            <w:pPr>
              <w:pStyle w:val="ListParagraph"/>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Up to date existing </w:t>
            </w:r>
            <w:r w:rsidR="0095084D" w:rsidRPr="00F85DCF">
              <w:rPr>
                <w:rFonts w:ascii="Arial" w:hAnsi="Arial" w:cs="Arial"/>
                <w:lang w:val="en-GB"/>
              </w:rPr>
              <w:t xml:space="preserve">MRL </w:t>
            </w:r>
            <w:r w:rsidRPr="00F85DCF">
              <w:rPr>
                <w:rFonts w:ascii="Arial" w:hAnsi="Arial" w:cs="Arial"/>
                <w:lang w:val="en-GB"/>
              </w:rPr>
              <w:t xml:space="preserve">permissions </w:t>
            </w:r>
          </w:p>
          <w:p w14:paraId="202AEF18" w14:textId="77777777" w:rsidR="00F35771" w:rsidRPr="00F85DCF" w:rsidRDefault="00F35771" w:rsidP="001913A7">
            <w:pPr>
              <w:pStyle w:val="ListParagraph"/>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Additional data on analytical limits</w:t>
            </w:r>
          </w:p>
          <w:p w14:paraId="2A232664" w14:textId="77777777" w:rsidR="00F35771" w:rsidRPr="00F85DCF" w:rsidRDefault="00F35771" w:rsidP="001913A7">
            <w:pPr>
              <w:pStyle w:val="ListParagraph"/>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HBGV</w:t>
            </w:r>
          </w:p>
          <w:p w14:paraId="4EFA7D1E" w14:textId="5414E0BB" w:rsidR="00F35771" w:rsidRPr="00F85DCF" w:rsidRDefault="00F35771" w:rsidP="001913A7">
            <w:pPr>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Refined </w:t>
            </w:r>
            <w:r w:rsidR="005C7D9F" w:rsidRPr="00F85DCF">
              <w:rPr>
                <w:rFonts w:ascii="Arial" w:hAnsi="Arial" w:cs="Arial"/>
                <w:lang w:val="en-GB"/>
              </w:rPr>
              <w:t>food c</w:t>
            </w:r>
            <w:r w:rsidRPr="00F85DCF">
              <w:rPr>
                <w:rFonts w:ascii="Arial" w:hAnsi="Arial" w:cs="Arial"/>
                <w:lang w:val="en-GB"/>
              </w:rPr>
              <w:t>onsumption data</w:t>
            </w:r>
          </w:p>
        </w:tc>
        <w:tc>
          <w:tcPr>
            <w:tcW w:w="2551" w:type="dxa"/>
            <w:shd w:val="clear" w:color="auto" w:fill="FFCC99"/>
          </w:tcPr>
          <w:p w14:paraId="26CC98F4" w14:textId="314884D0" w:rsidR="00F35771" w:rsidRPr="00F85DCF" w:rsidRDefault="00F35771" w:rsidP="001913A7">
            <w:pPr>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Dietary exposure estimates incorporating current permissions and </w:t>
            </w:r>
            <w:r w:rsidR="008C664C" w:rsidRPr="00F85DCF">
              <w:rPr>
                <w:rFonts w:ascii="Arial" w:hAnsi="Arial" w:cs="Arial"/>
                <w:i/>
                <w:lang w:val="en-GB"/>
              </w:rPr>
              <w:t>A</w:t>
            </w:r>
            <w:r w:rsidR="0003601D" w:rsidRPr="00F85DCF">
              <w:rPr>
                <w:rFonts w:ascii="Arial" w:hAnsi="Arial" w:cs="Arial"/>
                <w:i/>
                <w:lang w:val="en-GB"/>
              </w:rPr>
              <w:t>ll other fo</w:t>
            </w:r>
            <w:r w:rsidR="000A76C7" w:rsidRPr="00F85DCF">
              <w:rPr>
                <w:rFonts w:ascii="Arial" w:hAnsi="Arial" w:cs="Arial"/>
                <w:i/>
                <w:lang w:val="en-GB"/>
              </w:rPr>
              <w:t xml:space="preserve">ods except animal </w:t>
            </w:r>
            <w:r w:rsidR="00F33488">
              <w:rPr>
                <w:rFonts w:ascii="Arial" w:hAnsi="Arial" w:cs="Arial"/>
                <w:i/>
                <w:lang w:val="en-GB"/>
              </w:rPr>
              <w:t xml:space="preserve">food </w:t>
            </w:r>
            <w:r w:rsidR="000A76C7" w:rsidRPr="00F85DCF">
              <w:rPr>
                <w:rFonts w:ascii="Arial" w:hAnsi="Arial" w:cs="Arial"/>
                <w:i/>
                <w:lang w:val="en-GB"/>
              </w:rPr>
              <w:t>commoditie</w:t>
            </w:r>
            <w:r w:rsidR="00F2064F" w:rsidRPr="00F85DCF">
              <w:rPr>
                <w:rFonts w:ascii="Arial" w:hAnsi="Arial" w:cs="Arial"/>
                <w:i/>
                <w:lang w:val="en-GB"/>
              </w:rPr>
              <w:t>s</w:t>
            </w:r>
            <w:r w:rsidRPr="00F85DCF">
              <w:rPr>
                <w:rFonts w:ascii="Arial" w:hAnsi="Arial" w:cs="Arial"/>
                <w:lang w:val="en-GB"/>
              </w:rPr>
              <w:t xml:space="preserve"> for each </w:t>
            </w:r>
            <w:r w:rsidR="00C3719B" w:rsidRPr="00F85DCF">
              <w:rPr>
                <w:rFonts w:ascii="Arial" w:hAnsi="Arial" w:cs="Arial"/>
                <w:lang w:val="en-GB"/>
              </w:rPr>
              <w:t>a</w:t>
            </w:r>
            <w:r w:rsidRPr="00F85DCF">
              <w:rPr>
                <w:rFonts w:ascii="Arial" w:hAnsi="Arial" w:cs="Arial"/>
                <w:lang w:val="en-GB"/>
              </w:rPr>
              <w:t>g</w:t>
            </w:r>
            <w:r w:rsidR="00C3719B" w:rsidRPr="00F85DCF">
              <w:rPr>
                <w:rFonts w:ascii="Arial" w:hAnsi="Arial" w:cs="Arial"/>
                <w:lang w:val="en-GB"/>
              </w:rPr>
              <w:t>v</w:t>
            </w:r>
            <w:r w:rsidRPr="00F85DCF">
              <w:rPr>
                <w:rFonts w:ascii="Arial" w:hAnsi="Arial" w:cs="Arial"/>
                <w:lang w:val="en-GB"/>
              </w:rPr>
              <w:t>et chemical</w:t>
            </w:r>
          </w:p>
          <w:p w14:paraId="12148E8D" w14:textId="04198D7E" w:rsidR="00F35771" w:rsidRPr="00F85DCF" w:rsidRDefault="00F35771" w:rsidP="001913A7">
            <w:pPr>
              <w:numPr>
                <w:ilvl w:val="0"/>
                <w:numId w:val="8"/>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F85DCF">
              <w:rPr>
                <w:rFonts w:ascii="Arial" w:hAnsi="Arial" w:cs="Arial"/>
                <w:lang w:val="en-GB"/>
              </w:rPr>
              <w:t xml:space="preserve">Proposed MRL for </w:t>
            </w:r>
            <w:r w:rsidR="008C664C" w:rsidRPr="00F85DCF">
              <w:rPr>
                <w:rFonts w:ascii="Arial" w:hAnsi="Arial" w:cs="Arial"/>
                <w:i/>
                <w:lang w:val="en-GB"/>
              </w:rPr>
              <w:t>A</w:t>
            </w:r>
            <w:r w:rsidR="004B5820" w:rsidRPr="00F85DCF">
              <w:rPr>
                <w:rFonts w:ascii="Arial" w:hAnsi="Arial" w:cs="Arial"/>
                <w:i/>
                <w:lang w:val="en-GB"/>
              </w:rPr>
              <w:t>ll other foods except animal</w:t>
            </w:r>
            <w:r w:rsidR="0032293D">
              <w:rPr>
                <w:rFonts w:ascii="Arial" w:hAnsi="Arial" w:cs="Arial"/>
                <w:i/>
                <w:lang w:val="en-GB"/>
              </w:rPr>
              <w:t xml:space="preserve"> food</w:t>
            </w:r>
            <w:r w:rsidR="004B5820" w:rsidRPr="00F85DCF">
              <w:rPr>
                <w:rFonts w:ascii="Arial" w:hAnsi="Arial" w:cs="Arial"/>
                <w:i/>
                <w:lang w:val="en-GB"/>
              </w:rPr>
              <w:t xml:space="preserve"> commodities</w:t>
            </w:r>
          </w:p>
        </w:tc>
      </w:tr>
    </w:tbl>
    <w:p w14:paraId="61A47640" w14:textId="77777777" w:rsidR="001913A7" w:rsidRDefault="001913A7" w:rsidP="001913A7">
      <w:pPr>
        <w:rPr>
          <w:lang w:val="en-GB"/>
        </w:rPr>
      </w:pPr>
    </w:p>
    <w:p w14:paraId="2F98AD53" w14:textId="5E977A3E" w:rsidR="005816A4" w:rsidRPr="00F85DCF" w:rsidRDefault="001913A7" w:rsidP="001913A7">
      <w:pPr>
        <w:pStyle w:val="Heading1"/>
      </w:pPr>
      <w:bookmarkStart w:id="7" w:name="_Toc446597068"/>
      <w:bookmarkStart w:id="8" w:name="_Toc448848071"/>
      <w:r w:rsidRPr="00F85DCF">
        <w:t>3</w:t>
      </w:r>
      <w:bookmarkEnd w:id="7"/>
      <w:r w:rsidRPr="00F85DCF">
        <w:tab/>
      </w:r>
      <w:r w:rsidR="005816A4" w:rsidRPr="00F85DCF">
        <w:t xml:space="preserve">Stage 1: </w:t>
      </w:r>
      <w:r w:rsidR="005000FF" w:rsidRPr="00F85DCF">
        <w:t>Screening of c</w:t>
      </w:r>
      <w:r w:rsidR="005816A4" w:rsidRPr="00F85DCF">
        <w:t xml:space="preserve">hemicals </w:t>
      </w:r>
      <w:r w:rsidR="005000FF" w:rsidRPr="00F85DCF">
        <w:t xml:space="preserve">to establish the </w:t>
      </w:r>
      <w:r w:rsidR="008120F0" w:rsidRPr="00F85DCF">
        <w:t>risk assessment</w:t>
      </w:r>
      <w:r w:rsidR="005000FF" w:rsidRPr="00F85DCF">
        <w:t xml:space="preserve"> </w:t>
      </w:r>
      <w:r w:rsidR="008120F0" w:rsidRPr="00F85DCF">
        <w:t xml:space="preserve">approach </w:t>
      </w:r>
      <w:r w:rsidR="005816A4" w:rsidRPr="00F85DCF">
        <w:t xml:space="preserve">for </w:t>
      </w:r>
      <w:r w:rsidR="008C664C" w:rsidRPr="00F85DCF">
        <w:rPr>
          <w:i/>
        </w:rPr>
        <w:t>A</w:t>
      </w:r>
      <w:r w:rsidR="008653CD" w:rsidRPr="00F85DCF">
        <w:rPr>
          <w:i/>
        </w:rPr>
        <w:t xml:space="preserve">ll other foods except animal </w:t>
      </w:r>
      <w:r w:rsidR="00F33488">
        <w:rPr>
          <w:i/>
        </w:rPr>
        <w:t xml:space="preserve">food </w:t>
      </w:r>
      <w:r w:rsidR="008653CD" w:rsidRPr="00F85DCF">
        <w:rPr>
          <w:i/>
        </w:rPr>
        <w:t>commodities</w:t>
      </w:r>
      <w:r w:rsidR="005000FF" w:rsidRPr="00F85DCF">
        <w:t xml:space="preserve"> MRLs</w:t>
      </w:r>
      <w:bookmarkEnd w:id="8"/>
    </w:p>
    <w:p w14:paraId="7C2D8E9D" w14:textId="503B7C77" w:rsidR="005816A4" w:rsidRPr="00F85DCF" w:rsidRDefault="005816A4" w:rsidP="005816A4">
      <w:pPr>
        <w:rPr>
          <w:lang w:val="en-GB"/>
        </w:rPr>
      </w:pPr>
      <w:r w:rsidRPr="00F85DCF">
        <w:rPr>
          <w:lang w:val="en-GB"/>
        </w:rPr>
        <w:t xml:space="preserve">There are </w:t>
      </w:r>
      <w:r w:rsidR="002E53A2" w:rsidRPr="00F85DCF">
        <w:rPr>
          <w:lang w:val="en-GB"/>
        </w:rPr>
        <w:t>approximately</w:t>
      </w:r>
      <w:r w:rsidRPr="00F85DCF">
        <w:rPr>
          <w:lang w:val="en-GB"/>
        </w:rPr>
        <w:t xml:space="preserve"> 500 </w:t>
      </w:r>
      <w:r w:rsidR="00D76DFB" w:rsidRPr="00F85DCF">
        <w:rPr>
          <w:lang w:val="en-GB"/>
        </w:rPr>
        <w:t xml:space="preserve">agvet </w:t>
      </w:r>
      <w:r w:rsidRPr="00F85DCF">
        <w:rPr>
          <w:lang w:val="en-GB"/>
        </w:rPr>
        <w:t xml:space="preserve">chemicals </w:t>
      </w:r>
      <w:r w:rsidR="002061B1" w:rsidRPr="00F85DCF">
        <w:rPr>
          <w:lang w:val="en-GB"/>
        </w:rPr>
        <w:t xml:space="preserve">currently </w:t>
      </w:r>
      <w:r w:rsidRPr="00F85DCF">
        <w:rPr>
          <w:lang w:val="en-GB"/>
        </w:rPr>
        <w:t>listed in</w:t>
      </w:r>
      <w:r w:rsidR="003D2EF6" w:rsidRPr="00F85DCF">
        <w:rPr>
          <w:lang w:val="en-GB"/>
        </w:rPr>
        <w:t xml:space="preserve"> Schedules 20 and 21</w:t>
      </w:r>
      <w:r w:rsidR="00867E04" w:rsidRPr="00F85DCF">
        <w:rPr>
          <w:lang w:val="en-GB"/>
        </w:rPr>
        <w:t>.</w:t>
      </w:r>
      <w:r w:rsidRPr="00F85DCF">
        <w:rPr>
          <w:lang w:val="en-GB"/>
        </w:rPr>
        <w:t xml:space="preserve"> </w:t>
      </w:r>
      <w:r w:rsidR="009E5C2B">
        <w:rPr>
          <w:lang w:val="en-GB"/>
        </w:rPr>
        <w:t>Using all</w:t>
      </w:r>
      <w:r w:rsidRPr="00F85DCF">
        <w:rPr>
          <w:lang w:val="en-GB"/>
        </w:rPr>
        <w:t xml:space="preserve"> of these in </w:t>
      </w:r>
      <w:r w:rsidR="009E5C2B">
        <w:rPr>
          <w:lang w:val="en-GB"/>
        </w:rPr>
        <w:t xml:space="preserve">the </w:t>
      </w:r>
      <w:r w:rsidRPr="00F85DCF">
        <w:rPr>
          <w:lang w:val="en-GB"/>
        </w:rPr>
        <w:t xml:space="preserve">P1027 </w:t>
      </w:r>
      <w:r w:rsidR="009E5C2B">
        <w:rPr>
          <w:lang w:val="en-GB"/>
        </w:rPr>
        <w:t xml:space="preserve">approach </w:t>
      </w:r>
      <w:r w:rsidRPr="00F85DCF">
        <w:rPr>
          <w:lang w:val="en-GB"/>
        </w:rPr>
        <w:t xml:space="preserve">was </w:t>
      </w:r>
      <w:r w:rsidR="00036EB1" w:rsidRPr="00F85DCF">
        <w:rPr>
          <w:lang w:val="en-GB"/>
        </w:rPr>
        <w:t xml:space="preserve">considered </w:t>
      </w:r>
      <w:r w:rsidRPr="00F85DCF">
        <w:rPr>
          <w:lang w:val="en-GB"/>
        </w:rPr>
        <w:t xml:space="preserve">impractical and therefore a smaller list of </w:t>
      </w:r>
      <w:r w:rsidR="00D76DFB" w:rsidRPr="00F85DCF">
        <w:rPr>
          <w:lang w:val="en-GB"/>
        </w:rPr>
        <w:t xml:space="preserve">agvet </w:t>
      </w:r>
      <w:r w:rsidRPr="00F85DCF">
        <w:rPr>
          <w:lang w:val="en-GB"/>
        </w:rPr>
        <w:t xml:space="preserve">chemicals was </w:t>
      </w:r>
      <w:r w:rsidR="007D6364" w:rsidRPr="00F85DCF">
        <w:rPr>
          <w:lang w:val="en-GB"/>
        </w:rPr>
        <w:t xml:space="preserve">identified </w:t>
      </w:r>
      <w:r w:rsidRPr="00F85DCF">
        <w:rPr>
          <w:lang w:val="en-GB"/>
        </w:rPr>
        <w:t>for this Proposal.</w:t>
      </w:r>
    </w:p>
    <w:p w14:paraId="7783B8F4" w14:textId="7219A3F3" w:rsidR="005816A4" w:rsidRPr="00F85DCF" w:rsidRDefault="005816A4" w:rsidP="005816A4">
      <w:pPr>
        <w:rPr>
          <w:lang w:val="en-GB"/>
        </w:rPr>
      </w:pPr>
    </w:p>
    <w:p w14:paraId="0C51B408" w14:textId="38A825FA" w:rsidR="00D94403" w:rsidRDefault="005816A4" w:rsidP="00275CF1">
      <w:pPr>
        <w:rPr>
          <w:lang w:val="en-GB"/>
        </w:rPr>
      </w:pPr>
      <w:r w:rsidRPr="00F85DCF">
        <w:rPr>
          <w:lang w:val="en-GB"/>
        </w:rPr>
        <w:t xml:space="preserve">FSANZ and the APVMA agreed that a useful starting point for P1027 was the list of </w:t>
      </w:r>
      <w:r w:rsidR="00D76DFB" w:rsidRPr="00F85DCF">
        <w:rPr>
          <w:lang w:val="en-GB"/>
        </w:rPr>
        <w:t xml:space="preserve">agvet </w:t>
      </w:r>
      <w:r w:rsidRPr="00F85DCF">
        <w:rPr>
          <w:lang w:val="en-GB"/>
        </w:rPr>
        <w:t xml:space="preserve">chemicals </w:t>
      </w:r>
      <w:r w:rsidR="000657AA" w:rsidRPr="00F85DCF">
        <w:rPr>
          <w:lang w:val="en-GB"/>
        </w:rPr>
        <w:t xml:space="preserve">identified </w:t>
      </w:r>
      <w:r w:rsidRPr="00F85DCF">
        <w:rPr>
          <w:lang w:val="en-GB"/>
        </w:rPr>
        <w:t>on the</w:t>
      </w:r>
      <w:r w:rsidR="00155FFE" w:rsidRPr="00F85DCF">
        <w:rPr>
          <w:lang w:val="en-GB"/>
        </w:rPr>
        <w:t xml:space="preserve"> </w:t>
      </w:r>
      <w:r w:rsidR="009465D1" w:rsidRPr="00F85DCF">
        <w:rPr>
          <w:lang w:val="en-GB"/>
        </w:rPr>
        <w:t>Department</w:t>
      </w:r>
      <w:r w:rsidRPr="00F85DCF" w:rsidDel="009465D1">
        <w:rPr>
          <w:lang w:val="en-GB"/>
        </w:rPr>
        <w:t xml:space="preserve"> of Agriculture</w:t>
      </w:r>
      <w:r w:rsidR="003E4C85" w:rsidRPr="00F85DCF">
        <w:rPr>
          <w:lang w:val="en-GB"/>
        </w:rPr>
        <w:t xml:space="preserve"> and Water </w:t>
      </w:r>
      <w:r w:rsidR="00351C04" w:rsidRPr="00F85DCF">
        <w:rPr>
          <w:lang w:val="en-GB"/>
        </w:rPr>
        <w:t>Resources</w:t>
      </w:r>
      <w:r w:rsidR="00351C04" w:rsidRPr="00F85DCF" w:rsidDel="009465D1">
        <w:rPr>
          <w:lang w:val="en-GB"/>
        </w:rPr>
        <w:t>’</w:t>
      </w:r>
      <w:r w:rsidRPr="00F85DCF" w:rsidDel="009465D1">
        <w:rPr>
          <w:lang w:val="en-GB"/>
        </w:rPr>
        <w:t xml:space="preserve"> </w:t>
      </w:r>
      <w:r w:rsidRPr="00F85DCF">
        <w:rPr>
          <w:lang w:val="en-GB"/>
        </w:rPr>
        <w:t xml:space="preserve">imported food </w:t>
      </w:r>
      <w:r w:rsidR="00792E20" w:rsidRPr="00F85DCF">
        <w:rPr>
          <w:lang w:val="en-GB"/>
        </w:rPr>
        <w:t xml:space="preserve">agvet </w:t>
      </w:r>
      <w:r w:rsidR="00053E3C" w:rsidRPr="00F85DCF">
        <w:rPr>
          <w:lang w:val="en-GB"/>
        </w:rPr>
        <w:t xml:space="preserve">chemical analytical </w:t>
      </w:r>
      <w:r w:rsidRPr="00F85DCF">
        <w:rPr>
          <w:lang w:val="en-GB"/>
        </w:rPr>
        <w:t xml:space="preserve">screen and </w:t>
      </w:r>
      <w:r w:rsidR="002F6CD0" w:rsidRPr="00F85DCF">
        <w:rPr>
          <w:lang w:val="en-GB"/>
        </w:rPr>
        <w:t xml:space="preserve">the </w:t>
      </w:r>
      <w:r w:rsidRPr="00F85DCF">
        <w:rPr>
          <w:lang w:val="en-GB"/>
        </w:rPr>
        <w:t xml:space="preserve">chemicals the APVMA considered appropriate for possible inclusion in P1027. A </w:t>
      </w:r>
      <w:r w:rsidR="00275CF1" w:rsidRPr="00F85DCF">
        <w:rPr>
          <w:lang w:val="en-GB"/>
        </w:rPr>
        <w:t xml:space="preserve">consultation paper was released in </w:t>
      </w:r>
      <w:r w:rsidR="0019417C">
        <w:rPr>
          <w:lang w:val="en-GB"/>
        </w:rPr>
        <w:t xml:space="preserve">late </w:t>
      </w:r>
      <w:r w:rsidR="00275CF1" w:rsidRPr="00F85DCF">
        <w:rPr>
          <w:lang w:val="en-GB"/>
        </w:rPr>
        <w:t xml:space="preserve">2014 which </w:t>
      </w:r>
      <w:r w:rsidR="006C0C9C" w:rsidRPr="00F85DCF">
        <w:rPr>
          <w:lang w:val="en-GB"/>
        </w:rPr>
        <w:t>invited stakeholders</w:t>
      </w:r>
      <w:r w:rsidRPr="00F85DCF">
        <w:rPr>
          <w:lang w:val="en-GB"/>
        </w:rPr>
        <w:t xml:space="preserve"> </w:t>
      </w:r>
      <w:r w:rsidR="00C3719B" w:rsidRPr="00F85DCF">
        <w:rPr>
          <w:lang w:val="en-GB"/>
        </w:rPr>
        <w:t>to nominate</w:t>
      </w:r>
      <w:r w:rsidRPr="00F85DCF">
        <w:rPr>
          <w:lang w:val="en-GB"/>
        </w:rPr>
        <w:t xml:space="preserve"> </w:t>
      </w:r>
      <w:r w:rsidR="00D76DFB" w:rsidRPr="00F85DCF">
        <w:rPr>
          <w:lang w:val="en-GB"/>
        </w:rPr>
        <w:t xml:space="preserve">agvet </w:t>
      </w:r>
      <w:r w:rsidRPr="00F85DCF">
        <w:rPr>
          <w:lang w:val="en-GB"/>
        </w:rPr>
        <w:t>chemicals for consideration.</w:t>
      </w:r>
      <w:r w:rsidR="00053E3C" w:rsidRPr="00F85DCF">
        <w:rPr>
          <w:lang w:val="en-GB"/>
        </w:rPr>
        <w:t xml:space="preserve"> A final list of 132 </w:t>
      </w:r>
      <w:r w:rsidR="00D76DFB" w:rsidRPr="00F85DCF">
        <w:rPr>
          <w:lang w:val="en-GB"/>
        </w:rPr>
        <w:t xml:space="preserve">agvet </w:t>
      </w:r>
      <w:r w:rsidR="00053E3C" w:rsidRPr="00F85DCF">
        <w:rPr>
          <w:lang w:val="en-GB"/>
        </w:rPr>
        <w:t xml:space="preserve">chemicals for consideration in the Stage 1 screening process was </w:t>
      </w:r>
      <w:r w:rsidR="00275CF1" w:rsidRPr="00F85DCF">
        <w:rPr>
          <w:lang w:val="en-GB"/>
        </w:rPr>
        <w:t xml:space="preserve">subsequently </w:t>
      </w:r>
      <w:r w:rsidR="00053E3C" w:rsidRPr="00F85DCF">
        <w:rPr>
          <w:lang w:val="en-GB"/>
        </w:rPr>
        <w:t>generated</w:t>
      </w:r>
      <w:r w:rsidR="00275CF1" w:rsidRPr="00F85DCF">
        <w:rPr>
          <w:lang w:val="en-GB"/>
        </w:rPr>
        <w:t xml:space="preserve"> </w:t>
      </w:r>
      <w:r w:rsidR="00053E3C" w:rsidRPr="00F85DCF">
        <w:rPr>
          <w:lang w:val="en-GB"/>
        </w:rPr>
        <w:t>(</w:t>
      </w:r>
      <w:r w:rsidR="008958F8" w:rsidRPr="00F85DCF">
        <w:rPr>
          <w:lang w:val="en-GB"/>
        </w:rPr>
        <w:t xml:space="preserve">Appendices </w:t>
      </w:r>
      <w:r w:rsidR="00CD608A" w:rsidRPr="00F85DCF">
        <w:rPr>
          <w:lang w:val="en-GB"/>
        </w:rPr>
        <w:t>A</w:t>
      </w:r>
      <w:r w:rsidR="006862B4" w:rsidRPr="00F85DCF">
        <w:rPr>
          <w:lang w:val="en-GB"/>
        </w:rPr>
        <w:t>3</w:t>
      </w:r>
      <w:r w:rsidR="0038627B" w:rsidRPr="00F85DCF">
        <w:rPr>
          <w:lang w:val="en-GB"/>
        </w:rPr>
        <w:t xml:space="preserve"> </w:t>
      </w:r>
      <w:r w:rsidR="008958F8" w:rsidRPr="00F85DCF">
        <w:rPr>
          <w:lang w:val="en-GB"/>
        </w:rPr>
        <w:t xml:space="preserve">and </w:t>
      </w:r>
      <w:r w:rsidR="00CD608A" w:rsidRPr="00F85DCF">
        <w:rPr>
          <w:lang w:val="en-GB"/>
        </w:rPr>
        <w:t>A</w:t>
      </w:r>
      <w:r w:rsidR="006862B4" w:rsidRPr="00F85DCF">
        <w:rPr>
          <w:lang w:val="en-GB"/>
        </w:rPr>
        <w:t>4</w:t>
      </w:r>
      <w:r w:rsidR="00053E3C" w:rsidRPr="00F85DCF">
        <w:rPr>
          <w:lang w:val="en-GB"/>
        </w:rPr>
        <w:t>).</w:t>
      </w:r>
    </w:p>
    <w:p w14:paraId="2DA1A839" w14:textId="19AFD00A" w:rsidR="00420F9C" w:rsidRDefault="00420F9C" w:rsidP="00275CF1">
      <w:pPr>
        <w:rPr>
          <w:lang w:val="en-GB"/>
        </w:rPr>
      </w:pPr>
    </w:p>
    <w:p w14:paraId="37850B91" w14:textId="77777777" w:rsidR="00420F9C" w:rsidRDefault="00420F9C" w:rsidP="00275CF1">
      <w:pPr>
        <w:rPr>
          <w:lang w:val="en-GB"/>
        </w:rPr>
      </w:pPr>
      <w:r>
        <w:rPr>
          <w:lang w:val="en-GB"/>
        </w:rPr>
        <w:br w:type="page"/>
      </w:r>
    </w:p>
    <w:p w14:paraId="5DBE09D1" w14:textId="34122793" w:rsidR="003E3275" w:rsidRPr="00F85DCF" w:rsidRDefault="008C3A3F" w:rsidP="00275CF1">
      <w:pPr>
        <w:rPr>
          <w:lang w:val="en-GB"/>
        </w:rPr>
      </w:pPr>
      <w:r w:rsidRPr="00F85DCF">
        <w:rPr>
          <w:lang w:val="en-GB"/>
        </w:rPr>
        <w:lastRenderedPageBreak/>
        <w:t>In Stage 1</w:t>
      </w:r>
      <w:r w:rsidR="00275CF1" w:rsidRPr="00F85DCF">
        <w:rPr>
          <w:lang w:val="en-GB"/>
        </w:rPr>
        <w:t xml:space="preserve">, </w:t>
      </w:r>
      <w:r w:rsidRPr="00F85DCF">
        <w:rPr>
          <w:lang w:val="en-GB"/>
        </w:rPr>
        <w:t>t</w:t>
      </w:r>
      <w:r w:rsidR="005816A4" w:rsidRPr="00F85DCF">
        <w:rPr>
          <w:lang w:val="en-GB"/>
        </w:rPr>
        <w:t xml:space="preserve">his </w:t>
      </w:r>
      <w:r w:rsidR="00835973" w:rsidRPr="00F85DCF">
        <w:rPr>
          <w:lang w:val="en-GB"/>
        </w:rPr>
        <w:t xml:space="preserve">initial </w:t>
      </w:r>
      <w:r w:rsidR="005816A4" w:rsidRPr="00F85DCF">
        <w:rPr>
          <w:lang w:val="en-GB"/>
        </w:rPr>
        <w:t xml:space="preserve">list was refined using a number of </w:t>
      </w:r>
      <w:r w:rsidR="00B948EA" w:rsidRPr="00F85DCF">
        <w:rPr>
          <w:lang w:val="en-GB"/>
        </w:rPr>
        <w:t>exclusion criteria</w:t>
      </w:r>
      <w:r w:rsidR="00C97799" w:rsidRPr="00F85DCF">
        <w:rPr>
          <w:rStyle w:val="FootnoteReference"/>
          <w:lang w:val="en-GB"/>
        </w:rPr>
        <w:footnoteReference w:id="3"/>
      </w:r>
      <w:r w:rsidR="00563A12" w:rsidRPr="00F85DCF">
        <w:rPr>
          <w:lang w:val="en-GB"/>
        </w:rPr>
        <w:t xml:space="preserve"> based on</w:t>
      </w:r>
      <w:r w:rsidR="005816A4" w:rsidRPr="00F85DCF">
        <w:rPr>
          <w:lang w:val="en-GB"/>
        </w:rPr>
        <w:t xml:space="preserve"> </w:t>
      </w:r>
      <w:r w:rsidR="00302A76" w:rsidRPr="00F85DCF">
        <w:rPr>
          <w:lang w:val="en-GB"/>
        </w:rPr>
        <w:t xml:space="preserve">the type of chemical, </w:t>
      </w:r>
      <w:r w:rsidR="005816A4" w:rsidRPr="00F85DCF">
        <w:rPr>
          <w:lang w:val="en-GB"/>
        </w:rPr>
        <w:t>data on analytical limits, existing permissions, established HBG</w:t>
      </w:r>
      <w:r w:rsidR="00712557" w:rsidRPr="00F85DCF">
        <w:rPr>
          <w:lang w:val="en-GB"/>
        </w:rPr>
        <w:t>V</w:t>
      </w:r>
      <w:r w:rsidR="002F6CD0" w:rsidRPr="00F85DCF">
        <w:rPr>
          <w:lang w:val="en-GB"/>
        </w:rPr>
        <w:t>s</w:t>
      </w:r>
      <w:r w:rsidR="005816A4" w:rsidRPr="00F85DCF">
        <w:rPr>
          <w:lang w:val="en-GB"/>
        </w:rPr>
        <w:t xml:space="preserve"> and </w:t>
      </w:r>
      <w:r w:rsidR="00053E3C" w:rsidRPr="00F85DCF">
        <w:rPr>
          <w:lang w:val="en-GB"/>
        </w:rPr>
        <w:t xml:space="preserve">Australian food </w:t>
      </w:r>
      <w:r w:rsidR="005816A4" w:rsidRPr="00F85DCF">
        <w:rPr>
          <w:lang w:val="en-GB"/>
        </w:rPr>
        <w:t xml:space="preserve">consumption data. </w:t>
      </w:r>
      <w:r w:rsidR="009D0CDE" w:rsidRPr="00F85DCF">
        <w:rPr>
          <w:lang w:val="en-GB"/>
        </w:rPr>
        <w:t xml:space="preserve">A screening MRL for </w:t>
      </w:r>
      <w:r w:rsidR="009D0CDE" w:rsidRPr="00F85DCF">
        <w:rPr>
          <w:i/>
          <w:lang w:val="en-GB"/>
        </w:rPr>
        <w:t xml:space="preserve">All other foods except animal </w:t>
      </w:r>
      <w:r w:rsidR="00F33488">
        <w:rPr>
          <w:i/>
          <w:lang w:val="en-GB"/>
        </w:rPr>
        <w:t xml:space="preserve">food </w:t>
      </w:r>
      <w:r w:rsidR="009D0CDE" w:rsidRPr="00F85DCF">
        <w:rPr>
          <w:i/>
          <w:lang w:val="en-GB"/>
        </w:rPr>
        <w:t>commodities</w:t>
      </w:r>
      <w:r w:rsidR="009D0CDE" w:rsidRPr="00F85DCF">
        <w:rPr>
          <w:lang w:val="en-GB"/>
        </w:rPr>
        <w:t xml:space="preserve"> was used in </w:t>
      </w:r>
      <w:r w:rsidR="00263B3B" w:rsidRPr="00F85DCF">
        <w:rPr>
          <w:lang w:val="en-GB"/>
        </w:rPr>
        <w:t>this</w:t>
      </w:r>
      <w:r w:rsidR="009D0CDE" w:rsidRPr="00F85DCF">
        <w:rPr>
          <w:lang w:val="en-GB"/>
        </w:rPr>
        <w:t xml:space="preserve"> process, the value assigned </w:t>
      </w:r>
      <w:r w:rsidR="00CD6B49">
        <w:rPr>
          <w:lang w:val="en-GB"/>
        </w:rPr>
        <w:t>was</w:t>
      </w:r>
      <w:r w:rsidR="009D0CDE" w:rsidRPr="00F85DCF">
        <w:rPr>
          <w:lang w:val="en-GB"/>
        </w:rPr>
        <w:t xml:space="preserve"> two times the analytical limit of reporting or quantification (LOR/LOQ)</w:t>
      </w:r>
      <w:r w:rsidR="00C62644" w:rsidRPr="00F85DCF">
        <w:rPr>
          <w:lang w:val="en-GB"/>
        </w:rPr>
        <w:t xml:space="preserve"> for that chemical </w:t>
      </w:r>
      <w:r w:rsidR="004634DA" w:rsidRPr="00F85DCF">
        <w:rPr>
          <w:lang w:val="en-GB"/>
        </w:rPr>
        <w:t>residue of interest</w:t>
      </w:r>
      <w:r w:rsidR="00C62644" w:rsidRPr="00F85DCF">
        <w:rPr>
          <w:lang w:val="en-GB"/>
        </w:rPr>
        <w:t>.</w:t>
      </w:r>
      <w:r w:rsidR="004634DA" w:rsidRPr="00F85DCF">
        <w:rPr>
          <w:lang w:val="en-GB"/>
        </w:rPr>
        <w:t xml:space="preserve"> </w:t>
      </w:r>
      <w:r w:rsidR="00044F58" w:rsidRPr="00F85DCF">
        <w:rPr>
          <w:lang w:val="en-GB"/>
        </w:rPr>
        <w:t xml:space="preserve">The outcome of the screening process was to either include or exclude chemicals from Stage 2 i.e. only chemicals </w:t>
      </w:r>
      <w:r w:rsidR="00563A12" w:rsidRPr="00F85DCF">
        <w:rPr>
          <w:lang w:val="en-GB"/>
        </w:rPr>
        <w:t xml:space="preserve">that passed the </w:t>
      </w:r>
      <w:r w:rsidRPr="00F85DCF">
        <w:rPr>
          <w:lang w:val="en-GB"/>
        </w:rPr>
        <w:t>Stage 1</w:t>
      </w:r>
      <w:r w:rsidR="00563A12" w:rsidRPr="00F85DCF">
        <w:rPr>
          <w:lang w:val="en-GB"/>
        </w:rPr>
        <w:t xml:space="preserve"> screening</w:t>
      </w:r>
      <w:r w:rsidR="00302A76" w:rsidRPr="00F85DCF">
        <w:rPr>
          <w:lang w:val="en-GB"/>
        </w:rPr>
        <w:t xml:space="preserve"> </w:t>
      </w:r>
      <w:r w:rsidR="00044F58" w:rsidRPr="00F85DCF">
        <w:rPr>
          <w:lang w:val="en-GB"/>
        </w:rPr>
        <w:t xml:space="preserve">were considered for establishing </w:t>
      </w:r>
      <w:r w:rsidR="00BC5458" w:rsidRPr="00F85DCF">
        <w:rPr>
          <w:i/>
          <w:lang w:val="en-GB"/>
        </w:rPr>
        <w:t>A</w:t>
      </w:r>
      <w:r w:rsidR="00044F58" w:rsidRPr="00F85DCF">
        <w:rPr>
          <w:i/>
          <w:lang w:val="en-GB"/>
        </w:rPr>
        <w:t>ll other food</w:t>
      </w:r>
      <w:r w:rsidR="00044F58" w:rsidRPr="00F85DCF">
        <w:rPr>
          <w:lang w:val="en-GB"/>
        </w:rPr>
        <w:t xml:space="preserve"> </w:t>
      </w:r>
      <w:r w:rsidR="00F33488" w:rsidRPr="00F85DCF">
        <w:rPr>
          <w:i/>
          <w:lang w:val="en-GB"/>
        </w:rPr>
        <w:t xml:space="preserve">except animal </w:t>
      </w:r>
      <w:r w:rsidR="00F33488">
        <w:rPr>
          <w:i/>
          <w:lang w:val="en-GB"/>
        </w:rPr>
        <w:t xml:space="preserve">food </w:t>
      </w:r>
      <w:r w:rsidR="00F33488" w:rsidRPr="00F85DCF">
        <w:rPr>
          <w:i/>
          <w:lang w:val="en-GB"/>
        </w:rPr>
        <w:t>commodities</w:t>
      </w:r>
      <w:r w:rsidR="00F33488" w:rsidRPr="00F85DCF">
        <w:rPr>
          <w:lang w:val="en-GB"/>
        </w:rPr>
        <w:t xml:space="preserve"> </w:t>
      </w:r>
      <w:r w:rsidR="00044F58" w:rsidRPr="00F85DCF">
        <w:rPr>
          <w:lang w:val="en-GB"/>
        </w:rPr>
        <w:t xml:space="preserve">MRLs in this Proposal. </w:t>
      </w:r>
      <w:r w:rsidRPr="00F85DCF">
        <w:rPr>
          <w:lang w:val="en-GB"/>
        </w:rPr>
        <w:t xml:space="preserve">Chemicals </w:t>
      </w:r>
      <w:r w:rsidR="00044F58" w:rsidRPr="00F85DCF">
        <w:rPr>
          <w:lang w:val="en-GB"/>
        </w:rPr>
        <w:t xml:space="preserve">that </w:t>
      </w:r>
      <w:r w:rsidRPr="00F85DCF">
        <w:rPr>
          <w:lang w:val="en-GB"/>
        </w:rPr>
        <w:t>did not pass Stage 1</w:t>
      </w:r>
      <w:r w:rsidR="00044F58" w:rsidRPr="00F85DCF">
        <w:rPr>
          <w:lang w:val="en-GB"/>
        </w:rPr>
        <w:t xml:space="preserve"> may be assessed in a future proposal</w:t>
      </w:r>
      <w:r w:rsidRPr="00F85DCF">
        <w:rPr>
          <w:lang w:val="en-GB"/>
        </w:rPr>
        <w:t xml:space="preserve"> as </w:t>
      </w:r>
      <w:r w:rsidR="00044F58" w:rsidRPr="00F85DCF">
        <w:rPr>
          <w:lang w:val="en-GB"/>
        </w:rPr>
        <w:t xml:space="preserve">their exclusion may have been due to lack of </w:t>
      </w:r>
      <w:r w:rsidRPr="00F85DCF">
        <w:rPr>
          <w:lang w:val="en-GB"/>
        </w:rPr>
        <w:t>appropriate data</w:t>
      </w:r>
      <w:r w:rsidR="00044F58" w:rsidRPr="00F85DCF">
        <w:rPr>
          <w:lang w:val="en-GB"/>
        </w:rPr>
        <w:t xml:space="preserve"> and not necessarily for safety reasons. Conversely, chemicals considered as suitable at this stage may not necessarily end up with an </w:t>
      </w:r>
      <w:r w:rsidR="00BC5458" w:rsidRPr="00F85DCF">
        <w:rPr>
          <w:i/>
          <w:lang w:val="en-GB"/>
        </w:rPr>
        <w:t>A</w:t>
      </w:r>
      <w:r w:rsidR="0099040A" w:rsidRPr="00F85DCF">
        <w:rPr>
          <w:i/>
          <w:lang w:val="en-GB"/>
        </w:rPr>
        <w:t xml:space="preserve">ll other foods </w:t>
      </w:r>
      <w:r w:rsidR="0003601D" w:rsidRPr="00F85DCF">
        <w:rPr>
          <w:i/>
          <w:lang w:val="en-GB"/>
        </w:rPr>
        <w:t xml:space="preserve">except animal </w:t>
      </w:r>
      <w:r w:rsidR="00F33488">
        <w:rPr>
          <w:i/>
          <w:lang w:val="en-GB"/>
        </w:rPr>
        <w:t xml:space="preserve">food </w:t>
      </w:r>
      <w:r w:rsidR="0003601D" w:rsidRPr="00F85DCF">
        <w:rPr>
          <w:i/>
          <w:lang w:val="en-GB"/>
        </w:rPr>
        <w:t>commodit</w:t>
      </w:r>
      <w:r w:rsidR="0099040A" w:rsidRPr="00F85DCF">
        <w:rPr>
          <w:i/>
          <w:lang w:val="en-GB"/>
        </w:rPr>
        <w:t>ies</w:t>
      </w:r>
      <w:r w:rsidR="00044F58" w:rsidRPr="00F85DCF">
        <w:rPr>
          <w:lang w:val="en-GB"/>
        </w:rPr>
        <w:t xml:space="preserve"> MRL when considered as an individual case</w:t>
      </w:r>
      <w:r w:rsidRPr="00F85DCF">
        <w:rPr>
          <w:lang w:val="en-GB"/>
        </w:rPr>
        <w:t xml:space="preserve"> in Stage 2</w:t>
      </w:r>
      <w:r w:rsidR="00044F58" w:rsidRPr="00F85DCF">
        <w:rPr>
          <w:lang w:val="en-GB"/>
        </w:rPr>
        <w:t>.</w:t>
      </w:r>
      <w:r w:rsidR="00835973" w:rsidRPr="00F85DCF">
        <w:rPr>
          <w:lang w:val="en-GB" w:eastAsia="en-AU"/>
        </w:rPr>
        <w:t xml:space="preserve"> </w:t>
      </w:r>
    </w:p>
    <w:p w14:paraId="6FC4367E" w14:textId="1C996E7E" w:rsidR="00B948EA" w:rsidRPr="00F85DCF" w:rsidRDefault="00275CF1" w:rsidP="00227DF3">
      <w:pPr>
        <w:pStyle w:val="Heading2"/>
      </w:pPr>
      <w:bookmarkStart w:id="9" w:name="_Toc448848072"/>
      <w:r w:rsidRPr="00F85DCF">
        <w:t>3.1</w:t>
      </w:r>
      <w:r w:rsidRPr="00F85DCF">
        <w:tab/>
      </w:r>
      <w:r w:rsidR="00B948EA" w:rsidRPr="00F85DCF">
        <w:t xml:space="preserve">Exclusion </w:t>
      </w:r>
      <w:r w:rsidRPr="00F85DCF">
        <w:t>c</w:t>
      </w:r>
      <w:r w:rsidR="00B948EA" w:rsidRPr="00F85DCF">
        <w:t>riteria</w:t>
      </w:r>
      <w:bookmarkEnd w:id="9"/>
    </w:p>
    <w:p w14:paraId="22496E26" w14:textId="6B807451" w:rsidR="00044F58" w:rsidRPr="00F85DCF" w:rsidRDefault="00807576" w:rsidP="00044F58">
      <w:pPr>
        <w:rPr>
          <w:lang w:val="en-GB"/>
        </w:rPr>
      </w:pPr>
      <w:r w:rsidRPr="00F85DCF">
        <w:rPr>
          <w:lang w:val="en-GB"/>
        </w:rPr>
        <w:t xml:space="preserve">For </w:t>
      </w:r>
      <w:r w:rsidR="00535E1A" w:rsidRPr="00F85DCF">
        <w:rPr>
          <w:lang w:val="en-GB"/>
        </w:rPr>
        <w:t xml:space="preserve">preliminary </w:t>
      </w:r>
      <w:r w:rsidRPr="00F85DCF">
        <w:rPr>
          <w:lang w:val="en-GB"/>
        </w:rPr>
        <w:t xml:space="preserve">screening </w:t>
      </w:r>
      <w:r w:rsidR="00053E3C" w:rsidRPr="00F85DCF">
        <w:rPr>
          <w:lang w:val="en-GB"/>
        </w:rPr>
        <w:t xml:space="preserve">of </w:t>
      </w:r>
      <w:r w:rsidR="0066718F" w:rsidRPr="00F85DCF">
        <w:rPr>
          <w:lang w:val="en-GB"/>
        </w:rPr>
        <w:t xml:space="preserve">agvet </w:t>
      </w:r>
      <w:r w:rsidRPr="00F85DCF">
        <w:rPr>
          <w:lang w:val="en-GB"/>
        </w:rPr>
        <w:t>chemicals at Stage 1</w:t>
      </w:r>
      <w:r w:rsidR="00581AE5" w:rsidRPr="00F85DCF">
        <w:rPr>
          <w:lang w:val="en-GB"/>
        </w:rPr>
        <w:t xml:space="preserve"> </w:t>
      </w:r>
      <w:r w:rsidRPr="00F85DCF">
        <w:rPr>
          <w:lang w:val="en-GB"/>
        </w:rPr>
        <w:t>t</w:t>
      </w:r>
      <w:r w:rsidR="00044F58" w:rsidRPr="00F85DCF">
        <w:rPr>
          <w:lang w:val="en-GB"/>
        </w:rPr>
        <w:t xml:space="preserve">he </w:t>
      </w:r>
      <w:r w:rsidR="00D34FB7">
        <w:rPr>
          <w:lang w:val="en-GB"/>
        </w:rPr>
        <w:t xml:space="preserve">following </w:t>
      </w:r>
      <w:r w:rsidR="00044F58" w:rsidRPr="00F85DCF">
        <w:rPr>
          <w:lang w:val="en-GB"/>
        </w:rPr>
        <w:t xml:space="preserve">exclusion criteria </w:t>
      </w:r>
      <w:r w:rsidR="00D34FB7">
        <w:rPr>
          <w:lang w:val="en-GB"/>
        </w:rPr>
        <w:t xml:space="preserve">were </w:t>
      </w:r>
      <w:r w:rsidR="00E919A0">
        <w:rPr>
          <w:lang w:val="en-GB"/>
        </w:rPr>
        <w:t xml:space="preserve">developed based on </w:t>
      </w:r>
      <w:r w:rsidR="00D34FB7">
        <w:rPr>
          <w:lang w:val="en-GB"/>
        </w:rPr>
        <w:t>FSANZ and APVMA e</w:t>
      </w:r>
      <w:r w:rsidR="00E919A0">
        <w:rPr>
          <w:lang w:val="en-GB"/>
        </w:rPr>
        <w:t>xpert opinion</w:t>
      </w:r>
      <w:r w:rsidR="00044F58" w:rsidRPr="00F85DCF">
        <w:rPr>
          <w:lang w:val="en-GB"/>
        </w:rPr>
        <w:t>:</w:t>
      </w:r>
    </w:p>
    <w:p w14:paraId="12A1BD0F" w14:textId="77777777" w:rsidR="00275CF1" w:rsidRPr="00F85DCF" w:rsidRDefault="00275CF1" w:rsidP="00044F58">
      <w:pPr>
        <w:rPr>
          <w:lang w:val="en-GB"/>
        </w:rPr>
      </w:pPr>
    </w:p>
    <w:p w14:paraId="761361B9" w14:textId="58157F01" w:rsidR="00044F58" w:rsidRPr="00F85DCF" w:rsidRDefault="0066718F" w:rsidP="00275CF1">
      <w:pPr>
        <w:pStyle w:val="FSBullet1"/>
        <w:rPr>
          <w:lang w:val="en-GB"/>
        </w:rPr>
      </w:pPr>
      <w:r w:rsidRPr="00F85DCF">
        <w:rPr>
          <w:lang w:val="en-GB"/>
        </w:rPr>
        <w:t>A</w:t>
      </w:r>
      <w:r w:rsidR="00324A0B" w:rsidRPr="00F85DCF">
        <w:rPr>
          <w:lang w:val="en-GB"/>
        </w:rPr>
        <w:t xml:space="preserve">gvet </w:t>
      </w:r>
      <w:r w:rsidR="007F4504" w:rsidRPr="00F85DCF">
        <w:rPr>
          <w:lang w:val="en-GB"/>
        </w:rPr>
        <w:t>c</w:t>
      </w:r>
      <w:r w:rsidR="00044F58" w:rsidRPr="00F85DCF">
        <w:rPr>
          <w:lang w:val="en-GB"/>
        </w:rPr>
        <w:t xml:space="preserve">hemical </w:t>
      </w:r>
      <w:r w:rsidR="00581AE5" w:rsidRPr="00F85DCF">
        <w:rPr>
          <w:lang w:val="en-GB"/>
        </w:rPr>
        <w:t xml:space="preserve">is </w:t>
      </w:r>
      <w:r w:rsidR="00044F58" w:rsidRPr="00F85DCF">
        <w:rPr>
          <w:lang w:val="en-GB"/>
        </w:rPr>
        <w:t xml:space="preserve">not currently listed in Schedule </w:t>
      </w:r>
      <w:r w:rsidR="003D2EF6" w:rsidRPr="00F85DCF">
        <w:rPr>
          <w:lang w:val="en-GB"/>
        </w:rPr>
        <w:t xml:space="preserve">20 </w:t>
      </w:r>
    </w:p>
    <w:p w14:paraId="6098DFB4" w14:textId="59399226" w:rsidR="00044F58" w:rsidRPr="00F85DCF" w:rsidRDefault="0066718F" w:rsidP="00275CF1">
      <w:pPr>
        <w:pStyle w:val="FSBullet1"/>
        <w:rPr>
          <w:lang w:val="en-GB"/>
        </w:rPr>
      </w:pPr>
      <w:r w:rsidRPr="00F85DCF">
        <w:rPr>
          <w:lang w:val="en-GB"/>
        </w:rPr>
        <w:t>Agvet chemical</w:t>
      </w:r>
      <w:r w:rsidR="00044F58" w:rsidRPr="00F85DCF">
        <w:rPr>
          <w:lang w:val="en-GB"/>
        </w:rPr>
        <w:t xml:space="preserve"> is not registered for use in Australia</w:t>
      </w:r>
    </w:p>
    <w:p w14:paraId="63CAF300" w14:textId="0F44387C" w:rsidR="00044F58" w:rsidRPr="00F85DCF" w:rsidRDefault="00044F58" w:rsidP="00275CF1">
      <w:pPr>
        <w:pStyle w:val="FSBullet1"/>
        <w:rPr>
          <w:lang w:val="en-GB"/>
        </w:rPr>
      </w:pPr>
      <w:r w:rsidRPr="00F85DCF">
        <w:rPr>
          <w:lang w:val="en-GB"/>
        </w:rPr>
        <w:t>A</w:t>
      </w:r>
      <w:r w:rsidR="0066718F" w:rsidRPr="00F85DCF">
        <w:rPr>
          <w:lang w:val="en-GB"/>
        </w:rPr>
        <w:t>gvet</w:t>
      </w:r>
      <w:r w:rsidRPr="00F85DCF">
        <w:rPr>
          <w:lang w:val="en-GB"/>
        </w:rPr>
        <w:t xml:space="preserve"> c</w:t>
      </w:r>
      <w:r w:rsidR="0066718F" w:rsidRPr="00F85DCF">
        <w:rPr>
          <w:lang w:val="en-GB"/>
        </w:rPr>
        <w:t>hemical</w:t>
      </w:r>
      <w:r w:rsidRPr="00F85DCF">
        <w:rPr>
          <w:lang w:val="en-GB"/>
        </w:rPr>
        <w:t xml:space="preserve"> </w:t>
      </w:r>
      <w:r w:rsidR="008C4774" w:rsidRPr="00F85DCF">
        <w:rPr>
          <w:lang w:val="en-GB"/>
        </w:rPr>
        <w:t xml:space="preserve">is </w:t>
      </w:r>
      <w:r w:rsidRPr="00F85DCF">
        <w:rPr>
          <w:lang w:val="en-GB"/>
        </w:rPr>
        <w:t xml:space="preserve">listed </w:t>
      </w:r>
      <w:r w:rsidR="00D660D6" w:rsidRPr="00F85DCF">
        <w:rPr>
          <w:lang w:val="en-GB"/>
        </w:rPr>
        <w:t xml:space="preserve">only </w:t>
      </w:r>
      <w:r w:rsidR="008C4774" w:rsidRPr="00F85DCF">
        <w:rPr>
          <w:lang w:val="en-GB"/>
        </w:rPr>
        <w:t>in</w:t>
      </w:r>
      <w:r w:rsidRPr="00F85DCF">
        <w:rPr>
          <w:lang w:val="en-GB"/>
        </w:rPr>
        <w:t xml:space="preserve"> Schedule 7 </w:t>
      </w:r>
      <w:r w:rsidR="008C4774" w:rsidRPr="00F85DCF">
        <w:rPr>
          <w:lang w:val="en-GB"/>
        </w:rPr>
        <w:t>of the Poisons Standard</w:t>
      </w:r>
      <w:r w:rsidR="00EF24C3">
        <w:rPr>
          <w:lang w:val="en-GB"/>
        </w:rPr>
        <w:t xml:space="preserve"> (the SUSMP) of the Therapeutic Goods Administration</w:t>
      </w:r>
    </w:p>
    <w:p w14:paraId="1449FC47" w14:textId="24CF9511" w:rsidR="00302A76" w:rsidRPr="00F85DCF" w:rsidRDefault="0066718F" w:rsidP="00275CF1">
      <w:pPr>
        <w:pStyle w:val="FSBullet1"/>
        <w:rPr>
          <w:lang w:val="en-GB"/>
        </w:rPr>
      </w:pPr>
      <w:r w:rsidRPr="00F85DCF">
        <w:rPr>
          <w:lang w:val="en-GB"/>
        </w:rPr>
        <w:t>Agvet c</w:t>
      </w:r>
      <w:r w:rsidR="00302A76" w:rsidRPr="00F85DCF">
        <w:rPr>
          <w:lang w:val="en-GB"/>
        </w:rPr>
        <w:t>hemical is a veterinary medicine</w:t>
      </w:r>
    </w:p>
    <w:p w14:paraId="2921ADF5" w14:textId="4B47F995" w:rsidR="00302A76" w:rsidRPr="00F85DCF" w:rsidRDefault="0066718F" w:rsidP="00275CF1">
      <w:pPr>
        <w:pStyle w:val="FSBullet1"/>
        <w:rPr>
          <w:lang w:val="en-GB"/>
        </w:rPr>
      </w:pPr>
      <w:r w:rsidRPr="00F85DCF">
        <w:rPr>
          <w:lang w:val="en-GB"/>
        </w:rPr>
        <w:t>Agvet c</w:t>
      </w:r>
      <w:r w:rsidR="00302A76" w:rsidRPr="00F85DCF">
        <w:rPr>
          <w:lang w:val="en-GB"/>
        </w:rPr>
        <w:t xml:space="preserve">hemical has </w:t>
      </w:r>
      <w:r w:rsidR="0049734E" w:rsidRPr="00F85DCF">
        <w:rPr>
          <w:lang w:val="en-GB"/>
        </w:rPr>
        <w:t xml:space="preserve">an </w:t>
      </w:r>
      <w:r w:rsidR="00302A76" w:rsidRPr="00F85DCF">
        <w:rPr>
          <w:lang w:val="en-GB"/>
        </w:rPr>
        <w:t>ERL</w:t>
      </w:r>
      <w:r w:rsidR="00AD7E12">
        <w:rPr>
          <w:rStyle w:val="FootnoteReference"/>
          <w:lang w:val="en-GB"/>
        </w:rPr>
        <w:footnoteReference w:id="4"/>
      </w:r>
      <w:r w:rsidR="00302A76" w:rsidRPr="00F85DCF">
        <w:rPr>
          <w:lang w:val="en-GB"/>
        </w:rPr>
        <w:t xml:space="preserve"> listed in Schedule 2</w:t>
      </w:r>
      <w:r w:rsidR="003D2EF6" w:rsidRPr="00F85DCF">
        <w:rPr>
          <w:lang w:val="en-GB"/>
        </w:rPr>
        <w:t>1</w:t>
      </w:r>
    </w:p>
    <w:p w14:paraId="0C1B540B" w14:textId="53E0E85E" w:rsidR="00302A76" w:rsidRPr="00F85DCF" w:rsidRDefault="0066718F" w:rsidP="00275CF1">
      <w:pPr>
        <w:pStyle w:val="FSBullet1"/>
        <w:rPr>
          <w:lang w:val="en-GB"/>
        </w:rPr>
      </w:pPr>
      <w:r w:rsidRPr="00F85DCF">
        <w:rPr>
          <w:lang w:val="en-GB"/>
        </w:rPr>
        <w:t>Agvet c</w:t>
      </w:r>
      <w:r w:rsidR="00302A76" w:rsidRPr="00F85DCF">
        <w:rPr>
          <w:lang w:val="en-GB"/>
        </w:rPr>
        <w:t>hemical is currently nominated by the APVMA for formal review</w:t>
      </w:r>
    </w:p>
    <w:p w14:paraId="7BD93571" w14:textId="78453A74" w:rsidR="00044F58" w:rsidRPr="00F85DCF" w:rsidRDefault="00B33D0C" w:rsidP="00275CF1">
      <w:pPr>
        <w:pStyle w:val="FSBullet1"/>
        <w:rPr>
          <w:lang w:val="en-GB"/>
        </w:rPr>
      </w:pPr>
      <w:r w:rsidRPr="00F85DCF">
        <w:rPr>
          <w:lang w:val="en-GB"/>
        </w:rPr>
        <w:t>Based on current MRL permissions, t</w:t>
      </w:r>
      <w:r w:rsidR="002E2D7E" w:rsidRPr="00F85DCF">
        <w:rPr>
          <w:lang w:val="en-GB"/>
        </w:rPr>
        <w:t>he most recent FSANZ/APVMA national estimate of dietary intake (NEDI)</w:t>
      </w:r>
      <w:r w:rsidR="00044F58" w:rsidRPr="00F85DCF">
        <w:rPr>
          <w:lang w:val="en-GB"/>
        </w:rPr>
        <w:t xml:space="preserve"> </w:t>
      </w:r>
      <w:r w:rsidR="002E2D7E" w:rsidRPr="00F85DCF">
        <w:rPr>
          <w:lang w:val="en-GB"/>
        </w:rPr>
        <w:t xml:space="preserve">(i.e. chronic </w:t>
      </w:r>
      <w:r w:rsidR="0049734E" w:rsidRPr="00F85DCF">
        <w:rPr>
          <w:lang w:val="en-GB"/>
        </w:rPr>
        <w:t xml:space="preserve">dietary </w:t>
      </w:r>
      <w:r w:rsidR="002E2D7E" w:rsidRPr="00F85DCF">
        <w:rPr>
          <w:lang w:val="en-GB"/>
        </w:rPr>
        <w:t xml:space="preserve">exposure estimate), from residues of the </w:t>
      </w:r>
      <w:r w:rsidR="00E645C7" w:rsidRPr="00F85DCF">
        <w:rPr>
          <w:lang w:val="en-GB"/>
        </w:rPr>
        <w:t xml:space="preserve">agvet </w:t>
      </w:r>
      <w:r w:rsidR="002E2D7E" w:rsidRPr="00F85DCF">
        <w:rPr>
          <w:lang w:val="en-GB"/>
        </w:rPr>
        <w:t xml:space="preserve">chemical </w:t>
      </w:r>
      <w:r w:rsidR="00044F58" w:rsidRPr="00F85DCF">
        <w:rPr>
          <w:lang w:val="en-GB"/>
        </w:rPr>
        <w:t xml:space="preserve">exceeded 80% of the </w:t>
      </w:r>
      <w:r w:rsidR="004F28DA" w:rsidRPr="00F85DCF">
        <w:rPr>
          <w:lang w:val="en-GB"/>
        </w:rPr>
        <w:t xml:space="preserve">relevant </w:t>
      </w:r>
      <w:r w:rsidR="002E2D7E" w:rsidRPr="00F85DCF">
        <w:rPr>
          <w:lang w:val="en-GB"/>
        </w:rPr>
        <w:t xml:space="preserve">HBGV, the Acceptable Daily Intake (ADI) </w:t>
      </w:r>
    </w:p>
    <w:p w14:paraId="56E42636" w14:textId="1ED95982" w:rsidR="00044F58" w:rsidRPr="00F85DCF" w:rsidRDefault="00B33D0C" w:rsidP="00275CF1">
      <w:pPr>
        <w:pStyle w:val="FSBullet1"/>
        <w:rPr>
          <w:lang w:val="en-GB"/>
        </w:rPr>
      </w:pPr>
      <w:r w:rsidRPr="00F85DCF">
        <w:rPr>
          <w:lang w:val="en-GB"/>
        </w:rPr>
        <w:t xml:space="preserve">The </w:t>
      </w:r>
      <w:r w:rsidR="00044F58" w:rsidRPr="00F85DCF">
        <w:rPr>
          <w:lang w:val="en-GB"/>
        </w:rPr>
        <w:t xml:space="preserve">national estimate of short term intake </w:t>
      </w:r>
      <w:r w:rsidRPr="00F85DCF">
        <w:rPr>
          <w:lang w:val="en-GB"/>
        </w:rPr>
        <w:t xml:space="preserve">(NESTI) </w:t>
      </w:r>
      <w:r w:rsidR="00044F58" w:rsidRPr="00F85DCF">
        <w:rPr>
          <w:lang w:val="en-GB"/>
        </w:rPr>
        <w:t xml:space="preserve">(i.e. acute </w:t>
      </w:r>
      <w:r w:rsidR="0049734E" w:rsidRPr="00F85DCF">
        <w:rPr>
          <w:lang w:val="en-GB"/>
        </w:rPr>
        <w:t xml:space="preserve">dietary </w:t>
      </w:r>
      <w:r w:rsidR="00044F58" w:rsidRPr="00F85DCF">
        <w:rPr>
          <w:lang w:val="en-GB"/>
        </w:rPr>
        <w:t>exposure</w:t>
      </w:r>
      <w:r w:rsidR="00EE5132" w:rsidRPr="00F85DCF">
        <w:rPr>
          <w:lang w:val="en-GB"/>
        </w:rPr>
        <w:t xml:space="preserve"> estimate</w:t>
      </w:r>
      <w:r w:rsidR="00044F58" w:rsidRPr="00F85DCF">
        <w:rPr>
          <w:lang w:val="en-GB"/>
        </w:rPr>
        <w:t xml:space="preserve">) </w:t>
      </w:r>
      <w:r w:rsidRPr="00F85DCF">
        <w:rPr>
          <w:lang w:val="en-GB"/>
        </w:rPr>
        <w:t xml:space="preserve">exceeded the acute reference dose (ARfD), </w:t>
      </w:r>
      <w:r w:rsidR="00044F58" w:rsidRPr="00F85DCF">
        <w:rPr>
          <w:lang w:val="en-GB"/>
        </w:rPr>
        <w:t xml:space="preserve">using </w:t>
      </w:r>
      <w:r w:rsidRPr="00F85DCF">
        <w:rPr>
          <w:lang w:val="en-GB"/>
        </w:rPr>
        <w:t xml:space="preserve">a 'worst case' commodity consumption amount and </w:t>
      </w:r>
      <w:r w:rsidR="009D0CDE" w:rsidRPr="00F85DCF">
        <w:rPr>
          <w:lang w:val="en-GB"/>
        </w:rPr>
        <w:t xml:space="preserve">the </w:t>
      </w:r>
      <w:r w:rsidR="00044F58" w:rsidRPr="00F85DCF">
        <w:rPr>
          <w:lang w:val="en-GB"/>
        </w:rPr>
        <w:t xml:space="preserve">screening MRL </w:t>
      </w:r>
      <w:r w:rsidR="00CA797B" w:rsidRPr="00F85DCF">
        <w:rPr>
          <w:lang w:val="en-GB"/>
        </w:rPr>
        <w:t xml:space="preserve">for </w:t>
      </w:r>
      <w:r w:rsidR="00BC5458" w:rsidRPr="00F85DCF">
        <w:rPr>
          <w:i/>
          <w:lang w:val="en-GB"/>
        </w:rPr>
        <w:t>A</w:t>
      </w:r>
      <w:r w:rsidR="00DF622A" w:rsidRPr="00F85DCF">
        <w:rPr>
          <w:i/>
          <w:lang w:val="en-GB"/>
        </w:rPr>
        <w:t xml:space="preserve">ll other foods </w:t>
      </w:r>
      <w:r w:rsidR="0003601D" w:rsidRPr="00F85DCF">
        <w:rPr>
          <w:i/>
          <w:lang w:val="en-GB"/>
        </w:rPr>
        <w:t>except animal</w:t>
      </w:r>
      <w:r w:rsidR="00D94403">
        <w:rPr>
          <w:i/>
          <w:lang w:val="en-GB"/>
        </w:rPr>
        <w:t xml:space="preserve"> food</w:t>
      </w:r>
      <w:r w:rsidR="0003601D" w:rsidRPr="00F85DCF">
        <w:rPr>
          <w:i/>
          <w:lang w:val="en-GB"/>
        </w:rPr>
        <w:t xml:space="preserve"> commodities</w:t>
      </w:r>
      <w:r w:rsidR="00CA797B" w:rsidRPr="00F85DCF">
        <w:rPr>
          <w:lang w:val="en-GB"/>
        </w:rPr>
        <w:t xml:space="preserve"> </w:t>
      </w:r>
    </w:p>
    <w:p w14:paraId="67163663" w14:textId="4545A6DA" w:rsidR="00411C60" w:rsidRPr="00F85DCF" w:rsidRDefault="00581AE5" w:rsidP="00275CF1">
      <w:pPr>
        <w:pStyle w:val="FSBullet1"/>
        <w:rPr>
          <w:lang w:val="en-GB"/>
        </w:rPr>
      </w:pPr>
      <w:r w:rsidRPr="00F85DCF">
        <w:rPr>
          <w:lang w:val="en-GB"/>
        </w:rPr>
        <w:t>Based on the screening MRL,</w:t>
      </w:r>
      <w:r w:rsidRPr="00F85DCF">
        <w:rPr>
          <w:lang w:val="en-GB" w:eastAsia="en-AU"/>
        </w:rPr>
        <w:t xml:space="preserve"> t</w:t>
      </w:r>
      <w:r w:rsidR="00411C60" w:rsidRPr="00F85DCF">
        <w:rPr>
          <w:lang w:val="en-GB" w:eastAsia="en-AU"/>
        </w:rPr>
        <w:t xml:space="preserve">he </w:t>
      </w:r>
      <w:r w:rsidR="00411C60" w:rsidRPr="00F85DCF">
        <w:rPr>
          <w:lang w:val="en-GB"/>
        </w:rPr>
        <w:t xml:space="preserve">percentage contribution of </w:t>
      </w:r>
      <w:r w:rsidR="00BC5458" w:rsidRPr="00F85DCF">
        <w:rPr>
          <w:i/>
          <w:lang w:val="en-GB"/>
        </w:rPr>
        <w:t>A</w:t>
      </w:r>
      <w:r w:rsidR="003A0814"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Pr="00F85DCF">
        <w:rPr>
          <w:lang w:val="en-GB"/>
        </w:rPr>
        <w:t xml:space="preserve"> </w:t>
      </w:r>
      <w:r w:rsidR="00411C60" w:rsidRPr="00F85DCF">
        <w:rPr>
          <w:lang w:val="en-GB"/>
        </w:rPr>
        <w:t xml:space="preserve">was </w:t>
      </w:r>
      <w:r w:rsidR="00535E1A" w:rsidRPr="00F85DCF">
        <w:rPr>
          <w:lang w:val="en-GB"/>
        </w:rPr>
        <w:t xml:space="preserve">calculated to be </w:t>
      </w:r>
      <w:r w:rsidR="00A158F2" w:rsidRPr="00F85DCF">
        <w:rPr>
          <w:lang w:val="en-GB"/>
        </w:rPr>
        <w:t>greater than 20%</w:t>
      </w:r>
      <w:r w:rsidR="00535E1A" w:rsidRPr="00F85DCF">
        <w:rPr>
          <w:lang w:val="en-GB"/>
        </w:rPr>
        <w:t xml:space="preserve"> of the</w:t>
      </w:r>
      <w:r w:rsidR="00A158F2" w:rsidRPr="00F85DCF">
        <w:rPr>
          <w:lang w:val="en-GB"/>
        </w:rPr>
        <w:t xml:space="preserve"> </w:t>
      </w:r>
      <w:r w:rsidR="00535E1A" w:rsidRPr="00F85DCF">
        <w:rPr>
          <w:lang w:val="en-GB"/>
        </w:rPr>
        <w:t>estimated total chronic dietary exposure.</w:t>
      </w:r>
    </w:p>
    <w:p w14:paraId="72CCE596" w14:textId="7471FECF" w:rsidR="00B948EA" w:rsidRPr="00F85DCF" w:rsidRDefault="00275CF1" w:rsidP="00227DF3">
      <w:pPr>
        <w:pStyle w:val="Heading2"/>
      </w:pPr>
      <w:bookmarkStart w:id="10" w:name="_Toc448848073"/>
      <w:r w:rsidRPr="00F85DCF">
        <w:t>3.2</w:t>
      </w:r>
      <w:r w:rsidRPr="00F85DCF">
        <w:tab/>
      </w:r>
      <w:r w:rsidR="00B948EA" w:rsidRPr="00F85DCF">
        <w:t>Existing permissions</w:t>
      </w:r>
      <w:bookmarkEnd w:id="10"/>
    </w:p>
    <w:p w14:paraId="792CAF61" w14:textId="42510C68" w:rsidR="00420F9C" w:rsidRDefault="001A5EFB" w:rsidP="005816A4">
      <w:pPr>
        <w:rPr>
          <w:lang w:val="en-GB"/>
        </w:rPr>
      </w:pPr>
      <w:r w:rsidRPr="00F85DCF">
        <w:rPr>
          <w:lang w:val="en-GB"/>
        </w:rPr>
        <w:t xml:space="preserve">Only </w:t>
      </w:r>
      <w:r w:rsidR="008C1897" w:rsidRPr="00F85DCF">
        <w:rPr>
          <w:lang w:val="en-GB"/>
        </w:rPr>
        <w:t xml:space="preserve">agvet </w:t>
      </w:r>
      <w:r w:rsidRPr="00F85DCF">
        <w:rPr>
          <w:lang w:val="en-GB"/>
        </w:rPr>
        <w:t xml:space="preserve">chemicals with existing </w:t>
      </w:r>
      <w:r w:rsidR="00420C37" w:rsidRPr="00F85DCF">
        <w:rPr>
          <w:lang w:val="en-GB"/>
        </w:rPr>
        <w:t xml:space="preserve">MRL </w:t>
      </w:r>
      <w:r w:rsidRPr="00F85DCF">
        <w:rPr>
          <w:lang w:val="en-GB"/>
        </w:rPr>
        <w:t xml:space="preserve">permissions in the Code were considered </w:t>
      </w:r>
      <w:r w:rsidR="00411C60" w:rsidRPr="00F85DCF">
        <w:rPr>
          <w:lang w:val="en-GB"/>
        </w:rPr>
        <w:t>during the screening process</w:t>
      </w:r>
      <w:r w:rsidRPr="00F85DCF">
        <w:rPr>
          <w:lang w:val="en-GB"/>
        </w:rPr>
        <w:t xml:space="preserve">. </w:t>
      </w:r>
      <w:r w:rsidR="006764FF" w:rsidRPr="00F85DCF">
        <w:rPr>
          <w:lang w:val="en-GB"/>
        </w:rPr>
        <w:t xml:space="preserve">Existing </w:t>
      </w:r>
      <w:r w:rsidR="0038135B" w:rsidRPr="00F85DCF">
        <w:rPr>
          <w:lang w:val="en-GB"/>
        </w:rPr>
        <w:t xml:space="preserve">MRLs </w:t>
      </w:r>
      <w:r w:rsidR="005159E6" w:rsidRPr="00F85DCF">
        <w:rPr>
          <w:lang w:val="en-GB"/>
        </w:rPr>
        <w:t xml:space="preserve">for </w:t>
      </w:r>
      <w:r w:rsidR="006764FF" w:rsidRPr="00F85DCF">
        <w:rPr>
          <w:lang w:val="en-GB"/>
        </w:rPr>
        <w:t xml:space="preserve">the </w:t>
      </w:r>
      <w:r w:rsidR="005159E6" w:rsidRPr="00F85DCF">
        <w:rPr>
          <w:lang w:val="en-GB"/>
        </w:rPr>
        <w:t xml:space="preserve">specific </w:t>
      </w:r>
      <w:r w:rsidR="008C1897" w:rsidRPr="00F85DCF">
        <w:rPr>
          <w:lang w:val="en-GB"/>
        </w:rPr>
        <w:t xml:space="preserve">agvet </w:t>
      </w:r>
      <w:r w:rsidR="005159E6" w:rsidRPr="00F85DCF">
        <w:rPr>
          <w:lang w:val="en-GB"/>
        </w:rPr>
        <w:t xml:space="preserve">chemicals and </w:t>
      </w:r>
      <w:r w:rsidR="006764FF" w:rsidRPr="00F85DCF">
        <w:rPr>
          <w:lang w:val="en-GB"/>
        </w:rPr>
        <w:t xml:space="preserve">the </w:t>
      </w:r>
      <w:r w:rsidR="0065003E" w:rsidRPr="00F85DCF">
        <w:rPr>
          <w:lang w:val="en-GB"/>
        </w:rPr>
        <w:t xml:space="preserve">relevant </w:t>
      </w:r>
      <w:r w:rsidR="005159E6" w:rsidRPr="00F85DCF">
        <w:rPr>
          <w:lang w:val="en-GB"/>
        </w:rPr>
        <w:t>commodities</w:t>
      </w:r>
      <w:r w:rsidR="006055C7" w:rsidRPr="00F85DCF">
        <w:rPr>
          <w:lang w:val="en-GB"/>
        </w:rPr>
        <w:t xml:space="preserve"> were</w:t>
      </w:r>
      <w:r w:rsidR="0038135B" w:rsidRPr="00F85DCF">
        <w:rPr>
          <w:lang w:val="en-GB"/>
        </w:rPr>
        <w:t xml:space="preserve"> used </w:t>
      </w:r>
      <w:r w:rsidR="006055C7" w:rsidRPr="00F85DCF">
        <w:rPr>
          <w:lang w:val="en-GB"/>
        </w:rPr>
        <w:t xml:space="preserve">in the </w:t>
      </w:r>
      <w:r w:rsidR="0038135B" w:rsidRPr="00F85DCF">
        <w:rPr>
          <w:lang w:val="en-GB"/>
        </w:rPr>
        <w:t>screening calculations.</w:t>
      </w:r>
      <w:r w:rsidR="009F4F2E" w:rsidRPr="00F85DCF">
        <w:rPr>
          <w:lang w:val="en-GB"/>
        </w:rPr>
        <w:t xml:space="preserve"> During the screening and subsequent dietary exposure assessment process</w:t>
      </w:r>
      <w:r w:rsidR="00535E1A" w:rsidRPr="00F85DCF">
        <w:rPr>
          <w:lang w:val="en-GB"/>
        </w:rPr>
        <w:t xml:space="preserve"> (December 2014–March 2016)</w:t>
      </w:r>
      <w:r w:rsidR="009F4F2E" w:rsidRPr="00F85DCF">
        <w:rPr>
          <w:lang w:val="en-GB"/>
        </w:rPr>
        <w:t xml:space="preserve">, the APVMA </w:t>
      </w:r>
      <w:r w:rsidR="00385D20" w:rsidRPr="00F85DCF">
        <w:rPr>
          <w:lang w:val="en-GB"/>
        </w:rPr>
        <w:t xml:space="preserve">may have </w:t>
      </w:r>
      <w:r w:rsidR="009F4F2E" w:rsidRPr="00F85DCF">
        <w:rPr>
          <w:lang w:val="en-GB"/>
        </w:rPr>
        <w:t xml:space="preserve">made amendments to Schedule 20 </w:t>
      </w:r>
      <w:r w:rsidR="00A319A1" w:rsidRPr="00F85DCF">
        <w:rPr>
          <w:lang w:val="en-GB"/>
        </w:rPr>
        <w:t xml:space="preserve">as permitted </w:t>
      </w:r>
      <w:r w:rsidR="009F4F2E" w:rsidRPr="00F85DCF">
        <w:rPr>
          <w:lang w:val="en-GB"/>
        </w:rPr>
        <w:t>under the</w:t>
      </w:r>
      <w:r w:rsidR="008F22C7" w:rsidRPr="00F85DCF">
        <w:rPr>
          <w:lang w:val="en-GB"/>
        </w:rPr>
        <w:t xml:space="preserve"> </w:t>
      </w:r>
      <w:r w:rsidR="008F22C7" w:rsidRPr="00F85DCF">
        <w:rPr>
          <w:i/>
          <w:lang w:val="en-GB"/>
        </w:rPr>
        <w:t xml:space="preserve">Food Standards Australia New Zealand </w:t>
      </w:r>
      <w:r w:rsidR="009F4F2E" w:rsidRPr="00F85DCF">
        <w:rPr>
          <w:i/>
          <w:lang w:val="en-GB"/>
        </w:rPr>
        <w:t>Act</w:t>
      </w:r>
      <w:r w:rsidR="008F22C7" w:rsidRPr="00F85DCF">
        <w:rPr>
          <w:i/>
          <w:lang w:val="en-GB"/>
        </w:rPr>
        <w:t>,</w:t>
      </w:r>
      <w:r w:rsidR="009F4F2E" w:rsidRPr="00F85DCF">
        <w:rPr>
          <w:i/>
          <w:lang w:val="en-GB"/>
        </w:rPr>
        <w:t xml:space="preserve"> </w:t>
      </w:r>
      <w:r w:rsidR="008F22C7" w:rsidRPr="00F85DCF">
        <w:rPr>
          <w:i/>
          <w:lang w:val="en-GB"/>
        </w:rPr>
        <w:t>(1991)</w:t>
      </w:r>
      <w:r w:rsidR="008F22C7" w:rsidRPr="00F85DCF">
        <w:rPr>
          <w:lang w:val="en-GB"/>
        </w:rPr>
        <w:t xml:space="preserve"> </w:t>
      </w:r>
      <w:r w:rsidR="009F4F2E" w:rsidRPr="00F85DCF">
        <w:rPr>
          <w:lang w:val="en-GB"/>
        </w:rPr>
        <w:t>and in line with existing MRL processes. Where an amendment was proposed for a</w:t>
      </w:r>
      <w:r w:rsidR="008C1897" w:rsidRPr="00F85DCF">
        <w:rPr>
          <w:lang w:val="en-GB"/>
        </w:rPr>
        <w:t>n agvet</w:t>
      </w:r>
      <w:r w:rsidR="009F4F2E" w:rsidRPr="00F85DCF">
        <w:rPr>
          <w:lang w:val="en-GB"/>
        </w:rPr>
        <w:t xml:space="preserve"> chemical </w:t>
      </w:r>
      <w:r w:rsidR="00A319A1" w:rsidRPr="00F85DCF">
        <w:rPr>
          <w:lang w:val="en-GB"/>
        </w:rPr>
        <w:t>under consideration</w:t>
      </w:r>
      <w:r w:rsidR="009F4F2E" w:rsidRPr="00F85DCF">
        <w:rPr>
          <w:lang w:val="en-GB"/>
        </w:rPr>
        <w:t xml:space="preserve"> in P1027, the APVMA amendments to Schedule 20 were considered in the </w:t>
      </w:r>
      <w:r w:rsidR="008C1398" w:rsidRPr="00F85DCF">
        <w:rPr>
          <w:i/>
          <w:lang w:val="en-GB"/>
        </w:rPr>
        <w:t>A</w:t>
      </w:r>
      <w:r w:rsidR="00BF642E" w:rsidRPr="00F85DCF">
        <w:rPr>
          <w:i/>
          <w:lang w:val="en-GB"/>
        </w:rPr>
        <w:t xml:space="preserve">ll other foods except animal </w:t>
      </w:r>
      <w:r w:rsidR="00D94403">
        <w:rPr>
          <w:i/>
          <w:lang w:val="en-GB"/>
        </w:rPr>
        <w:t xml:space="preserve">food </w:t>
      </w:r>
      <w:r w:rsidR="00BF642E" w:rsidRPr="00F85DCF">
        <w:rPr>
          <w:i/>
          <w:lang w:val="en-GB"/>
        </w:rPr>
        <w:t>commodities</w:t>
      </w:r>
      <w:r w:rsidR="00420F9C">
        <w:rPr>
          <w:lang w:val="en-GB"/>
        </w:rPr>
        <w:t xml:space="preserve"> MRL-</w:t>
      </w:r>
      <w:r w:rsidR="009F4F2E" w:rsidRPr="00F85DCF">
        <w:rPr>
          <w:lang w:val="en-GB"/>
        </w:rPr>
        <w:t xml:space="preserve">setting process. </w:t>
      </w:r>
      <w:r w:rsidR="00420F9C">
        <w:rPr>
          <w:lang w:val="en-GB"/>
        </w:rPr>
        <w:br w:type="page"/>
      </w:r>
    </w:p>
    <w:p w14:paraId="29D26AF9" w14:textId="63C78B02" w:rsidR="00B24DD9" w:rsidRPr="00F85DCF" w:rsidRDefault="00A319A1" w:rsidP="005816A4">
      <w:pPr>
        <w:rPr>
          <w:lang w:val="en-GB"/>
        </w:rPr>
      </w:pPr>
      <w:r w:rsidRPr="00F85DCF">
        <w:rPr>
          <w:lang w:val="en-GB"/>
        </w:rPr>
        <w:lastRenderedPageBreak/>
        <w:t xml:space="preserve">Similarly, where an amendment was proposed in Proposal M1011 (MRL </w:t>
      </w:r>
      <w:r w:rsidR="00275CF1" w:rsidRPr="00F85DCF">
        <w:rPr>
          <w:lang w:val="en-GB"/>
        </w:rPr>
        <w:t>h</w:t>
      </w:r>
      <w:r w:rsidRPr="00F85DCF">
        <w:rPr>
          <w:lang w:val="en-GB"/>
        </w:rPr>
        <w:t xml:space="preserve">armonisation </w:t>
      </w:r>
      <w:r w:rsidR="00275CF1" w:rsidRPr="00F85DCF">
        <w:rPr>
          <w:lang w:val="en-GB"/>
        </w:rPr>
        <w:t>r</w:t>
      </w:r>
      <w:r w:rsidRPr="00F85DCF">
        <w:rPr>
          <w:lang w:val="en-GB"/>
        </w:rPr>
        <w:t>equests for 2015) for a</w:t>
      </w:r>
      <w:r w:rsidR="007C6DEA" w:rsidRPr="00F85DCF">
        <w:rPr>
          <w:lang w:val="en-GB"/>
        </w:rPr>
        <w:t>n agvet</w:t>
      </w:r>
      <w:r w:rsidRPr="00F85DCF">
        <w:rPr>
          <w:lang w:val="en-GB"/>
        </w:rPr>
        <w:t xml:space="preserve"> chemical under consideration in P1027, this amendment was also considered in the screening and subsequent dietary exposure assessment process.</w:t>
      </w:r>
    </w:p>
    <w:p w14:paraId="3B2517CB" w14:textId="009E2E1B" w:rsidR="00B948EA" w:rsidRPr="00F85DCF" w:rsidRDefault="00275CF1" w:rsidP="00227DF3">
      <w:pPr>
        <w:pStyle w:val="Heading2"/>
      </w:pPr>
      <w:bookmarkStart w:id="11" w:name="_Toc448848074"/>
      <w:r w:rsidRPr="00F85DCF">
        <w:t>3.3</w:t>
      </w:r>
      <w:r w:rsidRPr="00F85DCF">
        <w:tab/>
      </w:r>
      <w:r w:rsidR="00DA2F95" w:rsidRPr="00F85DCF">
        <w:t>Health-</w:t>
      </w:r>
      <w:r w:rsidRPr="00F85DCF">
        <w:t>b</w:t>
      </w:r>
      <w:r w:rsidR="00DA2F95" w:rsidRPr="00F85DCF">
        <w:t xml:space="preserve">ased </w:t>
      </w:r>
      <w:r w:rsidRPr="00F85DCF">
        <w:t>g</w:t>
      </w:r>
      <w:r w:rsidR="00DA2F95" w:rsidRPr="00F85DCF">
        <w:t xml:space="preserve">uidance </w:t>
      </w:r>
      <w:r w:rsidRPr="00F85DCF">
        <w:t>v</w:t>
      </w:r>
      <w:r w:rsidR="00DA2F95" w:rsidRPr="00F85DCF">
        <w:t>alue</w:t>
      </w:r>
      <w:r w:rsidR="00504BEB" w:rsidRPr="00F85DCF">
        <w:t>s</w:t>
      </w:r>
      <w:bookmarkEnd w:id="11"/>
    </w:p>
    <w:p w14:paraId="44526F4E" w14:textId="17FFBA61" w:rsidR="006164A5" w:rsidRPr="00F85DCF" w:rsidRDefault="005F0D7D" w:rsidP="008F5EFD">
      <w:pPr>
        <w:rPr>
          <w:lang w:val="en-GB"/>
        </w:rPr>
      </w:pPr>
      <w:r w:rsidRPr="00F85DCF">
        <w:rPr>
          <w:lang w:val="en-GB"/>
        </w:rPr>
        <w:t>HBGVs were sourced from the Office of Chemical Safety whe</w:t>
      </w:r>
      <w:r w:rsidR="00132885" w:rsidRPr="00F85DCF">
        <w:rPr>
          <w:lang w:val="en-GB"/>
        </w:rPr>
        <w:t>re</w:t>
      </w:r>
      <w:r w:rsidR="00504BEB" w:rsidRPr="00F85DCF">
        <w:rPr>
          <w:lang w:val="en-GB"/>
        </w:rPr>
        <w:t xml:space="preserve"> possible</w:t>
      </w:r>
      <w:r w:rsidRPr="00F85DCF">
        <w:rPr>
          <w:lang w:val="en-GB"/>
        </w:rPr>
        <w:t xml:space="preserve">. </w:t>
      </w:r>
      <w:r w:rsidR="00132885" w:rsidRPr="00F85DCF">
        <w:rPr>
          <w:lang w:val="en-GB"/>
        </w:rPr>
        <w:t xml:space="preserve">However, since the establishment of </w:t>
      </w:r>
      <w:r w:rsidR="00504BEB" w:rsidRPr="00F85DCF">
        <w:rPr>
          <w:lang w:val="en-GB"/>
        </w:rPr>
        <w:t xml:space="preserve">ARfD values </w:t>
      </w:r>
      <w:r w:rsidR="00132885" w:rsidRPr="00F85DCF">
        <w:rPr>
          <w:lang w:val="en-GB"/>
        </w:rPr>
        <w:t xml:space="preserve">only became routine practice for the OCS in 2000 there are many older agvet chemicals for which no ARfD exists. In such cases the </w:t>
      </w:r>
      <w:r w:rsidR="0013481C" w:rsidRPr="00F85DCF">
        <w:rPr>
          <w:lang w:val="en-GB"/>
        </w:rPr>
        <w:t>HBGVs</w:t>
      </w:r>
      <w:r w:rsidRPr="00F85DCF">
        <w:rPr>
          <w:lang w:val="en-GB"/>
        </w:rPr>
        <w:t xml:space="preserve"> listed in the evaluations of pesticides performed by the Joint FAO/WHO Meeting on Pesticide Residues (JMPR) </w:t>
      </w:r>
      <w:r w:rsidR="007A07D2" w:rsidRPr="00F85DCF">
        <w:rPr>
          <w:lang w:val="en-GB"/>
        </w:rPr>
        <w:t>were</w:t>
      </w:r>
      <w:r w:rsidRPr="00F85DCF">
        <w:rPr>
          <w:lang w:val="en-GB"/>
        </w:rPr>
        <w:t xml:space="preserve"> used. </w:t>
      </w:r>
      <w:r w:rsidR="006164A5" w:rsidRPr="00F85DCF">
        <w:rPr>
          <w:lang w:val="en-GB"/>
        </w:rPr>
        <w:t xml:space="preserve">If no </w:t>
      </w:r>
      <w:r w:rsidR="00DA2F95" w:rsidRPr="00F85DCF">
        <w:rPr>
          <w:lang w:val="en-GB"/>
        </w:rPr>
        <w:t>HBGV</w:t>
      </w:r>
      <w:r w:rsidR="00A768C3" w:rsidRPr="00F85DCF">
        <w:rPr>
          <w:lang w:val="en-GB"/>
        </w:rPr>
        <w:t xml:space="preserve"> </w:t>
      </w:r>
      <w:r w:rsidR="007A07D2" w:rsidRPr="00F85DCF">
        <w:rPr>
          <w:lang w:val="en-GB"/>
        </w:rPr>
        <w:t>was</w:t>
      </w:r>
      <w:r w:rsidR="006164A5" w:rsidRPr="00F85DCF">
        <w:rPr>
          <w:lang w:val="en-GB"/>
        </w:rPr>
        <w:t xml:space="preserve"> available the </w:t>
      </w:r>
      <w:r w:rsidR="007B7ABA" w:rsidRPr="00F85DCF">
        <w:rPr>
          <w:lang w:val="en-GB"/>
        </w:rPr>
        <w:t>agvet</w:t>
      </w:r>
      <w:r w:rsidR="006164A5" w:rsidRPr="00F85DCF">
        <w:rPr>
          <w:lang w:val="en-GB"/>
        </w:rPr>
        <w:t xml:space="preserve"> chemical was </w:t>
      </w:r>
      <w:r w:rsidR="00CC2764" w:rsidRPr="00F85DCF">
        <w:rPr>
          <w:lang w:val="en-GB"/>
        </w:rPr>
        <w:t>excluded from</w:t>
      </w:r>
      <w:r w:rsidR="00411C60" w:rsidRPr="00F85DCF">
        <w:rPr>
          <w:lang w:val="en-GB"/>
        </w:rPr>
        <w:t xml:space="preserve"> </w:t>
      </w:r>
      <w:r w:rsidR="0008239E" w:rsidRPr="00F85DCF">
        <w:rPr>
          <w:lang w:val="en-GB"/>
        </w:rPr>
        <w:t xml:space="preserve">progressing to Stage </w:t>
      </w:r>
      <w:r w:rsidR="00411C60" w:rsidRPr="00F85DCF">
        <w:rPr>
          <w:lang w:val="en-GB"/>
        </w:rPr>
        <w:t>2</w:t>
      </w:r>
      <w:r w:rsidR="006164A5" w:rsidRPr="00F85DCF">
        <w:rPr>
          <w:lang w:val="en-GB"/>
        </w:rPr>
        <w:t xml:space="preserve">. Where an HBGV was available this was used </w:t>
      </w:r>
      <w:r w:rsidR="001457D1" w:rsidRPr="00F85DCF">
        <w:rPr>
          <w:lang w:val="en-GB"/>
        </w:rPr>
        <w:t xml:space="preserve">together with existing permissions, consumption data and analytical limits to produce a screening estimate of </w:t>
      </w:r>
      <w:r w:rsidR="00635407" w:rsidRPr="00F85DCF">
        <w:rPr>
          <w:lang w:val="en-GB"/>
        </w:rPr>
        <w:t xml:space="preserve">dietary exposure as a </w:t>
      </w:r>
      <w:r w:rsidR="001457D1" w:rsidRPr="00F85DCF">
        <w:rPr>
          <w:lang w:val="en-GB"/>
        </w:rPr>
        <w:t>%HBGV to assist with</w:t>
      </w:r>
      <w:r w:rsidR="00411C60" w:rsidRPr="00F85DCF">
        <w:rPr>
          <w:lang w:val="en-GB"/>
        </w:rPr>
        <w:t xml:space="preserve"> establishing which </w:t>
      </w:r>
      <w:r w:rsidR="00FC1F7D" w:rsidRPr="00F85DCF">
        <w:rPr>
          <w:lang w:val="en-GB"/>
        </w:rPr>
        <w:t xml:space="preserve">agvet </w:t>
      </w:r>
      <w:r w:rsidR="00411C60" w:rsidRPr="00F85DCF">
        <w:rPr>
          <w:lang w:val="en-GB"/>
        </w:rPr>
        <w:t xml:space="preserve">chemicals should be considered in </w:t>
      </w:r>
      <w:r w:rsidR="00635407" w:rsidRPr="00F85DCF">
        <w:rPr>
          <w:lang w:val="en-GB"/>
        </w:rPr>
        <w:t xml:space="preserve">Stage </w:t>
      </w:r>
      <w:r w:rsidR="00411C60" w:rsidRPr="00F85DCF">
        <w:rPr>
          <w:lang w:val="en-GB"/>
        </w:rPr>
        <w:t>2</w:t>
      </w:r>
      <w:r w:rsidR="001457D1" w:rsidRPr="00F85DCF">
        <w:rPr>
          <w:lang w:val="en-GB"/>
        </w:rPr>
        <w:t>.</w:t>
      </w:r>
    </w:p>
    <w:p w14:paraId="53909BFA" w14:textId="2A5D7B5D" w:rsidR="00B948EA" w:rsidRPr="00F85DCF" w:rsidRDefault="008F3A22" w:rsidP="00227DF3">
      <w:pPr>
        <w:pStyle w:val="Heading2"/>
      </w:pPr>
      <w:bookmarkStart w:id="12" w:name="_Toc448848075"/>
      <w:r w:rsidRPr="00F85DCF">
        <w:t>3.4</w:t>
      </w:r>
      <w:r w:rsidRPr="00F85DCF">
        <w:tab/>
      </w:r>
      <w:r w:rsidR="006764FF" w:rsidRPr="00F85DCF">
        <w:t>Food c</w:t>
      </w:r>
      <w:r w:rsidR="00B948EA" w:rsidRPr="00F85DCF">
        <w:t>onsumption data</w:t>
      </w:r>
      <w:bookmarkEnd w:id="12"/>
    </w:p>
    <w:p w14:paraId="467B22D6" w14:textId="06BA1BDF" w:rsidR="0036503D" w:rsidRPr="00F85DCF" w:rsidRDefault="00BE4BFB" w:rsidP="00BE4BFB">
      <w:pPr>
        <w:rPr>
          <w:lang w:val="en-GB"/>
        </w:rPr>
      </w:pPr>
      <w:r w:rsidRPr="00F85DCF">
        <w:rPr>
          <w:rFonts w:cs="Arial"/>
          <w:lang w:val="en-GB"/>
        </w:rPr>
        <w:t>Fo</w:t>
      </w:r>
      <w:r w:rsidR="00411C60" w:rsidRPr="00F85DCF">
        <w:rPr>
          <w:rFonts w:cs="Arial"/>
          <w:lang w:val="en-GB"/>
        </w:rPr>
        <w:t xml:space="preserve">od consumption data used for </w:t>
      </w:r>
      <w:r w:rsidR="00642F8D" w:rsidRPr="00F85DCF">
        <w:rPr>
          <w:rFonts w:cs="Arial"/>
          <w:lang w:val="en-GB"/>
        </w:rPr>
        <w:t>both Stage 1 and</w:t>
      </w:r>
      <w:r w:rsidR="00411C60" w:rsidRPr="00F85DCF" w:rsidDel="005159E6">
        <w:rPr>
          <w:rFonts w:cs="Arial"/>
          <w:lang w:val="en-GB"/>
        </w:rPr>
        <w:t xml:space="preserve"> </w:t>
      </w:r>
      <w:r w:rsidR="00EE5132" w:rsidRPr="00F85DCF">
        <w:rPr>
          <w:rFonts w:cs="Arial"/>
          <w:lang w:val="en-GB"/>
        </w:rPr>
        <w:t xml:space="preserve">Stage 2 </w:t>
      </w:r>
      <w:r w:rsidR="005159E6" w:rsidRPr="00F85DCF">
        <w:rPr>
          <w:rFonts w:cs="Arial"/>
          <w:lang w:val="en-GB"/>
        </w:rPr>
        <w:t>w</w:t>
      </w:r>
      <w:r w:rsidR="008C1398" w:rsidRPr="00F85DCF">
        <w:rPr>
          <w:rFonts w:cs="Arial"/>
          <w:lang w:val="en-GB"/>
        </w:rPr>
        <w:t>ere</w:t>
      </w:r>
      <w:r w:rsidR="005159E6" w:rsidRPr="00F85DCF">
        <w:rPr>
          <w:rFonts w:cs="Arial"/>
          <w:lang w:val="en-GB"/>
        </w:rPr>
        <w:t xml:space="preserve"> derived from </w:t>
      </w:r>
      <w:r w:rsidR="00411C60" w:rsidRPr="00F85DCF">
        <w:rPr>
          <w:rFonts w:cs="Arial"/>
          <w:lang w:val="en-GB"/>
        </w:rPr>
        <w:t xml:space="preserve">the </w:t>
      </w:r>
      <w:r w:rsidRPr="00F85DCF">
        <w:rPr>
          <w:lang w:val="en-GB"/>
        </w:rPr>
        <w:t>1995 Australian Nation</w:t>
      </w:r>
      <w:r w:rsidR="00411C60" w:rsidRPr="00F85DCF">
        <w:rPr>
          <w:lang w:val="en-GB"/>
        </w:rPr>
        <w:t>al Nutrition Survey (1995 NNS) and the 2</w:t>
      </w:r>
      <w:r w:rsidRPr="00F85DCF">
        <w:rPr>
          <w:lang w:val="en-GB"/>
        </w:rPr>
        <w:t>007 Australian National Children’s Nutritio</w:t>
      </w:r>
      <w:r w:rsidR="00DA2F95" w:rsidRPr="00F85DCF">
        <w:rPr>
          <w:lang w:val="en-GB"/>
        </w:rPr>
        <w:t>n and Physical Activity Survey</w:t>
      </w:r>
      <w:r w:rsidR="00B14D53" w:rsidRPr="00F85DCF">
        <w:rPr>
          <w:lang w:val="en-GB"/>
        </w:rPr>
        <w:t xml:space="preserve"> </w:t>
      </w:r>
      <w:r w:rsidRPr="00F85DCF">
        <w:rPr>
          <w:lang w:val="en-GB"/>
        </w:rPr>
        <w:t>(2007 ANCNPAS)</w:t>
      </w:r>
      <w:r w:rsidR="00106E24" w:rsidRPr="00F85DCF">
        <w:rPr>
          <w:lang w:val="en-GB"/>
        </w:rPr>
        <w:t>.</w:t>
      </w:r>
      <w:r w:rsidR="00DA2F95" w:rsidRPr="00F85DCF">
        <w:rPr>
          <w:lang w:val="en-GB"/>
        </w:rPr>
        <w:t xml:space="preserve"> </w:t>
      </w:r>
      <w:r w:rsidR="0044496C" w:rsidRPr="00F85DCF">
        <w:rPr>
          <w:lang w:val="en-GB"/>
        </w:rPr>
        <w:t>T</w:t>
      </w:r>
      <w:r w:rsidR="00B14D53" w:rsidRPr="00F85DCF">
        <w:rPr>
          <w:lang w:val="en-GB"/>
        </w:rPr>
        <w:t>he</w:t>
      </w:r>
      <w:r w:rsidRPr="00F85DCF">
        <w:rPr>
          <w:lang w:val="en-GB"/>
        </w:rPr>
        <w:t xml:space="preserve"> design of these two surveys varied somewhat and key attributes of each are set out in </w:t>
      </w:r>
      <w:r w:rsidR="00194598" w:rsidRPr="00F85DCF">
        <w:rPr>
          <w:lang w:val="en-GB"/>
        </w:rPr>
        <w:t xml:space="preserve">Appendix </w:t>
      </w:r>
      <w:r w:rsidR="001B5872" w:rsidRPr="00F85DCF">
        <w:rPr>
          <w:lang w:val="en-GB"/>
        </w:rPr>
        <w:t>A</w:t>
      </w:r>
      <w:r w:rsidR="008C1398" w:rsidRPr="00F85DCF">
        <w:rPr>
          <w:lang w:val="en-GB"/>
        </w:rPr>
        <w:t>5</w:t>
      </w:r>
      <w:r w:rsidRPr="00F85DCF">
        <w:rPr>
          <w:lang w:val="en-GB"/>
        </w:rPr>
        <w:t>.</w:t>
      </w:r>
      <w:r w:rsidR="005159E6" w:rsidRPr="00F85DCF">
        <w:rPr>
          <w:lang w:val="en-GB"/>
        </w:rPr>
        <w:t xml:space="preserve"> </w:t>
      </w:r>
      <w:r w:rsidR="00807576" w:rsidRPr="00F85DCF">
        <w:rPr>
          <w:lang w:val="en-GB"/>
        </w:rPr>
        <w:t xml:space="preserve">Mean total food consumption was derived for the entire population aged 2 years and above, and used as the basis for initial </w:t>
      </w:r>
      <w:r w:rsidR="00EE5132" w:rsidRPr="00F85DCF">
        <w:rPr>
          <w:lang w:val="en-GB"/>
        </w:rPr>
        <w:t xml:space="preserve">chronic </w:t>
      </w:r>
      <w:r w:rsidR="00745913" w:rsidRPr="00F85DCF">
        <w:rPr>
          <w:lang w:val="en-GB"/>
        </w:rPr>
        <w:t xml:space="preserve">dietary </w:t>
      </w:r>
      <w:r w:rsidR="00EE5132" w:rsidRPr="00F85DCF">
        <w:rPr>
          <w:lang w:val="en-GB"/>
        </w:rPr>
        <w:t xml:space="preserve">exposure </w:t>
      </w:r>
      <w:r w:rsidR="00CE1FDC" w:rsidRPr="00F85DCF">
        <w:rPr>
          <w:lang w:val="en-GB"/>
        </w:rPr>
        <w:t xml:space="preserve">estimates. </w:t>
      </w:r>
      <w:r w:rsidR="00EE5132" w:rsidRPr="00F85DCF">
        <w:rPr>
          <w:lang w:val="en-GB"/>
        </w:rPr>
        <w:t xml:space="preserve">A 'worst case' commodity high consumption </w:t>
      </w:r>
      <w:r w:rsidR="00BF55AF" w:rsidRPr="00F85DCF">
        <w:rPr>
          <w:lang w:val="en-GB"/>
        </w:rPr>
        <w:t xml:space="preserve">amount </w:t>
      </w:r>
      <w:r w:rsidR="00EE5132" w:rsidRPr="00F85DCF">
        <w:rPr>
          <w:lang w:val="en-GB"/>
        </w:rPr>
        <w:t>(97.5</w:t>
      </w:r>
      <w:r w:rsidR="00EE5132" w:rsidRPr="00F85DCF">
        <w:rPr>
          <w:vertAlign w:val="superscript"/>
          <w:lang w:val="en-GB"/>
        </w:rPr>
        <w:t>th</w:t>
      </w:r>
      <w:r w:rsidR="00EE5132" w:rsidRPr="00F85DCF">
        <w:rPr>
          <w:lang w:val="en-GB"/>
        </w:rPr>
        <w:t xml:space="preserve"> percentile</w:t>
      </w:r>
      <w:r w:rsidR="00BF55AF" w:rsidRPr="00F85DCF">
        <w:rPr>
          <w:lang w:val="en-GB"/>
        </w:rPr>
        <w:t xml:space="preserve"> for consumers of the commodity</w:t>
      </w:r>
      <w:r w:rsidR="00EE5132" w:rsidRPr="00F85DCF">
        <w:rPr>
          <w:lang w:val="en-GB"/>
        </w:rPr>
        <w:t>) was derived for the population aged 2 years and above</w:t>
      </w:r>
      <w:r w:rsidR="006764FF" w:rsidRPr="00F85DCF">
        <w:rPr>
          <w:lang w:val="en-GB"/>
        </w:rPr>
        <w:t>,</w:t>
      </w:r>
      <w:r w:rsidR="00EE5132" w:rsidRPr="00F85DCF">
        <w:rPr>
          <w:lang w:val="en-GB"/>
        </w:rPr>
        <w:t xml:space="preserve"> and for children aged 2</w:t>
      </w:r>
      <w:r w:rsidR="008F3A22" w:rsidRPr="00F85DCF">
        <w:rPr>
          <w:lang w:val="en-GB"/>
        </w:rPr>
        <w:sym w:font="Symbol" w:char="F02D"/>
      </w:r>
      <w:r w:rsidR="00EE5132" w:rsidRPr="00F85DCF">
        <w:rPr>
          <w:lang w:val="en-GB"/>
        </w:rPr>
        <w:t>6 years</w:t>
      </w:r>
      <w:r w:rsidR="000901B0" w:rsidRPr="00F85DCF">
        <w:rPr>
          <w:lang w:val="en-GB"/>
        </w:rPr>
        <w:t xml:space="preserve"> for</w:t>
      </w:r>
      <w:r w:rsidR="00EE5132" w:rsidRPr="00F85DCF">
        <w:rPr>
          <w:lang w:val="en-GB"/>
        </w:rPr>
        <w:t xml:space="preserve"> use </w:t>
      </w:r>
      <w:r w:rsidR="000901B0" w:rsidRPr="00F85DCF">
        <w:rPr>
          <w:lang w:val="en-GB"/>
        </w:rPr>
        <w:t>in the</w:t>
      </w:r>
      <w:r w:rsidR="00EE5132" w:rsidRPr="00F85DCF">
        <w:rPr>
          <w:lang w:val="en-GB"/>
        </w:rPr>
        <w:t xml:space="preserve"> initial acute </w:t>
      </w:r>
      <w:r w:rsidR="00745913" w:rsidRPr="00F85DCF">
        <w:rPr>
          <w:lang w:val="en-GB"/>
        </w:rPr>
        <w:t xml:space="preserve">dietary </w:t>
      </w:r>
      <w:r w:rsidR="00EE5132" w:rsidRPr="00F85DCF">
        <w:rPr>
          <w:lang w:val="en-GB"/>
        </w:rPr>
        <w:t>exposure estimates.</w:t>
      </w:r>
    </w:p>
    <w:p w14:paraId="77C668B6" w14:textId="77777777" w:rsidR="008F3A22" w:rsidRPr="00F85DCF" w:rsidRDefault="008F3A22" w:rsidP="00BE4BFB">
      <w:pPr>
        <w:rPr>
          <w:lang w:val="en-GB"/>
        </w:rPr>
      </w:pPr>
    </w:p>
    <w:p w14:paraId="168117B6" w14:textId="38AF3913" w:rsidR="006164A5" w:rsidRPr="00F85DCF" w:rsidRDefault="008F3A22" w:rsidP="00234708">
      <w:pPr>
        <w:pStyle w:val="Heading1"/>
      </w:pPr>
      <w:bookmarkStart w:id="13" w:name="_Stage_2:_Establishing"/>
      <w:bookmarkStart w:id="14" w:name="_Toc448848076"/>
      <w:bookmarkEnd w:id="13"/>
      <w:r w:rsidRPr="00F85DCF">
        <w:t>4</w:t>
      </w:r>
      <w:r w:rsidRPr="00F85DCF">
        <w:tab/>
      </w:r>
      <w:r w:rsidR="00B948EA" w:rsidRPr="00F85DCF">
        <w:t xml:space="preserve">Stage 2: </w:t>
      </w:r>
      <w:r w:rsidR="005B6306" w:rsidRPr="00F85DCF">
        <w:t xml:space="preserve">Establishing </w:t>
      </w:r>
      <w:r w:rsidR="009E3440" w:rsidRPr="00F85DCF">
        <w:rPr>
          <w:i/>
        </w:rPr>
        <w:t>A</w:t>
      </w:r>
      <w:r w:rsidR="005B6306" w:rsidRPr="00F85DCF">
        <w:rPr>
          <w:i/>
        </w:rPr>
        <w:t>ll other food</w:t>
      </w:r>
      <w:r w:rsidR="003212DB" w:rsidRPr="00F85DCF">
        <w:rPr>
          <w:i/>
        </w:rPr>
        <w:t>s</w:t>
      </w:r>
      <w:r w:rsidR="005B6306" w:rsidRPr="00F85DCF">
        <w:t xml:space="preserve"> </w:t>
      </w:r>
      <w:r w:rsidR="003212DB" w:rsidRPr="00F85DCF">
        <w:t xml:space="preserve">except animal </w:t>
      </w:r>
      <w:r w:rsidR="00D94403">
        <w:t xml:space="preserve">food </w:t>
      </w:r>
      <w:r w:rsidR="003212DB" w:rsidRPr="00F85DCF">
        <w:t xml:space="preserve">commodities </w:t>
      </w:r>
      <w:r w:rsidR="005B6306" w:rsidRPr="00F85DCF">
        <w:t xml:space="preserve">MRLs </w:t>
      </w:r>
      <w:r w:rsidR="00CE1FDC" w:rsidRPr="00F85DCF">
        <w:t>on a case-by-case basis</w:t>
      </w:r>
      <w:bookmarkEnd w:id="14"/>
      <w:r w:rsidR="005B6306" w:rsidRPr="00F85DCF">
        <w:t xml:space="preserve"> </w:t>
      </w:r>
    </w:p>
    <w:p w14:paraId="353C9342" w14:textId="2571A3CD" w:rsidR="00D8538E" w:rsidRPr="00F85DCF" w:rsidRDefault="008F3A22" w:rsidP="00227DF3">
      <w:pPr>
        <w:pStyle w:val="Heading2"/>
      </w:pPr>
      <w:bookmarkStart w:id="15" w:name="_Toc448848077"/>
      <w:r w:rsidRPr="00F85DCF">
        <w:t>4.1</w:t>
      </w:r>
      <w:r w:rsidRPr="00F85DCF">
        <w:tab/>
      </w:r>
      <w:r w:rsidR="006164A5" w:rsidRPr="00F85DCF">
        <w:t>Principles</w:t>
      </w:r>
      <w:bookmarkEnd w:id="15"/>
    </w:p>
    <w:p w14:paraId="3F688310" w14:textId="6DA6123D" w:rsidR="00147A8F" w:rsidRPr="00F85DCF" w:rsidRDefault="00192240" w:rsidP="00364CB6">
      <w:pPr>
        <w:rPr>
          <w:lang w:val="en-GB"/>
        </w:rPr>
      </w:pPr>
      <w:r w:rsidRPr="00F85DCF">
        <w:rPr>
          <w:lang w:val="en-GB"/>
        </w:rPr>
        <w:t xml:space="preserve">In consultation with the APVMA, FSANZ developed a number of principles to assist in determining </w:t>
      </w:r>
      <w:r w:rsidR="002D7726" w:rsidRPr="00F85DCF">
        <w:rPr>
          <w:lang w:val="en-GB"/>
        </w:rPr>
        <w:t xml:space="preserve">a </w:t>
      </w:r>
      <w:r w:rsidR="002C67EA" w:rsidRPr="00F85DCF">
        <w:rPr>
          <w:lang w:val="en-GB"/>
        </w:rPr>
        <w:t>consistent, appropriate and scientifically robust</w:t>
      </w:r>
      <w:r w:rsidRPr="00F85DCF">
        <w:rPr>
          <w:lang w:val="en-GB"/>
        </w:rPr>
        <w:t xml:space="preserve"> </w:t>
      </w:r>
      <w:r w:rsidR="006F22E7" w:rsidRPr="00F85DCF">
        <w:rPr>
          <w:lang w:val="en-GB"/>
        </w:rPr>
        <w:t xml:space="preserve">approach </w:t>
      </w:r>
      <w:r w:rsidR="002F3ACB" w:rsidRPr="00F85DCF">
        <w:rPr>
          <w:lang w:val="en-GB"/>
        </w:rPr>
        <w:t>that support</w:t>
      </w:r>
      <w:r w:rsidR="006F22E7" w:rsidRPr="00F85DCF">
        <w:rPr>
          <w:lang w:val="en-GB"/>
        </w:rPr>
        <w:t>ed</w:t>
      </w:r>
      <w:r w:rsidR="002F3ACB" w:rsidRPr="00F85DCF">
        <w:rPr>
          <w:lang w:val="en-GB"/>
        </w:rPr>
        <w:t xml:space="preserve"> good agricultural practice</w:t>
      </w:r>
      <w:r w:rsidRPr="00F85DCF">
        <w:rPr>
          <w:lang w:val="en-GB"/>
        </w:rPr>
        <w:t xml:space="preserve">. </w:t>
      </w:r>
      <w:r w:rsidR="00A16BD2" w:rsidRPr="00F85DCF">
        <w:rPr>
          <w:lang w:val="en-GB"/>
        </w:rPr>
        <w:t xml:space="preserve">The </w:t>
      </w:r>
      <w:r w:rsidR="008A32D2" w:rsidRPr="00F85DCF">
        <w:rPr>
          <w:i/>
          <w:lang w:val="en-GB"/>
        </w:rPr>
        <w:t>A</w:t>
      </w:r>
      <w:r w:rsidR="009A54AF" w:rsidRPr="00F85DCF">
        <w:rPr>
          <w:i/>
          <w:lang w:val="en-GB"/>
        </w:rPr>
        <w:t xml:space="preserve">ll other foods except animal </w:t>
      </w:r>
      <w:r w:rsidR="00D94403">
        <w:rPr>
          <w:i/>
          <w:lang w:val="en-GB"/>
        </w:rPr>
        <w:t xml:space="preserve">food </w:t>
      </w:r>
      <w:r w:rsidR="009A54AF" w:rsidRPr="00F85DCF">
        <w:rPr>
          <w:i/>
          <w:lang w:val="en-GB"/>
        </w:rPr>
        <w:t>commodities</w:t>
      </w:r>
      <w:r w:rsidR="006164A5" w:rsidRPr="00F85DCF">
        <w:rPr>
          <w:lang w:val="en-GB"/>
        </w:rPr>
        <w:t xml:space="preserve"> </w:t>
      </w:r>
      <w:r w:rsidR="00A16BD2" w:rsidRPr="00F85DCF">
        <w:rPr>
          <w:lang w:val="en-GB"/>
        </w:rPr>
        <w:t xml:space="preserve">MRLs proposed </w:t>
      </w:r>
      <w:r w:rsidR="006164A5" w:rsidRPr="00F85DCF">
        <w:rPr>
          <w:lang w:val="en-GB"/>
        </w:rPr>
        <w:t xml:space="preserve">are </w:t>
      </w:r>
      <w:r w:rsidR="00A16BD2" w:rsidRPr="00F85DCF">
        <w:rPr>
          <w:lang w:val="en-GB"/>
        </w:rPr>
        <w:t xml:space="preserve">underpinned by </w:t>
      </w:r>
      <w:r w:rsidR="009B69D6" w:rsidRPr="00F85DCF">
        <w:rPr>
          <w:lang w:val="en-GB"/>
        </w:rPr>
        <w:t>a</w:t>
      </w:r>
      <w:r w:rsidR="00D8538E" w:rsidRPr="00F85DCF">
        <w:rPr>
          <w:lang w:val="en-GB"/>
        </w:rPr>
        <w:t xml:space="preserve"> dietary exposure</w:t>
      </w:r>
      <w:r w:rsidR="009B69D6" w:rsidRPr="00F85DCF">
        <w:rPr>
          <w:lang w:val="en-GB"/>
        </w:rPr>
        <w:t xml:space="preserve"> assessment </w:t>
      </w:r>
      <w:r w:rsidR="00D8538E" w:rsidRPr="00F85DCF">
        <w:rPr>
          <w:lang w:val="en-GB"/>
        </w:rPr>
        <w:t>(DEA)</w:t>
      </w:r>
      <w:r w:rsidR="00176829" w:rsidRPr="00F85DCF">
        <w:rPr>
          <w:rStyle w:val="FootnoteReference"/>
          <w:lang w:val="en-GB"/>
        </w:rPr>
        <w:t xml:space="preserve"> </w:t>
      </w:r>
      <w:r w:rsidR="00176829" w:rsidRPr="00F85DCF">
        <w:rPr>
          <w:rStyle w:val="FootnoteReference"/>
          <w:lang w:val="en-GB"/>
        </w:rPr>
        <w:footnoteReference w:id="5"/>
      </w:r>
      <w:r w:rsidR="00D8538E" w:rsidRPr="00F85DCF">
        <w:rPr>
          <w:lang w:val="en-GB"/>
        </w:rPr>
        <w:t xml:space="preserve"> </w:t>
      </w:r>
      <w:r w:rsidR="009B69D6" w:rsidRPr="00F85DCF">
        <w:rPr>
          <w:lang w:val="en-GB"/>
        </w:rPr>
        <w:t>of the estimated chronic</w:t>
      </w:r>
      <w:r w:rsidR="0044496C" w:rsidRPr="00F85DCF">
        <w:rPr>
          <w:lang w:val="en-GB"/>
        </w:rPr>
        <w:t>, and where appropriate short term (acute)</w:t>
      </w:r>
      <w:r w:rsidR="009B69D6" w:rsidRPr="00F85DCF">
        <w:rPr>
          <w:lang w:val="en-GB"/>
        </w:rPr>
        <w:t xml:space="preserve"> dietary exposure to the </w:t>
      </w:r>
      <w:r w:rsidR="00B17333" w:rsidRPr="00F85DCF">
        <w:rPr>
          <w:lang w:val="en-GB"/>
        </w:rPr>
        <w:t xml:space="preserve">agvet </w:t>
      </w:r>
      <w:r w:rsidR="009B69D6" w:rsidRPr="00F85DCF">
        <w:rPr>
          <w:lang w:val="en-GB"/>
        </w:rPr>
        <w:t>chemical residue</w:t>
      </w:r>
      <w:r w:rsidR="002C67EA" w:rsidRPr="00F85DCF">
        <w:rPr>
          <w:lang w:val="en-GB"/>
        </w:rPr>
        <w:t xml:space="preserve"> from existing established</w:t>
      </w:r>
      <w:r w:rsidR="00CE1FDC" w:rsidRPr="00F85DCF">
        <w:rPr>
          <w:lang w:val="en-GB"/>
        </w:rPr>
        <w:t xml:space="preserve"> specific commodity</w:t>
      </w:r>
      <w:r w:rsidR="002C67EA" w:rsidRPr="00F85DCF">
        <w:rPr>
          <w:lang w:val="en-GB"/>
        </w:rPr>
        <w:t xml:space="preserve"> and proposed </w:t>
      </w:r>
      <w:r w:rsidR="008A32D2" w:rsidRPr="00F85DCF">
        <w:rPr>
          <w:rFonts w:cs="Arial"/>
          <w:i/>
          <w:lang w:val="en-GB" w:eastAsia="en-GB"/>
        </w:rPr>
        <w:t>A</w:t>
      </w:r>
      <w:r w:rsidR="00A20E5E" w:rsidRPr="00F85DCF">
        <w:rPr>
          <w:rFonts w:cs="Arial"/>
          <w:i/>
          <w:lang w:val="en-GB" w:eastAsia="en-GB"/>
        </w:rPr>
        <w:t xml:space="preserve">ll other foods except animal </w:t>
      </w:r>
      <w:r w:rsidR="00D94403">
        <w:rPr>
          <w:rFonts w:cs="Arial"/>
          <w:i/>
          <w:lang w:val="en-GB" w:eastAsia="en-GB"/>
        </w:rPr>
        <w:t xml:space="preserve">food </w:t>
      </w:r>
      <w:r w:rsidR="00A20E5E" w:rsidRPr="00F85DCF">
        <w:rPr>
          <w:rFonts w:cs="Arial"/>
          <w:i/>
          <w:lang w:val="en-GB" w:eastAsia="en-GB"/>
        </w:rPr>
        <w:t>commodities</w:t>
      </w:r>
      <w:r w:rsidR="00A20E5E" w:rsidRPr="00F85DCF">
        <w:rPr>
          <w:lang w:val="en-GB"/>
        </w:rPr>
        <w:t xml:space="preserve"> </w:t>
      </w:r>
      <w:r w:rsidR="002C67EA" w:rsidRPr="00F85DCF">
        <w:rPr>
          <w:lang w:val="en-GB"/>
        </w:rPr>
        <w:t>MRLs</w:t>
      </w:r>
      <w:r w:rsidR="0065315C" w:rsidRPr="00F85DCF">
        <w:rPr>
          <w:lang w:val="en-GB"/>
        </w:rPr>
        <w:t xml:space="preserve">. </w:t>
      </w:r>
      <w:r w:rsidR="00176829" w:rsidRPr="00F85DCF">
        <w:rPr>
          <w:lang w:val="en-GB"/>
        </w:rPr>
        <w:t>DEAs</w:t>
      </w:r>
      <w:r w:rsidR="0065315C" w:rsidRPr="00F85DCF">
        <w:rPr>
          <w:lang w:val="en-GB"/>
        </w:rPr>
        <w:t xml:space="preserve"> </w:t>
      </w:r>
      <w:r w:rsidR="006F22E7" w:rsidRPr="00F85DCF">
        <w:rPr>
          <w:lang w:val="en-GB"/>
        </w:rPr>
        <w:t xml:space="preserve">were </w:t>
      </w:r>
      <w:r w:rsidR="00A16BD2" w:rsidRPr="00F85DCF">
        <w:rPr>
          <w:lang w:val="en-GB"/>
        </w:rPr>
        <w:t xml:space="preserve">undertaken </w:t>
      </w:r>
      <w:r w:rsidR="009B69D6" w:rsidRPr="00F85DCF">
        <w:rPr>
          <w:lang w:val="en-GB"/>
        </w:rPr>
        <w:t xml:space="preserve">to confirm if estimated exposures </w:t>
      </w:r>
      <w:r w:rsidR="006F22E7" w:rsidRPr="00F85DCF">
        <w:rPr>
          <w:lang w:val="en-GB"/>
        </w:rPr>
        <w:t xml:space="preserve">were </w:t>
      </w:r>
      <w:r w:rsidR="007D6364" w:rsidRPr="00F85DCF">
        <w:rPr>
          <w:lang w:val="en-GB"/>
        </w:rPr>
        <w:t>less than</w:t>
      </w:r>
      <w:r w:rsidR="009B69D6" w:rsidRPr="00F85DCF">
        <w:rPr>
          <w:lang w:val="en-GB"/>
        </w:rPr>
        <w:t xml:space="preserve"> the relevant </w:t>
      </w:r>
      <w:r w:rsidR="0075067F" w:rsidRPr="00F85DCF">
        <w:rPr>
          <w:lang w:val="en-GB"/>
        </w:rPr>
        <w:t>HBGVs</w:t>
      </w:r>
      <w:r w:rsidR="00F34FA8" w:rsidRPr="00F85DCF">
        <w:rPr>
          <w:lang w:val="en-GB"/>
        </w:rPr>
        <w:t xml:space="preserve"> </w:t>
      </w:r>
      <w:r w:rsidR="009B69D6" w:rsidRPr="00F85DCF">
        <w:rPr>
          <w:lang w:val="en-GB"/>
        </w:rPr>
        <w:t xml:space="preserve">for the </w:t>
      </w:r>
      <w:r w:rsidR="00792E20" w:rsidRPr="00F85DCF">
        <w:rPr>
          <w:lang w:val="en-GB"/>
        </w:rPr>
        <w:t xml:space="preserve">agvet </w:t>
      </w:r>
      <w:r w:rsidR="009B69D6" w:rsidRPr="00F85DCF">
        <w:rPr>
          <w:lang w:val="en-GB"/>
        </w:rPr>
        <w:t>chemical</w:t>
      </w:r>
      <w:r w:rsidR="006164A5" w:rsidRPr="00F85DCF">
        <w:rPr>
          <w:lang w:val="en-GB"/>
        </w:rPr>
        <w:t xml:space="preserve"> </w:t>
      </w:r>
      <w:r w:rsidR="00EE5132" w:rsidRPr="00F85DCF">
        <w:rPr>
          <w:lang w:val="en-GB"/>
        </w:rPr>
        <w:t>r</w:t>
      </w:r>
      <w:r w:rsidR="006164A5" w:rsidRPr="00F85DCF">
        <w:rPr>
          <w:lang w:val="en-GB"/>
        </w:rPr>
        <w:t>esidue</w:t>
      </w:r>
      <w:r w:rsidR="007D6364" w:rsidRPr="00F85DCF">
        <w:rPr>
          <w:lang w:val="en-GB"/>
        </w:rPr>
        <w:t xml:space="preserve"> and are protective of the health and safety of the Australian population</w:t>
      </w:r>
      <w:r w:rsidR="009B69D6" w:rsidRPr="00F85DCF">
        <w:rPr>
          <w:lang w:val="en-GB"/>
        </w:rPr>
        <w:t xml:space="preserve">. </w:t>
      </w:r>
    </w:p>
    <w:p w14:paraId="72EB39F1" w14:textId="47BE4F8B" w:rsidR="00D810D5" w:rsidRPr="00F85DCF" w:rsidRDefault="00D810D5" w:rsidP="009B69D6">
      <w:pPr>
        <w:rPr>
          <w:lang w:val="en-GB"/>
        </w:rPr>
      </w:pPr>
    </w:p>
    <w:p w14:paraId="2C14C0B3" w14:textId="0C5FDF56" w:rsidR="00D8538E" w:rsidRPr="00F85DCF" w:rsidRDefault="00D95C46" w:rsidP="00D8538E">
      <w:pPr>
        <w:rPr>
          <w:lang w:val="en-GB"/>
        </w:rPr>
      </w:pPr>
      <w:r w:rsidRPr="00F85DCF">
        <w:rPr>
          <w:lang w:val="en-GB"/>
        </w:rPr>
        <w:t xml:space="preserve">The establishment of the proposed </w:t>
      </w:r>
      <w:r w:rsidR="008A32D2" w:rsidRPr="00F85DCF">
        <w:rPr>
          <w:i/>
          <w:lang w:val="en-GB"/>
        </w:rPr>
        <w:t>A</w:t>
      </w:r>
      <w:r w:rsidR="00C1346C" w:rsidRPr="00F85DCF">
        <w:rPr>
          <w:i/>
          <w:lang w:val="en-GB"/>
        </w:rPr>
        <w:t xml:space="preserve">ll other foods except animal </w:t>
      </w:r>
      <w:r w:rsidR="00D94403">
        <w:rPr>
          <w:i/>
          <w:lang w:val="en-GB"/>
        </w:rPr>
        <w:t xml:space="preserve">food </w:t>
      </w:r>
      <w:r w:rsidR="00C1346C" w:rsidRPr="00F85DCF">
        <w:rPr>
          <w:i/>
          <w:lang w:val="en-GB"/>
        </w:rPr>
        <w:t>commodities</w:t>
      </w:r>
      <w:r w:rsidR="00BE5E05" w:rsidRPr="00F85DCF">
        <w:rPr>
          <w:lang w:val="en-GB"/>
        </w:rPr>
        <w:t xml:space="preserve"> </w:t>
      </w:r>
      <w:r w:rsidRPr="00F85DCF">
        <w:rPr>
          <w:lang w:val="en-GB"/>
        </w:rPr>
        <w:t xml:space="preserve">MRLs </w:t>
      </w:r>
      <w:r w:rsidR="00DB0D79" w:rsidRPr="00F85DCF">
        <w:rPr>
          <w:lang w:val="en-GB"/>
        </w:rPr>
        <w:t xml:space="preserve">for each agvet chemical </w:t>
      </w:r>
      <w:r w:rsidR="00D8538E" w:rsidRPr="00F85DCF">
        <w:rPr>
          <w:lang w:val="en-GB"/>
        </w:rPr>
        <w:t>follow</w:t>
      </w:r>
      <w:r w:rsidR="00BE5E05" w:rsidRPr="00F85DCF">
        <w:rPr>
          <w:lang w:val="en-GB"/>
        </w:rPr>
        <w:t>ed</w:t>
      </w:r>
      <w:r w:rsidR="00D8538E" w:rsidRPr="00F85DCF">
        <w:rPr>
          <w:lang w:val="en-GB"/>
        </w:rPr>
        <w:t xml:space="preserve"> these principles:</w:t>
      </w:r>
    </w:p>
    <w:p w14:paraId="70708FAD" w14:textId="77777777" w:rsidR="008F3A22" w:rsidRPr="00F85DCF" w:rsidRDefault="008F3A22" w:rsidP="00D8538E">
      <w:pPr>
        <w:rPr>
          <w:lang w:val="en-GB"/>
        </w:rPr>
      </w:pPr>
    </w:p>
    <w:p w14:paraId="013BDEFA" w14:textId="60143C2F" w:rsidR="00420F9C" w:rsidRDefault="008F3A22" w:rsidP="008F3A22">
      <w:pPr>
        <w:pStyle w:val="FSBullet1"/>
        <w:rPr>
          <w:lang w:val="en-GB"/>
        </w:rPr>
      </w:pPr>
      <w:r w:rsidRPr="00F85DCF">
        <w:rPr>
          <w:lang w:val="en-GB"/>
        </w:rPr>
        <w:t>a</w:t>
      </w:r>
      <w:r w:rsidR="00364CB6" w:rsidRPr="00F85DCF">
        <w:rPr>
          <w:lang w:val="en-GB"/>
        </w:rPr>
        <w:t xml:space="preserve">nimal </w:t>
      </w:r>
      <w:r w:rsidR="004F388B">
        <w:rPr>
          <w:lang w:val="en-GB"/>
        </w:rPr>
        <w:t xml:space="preserve">food </w:t>
      </w:r>
      <w:r w:rsidR="00364CB6" w:rsidRPr="00F85DCF">
        <w:rPr>
          <w:lang w:val="en-GB"/>
        </w:rPr>
        <w:t xml:space="preserve">commodities are excluded from the proposed </w:t>
      </w:r>
      <w:r w:rsidR="003D79AC" w:rsidRPr="00F85DCF">
        <w:rPr>
          <w:i/>
          <w:lang w:val="en-GB"/>
        </w:rPr>
        <w:t>A</w:t>
      </w:r>
      <w:r w:rsidR="0003601D" w:rsidRPr="00F85DCF">
        <w:rPr>
          <w:i/>
          <w:lang w:val="en-GB"/>
        </w:rPr>
        <w:t>ll other fo</w:t>
      </w:r>
      <w:r w:rsidR="00610C83" w:rsidRPr="00F85DCF">
        <w:rPr>
          <w:i/>
          <w:lang w:val="en-GB"/>
        </w:rPr>
        <w:t xml:space="preserve">ods </w:t>
      </w:r>
      <w:r w:rsidR="0003601D" w:rsidRPr="00F85DCF">
        <w:rPr>
          <w:i/>
          <w:lang w:val="en-GB"/>
        </w:rPr>
        <w:t xml:space="preserve">except animal </w:t>
      </w:r>
      <w:r w:rsidR="00D94403">
        <w:rPr>
          <w:i/>
          <w:lang w:val="en-GB"/>
        </w:rPr>
        <w:t xml:space="preserve">food </w:t>
      </w:r>
      <w:r w:rsidR="0003601D" w:rsidRPr="00F85DCF">
        <w:rPr>
          <w:i/>
          <w:lang w:val="en-GB"/>
        </w:rPr>
        <w:t>commodities</w:t>
      </w:r>
      <w:r w:rsidR="00364CB6" w:rsidRPr="00F85DCF" w:rsidDel="007A07D2">
        <w:rPr>
          <w:lang w:val="en-GB"/>
        </w:rPr>
        <w:t xml:space="preserve"> MRL</w:t>
      </w:r>
      <w:r w:rsidR="00420F9C">
        <w:rPr>
          <w:lang w:val="en-GB"/>
        </w:rPr>
        <w:br w:type="page"/>
      </w:r>
    </w:p>
    <w:p w14:paraId="3AF97DA4" w14:textId="1765E5E3" w:rsidR="00095D4F" w:rsidRPr="00F85DCF" w:rsidRDefault="00095D4F" w:rsidP="00095D4F">
      <w:pPr>
        <w:pStyle w:val="FSBullet1"/>
        <w:rPr>
          <w:lang w:val="en-GB"/>
        </w:rPr>
      </w:pPr>
      <w:r w:rsidRPr="00F85DCF">
        <w:rPr>
          <w:lang w:val="en-GB"/>
        </w:rPr>
        <w:lastRenderedPageBreak/>
        <w:t xml:space="preserve">incorporates </w:t>
      </w:r>
      <w:r w:rsidRPr="00F85DCF">
        <w:rPr>
          <w:i/>
          <w:lang w:val="en-GB"/>
        </w:rPr>
        <w:t>Supervised Trial Median Residue</w:t>
      </w:r>
      <w:r w:rsidRPr="00F85DCF">
        <w:rPr>
          <w:lang w:val="en-GB"/>
        </w:rPr>
        <w:t xml:space="preserve"> (STMR) data when available </w:t>
      </w:r>
      <w:r w:rsidR="00492F50">
        <w:rPr>
          <w:lang w:val="en-GB"/>
        </w:rPr>
        <w:t>or</w:t>
      </w:r>
      <w:r w:rsidR="00621DC2">
        <w:rPr>
          <w:lang w:val="en-GB"/>
        </w:rPr>
        <w:t xml:space="preserve"> </w:t>
      </w:r>
      <w:r w:rsidRPr="00F85DCF">
        <w:rPr>
          <w:lang w:val="en-GB"/>
        </w:rPr>
        <w:t>otherwise existing commodity MRLs in the estimated DEA.</w:t>
      </w:r>
    </w:p>
    <w:p w14:paraId="36E7591E" w14:textId="760ABEF5" w:rsidR="00621DC2" w:rsidRPr="00F85DCF" w:rsidRDefault="00621DC2" w:rsidP="00621DC2">
      <w:pPr>
        <w:pStyle w:val="FSBullet1"/>
        <w:rPr>
          <w:lang w:val="en-GB"/>
        </w:rPr>
      </w:pPr>
      <w:r w:rsidRPr="00F85DCF">
        <w:rPr>
          <w:lang w:val="en-GB"/>
        </w:rPr>
        <w:t xml:space="preserve">the percentage contribution of </w:t>
      </w:r>
      <w:r w:rsidRPr="00F85DCF">
        <w:rPr>
          <w:i/>
          <w:lang w:val="en-GB"/>
        </w:rPr>
        <w:t xml:space="preserve">All other foods except animal </w:t>
      </w:r>
      <w:r w:rsidR="00D94403">
        <w:rPr>
          <w:i/>
          <w:lang w:val="en-GB"/>
        </w:rPr>
        <w:t xml:space="preserve">food </w:t>
      </w:r>
      <w:r w:rsidRPr="00F85DCF">
        <w:rPr>
          <w:i/>
          <w:lang w:val="en-GB"/>
        </w:rPr>
        <w:t>commodities</w:t>
      </w:r>
      <w:r w:rsidRPr="00F85DCF">
        <w:rPr>
          <w:lang w:val="en-GB"/>
        </w:rPr>
        <w:t xml:space="preserve"> to estimated total chronic dietary exposure is less than 20% at the time of proposing the MRL. </w:t>
      </w:r>
    </w:p>
    <w:p w14:paraId="55518205" w14:textId="3AE22980" w:rsidR="00DB0D79" w:rsidRPr="00F85DCF" w:rsidRDefault="008F3A22" w:rsidP="008F3A22">
      <w:pPr>
        <w:pStyle w:val="FSBullet1"/>
        <w:rPr>
          <w:lang w:val="en-GB"/>
        </w:rPr>
      </w:pPr>
      <w:r w:rsidRPr="00F85DCF">
        <w:rPr>
          <w:lang w:val="en-GB"/>
        </w:rPr>
        <w:t>d</w:t>
      </w:r>
      <w:r w:rsidR="00DB0D79" w:rsidRPr="00F85DCF">
        <w:rPr>
          <w:lang w:val="en-GB"/>
        </w:rPr>
        <w:t>efault values</w:t>
      </w:r>
      <w:r w:rsidR="008B564F" w:rsidRPr="00F85DCF">
        <w:rPr>
          <w:lang w:val="en-GB"/>
        </w:rPr>
        <w:t xml:space="preserve"> may not be adopted</w:t>
      </w:r>
    </w:p>
    <w:p w14:paraId="388E0CF7" w14:textId="7FA1CCD8" w:rsidR="00251BAF" w:rsidRPr="00F85DCF" w:rsidRDefault="008F3A22" w:rsidP="008F3A22">
      <w:pPr>
        <w:pStyle w:val="FSBullet1"/>
        <w:rPr>
          <w:lang w:val="en-GB"/>
        </w:rPr>
      </w:pPr>
      <w:r w:rsidRPr="00F85DCF">
        <w:rPr>
          <w:lang w:val="en-GB"/>
        </w:rPr>
        <w:t>n</w:t>
      </w:r>
      <w:r w:rsidR="00D8538E" w:rsidRPr="00F85DCF">
        <w:rPr>
          <w:lang w:val="en-GB"/>
        </w:rPr>
        <w:t>eeds</w:t>
      </w:r>
      <w:r w:rsidR="00D8538E" w:rsidRPr="00F85DCF" w:rsidDel="00DB5E0A">
        <w:rPr>
          <w:lang w:val="en-GB"/>
        </w:rPr>
        <w:t xml:space="preserve"> to </w:t>
      </w:r>
      <w:r w:rsidR="00D8538E" w:rsidRPr="00F85DCF">
        <w:rPr>
          <w:lang w:val="en-GB"/>
        </w:rPr>
        <w:t xml:space="preserve">allow for </w:t>
      </w:r>
      <w:r w:rsidR="004F76AA" w:rsidRPr="00F85DCF" w:rsidDel="00DB5E0A">
        <w:rPr>
          <w:lang w:val="en-GB"/>
        </w:rPr>
        <w:t>inadvertent</w:t>
      </w:r>
      <w:r w:rsidR="00D8538E" w:rsidRPr="00F85DCF" w:rsidDel="00DB5E0A">
        <w:rPr>
          <w:lang w:val="en-GB"/>
        </w:rPr>
        <w:t xml:space="preserve"> </w:t>
      </w:r>
      <w:r w:rsidR="00D8538E" w:rsidRPr="00F85DCF">
        <w:rPr>
          <w:lang w:val="en-GB"/>
        </w:rPr>
        <w:t xml:space="preserve">presence of </w:t>
      </w:r>
      <w:r w:rsidR="00031697" w:rsidRPr="00F85DCF">
        <w:rPr>
          <w:lang w:val="en-GB"/>
        </w:rPr>
        <w:t xml:space="preserve">the </w:t>
      </w:r>
      <w:r w:rsidR="007B7ABA" w:rsidRPr="00F85DCF">
        <w:rPr>
          <w:lang w:val="en-GB"/>
        </w:rPr>
        <w:t>agvet</w:t>
      </w:r>
      <w:r w:rsidR="00D8538E" w:rsidRPr="00F85DCF" w:rsidDel="00920693">
        <w:rPr>
          <w:lang w:val="en-GB"/>
        </w:rPr>
        <w:t xml:space="preserve"> </w:t>
      </w:r>
      <w:r w:rsidR="00920693" w:rsidRPr="00F85DCF">
        <w:rPr>
          <w:lang w:val="en-GB"/>
        </w:rPr>
        <w:t xml:space="preserve">chemical </w:t>
      </w:r>
      <w:r w:rsidR="00D8538E" w:rsidRPr="00F85DCF">
        <w:rPr>
          <w:lang w:val="en-GB"/>
        </w:rPr>
        <w:t>residues in a food commodity</w:t>
      </w:r>
    </w:p>
    <w:p w14:paraId="3B135286" w14:textId="16854FDA" w:rsidR="00307A3F" w:rsidRPr="00F85DCF" w:rsidRDefault="008F3A22" w:rsidP="008F3A22">
      <w:pPr>
        <w:pStyle w:val="FSBullet1"/>
        <w:rPr>
          <w:lang w:val="en-GB"/>
        </w:rPr>
      </w:pPr>
      <w:r w:rsidRPr="00F85DCF">
        <w:rPr>
          <w:lang w:val="en-GB"/>
        </w:rPr>
        <w:t>n</w:t>
      </w:r>
      <w:r w:rsidR="00251BAF" w:rsidRPr="00F85DCF">
        <w:rPr>
          <w:lang w:val="en-GB"/>
        </w:rPr>
        <w:t xml:space="preserve">eeds to </w:t>
      </w:r>
      <w:r w:rsidR="00BE5E05" w:rsidRPr="00F85DCF">
        <w:rPr>
          <w:lang w:val="en-GB"/>
        </w:rPr>
        <w:t xml:space="preserve">minimise </w:t>
      </w:r>
      <w:r w:rsidR="00DB5E0A" w:rsidRPr="00F85DCF">
        <w:rPr>
          <w:lang w:val="en-GB"/>
        </w:rPr>
        <w:t xml:space="preserve">potential </w:t>
      </w:r>
      <w:r w:rsidR="00251BAF" w:rsidRPr="00F85DCF">
        <w:rPr>
          <w:lang w:val="en-GB"/>
        </w:rPr>
        <w:t>off-label use</w:t>
      </w:r>
    </w:p>
    <w:p w14:paraId="0B9E1E9A" w14:textId="77113DE7" w:rsidR="000C3C8F" w:rsidRPr="00F85DCF" w:rsidRDefault="008F3A22" w:rsidP="00227DF3">
      <w:pPr>
        <w:pStyle w:val="Heading2"/>
      </w:pPr>
      <w:bookmarkStart w:id="16" w:name="_Toc448848078"/>
      <w:r w:rsidRPr="00F85DCF">
        <w:t>4.2</w:t>
      </w:r>
      <w:r w:rsidRPr="00F85DCF">
        <w:tab/>
      </w:r>
      <w:r w:rsidR="000C3C8F" w:rsidRPr="00F85DCF">
        <w:t xml:space="preserve">Lowest concentration at which an </w:t>
      </w:r>
      <w:r w:rsidR="00980079" w:rsidRPr="00F85DCF">
        <w:rPr>
          <w:i/>
        </w:rPr>
        <w:t>A</w:t>
      </w:r>
      <w:r w:rsidR="00FB7BB1" w:rsidRPr="00F85DCF">
        <w:rPr>
          <w:i/>
        </w:rPr>
        <w:t xml:space="preserve">ll other foods </w:t>
      </w:r>
      <w:r w:rsidR="0003601D" w:rsidRPr="00F85DCF">
        <w:rPr>
          <w:i/>
        </w:rPr>
        <w:t xml:space="preserve">except animal </w:t>
      </w:r>
      <w:r w:rsidR="00D94403">
        <w:rPr>
          <w:i/>
        </w:rPr>
        <w:t xml:space="preserve">food </w:t>
      </w:r>
      <w:r w:rsidR="0003601D" w:rsidRPr="00F85DCF">
        <w:rPr>
          <w:i/>
        </w:rPr>
        <w:t>commodities</w:t>
      </w:r>
      <w:r w:rsidR="00FB7BB1" w:rsidRPr="00F85DCF">
        <w:t xml:space="preserve"> </w:t>
      </w:r>
      <w:r w:rsidR="000C3C8F" w:rsidRPr="00F85DCF">
        <w:t>MRL can be set</w:t>
      </w:r>
      <w:bookmarkEnd w:id="16"/>
    </w:p>
    <w:p w14:paraId="267EA1FD" w14:textId="006FDA30" w:rsidR="000C3C8F" w:rsidRPr="00F85DCF" w:rsidRDefault="00CB3D6D" w:rsidP="00A227CB">
      <w:pPr>
        <w:rPr>
          <w:lang w:val="en-GB"/>
        </w:rPr>
      </w:pPr>
      <w:r w:rsidRPr="00F85DCF">
        <w:rPr>
          <w:lang w:val="en-GB"/>
        </w:rPr>
        <w:t xml:space="preserve">When proposing an </w:t>
      </w:r>
      <w:r w:rsidR="008A32D2" w:rsidRPr="00F85DCF">
        <w:rPr>
          <w:i/>
          <w:lang w:val="en-GB"/>
        </w:rPr>
        <w:t>A</w:t>
      </w:r>
      <w:r w:rsidR="00FB7BB1"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Pr="00F85DCF">
        <w:rPr>
          <w:lang w:val="en-GB"/>
        </w:rPr>
        <w:t xml:space="preserve"> MRL the magnitude of existing commodity MRLs was taken into consideration. </w:t>
      </w:r>
      <w:r w:rsidR="00956468" w:rsidRPr="00F85DCF">
        <w:rPr>
          <w:lang w:val="en-GB"/>
        </w:rPr>
        <w:t>The</w:t>
      </w:r>
      <w:r w:rsidRPr="00F85DCF">
        <w:rPr>
          <w:lang w:val="en-GB"/>
        </w:rPr>
        <w:t xml:space="preserve"> </w:t>
      </w:r>
      <w:r w:rsidR="00956468" w:rsidRPr="00F85DCF">
        <w:rPr>
          <w:i/>
          <w:lang w:val="en-GB"/>
        </w:rPr>
        <w:t>A</w:t>
      </w:r>
      <w:r w:rsidR="00F512F7"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w:t>
      </w:r>
      <w:r w:rsidR="00F512F7" w:rsidRPr="00F85DCF">
        <w:rPr>
          <w:i/>
          <w:lang w:val="en-GB"/>
        </w:rPr>
        <w:t>s</w:t>
      </w:r>
      <w:r w:rsidRPr="00F85DCF">
        <w:rPr>
          <w:lang w:val="en-GB"/>
        </w:rPr>
        <w:t xml:space="preserve"> MRL should also be low enough to prevent off label use and high enough to allow for </w:t>
      </w:r>
      <w:r w:rsidR="004F76AA" w:rsidRPr="00F85DCF">
        <w:rPr>
          <w:lang w:val="en-GB" w:eastAsia="en-AU"/>
        </w:rPr>
        <w:t>inadvertent</w:t>
      </w:r>
      <w:r w:rsidRPr="00F85DCF">
        <w:rPr>
          <w:lang w:val="en-GB"/>
        </w:rPr>
        <w:t xml:space="preserve"> presence of the </w:t>
      </w:r>
      <w:r w:rsidR="00EC0CC1" w:rsidRPr="00F85DCF">
        <w:rPr>
          <w:lang w:val="en-GB"/>
        </w:rPr>
        <w:t xml:space="preserve">agvet </w:t>
      </w:r>
      <w:r w:rsidRPr="00F85DCF">
        <w:rPr>
          <w:lang w:val="en-GB"/>
        </w:rPr>
        <w:t xml:space="preserve">chemical. </w:t>
      </w:r>
      <w:r w:rsidR="000C3C8F" w:rsidRPr="00F85DCF">
        <w:rPr>
          <w:lang w:val="en-GB"/>
        </w:rPr>
        <w:t xml:space="preserve">A range of </w:t>
      </w:r>
      <w:r w:rsidR="007B7ABA" w:rsidRPr="00F85DCF">
        <w:rPr>
          <w:lang w:val="en-GB"/>
        </w:rPr>
        <w:t>agvet</w:t>
      </w:r>
      <w:r w:rsidR="000C3C8F" w:rsidRPr="00F85DCF">
        <w:rPr>
          <w:lang w:val="en-GB"/>
        </w:rPr>
        <w:t xml:space="preserve"> chemicals currently have existing </w:t>
      </w:r>
      <w:r w:rsidRPr="00F85DCF">
        <w:rPr>
          <w:lang w:val="en-GB"/>
        </w:rPr>
        <w:t xml:space="preserve">plant and/or animal commodity </w:t>
      </w:r>
      <w:r w:rsidR="000C3C8F" w:rsidRPr="00F85DCF">
        <w:rPr>
          <w:lang w:val="en-GB"/>
        </w:rPr>
        <w:t xml:space="preserve">MRLs set at the </w:t>
      </w:r>
      <w:r w:rsidR="00240BF4" w:rsidRPr="00F85DCF">
        <w:rPr>
          <w:lang w:val="en-GB"/>
        </w:rPr>
        <w:t>Limit of Determination</w:t>
      </w:r>
      <w:r w:rsidR="00240BF4" w:rsidRPr="00F85DCF">
        <w:rPr>
          <w:rStyle w:val="FootnoteReference"/>
          <w:lang w:val="en-GB"/>
        </w:rPr>
        <w:footnoteReference w:id="6"/>
      </w:r>
      <w:r w:rsidRPr="00F85DCF">
        <w:rPr>
          <w:lang w:val="en-GB"/>
        </w:rPr>
        <w:t xml:space="preserve">. </w:t>
      </w:r>
      <w:r w:rsidR="008A4513" w:rsidRPr="00F85DCF">
        <w:rPr>
          <w:lang w:val="en-GB"/>
        </w:rPr>
        <w:t xml:space="preserve">The </w:t>
      </w:r>
      <w:r w:rsidR="00C54189" w:rsidRPr="00F85DCF">
        <w:rPr>
          <w:lang w:val="en-GB"/>
        </w:rPr>
        <w:t>Limits</w:t>
      </w:r>
      <w:r w:rsidR="00240BF4" w:rsidRPr="00F85DCF">
        <w:rPr>
          <w:lang w:val="en-GB"/>
        </w:rPr>
        <w:t xml:space="preserve"> of Determination </w:t>
      </w:r>
      <w:r w:rsidR="008A4513" w:rsidRPr="00F85DCF">
        <w:rPr>
          <w:lang w:val="en-GB"/>
        </w:rPr>
        <w:t xml:space="preserve">for animal </w:t>
      </w:r>
      <w:r w:rsidR="002B23B9">
        <w:rPr>
          <w:lang w:val="en-GB"/>
        </w:rPr>
        <w:t xml:space="preserve">food </w:t>
      </w:r>
      <w:r w:rsidR="008A4513" w:rsidRPr="00F85DCF">
        <w:rPr>
          <w:lang w:val="en-GB"/>
        </w:rPr>
        <w:t xml:space="preserve">commodities are not relevant because </w:t>
      </w:r>
      <w:r w:rsidR="006F22E7" w:rsidRPr="00F85DCF">
        <w:rPr>
          <w:lang w:val="en-GB"/>
        </w:rPr>
        <w:t xml:space="preserve">these commodities </w:t>
      </w:r>
      <w:r w:rsidR="008A4513" w:rsidRPr="00F85DCF">
        <w:rPr>
          <w:lang w:val="en-GB"/>
        </w:rPr>
        <w:t xml:space="preserve">are exempted from </w:t>
      </w:r>
      <w:r w:rsidR="008A32D2" w:rsidRPr="00F85DCF">
        <w:rPr>
          <w:i/>
          <w:lang w:val="en-GB"/>
        </w:rPr>
        <w:t>A</w:t>
      </w:r>
      <w:r w:rsidR="006C721B"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8A4513" w:rsidRPr="00F85DCF">
        <w:rPr>
          <w:lang w:val="en-GB"/>
        </w:rPr>
        <w:t xml:space="preserve"> MRLs. </w:t>
      </w:r>
      <w:r w:rsidR="000C3C8F" w:rsidRPr="00F85DCF">
        <w:rPr>
          <w:lang w:val="en-GB"/>
        </w:rPr>
        <w:t xml:space="preserve">While the </w:t>
      </w:r>
      <w:r w:rsidR="00240BF4" w:rsidRPr="00F85DCF">
        <w:rPr>
          <w:lang w:val="en-GB"/>
        </w:rPr>
        <w:t xml:space="preserve">Limit of Determination </w:t>
      </w:r>
      <w:r w:rsidR="000C3C8F" w:rsidRPr="00F85DCF">
        <w:rPr>
          <w:lang w:val="en-GB"/>
        </w:rPr>
        <w:t xml:space="preserve">is the lowest MRL at which an </w:t>
      </w:r>
      <w:r w:rsidR="00956468" w:rsidRPr="00F85DCF">
        <w:rPr>
          <w:i/>
          <w:lang w:val="en-GB"/>
        </w:rPr>
        <w:t>A</w:t>
      </w:r>
      <w:r w:rsidR="001F4112"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000C3C8F" w:rsidRPr="00F85DCF">
        <w:rPr>
          <w:lang w:val="en-GB"/>
        </w:rPr>
        <w:t xml:space="preserve"> MRL can be set, </w:t>
      </w:r>
      <w:r w:rsidRPr="00F85DCF">
        <w:rPr>
          <w:lang w:val="en-GB"/>
        </w:rPr>
        <w:t xml:space="preserve">it may not be desirable to do so as it may not be high enough to allow for </w:t>
      </w:r>
      <w:r w:rsidR="004F76AA" w:rsidRPr="00F85DCF">
        <w:rPr>
          <w:lang w:val="en-GB" w:eastAsia="en-AU"/>
        </w:rPr>
        <w:t>inadvertent</w:t>
      </w:r>
      <w:r w:rsidRPr="00F85DCF">
        <w:rPr>
          <w:lang w:val="en-GB"/>
        </w:rPr>
        <w:t xml:space="preserve"> presence of the chemical</w:t>
      </w:r>
      <w:r w:rsidR="003D72D8" w:rsidRPr="00F85DCF">
        <w:rPr>
          <w:lang w:val="en-GB"/>
        </w:rPr>
        <w:t xml:space="preserve"> in the food</w:t>
      </w:r>
      <w:r w:rsidRPr="00F85DCF">
        <w:rPr>
          <w:lang w:val="en-GB"/>
        </w:rPr>
        <w:t xml:space="preserve">. Therefore, the range of MRLs, the number of commodities with current MRLs and the contribution </w:t>
      </w:r>
      <w:r w:rsidR="00964CD1" w:rsidRPr="00F85DCF">
        <w:rPr>
          <w:lang w:val="en-GB"/>
        </w:rPr>
        <w:t xml:space="preserve">of </w:t>
      </w:r>
      <w:r w:rsidR="00956468" w:rsidRPr="00F85DCF">
        <w:rPr>
          <w:i/>
          <w:lang w:val="en-GB"/>
        </w:rPr>
        <w:t>A</w:t>
      </w:r>
      <w:r w:rsidR="00A05E74"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00964CD1" w:rsidRPr="00F85DCF">
        <w:rPr>
          <w:lang w:val="en-GB"/>
        </w:rPr>
        <w:t xml:space="preserve"> </w:t>
      </w:r>
      <w:r w:rsidRPr="00F85DCF">
        <w:rPr>
          <w:lang w:val="en-GB"/>
        </w:rPr>
        <w:t xml:space="preserve">to the </w:t>
      </w:r>
      <w:r w:rsidR="00964CD1" w:rsidRPr="00F85DCF">
        <w:rPr>
          <w:lang w:val="en-GB"/>
        </w:rPr>
        <w:t xml:space="preserve">estimated </w:t>
      </w:r>
      <w:r w:rsidRPr="00F85DCF">
        <w:rPr>
          <w:lang w:val="en-GB"/>
        </w:rPr>
        <w:t xml:space="preserve">total dietary exposure were all considered </w:t>
      </w:r>
      <w:r w:rsidR="00B23632" w:rsidRPr="00F85DCF">
        <w:rPr>
          <w:lang w:val="en-GB"/>
        </w:rPr>
        <w:t xml:space="preserve">in </w:t>
      </w:r>
      <w:r w:rsidRPr="00F85DCF">
        <w:rPr>
          <w:lang w:val="en-GB"/>
        </w:rPr>
        <w:t xml:space="preserve">establishing an </w:t>
      </w:r>
      <w:r w:rsidR="00956468" w:rsidRPr="00F85DCF">
        <w:rPr>
          <w:i/>
          <w:lang w:val="en-GB"/>
        </w:rPr>
        <w:t>A</w:t>
      </w:r>
      <w:r w:rsidR="00CE7634"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Pr="00F85DCF">
        <w:rPr>
          <w:lang w:val="en-GB"/>
        </w:rPr>
        <w:t xml:space="preserve"> MRL </w:t>
      </w:r>
      <w:r w:rsidR="00B23632" w:rsidRPr="00F85DCF">
        <w:rPr>
          <w:lang w:val="en-GB"/>
        </w:rPr>
        <w:t xml:space="preserve">that is </w:t>
      </w:r>
      <w:r w:rsidRPr="00F85DCF">
        <w:rPr>
          <w:lang w:val="en-GB"/>
        </w:rPr>
        <w:t xml:space="preserve">higher than the </w:t>
      </w:r>
      <w:r w:rsidR="00240BF4" w:rsidRPr="00F85DCF">
        <w:rPr>
          <w:lang w:val="en-GB"/>
        </w:rPr>
        <w:t>Limit of Determination</w:t>
      </w:r>
      <w:r w:rsidRPr="00F85DCF">
        <w:rPr>
          <w:lang w:val="en-GB"/>
        </w:rPr>
        <w:t>.</w:t>
      </w:r>
    </w:p>
    <w:p w14:paraId="7BABACFC" w14:textId="5836720D" w:rsidR="006624C2" w:rsidRPr="00F85DCF" w:rsidRDefault="008F3A22" w:rsidP="00227DF3">
      <w:pPr>
        <w:pStyle w:val="Heading2"/>
      </w:pPr>
      <w:bookmarkStart w:id="17" w:name="_Toc448848079"/>
      <w:r w:rsidRPr="00F85DCF">
        <w:t>4.3</w:t>
      </w:r>
      <w:r w:rsidRPr="00F85DCF">
        <w:tab/>
      </w:r>
      <w:r w:rsidR="006624C2" w:rsidRPr="00F85DCF">
        <w:t xml:space="preserve">Contribution to total </w:t>
      </w:r>
      <w:r w:rsidR="00F01F4B" w:rsidRPr="00F85DCF">
        <w:t xml:space="preserve">dietary </w:t>
      </w:r>
      <w:r w:rsidR="006624C2" w:rsidRPr="00F85DCF">
        <w:t xml:space="preserve">exposure from </w:t>
      </w:r>
      <w:r w:rsidR="00D6748C" w:rsidRPr="00F85DCF">
        <w:rPr>
          <w:i/>
        </w:rPr>
        <w:t xml:space="preserve">All </w:t>
      </w:r>
      <w:r w:rsidR="00F75F10" w:rsidRPr="00F85DCF">
        <w:rPr>
          <w:i/>
        </w:rPr>
        <w:t xml:space="preserve">other foods except animal </w:t>
      </w:r>
      <w:r w:rsidR="00D94403">
        <w:rPr>
          <w:i/>
        </w:rPr>
        <w:t xml:space="preserve">food </w:t>
      </w:r>
      <w:r w:rsidR="00F75F10" w:rsidRPr="00F85DCF">
        <w:rPr>
          <w:i/>
        </w:rPr>
        <w:t>commodities</w:t>
      </w:r>
      <w:bookmarkEnd w:id="17"/>
    </w:p>
    <w:p w14:paraId="6C3F7344" w14:textId="0186348A" w:rsidR="006624C2" w:rsidRDefault="00F01F4B" w:rsidP="006A7B63">
      <w:pPr>
        <w:rPr>
          <w:lang w:val="en-GB"/>
        </w:rPr>
      </w:pPr>
      <w:r w:rsidRPr="00F85DCF">
        <w:rPr>
          <w:lang w:val="en-GB"/>
        </w:rPr>
        <w:t xml:space="preserve">One of the criteria applied in Stage 2 </w:t>
      </w:r>
      <w:r w:rsidR="00E4781E" w:rsidRPr="00F85DCF">
        <w:rPr>
          <w:lang w:val="en-GB"/>
        </w:rPr>
        <w:t xml:space="preserve">of the pilot </w:t>
      </w:r>
      <w:r w:rsidR="007E5E87" w:rsidRPr="00F85DCF">
        <w:rPr>
          <w:lang w:val="en-GB"/>
        </w:rPr>
        <w:t>wa</w:t>
      </w:r>
      <w:r w:rsidRPr="00F85DCF">
        <w:rPr>
          <w:lang w:val="en-GB"/>
        </w:rPr>
        <w:t>s that t</w:t>
      </w:r>
      <w:r w:rsidR="006624C2" w:rsidRPr="00F85DCF">
        <w:rPr>
          <w:lang w:val="en-GB"/>
        </w:rPr>
        <w:t xml:space="preserve">he percentage contribution of </w:t>
      </w:r>
      <w:r w:rsidR="00956468" w:rsidRPr="00F85DCF">
        <w:rPr>
          <w:i/>
          <w:lang w:val="en-GB"/>
        </w:rPr>
        <w:t xml:space="preserve">All other foods except animal </w:t>
      </w:r>
      <w:r w:rsidR="00D94403">
        <w:rPr>
          <w:i/>
          <w:lang w:val="en-GB"/>
        </w:rPr>
        <w:t xml:space="preserve">food </w:t>
      </w:r>
      <w:r w:rsidR="00956468" w:rsidRPr="00F85DCF">
        <w:rPr>
          <w:i/>
          <w:lang w:val="en-GB"/>
        </w:rPr>
        <w:t>commodities</w:t>
      </w:r>
      <w:r w:rsidR="006624C2" w:rsidRPr="00F85DCF">
        <w:rPr>
          <w:lang w:val="en-GB"/>
        </w:rPr>
        <w:t xml:space="preserve"> to </w:t>
      </w:r>
      <w:r w:rsidRPr="00F85DCF">
        <w:rPr>
          <w:lang w:val="en-GB"/>
        </w:rPr>
        <w:t xml:space="preserve">estimated total </w:t>
      </w:r>
      <w:r w:rsidR="00A747BB" w:rsidRPr="00F85DCF">
        <w:rPr>
          <w:lang w:val="en-GB"/>
        </w:rPr>
        <w:t>chronic</w:t>
      </w:r>
      <w:r w:rsidR="00A747BB" w:rsidRPr="00F85DCF">
        <w:rPr>
          <w:i/>
          <w:lang w:val="en-GB"/>
        </w:rPr>
        <w:t xml:space="preserve"> </w:t>
      </w:r>
      <w:r w:rsidR="00745913" w:rsidRPr="00F85DCF">
        <w:rPr>
          <w:lang w:val="en-GB"/>
        </w:rPr>
        <w:t xml:space="preserve">dietary </w:t>
      </w:r>
      <w:r w:rsidR="006624C2" w:rsidRPr="00F85DCF">
        <w:rPr>
          <w:lang w:val="en-GB"/>
        </w:rPr>
        <w:t xml:space="preserve">exposure </w:t>
      </w:r>
      <w:r w:rsidR="00AC6D55" w:rsidRPr="00F85DCF">
        <w:rPr>
          <w:lang w:val="en-GB"/>
        </w:rPr>
        <w:t>cannot</w:t>
      </w:r>
      <w:r w:rsidR="006624C2" w:rsidRPr="00F85DCF">
        <w:rPr>
          <w:lang w:val="en-GB"/>
        </w:rPr>
        <w:t xml:space="preserve"> </w:t>
      </w:r>
      <w:r w:rsidR="00632774" w:rsidRPr="00F85DCF">
        <w:rPr>
          <w:lang w:val="en-GB"/>
        </w:rPr>
        <w:t>not be greater</w:t>
      </w:r>
      <w:r w:rsidR="006624C2" w:rsidRPr="00F85DCF">
        <w:rPr>
          <w:lang w:val="en-GB"/>
        </w:rPr>
        <w:t xml:space="preserve"> than 20% at the time of </w:t>
      </w:r>
      <w:r w:rsidRPr="00F85DCF">
        <w:rPr>
          <w:lang w:val="en-GB"/>
        </w:rPr>
        <w:t xml:space="preserve">proposing </w:t>
      </w:r>
      <w:r w:rsidR="006624C2" w:rsidRPr="00F85DCF">
        <w:rPr>
          <w:lang w:val="en-GB"/>
        </w:rPr>
        <w:t xml:space="preserve">the </w:t>
      </w:r>
      <w:r w:rsidR="00586041" w:rsidRPr="00F85DCF">
        <w:rPr>
          <w:i/>
          <w:lang w:val="en-GB"/>
        </w:rPr>
        <w:t xml:space="preserve">All other foods except animal </w:t>
      </w:r>
      <w:r w:rsidR="00D94403">
        <w:rPr>
          <w:i/>
          <w:lang w:val="en-GB"/>
        </w:rPr>
        <w:t xml:space="preserve">food </w:t>
      </w:r>
      <w:r w:rsidR="00586041" w:rsidRPr="00F85DCF">
        <w:rPr>
          <w:i/>
          <w:lang w:val="en-GB"/>
        </w:rPr>
        <w:t>commodities</w:t>
      </w:r>
      <w:r w:rsidR="009966C3" w:rsidRPr="00F85DCF">
        <w:rPr>
          <w:lang w:val="en-GB"/>
        </w:rPr>
        <w:t xml:space="preserve"> </w:t>
      </w:r>
      <w:r w:rsidR="006624C2" w:rsidRPr="00F85DCF">
        <w:rPr>
          <w:lang w:val="en-GB"/>
        </w:rPr>
        <w:t>MRL</w:t>
      </w:r>
      <w:r w:rsidR="009E047D" w:rsidRPr="00F85DCF">
        <w:rPr>
          <w:lang w:val="en-GB"/>
        </w:rPr>
        <w:t xml:space="preserve"> </w:t>
      </w:r>
      <w:r w:rsidR="00CB0991" w:rsidRPr="00F85DCF">
        <w:rPr>
          <w:lang w:val="en-GB"/>
        </w:rPr>
        <w:t>(</w:t>
      </w:r>
      <w:r w:rsidR="009E047D" w:rsidRPr="00F85DCF">
        <w:rPr>
          <w:lang w:val="en-GB"/>
        </w:rPr>
        <w:t xml:space="preserve">the ‘80/20 </w:t>
      </w:r>
      <w:r w:rsidR="00CB0991" w:rsidRPr="00F85DCF">
        <w:rPr>
          <w:lang w:val="en-GB"/>
        </w:rPr>
        <w:t xml:space="preserve">principle’, see </w:t>
      </w:r>
      <w:r w:rsidR="006624C2" w:rsidRPr="00F85DCF">
        <w:rPr>
          <w:lang w:val="en-GB"/>
        </w:rPr>
        <w:t xml:space="preserve">Figure </w:t>
      </w:r>
      <w:r w:rsidR="009E047D" w:rsidRPr="00F85DCF">
        <w:rPr>
          <w:lang w:val="en-GB"/>
        </w:rPr>
        <w:t>1</w:t>
      </w:r>
      <w:r w:rsidR="006624C2" w:rsidRPr="00F85DCF">
        <w:rPr>
          <w:lang w:val="en-GB"/>
        </w:rPr>
        <w:t xml:space="preserve">). </w:t>
      </w:r>
      <w:r w:rsidR="00F55B83" w:rsidRPr="00F85DCF">
        <w:rPr>
          <w:lang w:val="en-GB"/>
        </w:rPr>
        <w:t>This was to ensure that future establishment of specific commodity MRLs for a chemical do not result in estimates of dietary exposure exceeding relevant HBGVs. It also</w:t>
      </w:r>
      <w:r w:rsidR="00E4781E" w:rsidRPr="00F85DCF">
        <w:rPr>
          <w:lang w:val="en-GB"/>
        </w:rPr>
        <w:t xml:space="preserve"> </w:t>
      </w:r>
      <w:r w:rsidR="008958F8" w:rsidRPr="00F85DCF">
        <w:rPr>
          <w:lang w:val="en-GB"/>
        </w:rPr>
        <w:t>provide</w:t>
      </w:r>
      <w:r w:rsidR="00F55B83" w:rsidRPr="00F85DCF">
        <w:rPr>
          <w:lang w:val="en-GB"/>
        </w:rPr>
        <w:t>s</w:t>
      </w:r>
      <w:r w:rsidR="008958F8" w:rsidRPr="00F85DCF">
        <w:rPr>
          <w:lang w:val="en-GB"/>
        </w:rPr>
        <w:t xml:space="preserve"> an indication </w:t>
      </w:r>
      <w:r w:rsidR="006624C2" w:rsidRPr="00F85DCF">
        <w:rPr>
          <w:lang w:val="en-GB"/>
        </w:rPr>
        <w:t xml:space="preserve">that the </w:t>
      </w:r>
      <w:r w:rsidR="00122AF9" w:rsidRPr="00F85DCF">
        <w:rPr>
          <w:lang w:val="en-GB"/>
        </w:rPr>
        <w:t>proposed</w:t>
      </w:r>
      <w:r w:rsidR="009B2296" w:rsidRPr="00F85DCF">
        <w:rPr>
          <w:lang w:val="en-GB"/>
        </w:rPr>
        <w:t xml:space="preserve"> </w:t>
      </w:r>
      <w:r w:rsidR="00586041" w:rsidRPr="00F85DCF">
        <w:rPr>
          <w:i/>
          <w:lang w:val="en-GB"/>
        </w:rPr>
        <w:t>A</w:t>
      </w:r>
      <w:r w:rsidR="00B47137" w:rsidRPr="00F85DCF">
        <w:rPr>
          <w:i/>
          <w:lang w:val="en-GB"/>
        </w:rPr>
        <w:t xml:space="preserve">ll other foods </w:t>
      </w:r>
      <w:r w:rsidR="0003601D" w:rsidRPr="00F85DCF">
        <w:rPr>
          <w:i/>
          <w:lang w:val="en-GB"/>
        </w:rPr>
        <w:t xml:space="preserve">except animal </w:t>
      </w:r>
      <w:r w:rsidR="00D94403">
        <w:rPr>
          <w:i/>
          <w:lang w:val="en-GB"/>
        </w:rPr>
        <w:t xml:space="preserve">food </w:t>
      </w:r>
      <w:r w:rsidR="0003601D" w:rsidRPr="00F85DCF">
        <w:rPr>
          <w:i/>
          <w:lang w:val="en-GB"/>
        </w:rPr>
        <w:t>commodities</w:t>
      </w:r>
      <w:r w:rsidR="006624C2" w:rsidRPr="00F85DCF">
        <w:rPr>
          <w:i/>
          <w:lang w:val="en-GB"/>
        </w:rPr>
        <w:t xml:space="preserve"> </w:t>
      </w:r>
      <w:r w:rsidR="006624C2" w:rsidRPr="00F85DCF">
        <w:rPr>
          <w:lang w:val="en-GB"/>
        </w:rPr>
        <w:t xml:space="preserve">MRL </w:t>
      </w:r>
      <w:r w:rsidR="00E4781E" w:rsidRPr="00F85DCF">
        <w:rPr>
          <w:lang w:val="en-GB"/>
        </w:rPr>
        <w:t xml:space="preserve">was </w:t>
      </w:r>
      <w:r w:rsidR="006624C2" w:rsidRPr="00F85DCF">
        <w:rPr>
          <w:lang w:val="en-GB"/>
        </w:rPr>
        <w:t xml:space="preserve">low enough to </w:t>
      </w:r>
      <w:r w:rsidRPr="00F85DCF">
        <w:rPr>
          <w:lang w:val="en-GB"/>
        </w:rPr>
        <w:t xml:space="preserve">minimise </w:t>
      </w:r>
      <w:r w:rsidR="006624C2" w:rsidRPr="00F85DCF">
        <w:rPr>
          <w:lang w:val="en-GB"/>
        </w:rPr>
        <w:t>off-label use of the pesticide</w:t>
      </w:r>
      <w:r w:rsidR="009B2296" w:rsidRPr="00F85DCF">
        <w:rPr>
          <w:lang w:val="en-GB"/>
        </w:rPr>
        <w:t>,</w:t>
      </w:r>
      <w:r w:rsidR="008958F8" w:rsidRPr="00F85DCF">
        <w:rPr>
          <w:lang w:val="en-GB"/>
        </w:rPr>
        <w:t xml:space="preserve"> while allowing for the</w:t>
      </w:r>
      <w:r w:rsidR="006A7B63" w:rsidRPr="00F85DCF">
        <w:rPr>
          <w:lang w:val="en-GB"/>
        </w:rPr>
        <w:t xml:space="preserve"> </w:t>
      </w:r>
      <w:r w:rsidR="004F76AA" w:rsidRPr="00F85DCF">
        <w:rPr>
          <w:lang w:val="en-GB" w:eastAsia="en-AU"/>
        </w:rPr>
        <w:t>inadvertent</w:t>
      </w:r>
      <w:r w:rsidR="006A7B63" w:rsidRPr="00F85DCF">
        <w:rPr>
          <w:lang w:val="en-GB"/>
        </w:rPr>
        <w:t xml:space="preserve"> presence of a residue that may occur from use of a pesticide </w:t>
      </w:r>
      <w:r w:rsidR="008958F8" w:rsidRPr="00F85DCF">
        <w:rPr>
          <w:lang w:val="en-GB"/>
        </w:rPr>
        <w:t>in accordance with the approved label directions and registered uses (as specified by the APVMA)</w:t>
      </w:r>
      <w:r w:rsidR="006A7B63" w:rsidRPr="00F85DCF">
        <w:rPr>
          <w:lang w:val="en-GB"/>
        </w:rPr>
        <w:t>.</w:t>
      </w:r>
    </w:p>
    <w:p w14:paraId="6C33AF94" w14:textId="77777777" w:rsidR="000658A6" w:rsidRPr="00F85DCF" w:rsidRDefault="000658A6" w:rsidP="006A7B63">
      <w:pPr>
        <w:rPr>
          <w:lang w:val="en-GB"/>
        </w:rPr>
      </w:pPr>
    </w:p>
    <w:p w14:paraId="4649BB69" w14:textId="4912F602" w:rsidR="006624C2" w:rsidRPr="00F85DCF" w:rsidRDefault="000A164C" w:rsidP="00A227CB">
      <w:pPr>
        <w:rPr>
          <w:lang w:val="en-GB"/>
        </w:rPr>
      </w:pPr>
      <w:r w:rsidRPr="00F85DCF">
        <w:rPr>
          <w:noProof/>
          <w:lang w:val="en-GB" w:eastAsia="en-GB"/>
        </w:rPr>
        <w:lastRenderedPageBreak/>
        <mc:AlternateContent>
          <mc:Choice Requires="wpg">
            <w:drawing>
              <wp:inline distT="0" distB="0" distL="0" distR="0" wp14:anchorId="1EAA04DB" wp14:editId="71836EB4">
                <wp:extent cx="5743575" cy="1656715"/>
                <wp:effectExtent l="0" t="0" r="28575" b="19685"/>
                <wp:docPr id="12" name="Group 12"/>
                <wp:cNvGraphicFramePr/>
                <a:graphic xmlns:a="http://schemas.openxmlformats.org/drawingml/2006/main">
                  <a:graphicData uri="http://schemas.microsoft.com/office/word/2010/wordprocessingGroup">
                    <wpg:wgp>
                      <wpg:cNvGrpSpPr/>
                      <wpg:grpSpPr>
                        <a:xfrm>
                          <a:off x="0" y="0"/>
                          <a:ext cx="5743575" cy="1656715"/>
                          <a:chOff x="0" y="0"/>
                          <a:chExt cx="5743826" cy="1398905"/>
                        </a:xfrm>
                      </wpg:grpSpPr>
                      <wps:wsp>
                        <wps:cNvPr id="13" name="Flowchart: Magnetic Disk 13"/>
                        <wps:cNvSpPr/>
                        <wps:spPr>
                          <a:xfrm>
                            <a:off x="4400166" y="0"/>
                            <a:ext cx="1343660" cy="1398905"/>
                          </a:xfrm>
                          <a:prstGeom prst="flowChartMagneticDisk">
                            <a:avLst/>
                          </a:prstGeom>
                          <a:solidFill>
                            <a:srgbClr val="8064A2">
                              <a:lumMod val="60000"/>
                              <a:lumOff val="40000"/>
                            </a:srgbClr>
                          </a:solidFill>
                          <a:ln w="25400" cap="flat" cmpd="sng" algn="ctr">
                            <a:solidFill>
                              <a:srgbClr val="4F81BD">
                                <a:shade val="50000"/>
                              </a:srgbClr>
                            </a:solidFill>
                            <a:prstDash val="solid"/>
                          </a:ln>
                          <a:effectLst/>
                        </wps:spPr>
                        <wps:txbx>
                          <w:txbxContent>
                            <w:p w14:paraId="3230F242" w14:textId="7C7A0473" w:rsidR="00420F9C" w:rsidRDefault="00420F9C" w:rsidP="000A164C">
                              <w:pPr>
                                <w:jc w:val="center"/>
                                <w:rPr>
                                  <w:color w:val="000000" w:themeColor="text1"/>
                                  <w:sz w:val="16"/>
                                  <w:szCs w:val="16"/>
                                </w:rPr>
                              </w:pPr>
                              <w:r>
                                <w:rPr>
                                  <w:color w:val="000000" w:themeColor="text1"/>
                                  <w:sz w:val="16"/>
                                  <w:szCs w:val="16"/>
                                </w:rPr>
                                <w:t>Estimated t</w:t>
                              </w:r>
                              <w:r w:rsidRPr="006C25F3">
                                <w:rPr>
                                  <w:color w:val="000000" w:themeColor="text1"/>
                                  <w:sz w:val="16"/>
                                  <w:szCs w:val="16"/>
                                </w:rPr>
                                <w:t xml:space="preserve">otal </w:t>
                              </w:r>
                              <w:r>
                                <w:rPr>
                                  <w:color w:val="000000" w:themeColor="text1"/>
                                  <w:sz w:val="16"/>
                                  <w:szCs w:val="16"/>
                                </w:rPr>
                                <w:t xml:space="preserve">dietary </w:t>
                              </w:r>
                              <w:r w:rsidRPr="006C25F3">
                                <w:rPr>
                                  <w:color w:val="000000" w:themeColor="text1"/>
                                  <w:sz w:val="16"/>
                                  <w:szCs w:val="16"/>
                                </w:rPr>
                                <w:t>exposure</w:t>
                              </w:r>
                            </w:p>
                            <w:p w14:paraId="10C396DC" w14:textId="77777777" w:rsidR="00420F9C" w:rsidRDefault="00420F9C" w:rsidP="00A747BB">
                              <w:pPr>
                                <w:jc w:val="center"/>
                                <w:rPr>
                                  <w:color w:val="000000" w:themeColor="text1"/>
                                  <w:sz w:val="16"/>
                                  <w:szCs w:val="16"/>
                                </w:rPr>
                              </w:pPr>
                              <w:r>
                                <w:rPr>
                                  <w:color w:val="000000" w:themeColor="text1"/>
                                  <w:sz w:val="16"/>
                                  <w:szCs w:val="16"/>
                                </w:rPr>
                                <w:t>(</w:t>
                              </w:r>
                              <w:r w:rsidRPr="006C25F3">
                                <w:rPr>
                                  <w:color w:val="000000" w:themeColor="text1"/>
                                  <w:sz w:val="16"/>
                                  <w:szCs w:val="16"/>
                                </w:rPr>
                                <w:t>mg/kg bw</w:t>
                              </w:r>
                              <w:r>
                                <w:rPr>
                                  <w:color w:val="000000" w:themeColor="text1"/>
                                  <w:sz w:val="16"/>
                                  <w:szCs w:val="16"/>
                                </w:rPr>
                                <w:t>)</w:t>
                              </w:r>
                            </w:p>
                            <w:p w14:paraId="6958C855" w14:textId="3A7F3B28" w:rsidR="00420F9C" w:rsidRPr="00C20CAB" w:rsidRDefault="00420F9C" w:rsidP="00A747BB">
                              <w:pPr>
                                <w:jc w:val="center"/>
                                <w:rPr>
                                  <w:color w:val="000000" w:themeColor="text1"/>
                                  <w:sz w:val="16"/>
                                  <w:szCs w:val="16"/>
                                </w:rPr>
                              </w:pPr>
                              <w:r w:rsidRPr="00C20CAB">
                                <w:rPr>
                                  <w:color w:val="000000" w:themeColor="text1"/>
                                  <w:sz w:val="16"/>
                                  <w:szCs w:val="16"/>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0" y="209980"/>
                            <a:ext cx="4117868" cy="1187827"/>
                            <a:chOff x="0" y="44284"/>
                            <a:chExt cx="4117868" cy="1187827"/>
                          </a:xfrm>
                        </wpg:grpSpPr>
                        <wps:wsp>
                          <wps:cNvPr id="24" name="Flowchart: Magnetic Disk 24"/>
                          <wps:cNvSpPr/>
                          <wps:spPr>
                            <a:xfrm>
                              <a:off x="2043592" y="44285"/>
                              <a:ext cx="1431280" cy="1187402"/>
                            </a:xfrm>
                            <a:prstGeom prst="flowChartMagneticDisk">
                              <a:avLst/>
                            </a:prstGeom>
                            <a:solidFill>
                              <a:srgbClr val="C0504D">
                                <a:lumMod val="40000"/>
                                <a:lumOff val="60000"/>
                              </a:srgbClr>
                            </a:solidFill>
                            <a:ln w="25400" cap="flat" cmpd="sng" algn="ctr">
                              <a:solidFill>
                                <a:srgbClr val="4F81BD">
                                  <a:shade val="50000"/>
                                </a:srgbClr>
                              </a:solidFill>
                              <a:prstDash val="solid"/>
                            </a:ln>
                            <a:effectLst/>
                          </wps:spPr>
                          <wps:txbx>
                            <w:txbxContent>
                              <w:p w14:paraId="0E0A4CBC" w14:textId="7D85D0F7" w:rsidR="00420F9C" w:rsidRDefault="00420F9C" w:rsidP="000A164C">
                                <w:pPr>
                                  <w:jc w:val="center"/>
                                  <w:rPr>
                                    <w:sz w:val="16"/>
                                    <w:szCs w:val="16"/>
                                  </w:rPr>
                                </w:pPr>
                                <w:r w:rsidRPr="0017607F">
                                  <w:rPr>
                                    <w:sz w:val="16"/>
                                    <w:szCs w:val="16"/>
                                  </w:rPr>
                                  <w:t>Estimate</w:t>
                                </w:r>
                                <w:r>
                                  <w:rPr>
                                    <w:sz w:val="16"/>
                                    <w:szCs w:val="16"/>
                                  </w:rPr>
                                  <w:t>d</w:t>
                                </w:r>
                                <w:r w:rsidRPr="0017607F">
                                  <w:rPr>
                                    <w:sz w:val="16"/>
                                    <w:szCs w:val="16"/>
                                  </w:rPr>
                                  <w:t xml:space="preserve"> </w:t>
                                </w:r>
                                <w:r>
                                  <w:rPr>
                                    <w:sz w:val="16"/>
                                    <w:szCs w:val="16"/>
                                  </w:rPr>
                                  <w:t xml:space="preserve">dietary </w:t>
                                </w:r>
                                <w:r w:rsidRPr="0017607F">
                                  <w:rPr>
                                    <w:sz w:val="16"/>
                                    <w:szCs w:val="16"/>
                                  </w:rPr>
                                  <w:t xml:space="preserve">exposure from </w:t>
                                </w:r>
                                <w:r w:rsidRPr="00D1418B">
                                  <w:rPr>
                                    <w:i/>
                                    <w:sz w:val="16"/>
                                    <w:szCs w:val="16"/>
                                  </w:rPr>
                                  <w:t xml:space="preserve">All other foods except animal </w:t>
                                </w:r>
                                <w:r>
                                  <w:rPr>
                                    <w:i/>
                                    <w:sz w:val="16"/>
                                    <w:szCs w:val="16"/>
                                  </w:rPr>
                                  <w:t xml:space="preserve">food </w:t>
                                </w:r>
                                <w:r w:rsidRPr="00D1418B">
                                  <w:rPr>
                                    <w:i/>
                                    <w:sz w:val="16"/>
                                    <w:szCs w:val="16"/>
                                  </w:rPr>
                                  <w:t>commodities</w:t>
                                </w:r>
                                <w:r w:rsidRPr="006C25F3">
                                  <w:rPr>
                                    <w:sz w:val="16"/>
                                    <w:szCs w:val="16"/>
                                  </w:rPr>
                                  <w:t xml:space="preserve"> </w:t>
                                </w:r>
                                <w:r>
                                  <w:rPr>
                                    <w:sz w:val="16"/>
                                    <w:szCs w:val="16"/>
                                  </w:rPr>
                                  <w:t>(</w:t>
                                </w:r>
                                <w:r w:rsidRPr="006C25F3">
                                  <w:rPr>
                                    <w:sz w:val="16"/>
                                    <w:szCs w:val="16"/>
                                  </w:rPr>
                                  <w:t>mg/kg bw</w:t>
                                </w:r>
                                <w:r>
                                  <w:rPr>
                                    <w:sz w:val="16"/>
                                    <w:szCs w:val="16"/>
                                  </w:rPr>
                                  <w:t>)</w:t>
                                </w:r>
                              </w:p>
                              <w:p w14:paraId="3096157D" w14:textId="75CE1497" w:rsidR="00420F9C" w:rsidRDefault="00420F9C" w:rsidP="000A164C">
                                <w:pPr>
                                  <w:jc w:val="center"/>
                                  <w:rPr>
                                    <w:sz w:val="16"/>
                                    <w:szCs w:val="16"/>
                                  </w:rPr>
                                </w:pPr>
                                <w:r>
                                  <w:rPr>
                                    <w:rFonts w:cs="Arial"/>
                                    <w:sz w:val="16"/>
                                    <w:szCs w:val="16"/>
                                  </w:rPr>
                                  <w:t>≤ 20% total DEA</w:t>
                                </w:r>
                              </w:p>
                              <w:p w14:paraId="3C2E7255" w14:textId="2806B5E7" w:rsidR="00420F9C" w:rsidRPr="006C25F3" w:rsidRDefault="00420F9C" w:rsidP="000A164C">
                                <w:pPr>
                                  <w:jc w:val="center"/>
                                  <w:rPr>
                                    <w:b/>
                                    <w:sz w:val="16"/>
                                    <w:szCs w:val="16"/>
                                  </w:rPr>
                                </w:pPr>
                                <w:r>
                                  <w:rPr>
                                    <w:b/>
                                    <w:sz w:val="16"/>
                                    <w:szCs w:val="16"/>
                                  </w:rPr>
                                  <w:t>&lt;</w:t>
                                </w:r>
                                <w:r w:rsidRPr="006C25F3">
                                  <w:rPr>
                                    <w:b/>
                                    <w:sz w:val="16"/>
                                    <w:szCs w:val="16"/>
                                  </w:rPr>
                                  <w:t>20%</w:t>
                                </w:r>
                                <w:r>
                                  <w:rPr>
                                    <w:b/>
                                    <w:sz w:val="16"/>
                                    <w:szCs w:val="16"/>
                                  </w:rPr>
                                  <w:t xml:space="preserve"> total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Magnetic Disk 25"/>
                          <wps:cNvSpPr/>
                          <wps:spPr>
                            <a:xfrm>
                              <a:off x="0" y="44284"/>
                              <a:ext cx="1343660" cy="1187827"/>
                            </a:xfrm>
                            <a:prstGeom prst="flowChartMagneticDisk">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solidFill>
                                <a:srgbClr val="4F81BD">
                                  <a:shade val="50000"/>
                                </a:srgbClr>
                              </a:solidFill>
                              <a:prstDash val="solid"/>
                            </a:ln>
                            <a:effectLst/>
                          </wps:spPr>
                          <wps:txbx>
                            <w:txbxContent>
                              <w:p w14:paraId="5CE4FCE5" w14:textId="32714A8E" w:rsidR="00420F9C" w:rsidRDefault="00420F9C" w:rsidP="000A164C">
                                <w:pPr>
                                  <w:jc w:val="center"/>
                                  <w:rPr>
                                    <w:sz w:val="16"/>
                                    <w:szCs w:val="16"/>
                                  </w:rPr>
                                </w:pPr>
                                <w:r>
                                  <w:rPr>
                                    <w:sz w:val="16"/>
                                    <w:szCs w:val="16"/>
                                  </w:rPr>
                                  <w:t>Estimated dietary exposure from e</w:t>
                                </w:r>
                                <w:r w:rsidRPr="006C25F3">
                                  <w:rPr>
                                    <w:sz w:val="16"/>
                                    <w:szCs w:val="16"/>
                                  </w:rPr>
                                  <w:t xml:space="preserve">xisting permissions </w:t>
                                </w:r>
                                <w:r>
                                  <w:rPr>
                                    <w:sz w:val="16"/>
                                    <w:szCs w:val="16"/>
                                  </w:rPr>
                                  <w:t>(</w:t>
                                </w:r>
                                <w:r w:rsidRPr="006C25F3">
                                  <w:rPr>
                                    <w:sz w:val="16"/>
                                    <w:szCs w:val="16"/>
                                  </w:rPr>
                                  <w:t>mg/kg bw</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Plus 27"/>
                          <wps:cNvSpPr/>
                          <wps:spPr>
                            <a:xfrm>
                              <a:off x="1558776" y="460269"/>
                              <a:ext cx="374352" cy="355941"/>
                            </a:xfrm>
                            <a:prstGeom prst="mathPlus">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Equal 290"/>
                          <wps:cNvSpPr/>
                          <wps:spPr>
                            <a:xfrm>
                              <a:off x="3712832" y="509364"/>
                              <a:ext cx="405036" cy="306845"/>
                            </a:xfrm>
                            <a:prstGeom prst="mathEqual">
                              <a:avLst/>
                            </a:prstGeom>
                            <a:solidFill>
                              <a:srgbClr val="92D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oup 12" o:spid="_x0000_s1026" style="width:452.25pt;height:130.45pt;mso-position-horizontal-relative:char;mso-position-vertical-relative:line" coordsize="57438,13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3" o:spid="_x0000_s1027" type="#_x0000_t132" style="position:absolute;left:44001;width:13437;height:13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zaaMEA&#10;AADbAAAADwAAAGRycy9kb3ducmV2LnhtbERPS4vCMBC+C/6HMMLeNHUXRKtRFpddFPRgfZyHZmzr&#10;NpPSRFv/vREEb/PxPWe2aE0pblS7wrKC4SACQZxaXXCm4LD/7Y9BOI+ssbRMCu7kYDHvdmYYa9vw&#10;jm6Jz0QIYRejgtz7KpbSpTkZdANbEQfubGuDPsA6k7rGJoSbUn5G0UgaLDg05FjRMqf0P7kaBeUf&#10;H4c/k/NhsrmYU2OT5Xa9KpT66LXfUxCeWv8Wv9wrHeZ/wfOXc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M2mjBAAAA2wAAAA8AAAAAAAAAAAAAAAAAmAIAAGRycy9kb3du&#10;cmV2LnhtbFBLBQYAAAAABAAEAPUAAACGAwAAAAA=&#10;" fillcolor="#b3a2c7" strokecolor="#385d8a" strokeweight="2pt">
                  <v:textbox>
                    <w:txbxContent>
                      <w:p w14:paraId="3230F242" w14:textId="7C7A0473" w:rsidR="00420F9C" w:rsidRDefault="00420F9C" w:rsidP="000A164C">
                        <w:pPr>
                          <w:jc w:val="center"/>
                          <w:rPr>
                            <w:color w:val="000000" w:themeColor="text1"/>
                            <w:sz w:val="16"/>
                            <w:szCs w:val="16"/>
                          </w:rPr>
                        </w:pPr>
                        <w:r>
                          <w:rPr>
                            <w:color w:val="000000" w:themeColor="text1"/>
                            <w:sz w:val="16"/>
                            <w:szCs w:val="16"/>
                          </w:rPr>
                          <w:t>Estimated t</w:t>
                        </w:r>
                        <w:r w:rsidRPr="006C25F3">
                          <w:rPr>
                            <w:color w:val="000000" w:themeColor="text1"/>
                            <w:sz w:val="16"/>
                            <w:szCs w:val="16"/>
                          </w:rPr>
                          <w:t xml:space="preserve">otal </w:t>
                        </w:r>
                        <w:r>
                          <w:rPr>
                            <w:color w:val="000000" w:themeColor="text1"/>
                            <w:sz w:val="16"/>
                            <w:szCs w:val="16"/>
                          </w:rPr>
                          <w:t xml:space="preserve">dietary </w:t>
                        </w:r>
                        <w:r w:rsidRPr="006C25F3">
                          <w:rPr>
                            <w:color w:val="000000" w:themeColor="text1"/>
                            <w:sz w:val="16"/>
                            <w:szCs w:val="16"/>
                          </w:rPr>
                          <w:t>exposure</w:t>
                        </w:r>
                      </w:p>
                      <w:p w14:paraId="10C396DC" w14:textId="77777777" w:rsidR="00420F9C" w:rsidRDefault="00420F9C" w:rsidP="00A747BB">
                        <w:pPr>
                          <w:jc w:val="center"/>
                          <w:rPr>
                            <w:color w:val="000000" w:themeColor="text1"/>
                            <w:sz w:val="16"/>
                            <w:szCs w:val="16"/>
                          </w:rPr>
                        </w:pPr>
                        <w:r>
                          <w:rPr>
                            <w:color w:val="000000" w:themeColor="text1"/>
                            <w:sz w:val="16"/>
                            <w:szCs w:val="16"/>
                          </w:rPr>
                          <w:t>(</w:t>
                        </w:r>
                        <w:r w:rsidRPr="006C25F3">
                          <w:rPr>
                            <w:color w:val="000000" w:themeColor="text1"/>
                            <w:sz w:val="16"/>
                            <w:szCs w:val="16"/>
                          </w:rPr>
                          <w:t>mg/kg bw</w:t>
                        </w:r>
                        <w:r>
                          <w:rPr>
                            <w:color w:val="000000" w:themeColor="text1"/>
                            <w:sz w:val="16"/>
                            <w:szCs w:val="16"/>
                          </w:rPr>
                          <w:t>)</w:t>
                        </w:r>
                      </w:p>
                      <w:p w14:paraId="6958C855" w14:textId="3A7F3B28" w:rsidR="00420F9C" w:rsidRPr="00C20CAB" w:rsidRDefault="00420F9C" w:rsidP="00A747BB">
                        <w:pPr>
                          <w:jc w:val="center"/>
                          <w:rPr>
                            <w:color w:val="000000" w:themeColor="text1"/>
                            <w:sz w:val="16"/>
                            <w:szCs w:val="16"/>
                          </w:rPr>
                        </w:pPr>
                        <w:r w:rsidRPr="00C20CAB">
                          <w:rPr>
                            <w:color w:val="000000" w:themeColor="text1"/>
                            <w:sz w:val="16"/>
                            <w:szCs w:val="16"/>
                          </w:rPr>
                          <w:t>100%</w:t>
                        </w:r>
                      </w:p>
                    </w:txbxContent>
                  </v:textbox>
                </v:shape>
                <v:group id="Group 17" o:spid="_x0000_s1028" style="position:absolute;top:2099;width:41178;height:11879" coordorigin=",442" coordsize="41178,11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lowchart: Magnetic Disk 24" o:spid="_x0000_s1029" type="#_x0000_t132" style="position:absolute;left:20435;top:442;width:14313;height:1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Dzr4A&#10;AADbAAAADwAAAGRycy9kb3ducmV2LnhtbESPzQrCMBCE74LvEFbwpqk/SKlGUaGgR38eYG3Wtths&#10;ShNrfXsjCB6HmfmGWW06U4mWGldaVjAZRyCIM6tLzhVcL+koBuE8ssbKMil4k4PNut9bYaLti0/U&#10;nn0uAoRdggoK7+tESpcVZNCNbU0cvLttDPogm1zqBl8Bbio5jaKFNFhyWCiwpn1B2eP8NAp2k/YY&#10;3288d9rH7ro16ez5SJUaDrrtEoSnzv/Dv/ZBK5jO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iA86+AAAA2wAAAA8AAAAAAAAAAAAAAAAAmAIAAGRycy9kb3ducmV2&#10;LnhtbFBLBQYAAAAABAAEAPUAAACDAwAAAAA=&#10;" fillcolor="#e6b9b8" strokecolor="#385d8a" strokeweight="2pt">
                    <v:textbox>
                      <w:txbxContent>
                        <w:p w14:paraId="0E0A4CBC" w14:textId="7D85D0F7" w:rsidR="00420F9C" w:rsidRDefault="00420F9C" w:rsidP="000A164C">
                          <w:pPr>
                            <w:jc w:val="center"/>
                            <w:rPr>
                              <w:sz w:val="16"/>
                              <w:szCs w:val="16"/>
                            </w:rPr>
                          </w:pPr>
                          <w:r w:rsidRPr="0017607F">
                            <w:rPr>
                              <w:sz w:val="16"/>
                              <w:szCs w:val="16"/>
                            </w:rPr>
                            <w:t>Estimate</w:t>
                          </w:r>
                          <w:r>
                            <w:rPr>
                              <w:sz w:val="16"/>
                              <w:szCs w:val="16"/>
                            </w:rPr>
                            <w:t>d</w:t>
                          </w:r>
                          <w:r w:rsidRPr="0017607F">
                            <w:rPr>
                              <w:sz w:val="16"/>
                              <w:szCs w:val="16"/>
                            </w:rPr>
                            <w:t xml:space="preserve"> </w:t>
                          </w:r>
                          <w:r>
                            <w:rPr>
                              <w:sz w:val="16"/>
                              <w:szCs w:val="16"/>
                            </w:rPr>
                            <w:t xml:space="preserve">dietary </w:t>
                          </w:r>
                          <w:r w:rsidRPr="0017607F">
                            <w:rPr>
                              <w:sz w:val="16"/>
                              <w:szCs w:val="16"/>
                            </w:rPr>
                            <w:t xml:space="preserve">exposure from </w:t>
                          </w:r>
                          <w:r w:rsidRPr="00D1418B">
                            <w:rPr>
                              <w:i/>
                              <w:sz w:val="16"/>
                              <w:szCs w:val="16"/>
                            </w:rPr>
                            <w:t xml:space="preserve">All other foods except animal </w:t>
                          </w:r>
                          <w:r>
                            <w:rPr>
                              <w:i/>
                              <w:sz w:val="16"/>
                              <w:szCs w:val="16"/>
                            </w:rPr>
                            <w:t xml:space="preserve">food </w:t>
                          </w:r>
                          <w:r w:rsidRPr="00D1418B">
                            <w:rPr>
                              <w:i/>
                              <w:sz w:val="16"/>
                              <w:szCs w:val="16"/>
                            </w:rPr>
                            <w:t>commodities</w:t>
                          </w:r>
                          <w:r w:rsidRPr="006C25F3">
                            <w:rPr>
                              <w:sz w:val="16"/>
                              <w:szCs w:val="16"/>
                            </w:rPr>
                            <w:t xml:space="preserve"> </w:t>
                          </w:r>
                          <w:r>
                            <w:rPr>
                              <w:sz w:val="16"/>
                              <w:szCs w:val="16"/>
                            </w:rPr>
                            <w:t>(</w:t>
                          </w:r>
                          <w:r w:rsidRPr="006C25F3">
                            <w:rPr>
                              <w:sz w:val="16"/>
                              <w:szCs w:val="16"/>
                            </w:rPr>
                            <w:t>mg/kg bw</w:t>
                          </w:r>
                          <w:r>
                            <w:rPr>
                              <w:sz w:val="16"/>
                              <w:szCs w:val="16"/>
                            </w:rPr>
                            <w:t>)</w:t>
                          </w:r>
                        </w:p>
                        <w:p w14:paraId="3096157D" w14:textId="75CE1497" w:rsidR="00420F9C" w:rsidRDefault="00420F9C" w:rsidP="000A164C">
                          <w:pPr>
                            <w:jc w:val="center"/>
                            <w:rPr>
                              <w:sz w:val="16"/>
                              <w:szCs w:val="16"/>
                            </w:rPr>
                          </w:pPr>
                          <w:r>
                            <w:rPr>
                              <w:rFonts w:cs="Arial"/>
                              <w:sz w:val="16"/>
                              <w:szCs w:val="16"/>
                            </w:rPr>
                            <w:t>≤ 20% total DEA</w:t>
                          </w:r>
                        </w:p>
                        <w:p w14:paraId="3C2E7255" w14:textId="2806B5E7" w:rsidR="00420F9C" w:rsidRPr="006C25F3" w:rsidRDefault="00420F9C" w:rsidP="000A164C">
                          <w:pPr>
                            <w:jc w:val="center"/>
                            <w:rPr>
                              <w:b/>
                              <w:sz w:val="16"/>
                              <w:szCs w:val="16"/>
                            </w:rPr>
                          </w:pPr>
                          <w:r>
                            <w:rPr>
                              <w:b/>
                              <w:sz w:val="16"/>
                              <w:szCs w:val="16"/>
                            </w:rPr>
                            <w:t>&lt;</w:t>
                          </w:r>
                          <w:r w:rsidRPr="006C25F3">
                            <w:rPr>
                              <w:b/>
                              <w:sz w:val="16"/>
                              <w:szCs w:val="16"/>
                            </w:rPr>
                            <w:t>20%</w:t>
                          </w:r>
                          <w:r>
                            <w:rPr>
                              <w:b/>
                              <w:sz w:val="16"/>
                              <w:szCs w:val="16"/>
                            </w:rPr>
                            <w:t xml:space="preserve"> total</w:t>
                          </w:r>
                        </w:p>
                      </w:txbxContent>
                    </v:textbox>
                  </v:shape>
                  <v:shape id="Flowchart: Magnetic Disk 25" o:spid="_x0000_s1030" type="#_x0000_t132" style="position:absolute;top:442;width:13436;height:11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8HMUA&#10;AADbAAAADwAAAGRycy9kb3ducmV2LnhtbESPQWvCQBSE7wX/w/KE3ppNhBZJXYMELUIR0fbQ4yP7&#10;mk3Nvg3Z1aT99V1B8DjMfDPMohhtKy7U+8axgixJQRBXTjdcK/j82DzNQfiArLF1TAp+yUOxnDws&#10;MNdu4ANdjqEWsYR9jgpMCF0upa8MWfSJ64ij9+16iyHKvpa6xyGW21bO0vRFWmw4LhjsqDRUnY5n&#10;q2Bmdn9lNryf39KfQ4Zrv903uy+lHqfj6hVEoDHcwzd6qyP3DN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bwcxQAAANsAAAAPAAAAAAAAAAAAAAAAAJgCAABkcnMv&#10;ZG93bnJldi54bWxQSwUGAAAAAAQABAD1AAAAigMAAAAA&#10;" fillcolor="#9ab5e4" strokecolor="#385d8a" strokeweight="2pt">
                    <v:fill color2="#e1e8f5" colors="0 #9ab5e4;.5 #c2d1ed;1 #e1e8f5" focus="100%" type="gradient">
                      <o:fill v:ext="view" type="gradientUnscaled"/>
                    </v:fill>
                    <v:textbox>
                      <w:txbxContent>
                        <w:p w14:paraId="5CE4FCE5" w14:textId="32714A8E" w:rsidR="00420F9C" w:rsidRDefault="00420F9C" w:rsidP="000A164C">
                          <w:pPr>
                            <w:jc w:val="center"/>
                            <w:rPr>
                              <w:sz w:val="16"/>
                              <w:szCs w:val="16"/>
                            </w:rPr>
                          </w:pPr>
                          <w:r>
                            <w:rPr>
                              <w:sz w:val="16"/>
                              <w:szCs w:val="16"/>
                            </w:rPr>
                            <w:t>Estimated dietary exposure from e</w:t>
                          </w:r>
                          <w:r w:rsidRPr="006C25F3">
                            <w:rPr>
                              <w:sz w:val="16"/>
                              <w:szCs w:val="16"/>
                            </w:rPr>
                            <w:t xml:space="preserve">xisting permissions </w:t>
                          </w:r>
                          <w:r>
                            <w:rPr>
                              <w:sz w:val="16"/>
                              <w:szCs w:val="16"/>
                            </w:rPr>
                            <w:t>(</w:t>
                          </w:r>
                          <w:r w:rsidRPr="006C25F3">
                            <w:rPr>
                              <w:sz w:val="16"/>
                              <w:szCs w:val="16"/>
                            </w:rPr>
                            <w:t>mg/kg bw</w:t>
                          </w:r>
                          <w:r>
                            <w:rPr>
                              <w:sz w:val="16"/>
                              <w:szCs w:val="16"/>
                            </w:rPr>
                            <w:t>)</w:t>
                          </w:r>
                        </w:p>
                      </w:txbxContent>
                    </v:textbox>
                  </v:shape>
                  <v:shape id="Plus 27" o:spid="_x0000_s1031" style="position:absolute;left:15587;top:4602;width:3744;height:3560;visibility:visible;mso-wrap-style:square;v-text-anchor:middle" coordsize="374352,355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MMYA&#10;AADbAAAADwAAAGRycy9kb3ducmV2LnhtbESPQWvCQBSE74L/YXkFL6VujJBKdBURFXvowdhSentk&#10;n0lo9m3Irib5991CweMwM98wq01vanGn1lWWFcymEQji3OqKCwUfl8PLAoTzyBpry6RgIAeb9Xi0&#10;wlTbjs90z3whAoRdigpK75tUSpeXZNBNbUMcvKttDfog20LqFrsAN7WMoyiRBisOCyU2tCsp/8lu&#10;RsE2+Xx+P30N++H7GC26+VucJZejUpOnfrsE4an3j/B/+6QVxK/w9yX8AL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F/MMYAAADbAAAADwAAAAAAAAAAAAAAAACYAgAAZHJz&#10;L2Rvd25yZXYueG1sUEsFBgAAAAAEAAQA9QAAAIsDAAAAAA==&#10;" path="m49620,136112r95697,l145317,47180r83718,l229035,136112r95697,l324732,219829r-95697,l229035,308761r-83718,l145317,219829r-95697,l49620,136112xe" fillcolor="#92d050" strokecolor="#385d8a" strokeweight="2pt">
                    <v:path arrowok="t" o:connecttype="custom" o:connectlocs="49620,136112;145317,136112;145317,47180;229035,47180;229035,136112;324732,136112;324732,219829;229035,219829;229035,308761;145317,308761;145317,219829;49620,219829;49620,136112" o:connectangles="0,0,0,0,0,0,0,0,0,0,0,0,0"/>
                  </v:shape>
                  <v:shape id="Equal 290" o:spid="_x0000_s1032" style="position:absolute;left:37128;top:5093;width:4050;height:3069;visibility:visible;mso-wrap-style:square;v-text-anchor:middle" coordsize="405036,30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XMMMA&#10;AADcAAAADwAAAGRycy9kb3ducmV2LnhtbERPz2vCMBS+D/wfwhO8zVQPbquNMoShh1WYbvT6aJ5N&#10;XfNSmqzt/OuXg7Djx/c72462ET11vnasYDFPQBCXTtdcKfg8vz0+g/ABWWPjmBT8koftZvKQYard&#10;wB/Un0IlYgj7FBWYENpUSl8asujnriWO3MV1FkOEXSV1h0MMt41cJslKWqw5NhhsaWeo/D79WAX0&#10;/oU389Rfb3TOj/tVXlyLfq/UbDq+rkEEGsO/+O4+aAXLlzg/no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XMMMAAADcAAAADwAAAAAAAAAAAAAAAACYAgAAZHJzL2Rv&#10;d25yZXYueG1sUEsFBgAAAAAEAAQA9QAAAIgDAAAAAA==&#10;" path="m53688,63210r297660,l351348,135380r-297660,l53688,63210xm53688,171465r297660,l351348,243635r-297660,l53688,171465xe" fillcolor="#92d050" strokecolor="#385d8a" strokeweight="2pt">
                    <v:path arrowok="t" o:connecttype="custom" o:connectlocs="53688,63210;351348,63210;351348,135380;53688,135380;53688,63210;53688,171465;351348,171465;351348,243635;53688,243635;53688,171465" o:connectangles="0,0,0,0,0,0,0,0,0,0"/>
                  </v:shape>
                </v:group>
                <w10:anchorlock/>
              </v:group>
            </w:pict>
          </mc:Fallback>
        </mc:AlternateContent>
      </w:r>
    </w:p>
    <w:p w14:paraId="5D556B6A" w14:textId="17BB7D96" w:rsidR="004455F5" w:rsidRPr="00F85DCF" w:rsidRDefault="004455F5" w:rsidP="008F3A22">
      <w:pPr>
        <w:pStyle w:val="FSTableFigureHeading"/>
        <w:ind w:left="0" w:firstLine="0"/>
        <w:rPr>
          <w:b w:val="0"/>
          <w:lang w:val="en-GB"/>
        </w:rPr>
      </w:pPr>
      <w:r w:rsidRPr="00F85DCF">
        <w:rPr>
          <w:b w:val="0"/>
          <w:lang w:val="en-GB"/>
        </w:rPr>
        <w:t xml:space="preserve">Figure </w:t>
      </w:r>
      <w:r w:rsidR="00A92A57" w:rsidRPr="00F85DCF">
        <w:rPr>
          <w:b w:val="0"/>
          <w:lang w:val="en-GB"/>
        </w:rPr>
        <w:t>1:</w:t>
      </w:r>
      <w:r w:rsidR="008F3A22" w:rsidRPr="00F85DCF">
        <w:rPr>
          <w:b w:val="0"/>
          <w:lang w:val="en-GB"/>
        </w:rPr>
        <w:t xml:space="preserve"> </w:t>
      </w:r>
      <w:r w:rsidRPr="00F85DCF">
        <w:rPr>
          <w:b w:val="0"/>
          <w:lang w:val="en-GB"/>
        </w:rPr>
        <w:t xml:space="preserve">Percentage </w:t>
      </w:r>
      <w:r w:rsidR="005F3AD9" w:rsidRPr="00F85DCF">
        <w:rPr>
          <w:b w:val="0"/>
          <w:lang w:val="en-GB"/>
        </w:rPr>
        <w:t>contributions</w:t>
      </w:r>
      <w:r w:rsidRPr="00F85DCF">
        <w:rPr>
          <w:b w:val="0"/>
          <w:lang w:val="en-GB"/>
        </w:rPr>
        <w:t xml:space="preserve"> of </w:t>
      </w:r>
      <w:r w:rsidR="00610550" w:rsidRPr="00F85DCF">
        <w:rPr>
          <w:b w:val="0"/>
          <w:i w:val="0"/>
          <w:lang w:val="en-GB"/>
        </w:rPr>
        <w:t>A</w:t>
      </w:r>
      <w:r w:rsidR="004950A6" w:rsidRPr="00F85DCF">
        <w:rPr>
          <w:b w:val="0"/>
          <w:i w:val="0"/>
          <w:lang w:val="en-GB"/>
        </w:rPr>
        <w:t xml:space="preserve">ll other foods </w:t>
      </w:r>
      <w:r w:rsidR="0003601D" w:rsidRPr="00F85DCF">
        <w:rPr>
          <w:b w:val="0"/>
          <w:i w:val="0"/>
          <w:lang w:val="en-GB"/>
        </w:rPr>
        <w:t xml:space="preserve">except animal </w:t>
      </w:r>
      <w:r w:rsidR="00D94403">
        <w:rPr>
          <w:b w:val="0"/>
          <w:i w:val="0"/>
          <w:lang w:val="en-GB"/>
        </w:rPr>
        <w:t xml:space="preserve">food </w:t>
      </w:r>
      <w:r w:rsidR="0003601D" w:rsidRPr="00F85DCF">
        <w:rPr>
          <w:b w:val="0"/>
          <w:i w:val="0"/>
          <w:lang w:val="en-GB"/>
        </w:rPr>
        <w:t>commodities</w:t>
      </w:r>
      <w:r w:rsidRPr="00F85DCF">
        <w:rPr>
          <w:b w:val="0"/>
          <w:lang w:val="en-GB"/>
        </w:rPr>
        <w:t xml:space="preserve"> to</w:t>
      </w:r>
      <w:r w:rsidRPr="00F85DCF">
        <w:rPr>
          <w:i w:val="0"/>
          <w:lang w:val="en-GB"/>
        </w:rPr>
        <w:t xml:space="preserve"> </w:t>
      </w:r>
      <w:r w:rsidRPr="00F85DCF">
        <w:rPr>
          <w:b w:val="0"/>
          <w:lang w:val="en-GB"/>
        </w:rPr>
        <w:t xml:space="preserve">total </w:t>
      </w:r>
    </w:p>
    <w:p w14:paraId="5DBFC600" w14:textId="37FAC46A" w:rsidR="002134C3" w:rsidRPr="00F85DCF" w:rsidRDefault="008F3A22" w:rsidP="00227DF3">
      <w:pPr>
        <w:pStyle w:val="Heading2"/>
      </w:pPr>
      <w:bookmarkStart w:id="18" w:name="_Toc189649258"/>
      <w:bookmarkStart w:id="19" w:name="_Toc191172121"/>
      <w:bookmarkStart w:id="20" w:name="_Toc191890821"/>
      <w:bookmarkStart w:id="21" w:name="_Toc192049092"/>
      <w:bookmarkStart w:id="22" w:name="_Toc192306614"/>
      <w:bookmarkStart w:id="23" w:name="_Toc202003190"/>
      <w:bookmarkStart w:id="24" w:name="_Toc204069594"/>
      <w:bookmarkStart w:id="25" w:name="_Toc209346526"/>
      <w:bookmarkStart w:id="26" w:name="_Toc210446985"/>
      <w:bookmarkStart w:id="27" w:name="_Toc211997270"/>
      <w:bookmarkStart w:id="28" w:name="_Toc212021288"/>
      <w:bookmarkStart w:id="29" w:name="_Toc212341075"/>
      <w:bookmarkStart w:id="30" w:name="_Toc225852434"/>
      <w:bookmarkStart w:id="31" w:name="_Toc225911851"/>
      <w:bookmarkStart w:id="32" w:name="_Toc225913076"/>
      <w:bookmarkStart w:id="33" w:name="_Toc226519776"/>
      <w:bookmarkStart w:id="34" w:name="_Toc226532676"/>
      <w:bookmarkStart w:id="35" w:name="_Toc245094543"/>
      <w:bookmarkStart w:id="36" w:name="_Toc245890603"/>
      <w:bookmarkStart w:id="37" w:name="_Toc252803253"/>
      <w:bookmarkStart w:id="38" w:name="_Toc252955862"/>
      <w:bookmarkStart w:id="39" w:name="_Toc253137943"/>
      <w:bookmarkStart w:id="40" w:name="_Toc253497895"/>
      <w:bookmarkStart w:id="41" w:name="_Toc253571254"/>
      <w:bookmarkStart w:id="42" w:name="_Toc448848080"/>
      <w:r w:rsidRPr="00F85DCF">
        <w:t>4.4</w:t>
      </w:r>
      <w:r w:rsidRPr="00F85DCF">
        <w:tab/>
      </w:r>
      <w:r w:rsidR="002134C3" w:rsidRPr="00F85DCF">
        <w:t>Estimating Dietary Exposure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132E0F9" w14:textId="20CD9C8A" w:rsidR="00CE1FDC" w:rsidRPr="00F85DCF" w:rsidRDefault="00CE1FDC" w:rsidP="00CE1FDC">
      <w:pPr>
        <w:rPr>
          <w:lang w:val="en-GB"/>
        </w:rPr>
      </w:pPr>
      <w:r w:rsidRPr="00F85DCF">
        <w:rPr>
          <w:lang w:val="en-GB"/>
        </w:rPr>
        <w:t xml:space="preserve">The APVMA and FSANZ undertake DEAs for all </w:t>
      </w:r>
      <w:r w:rsidR="007B7ABA" w:rsidRPr="00F85DCF">
        <w:rPr>
          <w:lang w:val="en-GB"/>
        </w:rPr>
        <w:t xml:space="preserve">agvet </w:t>
      </w:r>
      <w:r w:rsidRPr="00F85DCF">
        <w:rPr>
          <w:lang w:val="en-GB"/>
        </w:rPr>
        <w:t>chemicals using internationally recognised methodologies</w:t>
      </w:r>
      <w:r w:rsidR="006A7B63" w:rsidRPr="00F85DCF">
        <w:rPr>
          <w:rStyle w:val="FootnoteReference"/>
          <w:lang w:val="en-GB"/>
        </w:rPr>
        <w:footnoteReference w:id="7"/>
      </w:r>
      <w:r w:rsidRPr="00F85DCF">
        <w:rPr>
          <w:lang w:val="en-GB"/>
        </w:rPr>
        <w:t>. The DEAs undertaken for this proposal have followed these same methods.</w:t>
      </w:r>
      <w:r w:rsidR="0092341B" w:rsidRPr="00F85DCF">
        <w:rPr>
          <w:lang w:val="en-GB"/>
        </w:rPr>
        <w:t xml:space="preserve"> </w:t>
      </w:r>
      <w:r w:rsidR="003E3818" w:rsidRPr="00F85DCF">
        <w:rPr>
          <w:lang w:val="en-GB"/>
        </w:rPr>
        <w:t>D</w:t>
      </w:r>
      <w:r w:rsidR="0092341B" w:rsidRPr="00F85DCF">
        <w:rPr>
          <w:lang w:val="en-GB"/>
        </w:rPr>
        <w:t>ietary exposure is calculated as follows:</w:t>
      </w:r>
    </w:p>
    <w:p w14:paraId="5C773666" w14:textId="77777777" w:rsidR="00CC79D5" w:rsidRPr="00F85DCF" w:rsidRDefault="00CC79D5" w:rsidP="00CE1FDC">
      <w:pPr>
        <w:rPr>
          <w:lang w:val="en-GB"/>
        </w:rPr>
      </w:pPr>
    </w:p>
    <w:p w14:paraId="16FD9E97" w14:textId="1FDEDCA1" w:rsidR="0092341B" w:rsidRPr="00F85DCF" w:rsidRDefault="00CC79D5" w:rsidP="00CE1FDC">
      <w:pPr>
        <w:rPr>
          <w:lang w:val="en-GB"/>
        </w:rPr>
      </w:pPr>
      <w:r w:rsidRPr="00F85DCF">
        <w:rPr>
          <w:noProof/>
          <w:lang w:val="en-GB" w:eastAsia="en-GB"/>
        </w:rPr>
        <mc:AlternateContent>
          <mc:Choice Requires="wps">
            <w:drawing>
              <wp:inline distT="0" distB="0" distL="0" distR="0" wp14:anchorId="3AC582BE" wp14:editId="23B11B76">
                <wp:extent cx="5508345" cy="365760"/>
                <wp:effectExtent l="0" t="0" r="16510" b="15240"/>
                <wp:docPr id="5" name="Text Box 5"/>
                <wp:cNvGraphicFramePr/>
                <a:graphic xmlns:a="http://schemas.openxmlformats.org/drawingml/2006/main">
                  <a:graphicData uri="http://schemas.microsoft.com/office/word/2010/wordprocessingShape">
                    <wps:wsp>
                      <wps:cNvSpPr txBox="1"/>
                      <wps:spPr>
                        <a:xfrm>
                          <a:off x="0" y="0"/>
                          <a:ext cx="5508345"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664C88" w14:textId="417A0894" w:rsidR="00420F9C" w:rsidRDefault="00420F9C">
                            <w:r w:rsidRPr="00CC79D5">
                              <w:t>Dietary exposure = Σ (food chemical concentration x food consumption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33" type="#_x0000_t202" style="width:433.75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" fillcolor="white [3201]" strokeweight=".5pt">
                <v:textbox>
                  <w:txbxContent>
                    <w:p w14:paraId="2B664C88" w14:textId="417A0894" w:rsidR="00420F9C" w:rsidRDefault="00420F9C">
                      <w:r w:rsidRPr="00CC79D5">
                        <w:t>Dietary exposure = Σ (food chemical concentration x food consumption</w:t>
                      </w:r>
                      <w:r>
                        <w:t>)</w:t>
                      </w:r>
                    </w:p>
                  </w:txbxContent>
                </v:textbox>
                <w10:anchorlock/>
              </v:shape>
            </w:pict>
          </mc:Fallback>
        </mc:AlternateContent>
      </w:r>
    </w:p>
    <w:p w14:paraId="0080F707" w14:textId="77777777" w:rsidR="0092341B" w:rsidRPr="00F85DCF" w:rsidRDefault="0092341B" w:rsidP="00CE1FDC">
      <w:pPr>
        <w:rPr>
          <w:lang w:val="en-GB"/>
        </w:rPr>
      </w:pPr>
    </w:p>
    <w:p w14:paraId="28496D94" w14:textId="2142CD5F" w:rsidR="00FC40E0" w:rsidRPr="00F85DCF" w:rsidDel="00C151EE" w:rsidRDefault="00FC40E0" w:rsidP="00FC40E0">
      <w:pPr>
        <w:rPr>
          <w:lang w:val="en-GB"/>
        </w:rPr>
      </w:pPr>
      <w:r w:rsidRPr="00F85DCF" w:rsidDel="00C151EE">
        <w:rPr>
          <w:lang w:val="en-GB"/>
        </w:rPr>
        <w:t xml:space="preserve">In order to conduct a dietary exposure assessment, a </w:t>
      </w:r>
      <w:r w:rsidR="00251BAF" w:rsidRPr="00F85DCF">
        <w:rPr>
          <w:lang w:val="en-GB"/>
        </w:rPr>
        <w:t xml:space="preserve">food </w:t>
      </w:r>
      <w:r w:rsidRPr="00F85DCF" w:rsidDel="00C151EE">
        <w:rPr>
          <w:lang w:val="en-GB"/>
        </w:rPr>
        <w:t xml:space="preserve">consumption amount is required on a </w:t>
      </w:r>
      <w:r w:rsidR="0017607F" w:rsidRPr="00F85DCF" w:rsidDel="00C151EE">
        <w:rPr>
          <w:lang w:val="en-GB"/>
        </w:rPr>
        <w:t>gram</w:t>
      </w:r>
      <w:r w:rsidRPr="00F85DCF" w:rsidDel="00C151EE">
        <w:rPr>
          <w:lang w:val="en-GB"/>
        </w:rPr>
        <w:t xml:space="preserve"> per kilo body weight per day (g/kg bw/day) basis for all </w:t>
      </w:r>
      <w:r w:rsidR="001040CD" w:rsidRPr="00F85DCF">
        <w:rPr>
          <w:lang w:val="en-GB"/>
        </w:rPr>
        <w:t>the food commodities that do not have specific MRLs</w:t>
      </w:r>
      <w:r w:rsidRPr="00F85DCF" w:rsidDel="00C151EE">
        <w:rPr>
          <w:lang w:val="en-GB"/>
        </w:rPr>
        <w:t>. To</w:t>
      </w:r>
      <w:r w:rsidRPr="00F85DCF" w:rsidDel="00251BAF">
        <w:rPr>
          <w:lang w:val="en-GB"/>
        </w:rPr>
        <w:t xml:space="preserve"> </w:t>
      </w:r>
      <w:r w:rsidR="00251BAF" w:rsidRPr="00F85DCF">
        <w:rPr>
          <w:lang w:val="en-GB"/>
        </w:rPr>
        <w:t>determine</w:t>
      </w:r>
      <w:r w:rsidR="00251BAF" w:rsidRPr="00F85DCF" w:rsidDel="00C151EE">
        <w:rPr>
          <w:lang w:val="en-GB"/>
        </w:rPr>
        <w:t xml:space="preserve"> </w:t>
      </w:r>
      <w:r w:rsidRPr="00F85DCF" w:rsidDel="00C151EE">
        <w:rPr>
          <w:lang w:val="en-GB"/>
        </w:rPr>
        <w:t>this, an estimate of the mean food consumption per person for the entire Australian population was calculated using the 1995 NNS data</w:t>
      </w:r>
      <w:r w:rsidR="005D2545" w:rsidRPr="00F85DCF">
        <w:rPr>
          <w:lang w:val="en-GB"/>
        </w:rPr>
        <w:t xml:space="preserve"> or the 2007 ANCNPAS survey </w:t>
      </w:r>
      <w:r w:rsidR="00550437" w:rsidRPr="00F85DCF">
        <w:rPr>
          <w:lang w:val="en-GB"/>
        </w:rPr>
        <w:t xml:space="preserve">adjusted for individual body weights </w:t>
      </w:r>
      <w:r w:rsidR="005D2545" w:rsidRPr="00F85DCF">
        <w:rPr>
          <w:lang w:val="en-GB"/>
        </w:rPr>
        <w:t>as appropriate</w:t>
      </w:r>
      <w:r w:rsidRPr="00F85DCF" w:rsidDel="00C151EE">
        <w:rPr>
          <w:lang w:val="en-GB"/>
        </w:rPr>
        <w:t xml:space="preserve">. </w:t>
      </w:r>
      <w:r w:rsidR="005D2545" w:rsidRPr="00F85DCF">
        <w:rPr>
          <w:lang w:val="en-GB"/>
        </w:rPr>
        <w:t xml:space="preserve"> </w:t>
      </w:r>
    </w:p>
    <w:p w14:paraId="6142312E" w14:textId="77777777" w:rsidR="00FC40E0" w:rsidRPr="00F85DCF" w:rsidRDefault="00FC40E0" w:rsidP="002134C3">
      <w:pPr>
        <w:rPr>
          <w:lang w:val="en-GB"/>
        </w:rPr>
      </w:pPr>
    </w:p>
    <w:p w14:paraId="359E65B7" w14:textId="2969E570" w:rsidR="00F6750E" w:rsidRPr="00F85DCF" w:rsidRDefault="00F6750E" w:rsidP="00F6750E">
      <w:pPr>
        <w:rPr>
          <w:lang w:val="en-GB"/>
        </w:rPr>
      </w:pPr>
      <w:r w:rsidRPr="00F85DCF">
        <w:rPr>
          <w:lang w:val="en-GB"/>
        </w:rPr>
        <w:t xml:space="preserve">Further information on dietary exposure assessments is available </w:t>
      </w:r>
      <w:r w:rsidR="008F3A22" w:rsidRPr="00F85DCF">
        <w:rPr>
          <w:lang w:val="en-GB"/>
        </w:rPr>
        <w:t>on</w:t>
      </w:r>
      <w:r w:rsidR="00506325">
        <w:rPr>
          <w:lang w:val="en-GB"/>
        </w:rPr>
        <w:t xml:space="preserve"> the FSANZ website</w:t>
      </w:r>
      <w:r w:rsidR="00506325">
        <w:rPr>
          <w:rStyle w:val="FootnoteReference"/>
          <w:lang w:val="en-GB"/>
        </w:rPr>
        <w:footnoteReference w:id="8"/>
      </w:r>
      <w:r w:rsidR="00506325">
        <w:rPr>
          <w:lang w:val="en-GB"/>
        </w:rPr>
        <w:t xml:space="preserve">. </w:t>
      </w:r>
      <w:r w:rsidR="008F3A22" w:rsidRPr="00F85DCF">
        <w:rPr>
          <w:lang w:val="en-GB"/>
        </w:rPr>
        <w:t xml:space="preserve"> </w:t>
      </w:r>
    </w:p>
    <w:p w14:paraId="08A80EAF" w14:textId="2A19791A" w:rsidR="002134C3" w:rsidRPr="00F85DCF" w:rsidRDefault="008F3A22" w:rsidP="00227DF3">
      <w:pPr>
        <w:pStyle w:val="Heading2"/>
      </w:pPr>
      <w:bookmarkStart w:id="43" w:name="_Toc448848081"/>
      <w:r w:rsidRPr="00F85DCF">
        <w:t>4.5</w:t>
      </w:r>
      <w:r w:rsidRPr="00F85DCF">
        <w:tab/>
      </w:r>
      <w:r w:rsidR="002134C3" w:rsidRPr="00F85DCF">
        <w:t>Chronic Dietary Exposure Assessment</w:t>
      </w:r>
      <w:bookmarkEnd w:id="43"/>
    </w:p>
    <w:p w14:paraId="6E50C9DB" w14:textId="4A418837" w:rsidR="001D3135" w:rsidRPr="00F85DCF" w:rsidRDefault="002134C3" w:rsidP="002134C3">
      <w:pPr>
        <w:rPr>
          <w:lang w:val="en-GB"/>
        </w:rPr>
      </w:pPr>
      <w:r w:rsidRPr="00F85DCF">
        <w:rPr>
          <w:szCs w:val="21"/>
          <w:lang w:val="en-GB"/>
        </w:rPr>
        <w:t xml:space="preserve">In conducting chronic </w:t>
      </w:r>
      <w:r w:rsidR="00E952B4" w:rsidRPr="00F85DCF">
        <w:rPr>
          <w:szCs w:val="21"/>
          <w:lang w:val="en-GB"/>
        </w:rPr>
        <w:t xml:space="preserve">(NEDI) </w:t>
      </w:r>
      <w:r w:rsidR="00CB4941" w:rsidRPr="00F85DCF">
        <w:rPr>
          <w:szCs w:val="21"/>
          <w:lang w:val="en-GB"/>
        </w:rPr>
        <w:t>DEAs</w:t>
      </w:r>
      <w:r w:rsidRPr="00F85DCF">
        <w:rPr>
          <w:szCs w:val="21"/>
          <w:lang w:val="en-GB"/>
        </w:rPr>
        <w:t xml:space="preserve">, FSANZ </w:t>
      </w:r>
      <w:r w:rsidRPr="00F85DCF">
        <w:rPr>
          <w:lang w:val="en-GB"/>
        </w:rPr>
        <w:t>consider</w:t>
      </w:r>
      <w:r w:rsidR="001D3135" w:rsidRPr="00F85DCF">
        <w:rPr>
          <w:lang w:val="en-GB"/>
        </w:rPr>
        <w:t>ed</w:t>
      </w:r>
      <w:r w:rsidRPr="00F85DCF">
        <w:rPr>
          <w:lang w:val="en-GB"/>
        </w:rPr>
        <w:t xml:space="preserve"> the residues in foods that could result from the permitted uses of a</w:t>
      </w:r>
      <w:r w:rsidR="009966C3" w:rsidRPr="00F85DCF">
        <w:rPr>
          <w:lang w:val="en-GB"/>
        </w:rPr>
        <w:t xml:space="preserve">n </w:t>
      </w:r>
      <w:r w:rsidR="008F22C7" w:rsidRPr="00F85DCF">
        <w:rPr>
          <w:lang w:val="en-GB"/>
        </w:rPr>
        <w:t>a</w:t>
      </w:r>
      <w:r w:rsidR="009966C3" w:rsidRPr="00F85DCF">
        <w:rPr>
          <w:lang w:val="en-GB"/>
        </w:rPr>
        <w:t>g</w:t>
      </w:r>
      <w:r w:rsidR="007B7ABA" w:rsidRPr="00F85DCF">
        <w:rPr>
          <w:lang w:val="en-GB"/>
        </w:rPr>
        <w:t>v</w:t>
      </w:r>
      <w:r w:rsidR="009966C3" w:rsidRPr="00F85DCF">
        <w:rPr>
          <w:lang w:val="en-GB"/>
        </w:rPr>
        <w:t>et</w:t>
      </w:r>
      <w:r w:rsidRPr="00F85DCF">
        <w:rPr>
          <w:lang w:val="en-GB"/>
        </w:rPr>
        <w:t xml:space="preserve"> chemical product. </w:t>
      </w:r>
      <w:r w:rsidR="00B8296B" w:rsidRPr="00F85DCF">
        <w:rPr>
          <w:lang w:val="en-GB"/>
        </w:rPr>
        <w:t>M</w:t>
      </w:r>
      <w:r w:rsidR="00CB4941" w:rsidRPr="00F85DCF">
        <w:rPr>
          <w:lang w:val="en-GB"/>
        </w:rPr>
        <w:t>edian c</w:t>
      </w:r>
      <w:r w:rsidRPr="00F85DCF">
        <w:rPr>
          <w:lang w:val="en-GB"/>
        </w:rPr>
        <w:t>hemical residue concentration data</w:t>
      </w:r>
      <w:r w:rsidR="00B8296B" w:rsidRPr="00F85DCF">
        <w:rPr>
          <w:lang w:val="en-GB"/>
        </w:rPr>
        <w:t xml:space="preserve"> from standardised trials</w:t>
      </w:r>
      <w:r w:rsidR="002F3ACB" w:rsidRPr="00F85DCF">
        <w:rPr>
          <w:lang w:val="en-GB"/>
        </w:rPr>
        <w:t xml:space="preserve"> </w:t>
      </w:r>
      <w:r w:rsidR="00852564" w:rsidRPr="00F85DCF">
        <w:rPr>
          <w:lang w:val="en-GB"/>
        </w:rPr>
        <w:t xml:space="preserve">(STMR or STMR-P if adjusted for processing factors) </w:t>
      </w:r>
      <w:r w:rsidR="001040CD" w:rsidRPr="00F85DCF">
        <w:rPr>
          <w:lang w:val="en-GB"/>
        </w:rPr>
        <w:t>wer</w:t>
      </w:r>
      <w:r w:rsidR="00B8296B" w:rsidRPr="00F85DCF">
        <w:rPr>
          <w:lang w:val="en-GB"/>
        </w:rPr>
        <w:t xml:space="preserve">e </w:t>
      </w:r>
      <w:r w:rsidRPr="00F85DCF">
        <w:rPr>
          <w:lang w:val="en-GB"/>
        </w:rPr>
        <w:t>used if available</w:t>
      </w:r>
      <w:r w:rsidR="00567261" w:rsidRPr="00F85DCF">
        <w:rPr>
          <w:lang w:val="en-GB"/>
        </w:rPr>
        <w:t xml:space="preserve"> for existing commodities listed in Schedule 20</w:t>
      </w:r>
      <w:r w:rsidRPr="00F85DCF">
        <w:rPr>
          <w:lang w:val="en-GB"/>
        </w:rPr>
        <w:t xml:space="preserve">, </w:t>
      </w:r>
      <w:r w:rsidR="003C14AD" w:rsidRPr="00F85DCF">
        <w:rPr>
          <w:lang w:val="en-GB"/>
        </w:rPr>
        <w:t xml:space="preserve">instead of the MRL, </w:t>
      </w:r>
      <w:r w:rsidRPr="00F85DCF">
        <w:rPr>
          <w:lang w:val="en-GB"/>
        </w:rPr>
        <w:t xml:space="preserve">as </w:t>
      </w:r>
      <w:r w:rsidR="00CB4941" w:rsidRPr="00F85DCF">
        <w:rPr>
          <w:lang w:val="en-GB"/>
        </w:rPr>
        <w:t xml:space="preserve">these data </w:t>
      </w:r>
      <w:r w:rsidRPr="00F85DCF">
        <w:rPr>
          <w:lang w:val="en-GB"/>
        </w:rPr>
        <w:t xml:space="preserve">provide a more realistic estimate of dietary exposure. </w:t>
      </w:r>
      <w:r w:rsidR="00B8296B" w:rsidRPr="00F85DCF">
        <w:rPr>
          <w:lang w:val="en-GB"/>
        </w:rPr>
        <w:t xml:space="preserve">DEAs based on MRL data result in an overestimate of exposure as the assessment assumes that all </w:t>
      </w:r>
      <w:r w:rsidR="002F3ACB" w:rsidRPr="00F85DCF">
        <w:rPr>
          <w:lang w:val="en-GB"/>
        </w:rPr>
        <w:t>food</w:t>
      </w:r>
      <w:r w:rsidR="00B8296B" w:rsidRPr="00F85DCF">
        <w:rPr>
          <w:lang w:val="en-GB"/>
        </w:rPr>
        <w:t xml:space="preserve"> </w:t>
      </w:r>
      <w:r w:rsidR="002F3ACB" w:rsidRPr="00F85DCF">
        <w:rPr>
          <w:lang w:val="en-GB"/>
        </w:rPr>
        <w:t>with an applicable commodity MRL</w:t>
      </w:r>
      <w:r w:rsidR="00B8296B" w:rsidRPr="00F85DCF">
        <w:rPr>
          <w:lang w:val="en-GB"/>
        </w:rPr>
        <w:t xml:space="preserve"> contain the residue at the specified concentration.</w:t>
      </w:r>
      <w:r w:rsidR="002F3ACB" w:rsidRPr="00F85DCF">
        <w:rPr>
          <w:lang w:val="en-GB"/>
        </w:rPr>
        <w:t xml:space="preserve"> </w:t>
      </w:r>
    </w:p>
    <w:p w14:paraId="360E9FFC" w14:textId="77777777" w:rsidR="003C14AD" w:rsidRPr="00F85DCF" w:rsidRDefault="003C14AD" w:rsidP="002134C3">
      <w:pPr>
        <w:rPr>
          <w:lang w:val="en-GB"/>
        </w:rPr>
      </w:pPr>
    </w:p>
    <w:p w14:paraId="594ED42A" w14:textId="7F35E771" w:rsidR="002134C3" w:rsidRPr="00F85DCF" w:rsidRDefault="001D3135" w:rsidP="002134C3">
      <w:pPr>
        <w:rPr>
          <w:lang w:val="en-GB"/>
        </w:rPr>
      </w:pPr>
      <w:r w:rsidRPr="00F85DCF">
        <w:rPr>
          <w:lang w:val="en-GB"/>
        </w:rPr>
        <w:t xml:space="preserve">The proposed MRL for </w:t>
      </w:r>
      <w:r w:rsidR="004E54B9" w:rsidRPr="00F85DCF">
        <w:rPr>
          <w:i/>
          <w:lang w:val="en-GB"/>
        </w:rPr>
        <w:t>A</w:t>
      </w:r>
      <w:r w:rsidR="00F845C6" w:rsidRPr="00F85DCF">
        <w:rPr>
          <w:i/>
          <w:lang w:val="en-GB"/>
        </w:rPr>
        <w:t xml:space="preserve">ll other foods except animal </w:t>
      </w:r>
      <w:r w:rsidR="000658A6">
        <w:rPr>
          <w:i/>
          <w:lang w:val="en-GB"/>
        </w:rPr>
        <w:t xml:space="preserve">food </w:t>
      </w:r>
      <w:r w:rsidR="00F845C6" w:rsidRPr="00F85DCF">
        <w:rPr>
          <w:i/>
          <w:lang w:val="en-GB"/>
        </w:rPr>
        <w:t>commodities</w:t>
      </w:r>
      <w:r w:rsidRPr="00F85DCF">
        <w:rPr>
          <w:lang w:val="en-GB"/>
        </w:rPr>
        <w:t xml:space="preserve"> was used in the NEDI calculations. The use of the </w:t>
      </w:r>
      <w:r w:rsidR="004E54B9" w:rsidRPr="00F85DCF">
        <w:rPr>
          <w:i/>
          <w:lang w:val="en-GB"/>
        </w:rPr>
        <w:t>A</w:t>
      </w:r>
      <w:r w:rsidR="00BD7BDC"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B8296B" w:rsidRPr="00F85DCF">
        <w:rPr>
          <w:lang w:val="en-GB"/>
        </w:rPr>
        <w:t xml:space="preserve"> </w:t>
      </w:r>
      <w:r w:rsidRPr="00F85DCF">
        <w:rPr>
          <w:lang w:val="en-GB"/>
        </w:rPr>
        <w:t xml:space="preserve">MRL in dietary exposure estimates </w:t>
      </w:r>
      <w:r w:rsidR="00B8296B" w:rsidRPr="00F85DCF">
        <w:rPr>
          <w:lang w:val="en-GB"/>
        </w:rPr>
        <w:t xml:space="preserve">will </w:t>
      </w:r>
      <w:r w:rsidRPr="00F85DCF">
        <w:rPr>
          <w:lang w:val="en-GB"/>
        </w:rPr>
        <w:t xml:space="preserve">result in considerable overestimates of exposure </w:t>
      </w:r>
      <w:r w:rsidR="00567261" w:rsidRPr="00F85DCF">
        <w:rPr>
          <w:lang w:val="en-GB"/>
        </w:rPr>
        <w:t xml:space="preserve">from this group of foods </w:t>
      </w:r>
      <w:r w:rsidRPr="00F85DCF">
        <w:rPr>
          <w:lang w:val="en-GB"/>
        </w:rPr>
        <w:t xml:space="preserve">because </w:t>
      </w:r>
      <w:r w:rsidR="00B8296B" w:rsidRPr="00F85DCF">
        <w:rPr>
          <w:lang w:val="en-GB"/>
        </w:rPr>
        <w:t xml:space="preserve">the assessment </w:t>
      </w:r>
      <w:r w:rsidRPr="00F85DCF">
        <w:rPr>
          <w:lang w:val="en-GB"/>
        </w:rPr>
        <w:t xml:space="preserve">assumes that the chemical </w:t>
      </w:r>
      <w:r w:rsidR="003C14AD" w:rsidRPr="00F85DCF">
        <w:rPr>
          <w:lang w:val="en-GB"/>
        </w:rPr>
        <w:t>is</w:t>
      </w:r>
      <w:r w:rsidRPr="00F85DCF">
        <w:rPr>
          <w:lang w:val="en-GB"/>
        </w:rPr>
        <w:t xml:space="preserve"> present </w:t>
      </w:r>
      <w:r w:rsidR="00B8296B" w:rsidRPr="00F85DCF">
        <w:rPr>
          <w:lang w:val="en-GB"/>
        </w:rPr>
        <w:t xml:space="preserve">at the specified level </w:t>
      </w:r>
      <w:r w:rsidR="002F3ACB" w:rsidRPr="00F85DCF">
        <w:rPr>
          <w:lang w:val="en-GB"/>
        </w:rPr>
        <w:t xml:space="preserve">in </w:t>
      </w:r>
      <w:r w:rsidRPr="00F85DCF">
        <w:rPr>
          <w:lang w:val="en-GB"/>
        </w:rPr>
        <w:t xml:space="preserve">all commodities for which there is no current registered use. </w:t>
      </w:r>
      <w:r w:rsidR="00DA2F95" w:rsidRPr="00F85DCF">
        <w:rPr>
          <w:lang w:val="en-GB"/>
        </w:rPr>
        <w:t xml:space="preserve">This </w:t>
      </w:r>
      <w:r w:rsidR="001040CD" w:rsidRPr="00F85DCF">
        <w:rPr>
          <w:lang w:val="en-GB"/>
        </w:rPr>
        <w:t xml:space="preserve">is </w:t>
      </w:r>
      <w:r w:rsidR="00400F95" w:rsidRPr="00F85DCF">
        <w:rPr>
          <w:lang w:val="en-GB"/>
        </w:rPr>
        <w:t xml:space="preserve">a ‘worse-case’ scenario </w:t>
      </w:r>
      <w:r w:rsidR="00DA2F95" w:rsidRPr="00F85DCF">
        <w:rPr>
          <w:lang w:val="en-GB"/>
        </w:rPr>
        <w:t xml:space="preserve">in the case of an </w:t>
      </w:r>
      <w:r w:rsidR="00B07BAB" w:rsidRPr="00F85DCF">
        <w:rPr>
          <w:i/>
          <w:lang w:val="en-GB"/>
        </w:rPr>
        <w:t>A</w:t>
      </w:r>
      <w:r w:rsidR="007A59C1"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9F7434" w:rsidRPr="00F85DCF">
        <w:rPr>
          <w:lang w:val="en-GB"/>
        </w:rPr>
        <w:t xml:space="preserve"> </w:t>
      </w:r>
      <w:r w:rsidR="00DA2F95" w:rsidRPr="00F85DCF">
        <w:rPr>
          <w:lang w:val="en-GB"/>
        </w:rPr>
        <w:t xml:space="preserve">MRL </w:t>
      </w:r>
      <w:r w:rsidR="000F638A" w:rsidRPr="00F85DCF">
        <w:rPr>
          <w:lang w:val="en-GB"/>
        </w:rPr>
        <w:t>because</w:t>
      </w:r>
      <w:r w:rsidR="00DA2F95" w:rsidRPr="00F85DCF">
        <w:rPr>
          <w:lang w:val="en-GB"/>
        </w:rPr>
        <w:t xml:space="preserve"> the foods captured </w:t>
      </w:r>
      <w:r w:rsidR="009F7434" w:rsidRPr="00F85DCF">
        <w:rPr>
          <w:lang w:val="en-GB"/>
        </w:rPr>
        <w:t xml:space="preserve">are not </w:t>
      </w:r>
      <w:r w:rsidR="00DA2F95" w:rsidRPr="00F85DCF">
        <w:rPr>
          <w:lang w:val="en-GB"/>
        </w:rPr>
        <w:t xml:space="preserve">actively </w:t>
      </w:r>
      <w:r w:rsidR="009F7434" w:rsidRPr="00F85DCF">
        <w:rPr>
          <w:lang w:val="en-GB"/>
        </w:rPr>
        <w:t xml:space="preserve">treated </w:t>
      </w:r>
      <w:r w:rsidR="00DA2F95" w:rsidRPr="00F85DCF">
        <w:rPr>
          <w:lang w:val="en-GB"/>
        </w:rPr>
        <w:t>with the chemical of interest</w:t>
      </w:r>
      <w:r w:rsidR="002134C3" w:rsidRPr="00F85DCF">
        <w:rPr>
          <w:lang w:val="en-GB"/>
        </w:rPr>
        <w:t>.</w:t>
      </w:r>
    </w:p>
    <w:p w14:paraId="15CAD6B0" w14:textId="77777777" w:rsidR="002134C3" w:rsidRPr="00F85DCF" w:rsidRDefault="002134C3" w:rsidP="002134C3">
      <w:pPr>
        <w:rPr>
          <w:lang w:val="en-GB"/>
        </w:rPr>
      </w:pPr>
    </w:p>
    <w:p w14:paraId="00457264" w14:textId="77777777" w:rsidR="00420F9C" w:rsidRDefault="00420F9C" w:rsidP="002824A7">
      <w:pPr>
        <w:rPr>
          <w:lang w:val="en-GB"/>
        </w:rPr>
      </w:pPr>
      <w:r>
        <w:rPr>
          <w:lang w:val="en-GB"/>
        </w:rPr>
        <w:br w:type="page"/>
      </w:r>
    </w:p>
    <w:p w14:paraId="27EEF73F" w14:textId="6E8F087C" w:rsidR="002134C3" w:rsidRPr="00F85DCF" w:rsidRDefault="002134C3" w:rsidP="002824A7">
      <w:pPr>
        <w:rPr>
          <w:lang w:val="en-GB"/>
        </w:rPr>
      </w:pPr>
      <w:r w:rsidRPr="00F85DCF">
        <w:rPr>
          <w:lang w:val="en-GB"/>
        </w:rPr>
        <w:lastRenderedPageBreak/>
        <w:t xml:space="preserve">The residues that </w:t>
      </w:r>
      <w:r w:rsidR="00567261" w:rsidRPr="00F85DCF">
        <w:rPr>
          <w:lang w:val="en-GB"/>
        </w:rPr>
        <w:t>were assumed</w:t>
      </w:r>
      <w:r w:rsidRPr="00F85DCF">
        <w:rPr>
          <w:lang w:val="en-GB"/>
        </w:rPr>
        <w:t xml:space="preserve"> to occur in </w:t>
      </w:r>
      <w:r w:rsidR="009A6608" w:rsidRPr="00F85DCF">
        <w:rPr>
          <w:lang w:val="en-GB"/>
        </w:rPr>
        <w:t xml:space="preserve">all other foods </w:t>
      </w:r>
      <w:r w:rsidR="0003601D" w:rsidRPr="00F85DCF">
        <w:rPr>
          <w:lang w:val="en-GB"/>
        </w:rPr>
        <w:t xml:space="preserve">except animal </w:t>
      </w:r>
      <w:r w:rsidR="000658A6">
        <w:rPr>
          <w:lang w:val="en-GB"/>
        </w:rPr>
        <w:t xml:space="preserve">food </w:t>
      </w:r>
      <w:r w:rsidR="0003601D" w:rsidRPr="00F85DCF">
        <w:rPr>
          <w:lang w:val="en-GB"/>
        </w:rPr>
        <w:t>commodities</w:t>
      </w:r>
      <w:r w:rsidRPr="00F85DCF">
        <w:rPr>
          <w:lang w:val="en-GB"/>
        </w:rPr>
        <w:t xml:space="preserve"> </w:t>
      </w:r>
      <w:r w:rsidR="00567261" w:rsidRPr="00F85DCF">
        <w:rPr>
          <w:lang w:val="en-GB"/>
        </w:rPr>
        <w:t xml:space="preserve">were </w:t>
      </w:r>
      <w:r w:rsidRPr="00F85DCF">
        <w:rPr>
          <w:lang w:val="en-GB"/>
        </w:rPr>
        <w:t xml:space="preserve">multiplied by the daily consumption of these foods derived from individual dietary records from the </w:t>
      </w:r>
      <w:r w:rsidR="00E919A0">
        <w:rPr>
          <w:lang w:val="en-GB"/>
        </w:rPr>
        <w:t xml:space="preserve">1995 and 2007 </w:t>
      </w:r>
      <w:r w:rsidRPr="00F85DCF">
        <w:rPr>
          <w:lang w:val="en-GB"/>
        </w:rPr>
        <w:t xml:space="preserve">NNS for all survey respondents. These calculations take into account the consumption of </w:t>
      </w:r>
      <w:r w:rsidR="001040CD" w:rsidRPr="00F85DCF">
        <w:rPr>
          <w:lang w:val="en-GB"/>
        </w:rPr>
        <w:t xml:space="preserve">foods as </w:t>
      </w:r>
      <w:r w:rsidRPr="00F85DCF">
        <w:rPr>
          <w:lang w:val="en-GB"/>
        </w:rPr>
        <w:t xml:space="preserve">ingredients in processed foods e.g. </w:t>
      </w:r>
      <w:r w:rsidRPr="00F85DCF">
        <w:rPr>
          <w:i/>
          <w:lang w:val="en-GB"/>
        </w:rPr>
        <w:t>apple</w:t>
      </w:r>
      <w:r w:rsidRPr="00F85DCF">
        <w:rPr>
          <w:lang w:val="en-GB"/>
        </w:rPr>
        <w:t xml:space="preserve"> in </w:t>
      </w:r>
      <w:r w:rsidRPr="00F85DCF">
        <w:rPr>
          <w:i/>
          <w:lang w:val="en-GB"/>
        </w:rPr>
        <w:t>apple pie</w:t>
      </w:r>
      <w:r w:rsidRPr="00F85DCF">
        <w:rPr>
          <w:lang w:val="en-GB"/>
        </w:rPr>
        <w:t xml:space="preserve"> and</w:t>
      </w:r>
      <w:r w:rsidR="003522AF" w:rsidRPr="00F85DCF">
        <w:rPr>
          <w:lang w:val="en-GB"/>
        </w:rPr>
        <w:t xml:space="preserve"> </w:t>
      </w:r>
      <w:r w:rsidR="003522AF" w:rsidRPr="00F85DCF">
        <w:rPr>
          <w:i/>
          <w:lang w:val="en-GB"/>
        </w:rPr>
        <w:t>wheat</w:t>
      </w:r>
      <w:r w:rsidR="003522AF" w:rsidRPr="00F85DCF">
        <w:rPr>
          <w:lang w:val="en-GB"/>
        </w:rPr>
        <w:t xml:space="preserve"> from</w:t>
      </w:r>
      <w:r w:rsidRPr="00F85DCF">
        <w:rPr>
          <w:lang w:val="en-GB"/>
        </w:rPr>
        <w:t xml:space="preserve"> </w:t>
      </w:r>
      <w:r w:rsidRPr="00F85DCF">
        <w:rPr>
          <w:i/>
          <w:lang w:val="en-GB"/>
        </w:rPr>
        <w:t>flour</w:t>
      </w:r>
      <w:r w:rsidRPr="00F85DCF">
        <w:rPr>
          <w:lang w:val="en-GB"/>
        </w:rPr>
        <w:t xml:space="preserve"> in </w:t>
      </w:r>
      <w:r w:rsidRPr="00F85DCF">
        <w:rPr>
          <w:i/>
          <w:lang w:val="en-GB"/>
        </w:rPr>
        <w:t>bread</w:t>
      </w:r>
      <w:r w:rsidRPr="00F85DCF">
        <w:rPr>
          <w:lang w:val="en-GB"/>
        </w:rPr>
        <w:t xml:space="preserve">. </w:t>
      </w:r>
    </w:p>
    <w:p w14:paraId="5467AC9D" w14:textId="546B6238" w:rsidR="000F638A" w:rsidRPr="00F85DCF" w:rsidDel="00C151EE" w:rsidRDefault="000F638A" w:rsidP="00CE0A05">
      <w:pPr>
        <w:rPr>
          <w:lang w:val="en-GB"/>
        </w:rPr>
      </w:pPr>
    </w:p>
    <w:p w14:paraId="0CBC78E2" w14:textId="5EA67302" w:rsidR="00C151EE" w:rsidRPr="00F85DCF" w:rsidRDefault="000F638A" w:rsidP="00CE0A05">
      <w:pPr>
        <w:rPr>
          <w:lang w:val="en-GB"/>
        </w:rPr>
      </w:pPr>
      <w:r w:rsidRPr="00F85DCF" w:rsidDel="00C151EE">
        <w:rPr>
          <w:lang w:val="en-GB"/>
        </w:rPr>
        <w:t>The</w:t>
      </w:r>
      <w:r w:rsidR="00F4372F" w:rsidRPr="00F85DCF" w:rsidDel="00C151EE">
        <w:rPr>
          <w:lang w:val="en-GB"/>
        </w:rPr>
        <w:t xml:space="preserve"> mean total food consumption for the Australian population aged 2 years and above </w:t>
      </w:r>
      <w:r w:rsidR="001040CD" w:rsidRPr="00F85DCF">
        <w:rPr>
          <w:lang w:val="en-GB"/>
        </w:rPr>
        <w:t>was</w:t>
      </w:r>
      <w:r w:rsidR="001040CD" w:rsidRPr="00F85DCF" w:rsidDel="00C151EE">
        <w:rPr>
          <w:lang w:val="en-GB"/>
        </w:rPr>
        <w:t xml:space="preserve"> </w:t>
      </w:r>
      <w:r w:rsidRPr="00F85DCF" w:rsidDel="00C151EE">
        <w:rPr>
          <w:lang w:val="en-GB"/>
        </w:rPr>
        <w:t xml:space="preserve">estimated at </w:t>
      </w:r>
      <w:r w:rsidR="000A318F" w:rsidRPr="00F85DCF">
        <w:rPr>
          <w:lang w:val="en-GB"/>
        </w:rPr>
        <w:t>51</w:t>
      </w:r>
      <w:r w:rsidR="000A318F" w:rsidRPr="00F85DCF" w:rsidDel="00C151EE">
        <w:rPr>
          <w:lang w:val="en-GB"/>
        </w:rPr>
        <w:t xml:space="preserve"> </w:t>
      </w:r>
      <w:r w:rsidR="002824A7" w:rsidRPr="00F85DCF" w:rsidDel="00C151EE">
        <w:rPr>
          <w:lang w:val="en-GB"/>
        </w:rPr>
        <w:t>g/kg bw/day</w:t>
      </w:r>
      <w:r w:rsidR="00E32427" w:rsidRPr="00F85DCF">
        <w:rPr>
          <w:lang w:val="en-GB"/>
        </w:rPr>
        <w:t xml:space="preserve"> (1995 NNS)</w:t>
      </w:r>
      <w:r w:rsidR="002824A7" w:rsidRPr="00F85DCF" w:rsidDel="00C151EE">
        <w:rPr>
          <w:lang w:val="en-GB"/>
        </w:rPr>
        <w:t xml:space="preserve">. The difference between </w:t>
      </w:r>
      <w:r w:rsidR="000A318F" w:rsidRPr="00F85DCF">
        <w:rPr>
          <w:lang w:val="en-GB"/>
        </w:rPr>
        <w:t>51</w:t>
      </w:r>
      <w:r w:rsidR="000A318F" w:rsidRPr="00F85DCF" w:rsidDel="00C151EE">
        <w:rPr>
          <w:lang w:val="en-GB"/>
        </w:rPr>
        <w:t xml:space="preserve"> </w:t>
      </w:r>
      <w:r w:rsidR="002824A7" w:rsidRPr="00F85DCF" w:rsidDel="00C151EE">
        <w:rPr>
          <w:lang w:val="en-GB"/>
        </w:rPr>
        <w:t>g/kg bw/day and the sum of consumption of commodities with existing permissions</w:t>
      </w:r>
      <w:r w:rsidR="009A22D8" w:rsidRPr="00F85DCF">
        <w:rPr>
          <w:lang w:val="en-GB"/>
        </w:rPr>
        <w:t xml:space="preserve"> </w:t>
      </w:r>
      <w:r w:rsidR="001040CD" w:rsidRPr="00F85DCF">
        <w:rPr>
          <w:lang w:val="en-GB"/>
        </w:rPr>
        <w:t>was</w:t>
      </w:r>
      <w:r w:rsidR="001040CD" w:rsidRPr="00F85DCF" w:rsidDel="00C151EE">
        <w:rPr>
          <w:lang w:val="en-GB"/>
        </w:rPr>
        <w:t xml:space="preserve"> </w:t>
      </w:r>
      <w:r w:rsidR="002824A7" w:rsidRPr="00F85DCF" w:rsidDel="00C151EE">
        <w:rPr>
          <w:lang w:val="en-GB"/>
        </w:rPr>
        <w:t xml:space="preserve">used as the consumption amount </w:t>
      </w:r>
      <w:r w:rsidR="0012742C" w:rsidRPr="00F85DCF">
        <w:rPr>
          <w:lang w:val="en-GB"/>
        </w:rPr>
        <w:t>in the DEA</w:t>
      </w:r>
      <w:r w:rsidR="001040CD" w:rsidRPr="00F85DCF">
        <w:rPr>
          <w:lang w:val="en-GB"/>
        </w:rPr>
        <w:t xml:space="preserve"> for </w:t>
      </w:r>
      <w:r w:rsidR="000151A9" w:rsidRPr="00F85DCF">
        <w:rPr>
          <w:i/>
          <w:lang w:val="en-GB"/>
        </w:rPr>
        <w:t>A</w:t>
      </w:r>
      <w:r w:rsidR="001B7884"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E952B4" w:rsidRPr="00F85DCF">
        <w:rPr>
          <w:lang w:val="en-GB"/>
        </w:rPr>
        <w:t xml:space="preserve"> (see Figure </w:t>
      </w:r>
      <w:r w:rsidR="00CF6D8C" w:rsidRPr="00F85DCF">
        <w:rPr>
          <w:lang w:val="en-GB"/>
        </w:rPr>
        <w:t>2</w:t>
      </w:r>
      <w:r w:rsidR="00E952B4" w:rsidRPr="00F85DCF">
        <w:rPr>
          <w:lang w:val="en-GB"/>
        </w:rPr>
        <w:t>)</w:t>
      </w:r>
      <w:r w:rsidR="002824A7" w:rsidRPr="00F85DCF" w:rsidDel="00C151EE">
        <w:rPr>
          <w:lang w:val="en-GB"/>
        </w:rPr>
        <w:t xml:space="preserve">. </w:t>
      </w:r>
      <w:r w:rsidR="009A22D8" w:rsidRPr="00F85DCF">
        <w:rPr>
          <w:lang w:val="en-GB"/>
        </w:rPr>
        <w:t xml:space="preserve">If MRLs did not exist for all animal </w:t>
      </w:r>
      <w:r w:rsidR="002B23B9">
        <w:rPr>
          <w:lang w:val="en-GB"/>
        </w:rPr>
        <w:t xml:space="preserve">food </w:t>
      </w:r>
      <w:r w:rsidR="009A22D8" w:rsidRPr="00F85DCF">
        <w:rPr>
          <w:lang w:val="en-GB"/>
        </w:rPr>
        <w:t xml:space="preserve">commodities, the consumption amount for the animal </w:t>
      </w:r>
      <w:r w:rsidR="002B23B9">
        <w:rPr>
          <w:lang w:val="en-GB"/>
        </w:rPr>
        <w:t xml:space="preserve">food </w:t>
      </w:r>
      <w:r w:rsidR="009A22D8" w:rsidRPr="00F85DCF">
        <w:rPr>
          <w:lang w:val="en-GB"/>
        </w:rPr>
        <w:t xml:space="preserve">commodities that did not have MRLs was subtracted from the total consumption </w:t>
      </w:r>
      <w:r w:rsidR="00852564" w:rsidRPr="00F85DCF">
        <w:rPr>
          <w:lang w:val="en-GB"/>
        </w:rPr>
        <w:t xml:space="preserve">amount to be used for </w:t>
      </w:r>
      <w:r w:rsidR="009A22D8" w:rsidRPr="00F85DCF">
        <w:rPr>
          <w:lang w:val="en-GB"/>
        </w:rPr>
        <w:t xml:space="preserve">the </w:t>
      </w:r>
      <w:r w:rsidR="004E54B9" w:rsidRPr="00F85DCF">
        <w:rPr>
          <w:i/>
          <w:lang w:val="en-GB"/>
        </w:rPr>
        <w:t>A</w:t>
      </w:r>
      <w:r w:rsidR="004E4740" w:rsidRPr="00F85DCF">
        <w:rPr>
          <w:i/>
          <w:lang w:val="en-GB"/>
        </w:rPr>
        <w:t xml:space="preserve">ll other foods </w:t>
      </w:r>
      <w:r w:rsidR="0003601D" w:rsidRPr="00F85DCF">
        <w:rPr>
          <w:i/>
          <w:lang w:val="en-GB"/>
        </w:rPr>
        <w:t xml:space="preserve">except animal </w:t>
      </w:r>
      <w:r w:rsidR="000658A6">
        <w:rPr>
          <w:i/>
          <w:lang w:val="en-GB"/>
        </w:rPr>
        <w:t xml:space="preserve">food </w:t>
      </w:r>
      <w:r w:rsidR="0003601D" w:rsidRPr="00F85DCF">
        <w:rPr>
          <w:i/>
          <w:lang w:val="en-GB"/>
        </w:rPr>
        <w:t>commodities</w:t>
      </w:r>
      <w:r w:rsidR="009A22D8" w:rsidRPr="00F85DCF">
        <w:rPr>
          <w:lang w:val="en-GB"/>
        </w:rPr>
        <w:t xml:space="preserve"> </w:t>
      </w:r>
      <w:r w:rsidR="00852564" w:rsidRPr="00F85DCF">
        <w:rPr>
          <w:lang w:val="en-GB"/>
        </w:rPr>
        <w:t>group</w:t>
      </w:r>
      <w:r w:rsidR="009A22D8" w:rsidRPr="00F85DCF">
        <w:rPr>
          <w:lang w:val="en-GB"/>
        </w:rPr>
        <w:t>.</w:t>
      </w:r>
    </w:p>
    <w:p w14:paraId="161986A5" w14:textId="77777777" w:rsidR="00CC79D5" w:rsidRPr="00F85DCF" w:rsidRDefault="00CC79D5" w:rsidP="003B5F61">
      <w:pPr>
        <w:tabs>
          <w:tab w:val="left" w:pos="1134"/>
        </w:tabs>
        <w:rPr>
          <w:lang w:val="en-GB"/>
        </w:rPr>
      </w:pPr>
    </w:p>
    <w:p w14:paraId="48E798CC" w14:textId="67DF6C7F" w:rsidR="005F3AD9" w:rsidRPr="00F85DCF" w:rsidRDefault="005F3AD9" w:rsidP="003B5F61">
      <w:pPr>
        <w:tabs>
          <w:tab w:val="left" w:pos="1134"/>
        </w:tabs>
        <w:rPr>
          <w:lang w:val="en-GB"/>
        </w:rPr>
      </w:pPr>
      <w:r w:rsidRPr="00F85DCF">
        <w:rPr>
          <w:noProof/>
          <w:lang w:val="en-GB" w:eastAsia="en-GB"/>
        </w:rPr>
        <mc:AlternateContent>
          <mc:Choice Requires="wps">
            <w:drawing>
              <wp:inline distT="0" distB="0" distL="0" distR="0" wp14:anchorId="5F288C26" wp14:editId="4AF20A14">
                <wp:extent cx="6342278" cy="2660650"/>
                <wp:effectExtent l="0" t="0" r="20955" b="25400"/>
                <wp:docPr id="10" name="Text Box 10"/>
                <wp:cNvGraphicFramePr/>
                <a:graphic xmlns:a="http://schemas.openxmlformats.org/drawingml/2006/main">
                  <a:graphicData uri="http://schemas.microsoft.com/office/word/2010/wordprocessingShape">
                    <wps:wsp>
                      <wps:cNvSpPr txBox="1"/>
                      <wps:spPr>
                        <a:xfrm>
                          <a:off x="0" y="0"/>
                          <a:ext cx="6342278" cy="26606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53F814D" w14:textId="072259AE" w:rsidR="00420F9C" w:rsidRPr="005F3AD9" w:rsidRDefault="00420F9C" w:rsidP="005F3AD9">
                            <m:oMathPara>
                              <m:oMathParaPr>
                                <m:jc m:val="left"/>
                              </m:oMathParaPr>
                              <m:oMath>
                                <m:r>
                                  <m:rPr>
                                    <m:sty m:val="p"/>
                                  </m:rPr>
                                  <w:rPr>
                                    <w:rFonts w:ascii="Cambria Math" w:hAnsi="Cambria Math"/>
                                  </w:rPr>
                                  <m:t>Total dietary exposure (</m:t>
                                </m:r>
                                <m:f>
                                  <m:fPr>
                                    <m:type m:val="lin"/>
                                    <m:ctrlPr>
                                      <w:rPr>
                                        <w:rFonts w:ascii="Cambria Math" w:hAnsi="Cambria Math"/>
                                      </w:rPr>
                                    </m:ctrlPr>
                                  </m:fPr>
                                  <m:num>
                                    <m:r>
                                      <m:rPr>
                                        <m:sty m:val="p"/>
                                      </m:rPr>
                                      <w:rPr>
                                        <w:rFonts w:ascii="Cambria Math" w:hAnsi="Cambria Math"/>
                                      </w:rPr>
                                      <m:t>mg</m:t>
                                    </m:r>
                                  </m:num>
                                  <m:den>
                                    <m:r>
                                      <m:rPr>
                                        <m:sty m:val="p"/>
                                      </m:rPr>
                                      <w:rPr>
                                        <w:rFonts w:ascii="Cambria Math" w:hAnsi="Cambria Math"/>
                                      </w:rPr>
                                      <m:t>kg bw/day)=</m:t>
                                    </m:r>
                                  </m:den>
                                </m:f>
                              </m:oMath>
                            </m:oMathPara>
                          </w:p>
                          <w:p w14:paraId="17CD5E01" w14:textId="1A2332AF" w:rsidR="00420F9C" w:rsidRPr="005F3AD9" w:rsidRDefault="00420F9C" w:rsidP="005F3AD9">
                            <m:oMathPara>
                              <m:oMath>
                                <m:r>
                                  <m:rPr>
                                    <m:sty m:val="p"/>
                                  </m:rPr>
                                  <w:rPr>
                                    <w:rFonts w:ascii="Cambria Math" w:hAnsi="Cambria Math"/>
                                  </w:rPr>
                                  <m:t>Exposure from commodities with existing MRL permissions+ Exposure from</m:t>
                                </m:r>
                                <m:r>
                                  <w:rPr>
                                    <w:rFonts w:ascii="Cambria Math" w:hAnsi="Cambria Math"/>
                                  </w:rPr>
                                  <m:t xml:space="preserve"> All other foods except animal food commodities </m:t>
                                </m:r>
                              </m:oMath>
                            </m:oMathPara>
                          </w:p>
                          <w:p w14:paraId="257090A9" w14:textId="080D9887" w:rsidR="00420F9C" w:rsidRDefault="00420F9C" w:rsidP="005F3AD9">
                            <w:pPr>
                              <w:rPr>
                                <w:rFonts w:asciiTheme="majorHAnsi" w:hAnsiTheme="majorHAnsi"/>
                                <w:u w:val="single"/>
                              </w:rPr>
                            </w:pPr>
                            <w:r w:rsidRPr="005F3AD9">
                              <w:rPr>
                                <w:rFonts w:asciiTheme="majorHAnsi" w:hAnsiTheme="majorHAnsi"/>
                                <w:u w:val="single"/>
                              </w:rPr>
                              <w:t>Where</w:t>
                            </w:r>
                            <w:r>
                              <w:rPr>
                                <w:rFonts w:asciiTheme="majorHAnsi" w:hAnsiTheme="majorHAnsi"/>
                                <w:u w:val="single"/>
                              </w:rPr>
                              <w:t>:</w:t>
                            </w:r>
                          </w:p>
                          <w:p w14:paraId="0CA11DD5" w14:textId="77777777" w:rsidR="00420F9C" w:rsidRPr="005F3AD9" w:rsidRDefault="00420F9C" w:rsidP="005F3AD9">
                            <w:pPr>
                              <w:rPr>
                                <w:rFonts w:asciiTheme="majorHAnsi" w:hAnsiTheme="majorHAnsi"/>
                                <w:u w:val="single"/>
                              </w:rPr>
                            </w:pPr>
                          </w:p>
                          <w:p w14:paraId="0F81B8EF" w14:textId="43D9799A" w:rsidR="00420F9C" w:rsidRPr="005F3AD9" w:rsidRDefault="00420F9C" w:rsidP="005F3AD9">
                            <m:oMathPara>
                              <m:oMathParaPr>
                                <m:jc m:val="left"/>
                              </m:oMathParaPr>
                              <m:oMath>
                                <m:r>
                                  <m:rPr>
                                    <m:sty m:val="p"/>
                                  </m:rPr>
                                  <w:rPr>
                                    <w:rFonts w:ascii="Cambria Math" w:hAnsi="Cambria Math"/>
                                  </w:rPr>
                                  <m:t>Exposure from commodities with existing MRL permissions</m:t>
                                </m:r>
                                <m:r>
                                  <w:rPr>
                                    <w:rFonts w:ascii="Cambria Math" w:hAnsi="Cambria Math"/>
                                  </w:rPr>
                                  <m:t>=</m:t>
                                </m:r>
                              </m:oMath>
                            </m:oMathPara>
                          </w:p>
                          <w:p w14:paraId="7EA05A6C" w14:textId="144A0B98" w:rsidR="00420F9C" w:rsidRPr="00DA5BC7" w:rsidRDefault="00420F9C" w:rsidP="005F3AD9">
                            <m:oMathPara>
                              <m:oMathParaPr>
                                <m:jc m:val="left"/>
                              </m:oMathParaPr>
                              <m:oMath>
                                <m:r>
                                  <w:rPr>
                                    <w:rFonts w:ascii="Cambria Math" w:hAnsi="Cambria Math"/>
                                  </w:rPr>
                                  <m:t>F</m:t>
                                </m:r>
                                <m:r>
                                  <m:rPr>
                                    <m:sty m:val="p"/>
                                  </m:rPr>
                                  <w:rPr>
                                    <w:rFonts w:ascii="Cambria Math" w:hAnsi="Cambria Math"/>
                                  </w:rPr>
                                  <m:t>ood consumption for existing commodities with MRLs×existing pesticide residue concentration data (MRL, STMR, STMR-P)</m:t>
                                </m:r>
                              </m:oMath>
                            </m:oMathPara>
                          </w:p>
                          <w:p w14:paraId="68B9EAE0" w14:textId="77777777" w:rsidR="00420F9C" w:rsidRPr="005F3AD9" w:rsidRDefault="00420F9C" w:rsidP="005F3AD9"/>
                          <w:p w14:paraId="3F748724" w14:textId="02929D80" w:rsidR="00420F9C" w:rsidRPr="005F3AD9" w:rsidRDefault="00420F9C" w:rsidP="005F3AD9">
                            <m:oMathPara>
                              <m:oMathParaPr>
                                <m:jc m:val="left"/>
                              </m:oMathParaPr>
                              <m:oMath>
                                <m:r>
                                  <m:rPr>
                                    <m:sty m:val="p"/>
                                  </m:rPr>
                                  <w:rPr>
                                    <w:rFonts w:ascii="Cambria Math" w:hAnsi="Cambria Math"/>
                                  </w:rPr>
                                  <m:t xml:space="preserve">Exposure from </m:t>
                                </m:r>
                                <m:r>
                                  <w:rPr>
                                    <w:rFonts w:ascii="Cambria Math" w:hAnsi="Cambria Math"/>
                                  </w:rPr>
                                  <m:t>All other foods except animal food commodities=</m:t>
                                </m:r>
                              </m:oMath>
                            </m:oMathPara>
                          </w:p>
                          <w:p w14:paraId="74713BE7" w14:textId="40902708" w:rsidR="00420F9C" w:rsidRPr="005F3AD9" w:rsidRDefault="00420F9C" w:rsidP="005F3AD9">
                            <m:oMathPara>
                              <m:oMathParaPr>
                                <m:jc m:val="left"/>
                              </m:oMathParaPr>
                              <m:oMath>
                                <m:r>
                                  <w:rPr>
                                    <w:rFonts w:ascii="Cambria Math" w:hAnsi="Cambria Math"/>
                                  </w:rPr>
                                  <m:t xml:space="preserve"> Total food consumption </m:t>
                                </m:r>
                                <m:d>
                                  <m:dPr>
                                    <m:ctrlPr>
                                      <w:rPr>
                                        <w:rFonts w:ascii="Cambria Math" w:hAnsi="Cambria Math"/>
                                        <w:i/>
                                      </w:rPr>
                                    </m:ctrlPr>
                                  </m:dPr>
                                  <m:e>
                                    <m:f>
                                      <m:fPr>
                                        <m:ctrlPr>
                                          <w:rPr>
                                            <w:rFonts w:ascii="Cambria Math" w:hAnsi="Cambria Math"/>
                                            <w:i/>
                                          </w:rPr>
                                        </m:ctrlPr>
                                      </m:fPr>
                                      <m:num>
                                        <m:r>
                                          <w:rPr>
                                            <w:rFonts w:ascii="Cambria Math" w:hAnsi="Cambria Math"/>
                                          </w:rPr>
                                          <m:t>51</m:t>
                                        </m:r>
                                        <m:f>
                                          <m:fPr>
                                            <m:ctrlPr>
                                              <w:rPr>
                                                <w:rFonts w:ascii="Cambria Math" w:hAnsi="Cambria Math"/>
                                                <w:i/>
                                              </w:rPr>
                                            </m:ctrlPr>
                                          </m:fPr>
                                          <m:num>
                                            <m:r>
                                              <w:rPr>
                                                <w:rFonts w:ascii="Cambria Math" w:hAnsi="Cambria Math"/>
                                              </w:rPr>
                                              <m:t>g</m:t>
                                            </m:r>
                                          </m:num>
                                          <m:den>
                                            <m:r>
                                              <w:rPr>
                                                <w:rFonts w:ascii="Cambria Math" w:hAnsi="Cambria Math"/>
                                              </w:rPr>
                                              <m:t>kg</m:t>
                                            </m:r>
                                          </m:den>
                                        </m:f>
                                        <m:r>
                                          <w:rPr>
                                            <w:rFonts w:ascii="Cambria Math" w:hAnsi="Cambria Math"/>
                                          </w:rPr>
                                          <m:t>bw</m:t>
                                        </m:r>
                                      </m:num>
                                      <m:den>
                                        <m:r>
                                          <w:rPr>
                                            <w:rFonts w:ascii="Cambria Math" w:hAnsi="Cambria Math"/>
                                          </w:rPr>
                                          <m:t>day</m:t>
                                        </m:r>
                                      </m:den>
                                    </m:f>
                                  </m:e>
                                </m:d>
                                <m:r>
                                  <w:rPr>
                                    <w:rFonts w:ascii="Cambria Math" w:hAnsi="Cambria Math"/>
                                  </w:rPr>
                                  <m:t>-</m:t>
                                </m:r>
                                <m:r>
                                  <m:rPr>
                                    <m:sty m:val="p"/>
                                  </m:rPr>
                                  <w:rPr>
                                    <w:rFonts w:ascii="Cambria Math" w:hAnsi="Cambria Math"/>
                                  </w:rPr>
                                  <m:t xml:space="preserve">Food consumption for existing commodities with MRLs×Proposed </m:t>
                                </m:r>
                                <m:r>
                                  <w:rPr>
                                    <w:rFonts w:ascii="Cambria Math" w:hAnsi="Cambria Math"/>
                                  </w:rPr>
                                  <m:t xml:space="preserve">All other foods except animal foodcommodities </m:t>
                                </m:r>
                                <m:r>
                                  <m:rPr>
                                    <m:sty m:val="p"/>
                                  </m:rPr>
                                  <w:rPr>
                                    <w:rFonts w:ascii="Cambria Math" w:hAnsi="Cambria Math"/>
                                  </w:rPr>
                                  <m:t>MRL concentration</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10" o:spid="_x0000_s1034" type="#_x0000_t202" style="width:499.4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" fillcolor="white [3201]" strokecolor="#4f81bd [3204]" strokeweight="2pt">
                <v:textbox>
                  <w:txbxContent>
                    <w:p w14:paraId="053F814D" w14:textId="072259AE" w:rsidR="00420F9C" w:rsidRPr="005F3AD9" w:rsidRDefault="00420F9C" w:rsidP="005F3AD9">
                      <m:oMathPara>
                        <m:oMathParaPr>
                          <m:jc m:val="left"/>
                        </m:oMathParaPr>
                        <m:oMath>
                          <m:r>
                            <m:rPr>
                              <m:sty m:val="p"/>
                            </m:rPr>
                            <w:rPr>
                              <w:rFonts w:ascii="Cambria Math" w:hAnsi="Cambria Math"/>
                            </w:rPr>
                            <m:t>Total dietary exposure (</m:t>
                          </m:r>
                          <m:f>
                            <m:fPr>
                              <m:type m:val="lin"/>
                              <m:ctrlPr>
                                <w:rPr>
                                  <w:rFonts w:ascii="Cambria Math" w:hAnsi="Cambria Math"/>
                                </w:rPr>
                              </m:ctrlPr>
                            </m:fPr>
                            <m:num>
                              <m:r>
                                <m:rPr>
                                  <m:sty m:val="p"/>
                                </m:rPr>
                                <w:rPr>
                                  <w:rFonts w:ascii="Cambria Math" w:hAnsi="Cambria Math"/>
                                </w:rPr>
                                <m:t>mg</m:t>
                              </m:r>
                            </m:num>
                            <m:den>
                              <m:r>
                                <m:rPr>
                                  <m:sty m:val="p"/>
                                </m:rPr>
                                <w:rPr>
                                  <w:rFonts w:ascii="Cambria Math" w:hAnsi="Cambria Math"/>
                                </w:rPr>
                                <m:t>kg bw/day)=</m:t>
                              </m:r>
                            </m:den>
                          </m:f>
                        </m:oMath>
                      </m:oMathPara>
                    </w:p>
                    <w:p w14:paraId="17CD5E01" w14:textId="1A2332AF" w:rsidR="00420F9C" w:rsidRPr="005F3AD9" w:rsidRDefault="00420F9C" w:rsidP="005F3AD9">
                      <m:oMathPara>
                        <m:oMath>
                          <m:r>
                            <m:rPr>
                              <m:sty m:val="p"/>
                            </m:rPr>
                            <w:rPr>
                              <w:rFonts w:ascii="Cambria Math" w:hAnsi="Cambria Math"/>
                            </w:rPr>
                            <m:t>Exposure from commodities with existing MRL permissions+ Exposure from</m:t>
                          </m:r>
                          <m:r>
                            <w:rPr>
                              <w:rFonts w:ascii="Cambria Math" w:hAnsi="Cambria Math"/>
                            </w:rPr>
                            <m:t xml:space="preserve"> All other foods except animal food commodities </m:t>
                          </m:r>
                        </m:oMath>
                      </m:oMathPara>
                    </w:p>
                    <w:p w14:paraId="257090A9" w14:textId="080D9887" w:rsidR="00420F9C" w:rsidRDefault="00420F9C" w:rsidP="005F3AD9">
                      <w:pPr>
                        <w:rPr>
                          <w:rFonts w:asciiTheme="majorHAnsi" w:hAnsiTheme="majorHAnsi"/>
                          <w:u w:val="single"/>
                        </w:rPr>
                      </w:pPr>
                      <w:r w:rsidRPr="005F3AD9">
                        <w:rPr>
                          <w:rFonts w:asciiTheme="majorHAnsi" w:hAnsiTheme="majorHAnsi"/>
                          <w:u w:val="single"/>
                        </w:rPr>
                        <w:t>Where</w:t>
                      </w:r>
                      <w:r>
                        <w:rPr>
                          <w:rFonts w:asciiTheme="majorHAnsi" w:hAnsiTheme="majorHAnsi"/>
                          <w:u w:val="single"/>
                        </w:rPr>
                        <w:t>:</w:t>
                      </w:r>
                    </w:p>
                    <w:p w14:paraId="0CA11DD5" w14:textId="77777777" w:rsidR="00420F9C" w:rsidRPr="005F3AD9" w:rsidRDefault="00420F9C" w:rsidP="005F3AD9">
                      <w:pPr>
                        <w:rPr>
                          <w:rFonts w:asciiTheme="majorHAnsi" w:hAnsiTheme="majorHAnsi"/>
                          <w:u w:val="single"/>
                        </w:rPr>
                      </w:pPr>
                    </w:p>
                    <w:p w14:paraId="0F81B8EF" w14:textId="43D9799A" w:rsidR="00420F9C" w:rsidRPr="005F3AD9" w:rsidRDefault="00420F9C" w:rsidP="005F3AD9">
                      <m:oMathPara>
                        <m:oMathParaPr>
                          <m:jc m:val="left"/>
                        </m:oMathParaPr>
                        <m:oMath>
                          <m:r>
                            <m:rPr>
                              <m:sty m:val="p"/>
                            </m:rPr>
                            <w:rPr>
                              <w:rFonts w:ascii="Cambria Math" w:hAnsi="Cambria Math"/>
                            </w:rPr>
                            <m:t>Exposure from commodities with existing MRL permissions</m:t>
                          </m:r>
                          <m:r>
                            <w:rPr>
                              <w:rFonts w:ascii="Cambria Math" w:hAnsi="Cambria Math"/>
                            </w:rPr>
                            <m:t>=</m:t>
                          </m:r>
                        </m:oMath>
                      </m:oMathPara>
                    </w:p>
                    <w:p w14:paraId="7EA05A6C" w14:textId="144A0B98" w:rsidR="00420F9C" w:rsidRPr="00DA5BC7" w:rsidRDefault="00420F9C" w:rsidP="005F3AD9">
                      <m:oMathPara>
                        <m:oMathParaPr>
                          <m:jc m:val="left"/>
                        </m:oMathParaPr>
                        <m:oMath>
                          <m:r>
                            <w:rPr>
                              <w:rFonts w:ascii="Cambria Math" w:hAnsi="Cambria Math"/>
                            </w:rPr>
                            <m:t>F</m:t>
                          </m:r>
                          <m:r>
                            <m:rPr>
                              <m:sty m:val="p"/>
                            </m:rPr>
                            <w:rPr>
                              <w:rFonts w:ascii="Cambria Math" w:hAnsi="Cambria Math"/>
                            </w:rPr>
                            <m:t>ood consumption for existing commodities with MRLs×existing pesticide residue concentration data (MRL, STMR, STMR-P)</m:t>
                          </m:r>
                        </m:oMath>
                      </m:oMathPara>
                    </w:p>
                    <w:p w14:paraId="68B9EAE0" w14:textId="77777777" w:rsidR="00420F9C" w:rsidRPr="005F3AD9" w:rsidRDefault="00420F9C" w:rsidP="005F3AD9"/>
                    <w:p w14:paraId="3F748724" w14:textId="02929D80" w:rsidR="00420F9C" w:rsidRPr="005F3AD9" w:rsidRDefault="00420F9C" w:rsidP="005F3AD9">
                      <m:oMathPara>
                        <m:oMathParaPr>
                          <m:jc m:val="left"/>
                        </m:oMathParaPr>
                        <m:oMath>
                          <m:r>
                            <m:rPr>
                              <m:sty m:val="p"/>
                            </m:rPr>
                            <w:rPr>
                              <w:rFonts w:ascii="Cambria Math" w:hAnsi="Cambria Math"/>
                            </w:rPr>
                            <m:t xml:space="preserve">Exposure from </m:t>
                          </m:r>
                          <m:r>
                            <w:rPr>
                              <w:rFonts w:ascii="Cambria Math" w:hAnsi="Cambria Math"/>
                            </w:rPr>
                            <m:t>All other foods except animal food commodities=</m:t>
                          </m:r>
                        </m:oMath>
                      </m:oMathPara>
                    </w:p>
                    <w:p w14:paraId="74713BE7" w14:textId="40902708" w:rsidR="00420F9C" w:rsidRPr="005F3AD9" w:rsidRDefault="00420F9C" w:rsidP="005F3AD9">
                      <m:oMathPara>
                        <m:oMathParaPr>
                          <m:jc m:val="left"/>
                        </m:oMathParaPr>
                        <m:oMath>
                          <m:r>
                            <w:rPr>
                              <w:rFonts w:ascii="Cambria Math" w:hAnsi="Cambria Math"/>
                            </w:rPr>
                            <m:t xml:space="preserve"> Total food consumption </m:t>
                          </m:r>
                          <m:d>
                            <m:dPr>
                              <m:ctrlPr>
                                <w:rPr>
                                  <w:rFonts w:ascii="Cambria Math" w:hAnsi="Cambria Math"/>
                                  <w:i/>
                                </w:rPr>
                              </m:ctrlPr>
                            </m:dPr>
                            <m:e>
                              <m:f>
                                <m:fPr>
                                  <m:ctrlPr>
                                    <w:rPr>
                                      <w:rFonts w:ascii="Cambria Math" w:hAnsi="Cambria Math"/>
                                      <w:i/>
                                    </w:rPr>
                                  </m:ctrlPr>
                                </m:fPr>
                                <m:num>
                                  <m:r>
                                    <w:rPr>
                                      <w:rFonts w:ascii="Cambria Math" w:hAnsi="Cambria Math"/>
                                    </w:rPr>
                                    <m:t>51</m:t>
                                  </m:r>
                                  <m:f>
                                    <m:fPr>
                                      <m:ctrlPr>
                                        <w:rPr>
                                          <w:rFonts w:ascii="Cambria Math" w:hAnsi="Cambria Math"/>
                                          <w:i/>
                                        </w:rPr>
                                      </m:ctrlPr>
                                    </m:fPr>
                                    <m:num>
                                      <m:r>
                                        <w:rPr>
                                          <w:rFonts w:ascii="Cambria Math" w:hAnsi="Cambria Math"/>
                                        </w:rPr>
                                        <m:t>g</m:t>
                                      </m:r>
                                    </m:num>
                                    <m:den>
                                      <m:r>
                                        <w:rPr>
                                          <w:rFonts w:ascii="Cambria Math" w:hAnsi="Cambria Math"/>
                                        </w:rPr>
                                        <m:t>kg</m:t>
                                      </m:r>
                                    </m:den>
                                  </m:f>
                                  <m:r>
                                    <w:rPr>
                                      <w:rFonts w:ascii="Cambria Math" w:hAnsi="Cambria Math"/>
                                    </w:rPr>
                                    <m:t>bw</m:t>
                                  </m:r>
                                </m:num>
                                <m:den>
                                  <m:r>
                                    <w:rPr>
                                      <w:rFonts w:ascii="Cambria Math" w:hAnsi="Cambria Math"/>
                                    </w:rPr>
                                    <m:t>day</m:t>
                                  </m:r>
                                </m:den>
                              </m:f>
                            </m:e>
                          </m:d>
                          <m:r>
                            <w:rPr>
                              <w:rFonts w:ascii="Cambria Math" w:hAnsi="Cambria Math"/>
                            </w:rPr>
                            <m:t>-</m:t>
                          </m:r>
                          <m:r>
                            <m:rPr>
                              <m:sty m:val="p"/>
                            </m:rPr>
                            <w:rPr>
                              <w:rFonts w:ascii="Cambria Math" w:hAnsi="Cambria Math"/>
                            </w:rPr>
                            <m:t xml:space="preserve">Food consumption for existing commodities with MRLs×Proposed </m:t>
                          </m:r>
                          <m:r>
                            <w:rPr>
                              <w:rFonts w:ascii="Cambria Math" w:hAnsi="Cambria Math"/>
                            </w:rPr>
                            <m:t xml:space="preserve">All other foods except animal foodcommodities </m:t>
                          </m:r>
                          <m:r>
                            <m:rPr>
                              <m:sty m:val="p"/>
                            </m:rPr>
                            <w:rPr>
                              <w:rFonts w:ascii="Cambria Math" w:hAnsi="Cambria Math"/>
                            </w:rPr>
                            <m:t>MRL concentration</m:t>
                          </m:r>
                        </m:oMath>
                      </m:oMathPara>
                    </w:p>
                  </w:txbxContent>
                </v:textbox>
                <w10:anchorlock/>
              </v:shape>
            </w:pict>
          </mc:Fallback>
        </mc:AlternateContent>
      </w:r>
    </w:p>
    <w:p w14:paraId="20A914EF" w14:textId="5D58B69D" w:rsidR="003522AF" w:rsidRPr="00F85DCF" w:rsidRDefault="00E952B4" w:rsidP="008F3A22">
      <w:pPr>
        <w:pStyle w:val="FSTableFigureHeading"/>
        <w:ind w:left="0" w:firstLine="0"/>
        <w:rPr>
          <w:b w:val="0"/>
          <w:lang w:val="en-GB"/>
        </w:rPr>
      </w:pPr>
      <w:r w:rsidRPr="00F85DCF">
        <w:rPr>
          <w:b w:val="0"/>
          <w:lang w:val="en-GB"/>
        </w:rPr>
        <w:t xml:space="preserve">Figure </w:t>
      </w:r>
      <w:r w:rsidR="00A92A57" w:rsidRPr="00F85DCF">
        <w:rPr>
          <w:b w:val="0"/>
          <w:lang w:val="en-GB"/>
        </w:rPr>
        <w:t>2:</w:t>
      </w:r>
      <w:r w:rsidR="008F3A22" w:rsidRPr="00F85DCF">
        <w:rPr>
          <w:b w:val="0"/>
          <w:lang w:val="en-GB"/>
        </w:rPr>
        <w:t xml:space="preserve"> </w:t>
      </w:r>
      <w:r w:rsidR="0012742C" w:rsidRPr="00F85DCF">
        <w:rPr>
          <w:b w:val="0"/>
          <w:lang w:val="en-GB"/>
        </w:rPr>
        <w:t xml:space="preserve">Estimating total </w:t>
      </w:r>
      <w:r w:rsidR="0028211E" w:rsidRPr="00F85DCF">
        <w:rPr>
          <w:b w:val="0"/>
          <w:lang w:val="en-GB"/>
        </w:rPr>
        <w:t>d</w:t>
      </w:r>
      <w:r w:rsidR="000B191E" w:rsidRPr="00F85DCF">
        <w:rPr>
          <w:b w:val="0"/>
          <w:lang w:val="en-GB"/>
        </w:rPr>
        <w:t>i</w:t>
      </w:r>
      <w:r w:rsidR="0028211E" w:rsidRPr="00F85DCF">
        <w:rPr>
          <w:b w:val="0"/>
          <w:lang w:val="en-GB"/>
        </w:rPr>
        <w:t xml:space="preserve">etary </w:t>
      </w:r>
      <w:r w:rsidR="0012742C" w:rsidRPr="00F85DCF">
        <w:rPr>
          <w:b w:val="0"/>
          <w:lang w:val="en-GB"/>
        </w:rPr>
        <w:t xml:space="preserve">exposure from </w:t>
      </w:r>
      <w:r w:rsidR="0028211E" w:rsidRPr="00F85DCF">
        <w:rPr>
          <w:b w:val="0"/>
          <w:lang w:val="en-GB"/>
        </w:rPr>
        <w:t xml:space="preserve">commodities with </w:t>
      </w:r>
      <w:r w:rsidR="0012742C" w:rsidRPr="00F85DCF">
        <w:rPr>
          <w:b w:val="0"/>
          <w:lang w:val="en-GB"/>
        </w:rPr>
        <w:t xml:space="preserve">existing MRL permissions and </w:t>
      </w:r>
      <w:r w:rsidR="0048350A" w:rsidRPr="00F85DCF">
        <w:rPr>
          <w:b w:val="0"/>
          <w:lang w:val="en-GB"/>
        </w:rPr>
        <w:t>A</w:t>
      </w:r>
      <w:r w:rsidR="0003601D" w:rsidRPr="00F85DCF">
        <w:rPr>
          <w:b w:val="0"/>
          <w:lang w:val="en-GB"/>
        </w:rPr>
        <w:t>ll o</w:t>
      </w:r>
      <w:r w:rsidR="00330EB2" w:rsidRPr="00F85DCF">
        <w:rPr>
          <w:b w:val="0"/>
          <w:lang w:val="en-GB"/>
        </w:rPr>
        <w:t xml:space="preserve">ther foods </w:t>
      </w:r>
      <w:r w:rsidR="0003601D" w:rsidRPr="00F85DCF">
        <w:rPr>
          <w:b w:val="0"/>
          <w:lang w:val="en-GB"/>
        </w:rPr>
        <w:t>except animal</w:t>
      </w:r>
      <w:r w:rsidR="007A102F">
        <w:rPr>
          <w:b w:val="0"/>
          <w:lang w:val="en-GB"/>
        </w:rPr>
        <w:t xml:space="preserve"> food</w:t>
      </w:r>
      <w:r w:rsidR="0003601D" w:rsidRPr="00F85DCF">
        <w:rPr>
          <w:b w:val="0"/>
          <w:lang w:val="en-GB"/>
        </w:rPr>
        <w:t xml:space="preserve"> commodities</w:t>
      </w:r>
      <w:r w:rsidR="00365FEA" w:rsidRPr="00F85DCF">
        <w:rPr>
          <w:b w:val="0"/>
          <w:lang w:val="en-GB"/>
        </w:rPr>
        <w:t xml:space="preserve"> MRL</w:t>
      </w:r>
      <w:r w:rsidR="0012742C" w:rsidRPr="00F85DCF">
        <w:rPr>
          <w:b w:val="0"/>
          <w:lang w:val="en-GB"/>
        </w:rPr>
        <w:t xml:space="preserve"> </w:t>
      </w:r>
    </w:p>
    <w:p w14:paraId="507AD92A" w14:textId="4F3345B8" w:rsidR="002134C3" w:rsidRPr="00F85DCF" w:rsidRDefault="008F3A22" w:rsidP="00227DF3">
      <w:pPr>
        <w:pStyle w:val="Heading2"/>
      </w:pPr>
      <w:bookmarkStart w:id="44" w:name="_Toc448848082"/>
      <w:r w:rsidRPr="00F85DCF">
        <w:t>4.6</w:t>
      </w:r>
      <w:r w:rsidRPr="00F85DCF">
        <w:tab/>
      </w:r>
      <w:r w:rsidR="002134C3" w:rsidRPr="00F85DCF">
        <w:t>Acute Dietary Exposure Assessment</w:t>
      </w:r>
      <w:bookmarkEnd w:id="44"/>
    </w:p>
    <w:p w14:paraId="11E765DC" w14:textId="04E437BB" w:rsidR="002134C3" w:rsidRPr="00F85DCF" w:rsidRDefault="002134C3" w:rsidP="002134C3">
      <w:pPr>
        <w:rPr>
          <w:lang w:val="en-GB"/>
        </w:rPr>
      </w:pPr>
      <w:r w:rsidRPr="00F85DCF">
        <w:rPr>
          <w:lang w:val="en-GB"/>
        </w:rPr>
        <w:t>Acute (</w:t>
      </w:r>
      <w:r w:rsidR="007A4BE5" w:rsidRPr="00F85DCF">
        <w:rPr>
          <w:lang w:val="en-GB"/>
        </w:rPr>
        <w:t>NESTI</w:t>
      </w:r>
      <w:r w:rsidRPr="00F85DCF">
        <w:rPr>
          <w:lang w:val="en-GB"/>
        </w:rPr>
        <w:t xml:space="preserve">) dietary exposure assessments are undertaken where the OCS </w:t>
      </w:r>
      <w:r w:rsidR="00B41AE2" w:rsidRPr="00F85DCF">
        <w:rPr>
          <w:lang w:val="en-GB"/>
        </w:rPr>
        <w:t xml:space="preserve">or JMPR </w:t>
      </w:r>
      <w:r w:rsidRPr="00F85DCF">
        <w:rPr>
          <w:lang w:val="en-GB"/>
        </w:rPr>
        <w:t xml:space="preserve">has </w:t>
      </w:r>
      <w:r w:rsidR="00B41AE2" w:rsidRPr="00F85DCF">
        <w:rPr>
          <w:lang w:val="en-GB"/>
        </w:rPr>
        <w:t xml:space="preserve">established </w:t>
      </w:r>
      <w:r w:rsidRPr="00F85DCF">
        <w:rPr>
          <w:lang w:val="en-GB"/>
        </w:rPr>
        <w:t>an ARfD for a</w:t>
      </w:r>
      <w:r w:rsidR="004744FC" w:rsidRPr="00F85DCF">
        <w:rPr>
          <w:lang w:val="en-GB"/>
        </w:rPr>
        <w:t>n agvet</w:t>
      </w:r>
      <w:r w:rsidRPr="00F85DCF">
        <w:rPr>
          <w:lang w:val="en-GB"/>
        </w:rPr>
        <w:t xml:space="preserve"> chemical</w:t>
      </w:r>
      <w:r w:rsidR="002A26A0" w:rsidRPr="00F85DCF">
        <w:rPr>
          <w:lang w:val="en-GB"/>
        </w:rPr>
        <w:t xml:space="preserve">. </w:t>
      </w:r>
      <w:r w:rsidRPr="00F85DCF">
        <w:rPr>
          <w:lang w:val="en-GB"/>
        </w:rPr>
        <w:t xml:space="preserve">Acute dietary exposures are normally only estimated for raw unprocessed commodities (fruit and vegetables) but may include meat, offal, cereal, milk or dairy </w:t>
      </w:r>
      <w:r w:rsidR="000B191E" w:rsidRPr="00F85DCF">
        <w:rPr>
          <w:lang w:val="en-GB"/>
        </w:rPr>
        <w:t>products</w:t>
      </w:r>
      <w:r w:rsidRPr="00F85DCF" w:rsidDel="000B191E">
        <w:rPr>
          <w:lang w:val="en-GB"/>
        </w:rPr>
        <w:t xml:space="preserve"> </w:t>
      </w:r>
      <w:r w:rsidRPr="00F85DCF">
        <w:rPr>
          <w:lang w:val="en-GB"/>
        </w:rPr>
        <w:t>on a case-by-case basis.</w:t>
      </w:r>
    </w:p>
    <w:p w14:paraId="163DFE5D" w14:textId="77777777" w:rsidR="007A4BE5" w:rsidRPr="00F85DCF" w:rsidDel="00AF0E3A" w:rsidRDefault="007A4BE5" w:rsidP="002134C3">
      <w:pPr>
        <w:rPr>
          <w:lang w:val="en-GB"/>
        </w:rPr>
      </w:pPr>
    </w:p>
    <w:p w14:paraId="0496213A" w14:textId="39F0299E" w:rsidR="002134C3" w:rsidRPr="00F85DCF" w:rsidRDefault="00AF0E3A" w:rsidP="002134C3">
      <w:pPr>
        <w:rPr>
          <w:lang w:val="en-GB"/>
        </w:rPr>
      </w:pPr>
      <w:r w:rsidRPr="00F85DCF">
        <w:rPr>
          <w:lang w:val="en-GB"/>
        </w:rPr>
        <w:t>For acute assessments</w:t>
      </w:r>
      <w:r w:rsidR="002134C3" w:rsidRPr="00F85DCF">
        <w:rPr>
          <w:lang w:val="en-GB"/>
        </w:rPr>
        <w:t xml:space="preserve">, the </w:t>
      </w:r>
      <w:r w:rsidR="005137FD" w:rsidRPr="00F85DCF">
        <w:rPr>
          <w:lang w:val="en-GB"/>
        </w:rPr>
        <w:t xml:space="preserve">highest </w:t>
      </w:r>
      <w:r w:rsidR="002134C3" w:rsidRPr="00F85DCF">
        <w:rPr>
          <w:lang w:val="en-GB"/>
        </w:rPr>
        <w:t>residue</w:t>
      </w:r>
      <w:r w:rsidR="002A26A0" w:rsidRPr="00F85DCF">
        <w:rPr>
          <w:lang w:val="en-GB"/>
        </w:rPr>
        <w:t xml:space="preserve"> from a supervised trial</w:t>
      </w:r>
      <w:r w:rsidR="005137FD" w:rsidRPr="00F85DCF">
        <w:rPr>
          <w:lang w:val="en-GB"/>
        </w:rPr>
        <w:t xml:space="preserve"> </w:t>
      </w:r>
      <w:r w:rsidR="000025E0" w:rsidRPr="00F85DCF">
        <w:rPr>
          <w:lang w:val="en-GB"/>
        </w:rPr>
        <w:t xml:space="preserve">(HR) </w:t>
      </w:r>
      <w:r w:rsidR="005137FD" w:rsidRPr="00F85DCF">
        <w:rPr>
          <w:lang w:val="en-GB"/>
        </w:rPr>
        <w:t>or MRL</w:t>
      </w:r>
      <w:r w:rsidR="002134C3" w:rsidRPr="00F85DCF">
        <w:rPr>
          <w:lang w:val="en-GB"/>
        </w:rPr>
        <w:t xml:space="preserve"> of a</w:t>
      </w:r>
      <w:r w:rsidR="003F7051" w:rsidRPr="00F85DCF">
        <w:rPr>
          <w:lang w:val="en-GB"/>
        </w:rPr>
        <w:t>n agvet</w:t>
      </w:r>
      <w:r w:rsidR="002134C3" w:rsidRPr="00F85DCF">
        <w:rPr>
          <w:lang w:val="en-GB"/>
        </w:rPr>
        <w:t xml:space="preserve"> chemical </w:t>
      </w:r>
      <w:r w:rsidR="000B191E" w:rsidRPr="00F85DCF">
        <w:rPr>
          <w:lang w:val="en-GB"/>
        </w:rPr>
        <w:t xml:space="preserve">residue </w:t>
      </w:r>
      <w:r w:rsidR="002134C3" w:rsidRPr="00F85DCF">
        <w:rPr>
          <w:lang w:val="en-GB"/>
        </w:rPr>
        <w:t>in a specific food</w:t>
      </w:r>
      <w:r w:rsidRPr="00F85DCF">
        <w:rPr>
          <w:lang w:val="en-GB"/>
        </w:rPr>
        <w:t xml:space="preserve"> commodity</w:t>
      </w:r>
      <w:r w:rsidR="002134C3" w:rsidRPr="00F85DCF">
        <w:rPr>
          <w:lang w:val="en-GB"/>
        </w:rPr>
        <w:t xml:space="preserve"> </w:t>
      </w:r>
      <w:r w:rsidR="008E5780" w:rsidRPr="00F85DCF">
        <w:rPr>
          <w:lang w:val="en-GB"/>
        </w:rPr>
        <w:t xml:space="preserve">was </w:t>
      </w:r>
      <w:r w:rsidR="002134C3" w:rsidRPr="00F85DCF">
        <w:rPr>
          <w:lang w:val="en-GB"/>
        </w:rPr>
        <w:t>multiplied by the 97.5</w:t>
      </w:r>
      <w:r w:rsidR="002134C3" w:rsidRPr="00F85DCF">
        <w:rPr>
          <w:vertAlign w:val="superscript"/>
          <w:lang w:val="en-GB"/>
        </w:rPr>
        <w:t>th</w:t>
      </w:r>
      <w:r w:rsidR="002134C3" w:rsidRPr="00F85DCF">
        <w:rPr>
          <w:lang w:val="en-GB"/>
        </w:rPr>
        <w:t xml:space="preserve"> percentile </w:t>
      </w:r>
      <w:r w:rsidRPr="00F85DCF">
        <w:rPr>
          <w:lang w:val="en-GB"/>
        </w:rPr>
        <w:t xml:space="preserve">commodity </w:t>
      </w:r>
      <w:r w:rsidR="002134C3" w:rsidRPr="00F85DCF">
        <w:rPr>
          <w:lang w:val="en-GB"/>
        </w:rPr>
        <w:t>consumption</w:t>
      </w:r>
      <w:r w:rsidRPr="00F85DCF">
        <w:rPr>
          <w:lang w:val="en-GB"/>
        </w:rPr>
        <w:t xml:space="preserve"> amount</w:t>
      </w:r>
      <w:r w:rsidR="002134C3" w:rsidRPr="00F85DCF" w:rsidDel="00AF0E3A">
        <w:rPr>
          <w:lang w:val="en-GB"/>
        </w:rPr>
        <w:t xml:space="preserve"> </w:t>
      </w:r>
      <w:r w:rsidRPr="00F85DCF">
        <w:rPr>
          <w:lang w:val="en-GB"/>
        </w:rPr>
        <w:t>(</w:t>
      </w:r>
      <w:r w:rsidR="000B191E" w:rsidRPr="00F85DCF">
        <w:rPr>
          <w:lang w:val="en-GB"/>
        </w:rPr>
        <w:t>derived for</w:t>
      </w:r>
      <w:r w:rsidR="002134C3" w:rsidRPr="00F85DCF">
        <w:rPr>
          <w:lang w:val="en-GB"/>
        </w:rPr>
        <w:t xml:space="preserve"> consumers of that food only</w:t>
      </w:r>
      <w:r w:rsidRPr="00F85DCF">
        <w:rPr>
          <w:lang w:val="en-GB"/>
        </w:rPr>
        <w:t>) to represent a 'high' consumer</w:t>
      </w:r>
      <w:r w:rsidR="000B191E" w:rsidRPr="00F85DCF">
        <w:rPr>
          <w:lang w:val="en-GB"/>
        </w:rPr>
        <w:t xml:space="preserve"> (large portion size)</w:t>
      </w:r>
      <w:r w:rsidR="002134C3" w:rsidRPr="00F85DCF">
        <w:rPr>
          <w:lang w:val="en-GB"/>
        </w:rPr>
        <w:t>. The</w:t>
      </w:r>
      <w:r w:rsidR="002134C3" w:rsidRPr="00F85DCF" w:rsidDel="007A4BE5">
        <w:rPr>
          <w:lang w:val="en-GB"/>
        </w:rPr>
        <w:t xml:space="preserve"> </w:t>
      </w:r>
      <w:r w:rsidR="007A4BE5" w:rsidRPr="00F85DCF">
        <w:rPr>
          <w:lang w:val="en-GB"/>
        </w:rPr>
        <w:t xml:space="preserve">commodity consumption </w:t>
      </w:r>
      <w:r w:rsidR="002134C3" w:rsidRPr="00F85DCF">
        <w:rPr>
          <w:lang w:val="en-GB"/>
        </w:rPr>
        <w:t xml:space="preserve">for each individual </w:t>
      </w:r>
      <w:r w:rsidR="005137FD" w:rsidRPr="00F85DCF">
        <w:rPr>
          <w:lang w:val="en-GB"/>
        </w:rPr>
        <w:t>was</w:t>
      </w:r>
      <w:r w:rsidR="002134C3" w:rsidRPr="00F85DCF">
        <w:rPr>
          <w:lang w:val="en-GB"/>
        </w:rPr>
        <w:t xml:space="preserve"> divided by their body weight to provide population estimates of the amount of </w:t>
      </w:r>
      <w:r w:rsidR="00897968" w:rsidRPr="00F85DCF">
        <w:rPr>
          <w:lang w:val="en-GB"/>
        </w:rPr>
        <w:t xml:space="preserve">the </w:t>
      </w:r>
      <w:r w:rsidR="007A4BE5" w:rsidRPr="00F85DCF">
        <w:rPr>
          <w:lang w:val="en-GB"/>
        </w:rPr>
        <w:t xml:space="preserve">commodity </w:t>
      </w:r>
      <w:r w:rsidR="002134C3" w:rsidRPr="00F85DCF">
        <w:rPr>
          <w:lang w:val="en-GB"/>
        </w:rPr>
        <w:t xml:space="preserve">consumed on a single day per </w:t>
      </w:r>
      <w:r w:rsidR="00897968" w:rsidRPr="00F85DCF">
        <w:rPr>
          <w:lang w:val="en-GB"/>
        </w:rPr>
        <w:t>kilogram</w:t>
      </w:r>
      <w:r w:rsidR="007F27A0" w:rsidRPr="00F85DCF">
        <w:rPr>
          <w:lang w:val="en-GB"/>
        </w:rPr>
        <w:t xml:space="preserve"> (kg)</w:t>
      </w:r>
      <w:r w:rsidR="00897968" w:rsidRPr="00F85DCF">
        <w:rPr>
          <w:lang w:val="en-GB"/>
        </w:rPr>
        <w:t xml:space="preserve"> </w:t>
      </w:r>
      <w:r w:rsidR="002134C3" w:rsidRPr="00F85DCF">
        <w:rPr>
          <w:lang w:val="en-GB"/>
        </w:rPr>
        <w:t>of human body</w:t>
      </w:r>
      <w:r w:rsidR="00897968" w:rsidRPr="00F85DCF">
        <w:rPr>
          <w:lang w:val="en-GB"/>
        </w:rPr>
        <w:t xml:space="preserve"> </w:t>
      </w:r>
      <w:r w:rsidR="002134C3" w:rsidRPr="00F85DCF">
        <w:rPr>
          <w:lang w:val="en-GB"/>
        </w:rPr>
        <w:t xml:space="preserve">weight. A NESTI calculation </w:t>
      </w:r>
      <w:r w:rsidR="00FE5326" w:rsidRPr="00F85DCF">
        <w:rPr>
          <w:lang w:val="en-GB"/>
        </w:rPr>
        <w:t>was</w:t>
      </w:r>
      <w:r w:rsidR="002134C3" w:rsidRPr="00F85DCF">
        <w:rPr>
          <w:lang w:val="en-GB"/>
        </w:rPr>
        <w:t xml:space="preserve"> undertaken for </w:t>
      </w:r>
      <w:r w:rsidR="00FE5326" w:rsidRPr="00F85DCF">
        <w:rPr>
          <w:lang w:val="en-GB"/>
        </w:rPr>
        <w:t xml:space="preserve">the </w:t>
      </w:r>
      <w:r w:rsidR="00FE2AE6" w:rsidRPr="00F85DCF">
        <w:rPr>
          <w:lang w:val="en-GB"/>
        </w:rPr>
        <w:t xml:space="preserve">2-6 year old </w:t>
      </w:r>
      <w:r w:rsidR="002134C3" w:rsidRPr="00F85DCF">
        <w:rPr>
          <w:lang w:val="en-GB"/>
        </w:rPr>
        <w:t>population subgroup</w:t>
      </w:r>
      <w:r w:rsidR="007A4BE5" w:rsidRPr="00F85DCF">
        <w:rPr>
          <w:lang w:val="en-GB"/>
        </w:rPr>
        <w:t xml:space="preserve"> as well as for all Australians aged 2 years and above</w:t>
      </w:r>
      <w:r w:rsidRPr="00F85DCF">
        <w:rPr>
          <w:lang w:val="en-GB"/>
        </w:rPr>
        <w:t>. Children aged 2-6 years</w:t>
      </w:r>
      <w:r w:rsidRPr="00F85DCF" w:rsidDel="000B191E">
        <w:rPr>
          <w:lang w:val="en-GB"/>
        </w:rPr>
        <w:t xml:space="preserve"> </w:t>
      </w:r>
      <w:r w:rsidR="000B191E" w:rsidRPr="00F85DCF">
        <w:rPr>
          <w:lang w:val="en-GB"/>
        </w:rPr>
        <w:t xml:space="preserve">were </w:t>
      </w:r>
      <w:r w:rsidRPr="00F85DCF">
        <w:rPr>
          <w:lang w:val="en-GB"/>
        </w:rPr>
        <w:t xml:space="preserve">considered separately as the potential risk tends to be higher for young children relative to adults. This is because food consumption per </w:t>
      </w:r>
      <w:r w:rsidR="007F27A0" w:rsidRPr="00F85DCF">
        <w:rPr>
          <w:lang w:val="en-GB"/>
        </w:rPr>
        <w:t>kg</w:t>
      </w:r>
      <w:r w:rsidRPr="00F85DCF">
        <w:rPr>
          <w:lang w:val="en-GB"/>
        </w:rPr>
        <w:t xml:space="preserve"> </w:t>
      </w:r>
      <w:r w:rsidR="00B01141" w:rsidRPr="00F85DCF">
        <w:rPr>
          <w:lang w:val="en-GB"/>
        </w:rPr>
        <w:t xml:space="preserve">of </w:t>
      </w:r>
      <w:r w:rsidRPr="00F85DCF">
        <w:rPr>
          <w:lang w:val="en-GB"/>
        </w:rPr>
        <w:t>body</w:t>
      </w:r>
      <w:r w:rsidR="00B01141" w:rsidRPr="00F85DCF">
        <w:rPr>
          <w:lang w:val="en-GB"/>
        </w:rPr>
        <w:t xml:space="preserve"> </w:t>
      </w:r>
      <w:r w:rsidRPr="00F85DCF">
        <w:rPr>
          <w:lang w:val="en-GB"/>
        </w:rPr>
        <w:t>weight is higher for these younger age groups as their energy requirements (met by eating food) need to cover developmental growth as well as maintenance needs</w:t>
      </w:r>
      <w:r w:rsidR="002134C3" w:rsidRPr="00F85DCF">
        <w:rPr>
          <w:lang w:val="en-GB"/>
        </w:rPr>
        <w:t>.</w:t>
      </w:r>
    </w:p>
    <w:p w14:paraId="6288174D" w14:textId="5781C7A2" w:rsidR="00420F9C" w:rsidRDefault="00420F9C" w:rsidP="002134C3">
      <w:pPr>
        <w:rPr>
          <w:lang w:val="en-GB"/>
        </w:rPr>
      </w:pPr>
      <w:r>
        <w:rPr>
          <w:lang w:val="en-GB"/>
        </w:rPr>
        <w:br w:type="page"/>
      </w:r>
    </w:p>
    <w:p w14:paraId="0E855B41" w14:textId="472F3365" w:rsidR="002134C3" w:rsidRPr="00F85DCF" w:rsidRDefault="005F3AD9" w:rsidP="002134C3">
      <w:pPr>
        <w:rPr>
          <w:lang w:val="en-GB"/>
        </w:rPr>
      </w:pPr>
      <w:r w:rsidRPr="00F85DCF">
        <w:rPr>
          <w:noProof/>
          <w:lang w:val="en-GB" w:eastAsia="en-GB"/>
        </w:rPr>
        <w:lastRenderedPageBreak/>
        <mc:AlternateContent>
          <mc:Choice Requires="wps">
            <w:drawing>
              <wp:inline distT="0" distB="0" distL="0" distR="0" wp14:anchorId="539D8BDA" wp14:editId="0C638F96">
                <wp:extent cx="5983834" cy="416967"/>
                <wp:effectExtent l="0" t="0" r="17145" b="21590"/>
                <wp:docPr id="11" name="Text Box 11"/>
                <wp:cNvGraphicFramePr/>
                <a:graphic xmlns:a="http://schemas.openxmlformats.org/drawingml/2006/main">
                  <a:graphicData uri="http://schemas.microsoft.com/office/word/2010/wordprocessingShape">
                    <wps:wsp>
                      <wps:cNvSpPr txBox="1"/>
                      <wps:spPr>
                        <a:xfrm>
                          <a:off x="0" y="0"/>
                          <a:ext cx="5983834" cy="4169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CF4F6" w14:textId="0E6A002D" w:rsidR="00420F9C" w:rsidRDefault="00420F9C">
                            <w:r w:rsidRPr="005F3AD9">
                              <w:t>Acute exposure = 'highest residue' chemical concentration x P97.5 commodity consumption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Text Box 11" o:spid="_x0000_s1035" type="#_x0000_t202" style="width:471.15pt;height:3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" fillcolor="white [3201]" strokeweight=".5pt">
                <v:textbox>
                  <w:txbxContent>
                    <w:p w14:paraId="377CF4F6" w14:textId="0E6A002D" w:rsidR="00420F9C" w:rsidRDefault="00420F9C">
                      <w:r w:rsidRPr="005F3AD9">
                        <w:t>Acute exposure = 'highest residue' chemical concentration x P97.5 commodity consumption</w:t>
                      </w:r>
                    </w:p>
                  </w:txbxContent>
                </v:textbox>
                <w10:anchorlock/>
              </v:shape>
            </w:pict>
          </mc:Fallback>
        </mc:AlternateContent>
      </w:r>
    </w:p>
    <w:p w14:paraId="1090A931" w14:textId="79664494" w:rsidR="005F3AD9" w:rsidRPr="00F85DCF" w:rsidRDefault="005F3AD9" w:rsidP="002134C3">
      <w:pPr>
        <w:rPr>
          <w:lang w:val="en-GB"/>
        </w:rPr>
      </w:pPr>
    </w:p>
    <w:p w14:paraId="09EBC0FC" w14:textId="0D1EBEEF" w:rsidR="002134C3" w:rsidRPr="00F85DCF" w:rsidRDefault="00FE2AE6" w:rsidP="00AF0E3A">
      <w:pPr>
        <w:rPr>
          <w:lang w:val="en-GB"/>
        </w:rPr>
      </w:pPr>
      <w:r w:rsidRPr="00F85DCF">
        <w:rPr>
          <w:lang w:val="en-GB"/>
        </w:rPr>
        <w:t>Four</w:t>
      </w:r>
      <w:r w:rsidR="002134C3" w:rsidRPr="00F85DCF">
        <w:rPr>
          <w:lang w:val="en-GB"/>
        </w:rPr>
        <w:t xml:space="preserve"> equations</w:t>
      </w:r>
      <w:r w:rsidR="009B20F2" w:rsidRPr="00F85DCF">
        <w:rPr>
          <w:lang w:val="en-GB"/>
        </w:rPr>
        <w:t>, set internationally,</w:t>
      </w:r>
      <w:r w:rsidR="00EE65AA" w:rsidRPr="00F85DCF">
        <w:rPr>
          <w:lang w:val="en-GB"/>
        </w:rPr>
        <w:t xml:space="preserve"> </w:t>
      </w:r>
      <w:r w:rsidR="009B20F2" w:rsidRPr="00F85DCF">
        <w:rPr>
          <w:lang w:val="en-GB"/>
        </w:rPr>
        <w:t xml:space="preserve">are used </w:t>
      </w:r>
      <w:r w:rsidR="002134C3" w:rsidRPr="00F85DCF">
        <w:rPr>
          <w:lang w:val="en-GB"/>
        </w:rPr>
        <w:t>for calculating the NESTIs</w:t>
      </w:r>
      <w:r w:rsidR="000B191E" w:rsidRPr="00F85DCF">
        <w:rPr>
          <w:lang w:val="en-GB"/>
        </w:rPr>
        <w:t xml:space="preserve"> for different types of commodities</w:t>
      </w:r>
      <w:r w:rsidRPr="00F85DCF">
        <w:rPr>
          <w:lang w:val="en-GB"/>
        </w:rPr>
        <w:t xml:space="preserve">. These </w:t>
      </w:r>
      <w:r w:rsidR="00EE65AA" w:rsidRPr="00F85DCF">
        <w:rPr>
          <w:lang w:val="en-GB"/>
        </w:rPr>
        <w:t>equation</w:t>
      </w:r>
      <w:r w:rsidRPr="00F85DCF">
        <w:rPr>
          <w:lang w:val="en-GB"/>
        </w:rPr>
        <w:t xml:space="preserve">s </w:t>
      </w:r>
      <w:r w:rsidR="00EE65AA" w:rsidRPr="00F85DCF">
        <w:rPr>
          <w:lang w:val="en-GB"/>
        </w:rPr>
        <w:t>are referred to as Case 1</w:t>
      </w:r>
      <w:r w:rsidR="000B191E" w:rsidRPr="00F85DCF">
        <w:rPr>
          <w:lang w:val="en-GB"/>
        </w:rPr>
        <w:t xml:space="preserve"> (small </w:t>
      </w:r>
      <w:r w:rsidR="001261B1" w:rsidRPr="00F85DCF">
        <w:rPr>
          <w:lang w:val="en-GB"/>
        </w:rPr>
        <w:t>unit</w:t>
      </w:r>
      <w:r w:rsidR="000B191E" w:rsidRPr="00F85DCF">
        <w:rPr>
          <w:lang w:val="en-GB"/>
        </w:rPr>
        <w:t xml:space="preserve"> </w:t>
      </w:r>
      <w:r w:rsidR="003B0B82" w:rsidRPr="00F85DCF">
        <w:rPr>
          <w:lang w:val="en-GB"/>
        </w:rPr>
        <w:t>weight</w:t>
      </w:r>
      <w:r w:rsidR="000B191E" w:rsidRPr="00F85DCF">
        <w:rPr>
          <w:lang w:val="en-GB"/>
        </w:rPr>
        <w:t>)</w:t>
      </w:r>
      <w:r w:rsidR="00EE65AA" w:rsidRPr="00F85DCF">
        <w:rPr>
          <w:lang w:val="en-GB"/>
        </w:rPr>
        <w:t>, Case 2a</w:t>
      </w:r>
      <w:r w:rsidR="000B191E" w:rsidRPr="00F85DCF">
        <w:rPr>
          <w:lang w:val="en-GB"/>
        </w:rPr>
        <w:t xml:space="preserve"> (unit </w:t>
      </w:r>
      <w:r w:rsidR="003B0B82" w:rsidRPr="00F85DCF">
        <w:rPr>
          <w:lang w:val="en-GB"/>
        </w:rPr>
        <w:t>weight</w:t>
      </w:r>
      <w:r w:rsidR="000B191E" w:rsidRPr="00F85DCF">
        <w:rPr>
          <w:lang w:val="en-GB"/>
        </w:rPr>
        <w:t xml:space="preserve"> &lt; large portion)</w:t>
      </w:r>
      <w:r w:rsidR="00EE65AA" w:rsidRPr="00F85DCF">
        <w:rPr>
          <w:lang w:val="en-GB"/>
        </w:rPr>
        <w:t xml:space="preserve">, Case 2b </w:t>
      </w:r>
      <w:r w:rsidR="000B191E" w:rsidRPr="00F85DCF">
        <w:rPr>
          <w:lang w:val="en-GB"/>
        </w:rPr>
        <w:t>(</w:t>
      </w:r>
      <w:r w:rsidR="001261B1" w:rsidRPr="00F85DCF">
        <w:rPr>
          <w:lang w:val="en-GB"/>
        </w:rPr>
        <w:t>unit</w:t>
      </w:r>
      <w:r w:rsidR="000B191E" w:rsidRPr="00F85DCF">
        <w:rPr>
          <w:lang w:val="en-GB"/>
        </w:rPr>
        <w:t xml:space="preserve"> </w:t>
      </w:r>
      <w:r w:rsidR="003B0B82" w:rsidRPr="00F85DCF">
        <w:rPr>
          <w:lang w:val="en-GB"/>
        </w:rPr>
        <w:t>weight</w:t>
      </w:r>
      <w:r w:rsidR="000B191E" w:rsidRPr="00F85DCF">
        <w:rPr>
          <w:lang w:val="en-GB"/>
        </w:rPr>
        <w:t xml:space="preserve"> &gt; larger portion) </w:t>
      </w:r>
      <w:r w:rsidR="00EE65AA" w:rsidRPr="00F85DCF">
        <w:rPr>
          <w:lang w:val="en-GB"/>
        </w:rPr>
        <w:t xml:space="preserve">and Case 3 </w:t>
      </w:r>
      <w:r w:rsidR="000B191E" w:rsidRPr="00F85DCF">
        <w:rPr>
          <w:lang w:val="en-GB"/>
        </w:rPr>
        <w:t xml:space="preserve">(blended commodity) </w:t>
      </w:r>
      <w:r w:rsidR="00EE65AA" w:rsidRPr="00F85DCF">
        <w:rPr>
          <w:lang w:val="en-GB"/>
        </w:rPr>
        <w:t xml:space="preserve">and represent various commodity </w:t>
      </w:r>
      <w:r w:rsidR="00AF0E3A" w:rsidRPr="00F85DCF">
        <w:rPr>
          <w:lang w:val="en-GB"/>
        </w:rPr>
        <w:t xml:space="preserve">'unit </w:t>
      </w:r>
      <w:r w:rsidR="00EE65AA" w:rsidRPr="00F85DCF">
        <w:rPr>
          <w:lang w:val="en-GB"/>
        </w:rPr>
        <w:t>weights</w:t>
      </w:r>
      <w:r w:rsidR="00AF0E3A" w:rsidRPr="00F85DCF">
        <w:rPr>
          <w:lang w:val="en-GB"/>
        </w:rPr>
        <w:t>'</w:t>
      </w:r>
      <w:r w:rsidR="00EE65AA" w:rsidRPr="00F85DCF">
        <w:rPr>
          <w:lang w:val="en-GB"/>
        </w:rPr>
        <w:t xml:space="preserve"> and portion sizes. The calculations and explanations </w:t>
      </w:r>
      <w:r w:rsidRPr="00F85DCF">
        <w:rPr>
          <w:lang w:val="en-GB"/>
        </w:rPr>
        <w:t xml:space="preserve">are provided in </w:t>
      </w:r>
      <w:r w:rsidR="00DF6FB6" w:rsidRPr="00F85DCF">
        <w:rPr>
          <w:lang w:val="en-GB"/>
        </w:rPr>
        <w:t xml:space="preserve">Appendix </w:t>
      </w:r>
      <w:r w:rsidR="00E82B33" w:rsidRPr="00F85DCF">
        <w:rPr>
          <w:lang w:val="en-GB"/>
        </w:rPr>
        <w:t>A</w:t>
      </w:r>
      <w:r w:rsidR="00DF6FB6" w:rsidRPr="00F85DCF">
        <w:rPr>
          <w:lang w:val="en-GB"/>
        </w:rPr>
        <w:t>3</w:t>
      </w:r>
      <w:r w:rsidRPr="00F85DCF">
        <w:rPr>
          <w:lang w:val="en-GB"/>
        </w:rPr>
        <w:t>.</w:t>
      </w:r>
    </w:p>
    <w:p w14:paraId="095FD615" w14:textId="77777777" w:rsidR="00EE65AA" w:rsidRPr="00F85DCF" w:rsidRDefault="00EE65AA" w:rsidP="002134C3">
      <w:pPr>
        <w:rPr>
          <w:szCs w:val="19"/>
          <w:lang w:val="en-GB"/>
        </w:rPr>
      </w:pPr>
    </w:p>
    <w:p w14:paraId="22441D62" w14:textId="2024CCC9" w:rsidR="00986CA1" w:rsidRPr="00F85DCF" w:rsidRDefault="005137FD" w:rsidP="002134C3">
      <w:pPr>
        <w:rPr>
          <w:lang w:val="en-GB"/>
        </w:rPr>
      </w:pPr>
      <w:r w:rsidRPr="00F85DCF">
        <w:rPr>
          <w:lang w:val="en-GB"/>
        </w:rPr>
        <w:t>T</w:t>
      </w:r>
      <w:r w:rsidR="002426F6" w:rsidRPr="00F85DCF">
        <w:rPr>
          <w:lang w:val="en-GB"/>
        </w:rPr>
        <w:t xml:space="preserve">he following commodities </w:t>
      </w:r>
      <w:r w:rsidRPr="00F85DCF">
        <w:rPr>
          <w:lang w:val="en-GB"/>
        </w:rPr>
        <w:t xml:space="preserve">were used </w:t>
      </w:r>
      <w:r w:rsidR="002426F6" w:rsidRPr="00F85DCF">
        <w:rPr>
          <w:lang w:val="en-GB"/>
        </w:rPr>
        <w:t xml:space="preserve">to estimate the worse-case </w:t>
      </w:r>
      <w:r w:rsidRPr="00F85DCF">
        <w:rPr>
          <w:lang w:val="en-GB"/>
        </w:rPr>
        <w:t>acute</w:t>
      </w:r>
      <w:r w:rsidR="002426F6" w:rsidRPr="00F85DCF">
        <w:rPr>
          <w:lang w:val="en-GB"/>
        </w:rPr>
        <w:t xml:space="preserve"> dietary exposure for the 2-6 year old sub pop</w:t>
      </w:r>
      <w:r w:rsidR="008E5780" w:rsidRPr="00F85DCF">
        <w:rPr>
          <w:lang w:val="en-GB"/>
        </w:rPr>
        <w:t>ulation</w:t>
      </w:r>
      <w:r w:rsidR="009C7B29" w:rsidRPr="00F85DCF">
        <w:rPr>
          <w:lang w:val="en-GB"/>
        </w:rPr>
        <w:t xml:space="preserve"> </w:t>
      </w:r>
      <w:r w:rsidR="00852564" w:rsidRPr="00F85DCF">
        <w:rPr>
          <w:lang w:val="en-GB"/>
        </w:rPr>
        <w:t xml:space="preserve">as they were consumed in the highest amounts </w:t>
      </w:r>
      <w:r w:rsidR="00AA6651" w:rsidRPr="00F85DCF">
        <w:rPr>
          <w:lang w:val="en-GB"/>
        </w:rPr>
        <w:t xml:space="preserve">within each of the four types of food considered in Cases 1, 2a, 2b and 3 </w:t>
      </w:r>
      <w:r w:rsidR="009C7B29" w:rsidRPr="00F85DCF">
        <w:rPr>
          <w:lang w:val="en-GB"/>
        </w:rPr>
        <w:t>(worse case estimate)</w:t>
      </w:r>
      <w:r w:rsidR="002426F6" w:rsidRPr="00F85DCF">
        <w:rPr>
          <w:lang w:val="en-GB"/>
        </w:rPr>
        <w:t>:</w:t>
      </w:r>
    </w:p>
    <w:p w14:paraId="506F66E5" w14:textId="77777777" w:rsidR="008F3A22" w:rsidRPr="00F85DCF" w:rsidRDefault="008F3A22" w:rsidP="002134C3">
      <w:pPr>
        <w:rPr>
          <w:lang w:val="en-GB"/>
        </w:rPr>
      </w:pPr>
    </w:p>
    <w:p w14:paraId="62B5342E" w14:textId="6A9402DE" w:rsidR="002426F6" w:rsidRPr="00F85DCF" w:rsidRDefault="003D24DC" w:rsidP="008F3A22">
      <w:pPr>
        <w:pStyle w:val="FSBullet1"/>
        <w:rPr>
          <w:lang w:val="en-GB"/>
        </w:rPr>
      </w:pPr>
      <w:r w:rsidRPr="00F85DCF">
        <w:rPr>
          <w:lang w:val="en-GB"/>
        </w:rPr>
        <w:t xml:space="preserve">Case 1 </w:t>
      </w:r>
      <w:r w:rsidRPr="00F85DCF">
        <w:rPr>
          <w:lang w:val="en-GB"/>
        </w:rPr>
        <w:tab/>
      </w:r>
      <w:r w:rsidR="002426F6" w:rsidRPr="00F85DCF">
        <w:rPr>
          <w:lang w:val="en-GB"/>
        </w:rPr>
        <w:t xml:space="preserve">Currants, red, black, white </w:t>
      </w:r>
    </w:p>
    <w:p w14:paraId="7CE6F7D4" w14:textId="4B3EFCD4" w:rsidR="002426F6" w:rsidRPr="00F85DCF" w:rsidRDefault="003D24DC" w:rsidP="008F3A22">
      <w:pPr>
        <w:pStyle w:val="FSBullet1"/>
        <w:rPr>
          <w:lang w:val="en-GB"/>
        </w:rPr>
      </w:pPr>
      <w:r w:rsidRPr="00F85DCF">
        <w:rPr>
          <w:lang w:val="en-GB"/>
        </w:rPr>
        <w:t xml:space="preserve">Case 2a </w:t>
      </w:r>
      <w:r w:rsidRPr="00F85DCF">
        <w:rPr>
          <w:lang w:val="en-GB"/>
        </w:rPr>
        <w:tab/>
      </w:r>
      <w:r w:rsidR="007864A8" w:rsidRPr="00F85DCF">
        <w:rPr>
          <w:lang w:val="en-GB"/>
        </w:rPr>
        <w:t>Oranges, Sweet, Sour (Bigarade, Chinotto, Chironja)</w:t>
      </w:r>
    </w:p>
    <w:p w14:paraId="02556516" w14:textId="4A76265C" w:rsidR="002426F6" w:rsidRPr="00F85DCF" w:rsidRDefault="002426F6" w:rsidP="008F3A22">
      <w:pPr>
        <w:pStyle w:val="FSBullet1"/>
        <w:rPr>
          <w:lang w:val="en-GB"/>
        </w:rPr>
      </w:pPr>
      <w:r w:rsidRPr="00F85DCF">
        <w:rPr>
          <w:lang w:val="en-GB"/>
        </w:rPr>
        <w:t xml:space="preserve">Case 2b </w:t>
      </w:r>
      <w:r w:rsidR="003D24DC" w:rsidRPr="00F85DCF">
        <w:rPr>
          <w:lang w:val="en-GB"/>
        </w:rPr>
        <w:t>-</w:t>
      </w:r>
      <w:r w:rsidR="008F3A22" w:rsidRPr="00F85DCF">
        <w:rPr>
          <w:lang w:val="en-GB"/>
        </w:rPr>
        <w:tab/>
      </w:r>
      <w:r w:rsidRPr="00F85DCF">
        <w:rPr>
          <w:lang w:val="en-GB"/>
        </w:rPr>
        <w:t xml:space="preserve">Pineapple </w:t>
      </w:r>
    </w:p>
    <w:p w14:paraId="2C2FFFD7" w14:textId="31AA6CFE" w:rsidR="002426F6" w:rsidRPr="00F85DCF" w:rsidRDefault="003D24DC" w:rsidP="008F3A22">
      <w:pPr>
        <w:pStyle w:val="FSBullet1"/>
        <w:rPr>
          <w:lang w:val="en-GB"/>
        </w:rPr>
      </w:pPr>
      <w:r w:rsidRPr="00F85DCF">
        <w:rPr>
          <w:lang w:val="en-GB"/>
        </w:rPr>
        <w:t xml:space="preserve">Case 3 </w:t>
      </w:r>
      <w:r w:rsidRPr="00F85DCF">
        <w:rPr>
          <w:lang w:val="en-GB"/>
        </w:rPr>
        <w:tab/>
      </w:r>
      <w:r w:rsidR="002426F6" w:rsidRPr="00F85DCF">
        <w:rPr>
          <w:lang w:val="en-GB"/>
        </w:rPr>
        <w:t>Milk</w:t>
      </w:r>
    </w:p>
    <w:p w14:paraId="424E3D98" w14:textId="77777777" w:rsidR="008F3A22" w:rsidRPr="00F85DCF" w:rsidRDefault="008F3A22" w:rsidP="002134C3">
      <w:pPr>
        <w:rPr>
          <w:lang w:val="en-GB"/>
        </w:rPr>
      </w:pPr>
    </w:p>
    <w:p w14:paraId="571C9EEC" w14:textId="2C953676" w:rsidR="00986CA1" w:rsidRPr="00F85DCF" w:rsidRDefault="00B32A72" w:rsidP="002134C3">
      <w:pPr>
        <w:rPr>
          <w:lang w:val="en-GB"/>
        </w:rPr>
      </w:pPr>
      <w:r w:rsidRPr="00F85DCF">
        <w:rPr>
          <w:lang w:val="en-GB"/>
        </w:rPr>
        <w:t xml:space="preserve">The following commodities were used to estimate the worst case </w:t>
      </w:r>
      <w:r w:rsidR="005137FD" w:rsidRPr="00F85DCF">
        <w:rPr>
          <w:lang w:val="en-GB"/>
        </w:rPr>
        <w:t xml:space="preserve">acute dietary exposure </w:t>
      </w:r>
      <w:r w:rsidRPr="00F85DCF">
        <w:rPr>
          <w:lang w:val="en-GB"/>
        </w:rPr>
        <w:t xml:space="preserve">for the </w:t>
      </w:r>
      <w:r w:rsidR="005137FD" w:rsidRPr="00F85DCF">
        <w:rPr>
          <w:lang w:val="en-GB"/>
        </w:rPr>
        <w:t xml:space="preserve">population aged </w:t>
      </w:r>
      <w:r w:rsidRPr="00F85DCF">
        <w:rPr>
          <w:lang w:val="en-GB"/>
        </w:rPr>
        <w:t xml:space="preserve">2 years </w:t>
      </w:r>
      <w:r w:rsidR="005137FD" w:rsidRPr="00F85DCF">
        <w:rPr>
          <w:lang w:val="en-GB"/>
        </w:rPr>
        <w:t>and above</w:t>
      </w:r>
      <w:r w:rsidRPr="00F85DCF">
        <w:rPr>
          <w:lang w:val="en-GB"/>
        </w:rPr>
        <w:t>:</w:t>
      </w:r>
    </w:p>
    <w:p w14:paraId="681695D6" w14:textId="77777777" w:rsidR="008F3A22" w:rsidRPr="00F85DCF" w:rsidRDefault="008F3A22" w:rsidP="002134C3">
      <w:pPr>
        <w:rPr>
          <w:lang w:val="en-GB"/>
        </w:rPr>
      </w:pPr>
    </w:p>
    <w:p w14:paraId="25517C9E" w14:textId="72241061" w:rsidR="00B32A72" w:rsidRPr="00F85DCF" w:rsidRDefault="003D24DC" w:rsidP="008F3A22">
      <w:pPr>
        <w:pStyle w:val="FSBullet1"/>
        <w:rPr>
          <w:lang w:val="en-GB"/>
        </w:rPr>
      </w:pPr>
      <w:r w:rsidRPr="00F85DCF">
        <w:rPr>
          <w:lang w:val="en-GB"/>
        </w:rPr>
        <w:t xml:space="preserve">Case 1 </w:t>
      </w:r>
      <w:r w:rsidRPr="00F85DCF">
        <w:rPr>
          <w:lang w:val="en-GB"/>
        </w:rPr>
        <w:tab/>
      </w:r>
      <w:r w:rsidR="0032472C" w:rsidRPr="00F85DCF">
        <w:rPr>
          <w:lang w:val="en-GB"/>
        </w:rPr>
        <w:t>G</w:t>
      </w:r>
      <w:r w:rsidR="00B32A72" w:rsidRPr="00F85DCF">
        <w:rPr>
          <w:lang w:val="en-GB"/>
        </w:rPr>
        <w:t>rapes</w:t>
      </w:r>
    </w:p>
    <w:p w14:paraId="4226859A" w14:textId="6C955DB6" w:rsidR="00B32A72" w:rsidRPr="00F85DCF" w:rsidRDefault="003D24DC" w:rsidP="008F3A22">
      <w:pPr>
        <w:pStyle w:val="FSBullet1"/>
        <w:rPr>
          <w:lang w:val="en-GB"/>
        </w:rPr>
      </w:pPr>
      <w:r w:rsidRPr="00F85DCF">
        <w:rPr>
          <w:lang w:val="en-GB"/>
        </w:rPr>
        <w:t xml:space="preserve">Case 2a </w:t>
      </w:r>
      <w:r w:rsidRPr="00F85DCF">
        <w:rPr>
          <w:lang w:val="en-GB"/>
        </w:rPr>
        <w:tab/>
      </w:r>
      <w:r w:rsidR="007864A8" w:rsidRPr="00F85DCF">
        <w:rPr>
          <w:lang w:val="en-GB"/>
        </w:rPr>
        <w:t>Oranges, Sweet, Sour (Bigarade, Chinotto, Chironja)</w:t>
      </w:r>
    </w:p>
    <w:p w14:paraId="5AE0345E" w14:textId="3938EE5A" w:rsidR="00B32A72" w:rsidRPr="00F85DCF" w:rsidRDefault="00B32A72" w:rsidP="008F3A22">
      <w:pPr>
        <w:pStyle w:val="FSBullet1"/>
        <w:rPr>
          <w:lang w:val="en-GB"/>
        </w:rPr>
      </w:pPr>
      <w:r w:rsidRPr="00F85DCF">
        <w:rPr>
          <w:lang w:val="en-GB"/>
        </w:rPr>
        <w:t xml:space="preserve">Case 2b </w:t>
      </w:r>
      <w:r w:rsidR="003D24DC" w:rsidRPr="00F85DCF">
        <w:rPr>
          <w:lang w:val="en-GB"/>
        </w:rPr>
        <w:tab/>
      </w:r>
      <w:r w:rsidR="007864A8" w:rsidRPr="00F85DCF">
        <w:rPr>
          <w:lang w:val="en-GB"/>
        </w:rPr>
        <w:t>Watermelon</w:t>
      </w:r>
    </w:p>
    <w:p w14:paraId="6645E8AA" w14:textId="631BFE3C" w:rsidR="00B32A72" w:rsidRPr="00F85DCF" w:rsidRDefault="00B32A72" w:rsidP="008F3A22">
      <w:pPr>
        <w:pStyle w:val="FSBullet1"/>
        <w:rPr>
          <w:lang w:val="en-GB"/>
        </w:rPr>
      </w:pPr>
      <w:r w:rsidRPr="00F85DCF">
        <w:rPr>
          <w:lang w:val="en-GB"/>
        </w:rPr>
        <w:t xml:space="preserve">Case 3 </w:t>
      </w:r>
      <w:r w:rsidR="003D24DC" w:rsidRPr="00F85DCF">
        <w:rPr>
          <w:lang w:val="en-GB"/>
        </w:rPr>
        <w:tab/>
      </w:r>
      <w:r w:rsidR="0032472C" w:rsidRPr="00F85DCF">
        <w:rPr>
          <w:lang w:val="en-GB"/>
        </w:rPr>
        <w:t>Grapes, for juice</w:t>
      </w:r>
    </w:p>
    <w:p w14:paraId="30C283CA" w14:textId="77777777" w:rsidR="008F3A22" w:rsidRPr="00F85DCF" w:rsidRDefault="008F3A22" w:rsidP="002134C3">
      <w:pPr>
        <w:rPr>
          <w:lang w:val="en-GB"/>
        </w:rPr>
      </w:pPr>
    </w:p>
    <w:p w14:paraId="291D58D4" w14:textId="7E41BC6C" w:rsidR="000B7A9A" w:rsidRPr="00F85DCF" w:rsidRDefault="00F62014" w:rsidP="002134C3">
      <w:pPr>
        <w:rPr>
          <w:lang w:val="en-GB"/>
        </w:rPr>
      </w:pPr>
      <w:r w:rsidRPr="00F85DCF">
        <w:rPr>
          <w:lang w:val="en-GB"/>
        </w:rPr>
        <w:t xml:space="preserve">Grapes for Juice were used for Case 3 because they provide the worst case scenario for any commodity for which permissions may exist. </w:t>
      </w:r>
      <w:r w:rsidR="000B7A9A" w:rsidRPr="00F85DCF">
        <w:rPr>
          <w:lang w:val="en-GB"/>
        </w:rPr>
        <w:t xml:space="preserve">Although water has the highest consumption </w:t>
      </w:r>
      <w:r w:rsidR="001261B1" w:rsidRPr="00F85DCF">
        <w:rPr>
          <w:lang w:val="en-GB"/>
        </w:rPr>
        <w:t xml:space="preserve">amount </w:t>
      </w:r>
      <w:r w:rsidR="000B7A9A" w:rsidRPr="00F85DCF">
        <w:rPr>
          <w:lang w:val="en-GB"/>
        </w:rPr>
        <w:t xml:space="preserve">(3400 g/kg bw/day) for </w:t>
      </w:r>
      <w:r w:rsidR="00A707C1" w:rsidRPr="00F85DCF">
        <w:rPr>
          <w:lang w:val="en-GB"/>
        </w:rPr>
        <w:t xml:space="preserve">the Australian population aged </w:t>
      </w:r>
      <w:r w:rsidR="00FF299B" w:rsidRPr="00F85DCF">
        <w:rPr>
          <w:lang w:val="en-GB"/>
        </w:rPr>
        <w:t>2</w:t>
      </w:r>
      <w:r w:rsidR="000B7A9A" w:rsidRPr="00F85DCF">
        <w:rPr>
          <w:lang w:val="en-GB"/>
        </w:rPr>
        <w:t xml:space="preserve"> years</w:t>
      </w:r>
      <w:r w:rsidR="00FF299B" w:rsidRPr="00F85DCF">
        <w:rPr>
          <w:lang w:val="en-GB"/>
        </w:rPr>
        <w:t xml:space="preserve"> and above</w:t>
      </w:r>
      <w:r w:rsidR="00A707C1" w:rsidRPr="00F85DCF">
        <w:rPr>
          <w:lang w:val="en-GB"/>
        </w:rPr>
        <w:t>,</w:t>
      </w:r>
      <w:r w:rsidRPr="00F85DCF">
        <w:rPr>
          <w:lang w:val="en-GB"/>
        </w:rPr>
        <w:t xml:space="preserve"> it is not a commodity to which </w:t>
      </w:r>
      <w:r w:rsidR="00792E20" w:rsidRPr="00F85DCF">
        <w:rPr>
          <w:lang w:val="en-GB"/>
        </w:rPr>
        <w:t>agvet</w:t>
      </w:r>
      <w:r w:rsidR="00F10CC8" w:rsidRPr="00F85DCF">
        <w:rPr>
          <w:lang w:val="en-GB"/>
        </w:rPr>
        <w:t xml:space="preserve"> </w:t>
      </w:r>
      <w:r w:rsidRPr="00F85DCF">
        <w:rPr>
          <w:lang w:val="en-GB"/>
        </w:rPr>
        <w:t>chemicals are applied.</w:t>
      </w:r>
    </w:p>
    <w:p w14:paraId="08DF0FCB" w14:textId="77777777" w:rsidR="00F62014" w:rsidRPr="00F85DCF" w:rsidRDefault="00F62014" w:rsidP="002134C3">
      <w:pPr>
        <w:rPr>
          <w:lang w:val="en-GB"/>
        </w:rPr>
      </w:pPr>
    </w:p>
    <w:p w14:paraId="3457324E" w14:textId="738D8FF2" w:rsidR="002134C3" w:rsidRPr="00F85DCF" w:rsidRDefault="005137FD" w:rsidP="002134C3">
      <w:pPr>
        <w:rPr>
          <w:lang w:val="en-GB"/>
        </w:rPr>
      </w:pPr>
      <w:r w:rsidRPr="00F85DCF">
        <w:rPr>
          <w:lang w:val="en-GB"/>
        </w:rPr>
        <w:t xml:space="preserve">For the purposes of </w:t>
      </w:r>
      <w:r w:rsidR="00B2368B" w:rsidRPr="00F85DCF">
        <w:rPr>
          <w:lang w:val="en-GB"/>
        </w:rPr>
        <w:t xml:space="preserve">the pilot in the </w:t>
      </w:r>
      <w:r w:rsidRPr="00F85DCF">
        <w:rPr>
          <w:lang w:val="en-GB"/>
        </w:rPr>
        <w:t xml:space="preserve">Stage 1 screening, the NESTI for each </w:t>
      </w:r>
      <w:r w:rsidR="00F10CC8" w:rsidRPr="00F85DCF">
        <w:rPr>
          <w:lang w:val="en-GB"/>
        </w:rPr>
        <w:t>agvet</w:t>
      </w:r>
      <w:r w:rsidRPr="00F85DCF">
        <w:rPr>
          <w:lang w:val="en-GB"/>
        </w:rPr>
        <w:t xml:space="preserve"> chemical was calculated using </w:t>
      </w:r>
      <w:r w:rsidR="00AA6651" w:rsidRPr="00F85DCF">
        <w:rPr>
          <w:lang w:val="en-GB"/>
        </w:rPr>
        <w:t>the screening MRL (</w:t>
      </w:r>
      <w:r w:rsidRPr="00F85DCF">
        <w:rPr>
          <w:lang w:val="en-GB"/>
        </w:rPr>
        <w:t>chemical concentration of two times the LOR</w:t>
      </w:r>
      <w:r w:rsidR="00A707C1" w:rsidRPr="00F85DCF">
        <w:rPr>
          <w:lang w:val="en-GB"/>
        </w:rPr>
        <w:t>)</w:t>
      </w:r>
      <w:r w:rsidRPr="00F85DCF">
        <w:rPr>
          <w:lang w:val="en-GB"/>
        </w:rPr>
        <w:t xml:space="preserve">. </w:t>
      </w:r>
      <w:r w:rsidR="000F638A" w:rsidRPr="00F85DCF">
        <w:rPr>
          <w:lang w:val="en-GB"/>
        </w:rPr>
        <w:t>In Stage 2, t</w:t>
      </w:r>
      <w:r w:rsidR="002426F6" w:rsidRPr="00F85DCF">
        <w:rPr>
          <w:lang w:val="en-GB"/>
        </w:rPr>
        <w:t xml:space="preserve">he NESTI calculations </w:t>
      </w:r>
      <w:r w:rsidR="000F638A" w:rsidRPr="00F85DCF">
        <w:rPr>
          <w:lang w:val="en-GB"/>
        </w:rPr>
        <w:t>use</w:t>
      </w:r>
      <w:r w:rsidR="009E0204" w:rsidRPr="00F85DCF">
        <w:rPr>
          <w:lang w:val="en-GB"/>
        </w:rPr>
        <w:t>d</w:t>
      </w:r>
      <w:r w:rsidR="002426F6" w:rsidRPr="00F85DCF">
        <w:rPr>
          <w:lang w:val="en-GB"/>
        </w:rPr>
        <w:t xml:space="preserve"> the proposed </w:t>
      </w:r>
      <w:r w:rsidR="00DD49BF" w:rsidRPr="00F85DCF">
        <w:rPr>
          <w:i/>
          <w:lang w:val="en-GB"/>
        </w:rPr>
        <w:t>A</w:t>
      </w:r>
      <w:r w:rsidR="00311E80" w:rsidRPr="00F85DCF">
        <w:rPr>
          <w:i/>
          <w:lang w:val="en-GB"/>
        </w:rPr>
        <w:t xml:space="preserve">ll other foods </w:t>
      </w:r>
      <w:r w:rsidR="0003601D" w:rsidRPr="00F85DCF">
        <w:rPr>
          <w:i/>
          <w:lang w:val="en-GB"/>
        </w:rPr>
        <w:t>except animal</w:t>
      </w:r>
      <w:r w:rsidR="007A102F">
        <w:rPr>
          <w:i/>
          <w:lang w:val="en-GB"/>
        </w:rPr>
        <w:t xml:space="preserve"> food</w:t>
      </w:r>
      <w:r w:rsidR="0003601D" w:rsidRPr="00F85DCF">
        <w:rPr>
          <w:i/>
          <w:lang w:val="en-GB"/>
        </w:rPr>
        <w:t xml:space="preserve"> commodities</w:t>
      </w:r>
      <w:r w:rsidR="002426F6" w:rsidRPr="00F85DCF">
        <w:rPr>
          <w:lang w:val="en-GB"/>
        </w:rPr>
        <w:t xml:space="preserve"> MRL as the highest residue likely to occur</w:t>
      </w:r>
      <w:r w:rsidR="009E0204" w:rsidRPr="00F85DCF">
        <w:rPr>
          <w:lang w:val="en-GB"/>
        </w:rPr>
        <w:t>,</w:t>
      </w:r>
      <w:r w:rsidR="002426F6" w:rsidRPr="00F85DCF">
        <w:rPr>
          <w:lang w:val="en-GB"/>
        </w:rPr>
        <w:t xml:space="preserve"> to r</w:t>
      </w:r>
      <w:r w:rsidR="000F638A" w:rsidRPr="00F85DCF">
        <w:rPr>
          <w:lang w:val="en-GB"/>
        </w:rPr>
        <w:t xml:space="preserve">epresent a worse-case scenario. Factors such as </w:t>
      </w:r>
      <w:r w:rsidR="002134C3" w:rsidRPr="00F85DCF">
        <w:rPr>
          <w:lang w:val="en-GB"/>
        </w:rPr>
        <w:t>the highest residue on a compos</w:t>
      </w:r>
      <w:r w:rsidR="000F638A" w:rsidRPr="00F85DCF">
        <w:rPr>
          <w:lang w:val="en-GB"/>
        </w:rPr>
        <w:t>ite sample of an edible portion,</w:t>
      </w:r>
      <w:r w:rsidR="002134C3" w:rsidRPr="00F85DCF">
        <w:rPr>
          <w:lang w:val="en-GB"/>
        </w:rPr>
        <w:t xml:space="preserve"> the supervised trials median residue</w:t>
      </w:r>
      <w:r w:rsidR="000F638A" w:rsidRPr="00F85DCF">
        <w:rPr>
          <w:lang w:val="en-GB"/>
        </w:rPr>
        <w:t xml:space="preserve"> or</w:t>
      </w:r>
      <w:r w:rsidR="002134C3" w:rsidRPr="00F85DCF">
        <w:rPr>
          <w:lang w:val="en-GB"/>
        </w:rPr>
        <w:t xml:space="preserve"> processing factors </w:t>
      </w:r>
      <w:r w:rsidR="009B20F2" w:rsidRPr="00F85DCF">
        <w:rPr>
          <w:lang w:val="en-GB"/>
        </w:rPr>
        <w:t xml:space="preserve">were </w:t>
      </w:r>
      <w:r w:rsidR="00F6750E" w:rsidRPr="00F85DCF">
        <w:rPr>
          <w:lang w:val="en-GB"/>
        </w:rPr>
        <w:t xml:space="preserve">not used in </w:t>
      </w:r>
      <w:r w:rsidR="009E0204" w:rsidRPr="00F85DCF">
        <w:rPr>
          <w:lang w:val="en-GB"/>
        </w:rPr>
        <w:t xml:space="preserve">these </w:t>
      </w:r>
      <w:r w:rsidR="00F6750E" w:rsidRPr="00F85DCF">
        <w:rPr>
          <w:lang w:val="en-GB"/>
        </w:rPr>
        <w:t>calculations.</w:t>
      </w:r>
    </w:p>
    <w:p w14:paraId="5A141F79" w14:textId="21AFCB90" w:rsidR="002134C3" w:rsidRPr="00F85DCF" w:rsidRDefault="0054275A" w:rsidP="00227DF3">
      <w:pPr>
        <w:pStyle w:val="Heading3"/>
      </w:pPr>
      <w:r w:rsidRPr="006E5FAD">
        <w:t>4.6.1</w:t>
      </w:r>
      <w:r w:rsidRPr="006E5FAD">
        <w:tab/>
      </w:r>
      <w:r w:rsidR="002134C3" w:rsidRPr="006E5FAD">
        <w:t>Risk Characterisation</w:t>
      </w:r>
    </w:p>
    <w:p w14:paraId="7F3D2116" w14:textId="5B0C3D37" w:rsidR="00EC5E4F" w:rsidRPr="00F85DCF" w:rsidRDefault="00845F28" w:rsidP="002134C3">
      <w:pPr>
        <w:rPr>
          <w:lang w:val="en-GB"/>
        </w:rPr>
      </w:pPr>
      <w:r w:rsidRPr="00F85DCF">
        <w:rPr>
          <w:lang w:val="en-GB"/>
        </w:rPr>
        <w:t xml:space="preserve">For each </w:t>
      </w:r>
      <w:r w:rsidR="00084872" w:rsidRPr="00F85DCF">
        <w:rPr>
          <w:lang w:val="en-GB"/>
        </w:rPr>
        <w:t xml:space="preserve">agvet </w:t>
      </w:r>
      <w:r w:rsidRPr="00F85DCF">
        <w:rPr>
          <w:lang w:val="en-GB"/>
        </w:rPr>
        <w:t>chemical in Stage 2, t</w:t>
      </w:r>
      <w:r w:rsidR="002134C3" w:rsidRPr="00F85DCF">
        <w:rPr>
          <w:lang w:val="en-GB"/>
        </w:rPr>
        <w:t xml:space="preserve">he estimated mean chronic dietary exposure (NEDI) </w:t>
      </w:r>
      <w:r w:rsidR="009B20F2" w:rsidRPr="00F85DCF">
        <w:rPr>
          <w:lang w:val="en-GB"/>
        </w:rPr>
        <w:t xml:space="preserve">was </w:t>
      </w:r>
      <w:r w:rsidR="002134C3" w:rsidRPr="00F85DCF">
        <w:rPr>
          <w:lang w:val="en-GB"/>
        </w:rPr>
        <w:t xml:space="preserve">compared to the </w:t>
      </w:r>
      <w:r w:rsidRPr="00F85DCF">
        <w:rPr>
          <w:lang w:val="en-GB"/>
        </w:rPr>
        <w:t xml:space="preserve">relevant </w:t>
      </w:r>
      <w:r w:rsidR="002134C3" w:rsidRPr="00F85DCF">
        <w:rPr>
          <w:lang w:val="en-GB"/>
        </w:rPr>
        <w:t xml:space="preserve">ADI and where appropriate, the estimated acute dietary exposure (NESTI) </w:t>
      </w:r>
      <w:r w:rsidR="009B20F2" w:rsidRPr="00F85DCF">
        <w:rPr>
          <w:lang w:val="en-GB"/>
        </w:rPr>
        <w:t xml:space="preserve">was </w:t>
      </w:r>
      <w:r w:rsidR="002134C3" w:rsidRPr="00F85DCF">
        <w:rPr>
          <w:lang w:val="en-GB"/>
        </w:rPr>
        <w:t xml:space="preserve">compared to the </w:t>
      </w:r>
      <w:r w:rsidRPr="00F85DCF">
        <w:rPr>
          <w:lang w:val="en-GB"/>
        </w:rPr>
        <w:t xml:space="preserve">relevant </w:t>
      </w:r>
      <w:r w:rsidR="002134C3" w:rsidRPr="00F85DCF">
        <w:rPr>
          <w:lang w:val="en-GB"/>
        </w:rPr>
        <w:t xml:space="preserve">ARfD to characterise risk to the Australian population. FSANZ </w:t>
      </w:r>
      <w:r w:rsidR="00B2368B" w:rsidRPr="00F85DCF">
        <w:rPr>
          <w:lang w:val="en-GB"/>
        </w:rPr>
        <w:t xml:space="preserve">considered </w:t>
      </w:r>
      <w:r w:rsidR="002134C3" w:rsidRPr="00F85DCF">
        <w:rPr>
          <w:lang w:val="en-GB"/>
        </w:rPr>
        <w:t>that the chronic and acute dietary exposure to the residues of a</w:t>
      </w:r>
      <w:r w:rsidR="00084872" w:rsidRPr="00F85DCF">
        <w:rPr>
          <w:lang w:val="en-GB"/>
        </w:rPr>
        <w:t xml:space="preserve">n agvet </w:t>
      </w:r>
      <w:r w:rsidR="002134C3" w:rsidRPr="00F85DCF">
        <w:rPr>
          <w:lang w:val="en-GB"/>
        </w:rPr>
        <w:t xml:space="preserve"> chemical </w:t>
      </w:r>
      <w:r w:rsidR="009B20F2" w:rsidRPr="00F85DCF">
        <w:rPr>
          <w:lang w:val="en-GB"/>
        </w:rPr>
        <w:t xml:space="preserve">were </w:t>
      </w:r>
      <w:r w:rsidR="002134C3" w:rsidRPr="00F85DCF">
        <w:rPr>
          <w:lang w:val="en-GB"/>
        </w:rPr>
        <w:t xml:space="preserve">acceptable where the best estimates of mean chronic and acute dietary exposure </w:t>
      </w:r>
      <w:r w:rsidR="009B20F2" w:rsidRPr="00F85DCF">
        <w:rPr>
          <w:lang w:val="en-GB"/>
        </w:rPr>
        <w:t xml:space="preserve">did </w:t>
      </w:r>
      <w:r w:rsidR="002134C3" w:rsidRPr="00F85DCF">
        <w:rPr>
          <w:lang w:val="en-GB"/>
        </w:rPr>
        <w:t>not exceed the ADI or ARfD respectively.</w:t>
      </w:r>
    </w:p>
    <w:p w14:paraId="71F6C99E" w14:textId="375F4CAC" w:rsidR="00A87D43" w:rsidRPr="00F85DCF" w:rsidRDefault="0054275A" w:rsidP="00227DF3">
      <w:pPr>
        <w:pStyle w:val="Heading3"/>
      </w:pPr>
      <w:r w:rsidRPr="00F85DCF">
        <w:t>4.6.2</w:t>
      </w:r>
      <w:r w:rsidRPr="00F85DCF">
        <w:tab/>
      </w:r>
      <w:r w:rsidR="00A87D43" w:rsidRPr="00F85DCF">
        <w:t>Limitations and assumptions in the dietary exposure assessment</w:t>
      </w:r>
    </w:p>
    <w:p w14:paraId="23A1AACF" w14:textId="0A8A1882" w:rsidR="00420F9C" w:rsidRDefault="00A87D43" w:rsidP="006A735A">
      <w:pPr>
        <w:rPr>
          <w:lang w:val="en-GB"/>
        </w:rPr>
      </w:pPr>
      <w:r w:rsidRPr="00F85DCF">
        <w:rPr>
          <w:lang w:val="en-GB"/>
        </w:rPr>
        <w:t xml:space="preserve">FSANZ aims to make as realistic an estimate of dietary exposure as possible. However, where significant uncertainties in the data exist, conservative (or ‘worst-case’) assumptions </w:t>
      </w:r>
      <w:r w:rsidR="00B2368B" w:rsidRPr="00F85DCF">
        <w:rPr>
          <w:lang w:val="en-GB"/>
        </w:rPr>
        <w:t>may be</w:t>
      </w:r>
      <w:r w:rsidRPr="00F85DCF">
        <w:rPr>
          <w:lang w:val="en-GB"/>
        </w:rPr>
        <w:t xml:space="preserve"> used to ensure that the DEA does not underestimate exposure.</w:t>
      </w:r>
      <w:r w:rsidR="00E57180" w:rsidRPr="00F85DCF">
        <w:rPr>
          <w:lang w:val="en-GB"/>
        </w:rPr>
        <w:t xml:space="preserve"> In particular, for the 1995 NNS, there are limitations relating to the age of the data and the changes in eating patterns that may have occurred since these data were collected.</w:t>
      </w:r>
      <w:r w:rsidR="00420F9C">
        <w:rPr>
          <w:lang w:val="en-GB"/>
        </w:rPr>
        <w:br w:type="page"/>
      </w:r>
    </w:p>
    <w:p w14:paraId="79266EAE" w14:textId="09A229E8" w:rsidR="00684DA3" w:rsidRPr="00F85DCF" w:rsidRDefault="00684DA3" w:rsidP="006A735A">
      <w:pPr>
        <w:rPr>
          <w:lang w:val="en-GB"/>
        </w:rPr>
      </w:pPr>
      <w:r w:rsidRPr="00F85DCF">
        <w:rPr>
          <w:lang w:val="en-GB"/>
        </w:rPr>
        <w:lastRenderedPageBreak/>
        <w:t xml:space="preserve">Assumptions used in this assessment </w:t>
      </w:r>
      <w:r w:rsidR="00B2368B" w:rsidRPr="00F85DCF">
        <w:rPr>
          <w:lang w:val="en-GB"/>
        </w:rPr>
        <w:t xml:space="preserve">for the purposes of the pilot </w:t>
      </w:r>
      <w:r w:rsidRPr="00F85DCF">
        <w:rPr>
          <w:lang w:val="en-GB"/>
        </w:rPr>
        <w:t>include:</w:t>
      </w:r>
    </w:p>
    <w:p w14:paraId="502AD3F1" w14:textId="77777777" w:rsidR="0054275A" w:rsidRPr="00F85DCF" w:rsidRDefault="0054275A" w:rsidP="006A735A">
      <w:pPr>
        <w:rPr>
          <w:lang w:val="en-GB"/>
        </w:rPr>
      </w:pPr>
    </w:p>
    <w:p w14:paraId="36E98086" w14:textId="5DAC67F2" w:rsidR="004F60AB" w:rsidRDefault="00B2368B" w:rsidP="00420F9C">
      <w:pPr>
        <w:pStyle w:val="FSBullet1"/>
        <w:rPr>
          <w:lang w:val="en-GB"/>
        </w:rPr>
      </w:pPr>
      <w:r w:rsidRPr="00F85DCF">
        <w:rPr>
          <w:lang w:val="en-GB"/>
        </w:rPr>
        <w:t>f</w:t>
      </w:r>
      <w:r w:rsidR="004F60AB" w:rsidRPr="00F85DCF">
        <w:rPr>
          <w:lang w:val="en-GB"/>
        </w:rPr>
        <w:t xml:space="preserve">ood consumption </w:t>
      </w:r>
      <w:r w:rsidR="00486C79" w:rsidRPr="00F85DCF">
        <w:rPr>
          <w:lang w:val="en-GB"/>
        </w:rPr>
        <w:t xml:space="preserve">data </w:t>
      </w:r>
      <w:r w:rsidR="007F27A0" w:rsidRPr="00F85DCF">
        <w:rPr>
          <w:lang w:val="en-GB"/>
        </w:rPr>
        <w:t>from the 1995 NNS represent</w:t>
      </w:r>
      <w:r w:rsidR="004F60AB" w:rsidRPr="00F85DCF">
        <w:rPr>
          <w:lang w:val="en-GB"/>
        </w:rPr>
        <w:t xml:space="preserve"> cu</w:t>
      </w:r>
      <w:r w:rsidRPr="00F85DCF">
        <w:rPr>
          <w:lang w:val="en-GB"/>
        </w:rPr>
        <w:t>rrent food consumption patterns</w:t>
      </w:r>
    </w:p>
    <w:p w14:paraId="3765C371" w14:textId="77777777" w:rsidR="00420F9C" w:rsidRPr="00420F9C" w:rsidRDefault="00420F9C" w:rsidP="00420F9C">
      <w:pPr>
        <w:rPr>
          <w:lang w:val="en-GB"/>
        </w:rPr>
      </w:pPr>
    </w:p>
    <w:p w14:paraId="010AA12A" w14:textId="634CB9BF" w:rsidR="007F27A0" w:rsidRDefault="00B2368B" w:rsidP="0054275A">
      <w:pPr>
        <w:pStyle w:val="FSBullet1"/>
        <w:rPr>
          <w:lang w:val="en-GB"/>
        </w:rPr>
      </w:pPr>
      <w:r w:rsidRPr="00F85DCF">
        <w:rPr>
          <w:lang w:val="en-GB"/>
        </w:rPr>
        <w:t>w</w:t>
      </w:r>
      <w:r w:rsidR="00684DA3" w:rsidRPr="00F85DCF">
        <w:rPr>
          <w:lang w:val="en-GB"/>
        </w:rPr>
        <w:t xml:space="preserve">here there are established MRLs for a commodity, the </w:t>
      </w:r>
      <w:r w:rsidR="00F44DDA" w:rsidRPr="00F85DCF">
        <w:rPr>
          <w:lang w:val="en-GB"/>
        </w:rPr>
        <w:t xml:space="preserve">agvet </w:t>
      </w:r>
      <w:r w:rsidR="00684DA3" w:rsidRPr="00F85DCF">
        <w:rPr>
          <w:lang w:val="en-GB"/>
        </w:rPr>
        <w:t xml:space="preserve">chemical </w:t>
      </w:r>
      <w:r w:rsidR="00845F28" w:rsidRPr="00F85DCF">
        <w:rPr>
          <w:lang w:val="en-GB"/>
        </w:rPr>
        <w:t xml:space="preserve">residue </w:t>
      </w:r>
      <w:r w:rsidR="007F27A0" w:rsidRPr="00F85DCF">
        <w:rPr>
          <w:lang w:val="en-GB"/>
        </w:rPr>
        <w:t xml:space="preserve">occurs </w:t>
      </w:r>
      <w:r w:rsidR="00684DA3" w:rsidRPr="00F85DCF">
        <w:rPr>
          <w:lang w:val="en-GB"/>
        </w:rPr>
        <w:t>in all of those commodities at the specified MRL</w:t>
      </w:r>
      <w:r w:rsidR="0086502B" w:rsidRPr="00F85DCF">
        <w:rPr>
          <w:lang w:val="en-GB"/>
        </w:rPr>
        <w:t>,</w:t>
      </w:r>
      <w:r w:rsidR="00684DA3" w:rsidRPr="00F85DCF">
        <w:rPr>
          <w:lang w:val="en-GB"/>
        </w:rPr>
        <w:t xml:space="preserve"> </w:t>
      </w:r>
      <w:r w:rsidRPr="00F85DCF">
        <w:rPr>
          <w:lang w:val="en-GB"/>
        </w:rPr>
        <w:t>where</w:t>
      </w:r>
      <w:r w:rsidR="00684DA3" w:rsidRPr="00F85DCF">
        <w:rPr>
          <w:lang w:val="en-GB"/>
        </w:rPr>
        <w:t xml:space="preserve"> median </w:t>
      </w:r>
      <w:r w:rsidRPr="00F85DCF">
        <w:rPr>
          <w:lang w:val="en-GB"/>
        </w:rPr>
        <w:t xml:space="preserve">data (chronic DEA) </w:t>
      </w:r>
      <w:r w:rsidR="00684DA3" w:rsidRPr="00F85DCF">
        <w:rPr>
          <w:lang w:val="en-GB"/>
        </w:rPr>
        <w:t xml:space="preserve">or high residue </w:t>
      </w:r>
      <w:r w:rsidRPr="00F85DCF">
        <w:rPr>
          <w:lang w:val="en-GB"/>
        </w:rPr>
        <w:t>data (acute DEA) were not available</w:t>
      </w:r>
      <w:r w:rsidR="00684DA3" w:rsidRPr="00F85DCF">
        <w:rPr>
          <w:lang w:val="en-GB"/>
        </w:rPr>
        <w:t>, including where the comm</w:t>
      </w:r>
      <w:r w:rsidRPr="00F85DCF">
        <w:rPr>
          <w:lang w:val="en-GB"/>
        </w:rPr>
        <w:t>odities were used in mixed foods</w:t>
      </w:r>
    </w:p>
    <w:p w14:paraId="480A6E67" w14:textId="77777777" w:rsidR="00420F9C" w:rsidRPr="00420F9C" w:rsidRDefault="00420F9C" w:rsidP="00420F9C">
      <w:pPr>
        <w:rPr>
          <w:lang w:val="en-GB"/>
        </w:rPr>
      </w:pPr>
    </w:p>
    <w:p w14:paraId="52CFE2B9" w14:textId="4EF48705" w:rsidR="00684DA3" w:rsidRPr="00F85DCF" w:rsidRDefault="00B2368B" w:rsidP="0054275A">
      <w:pPr>
        <w:pStyle w:val="FSBullet1"/>
        <w:rPr>
          <w:lang w:val="en-GB"/>
        </w:rPr>
      </w:pPr>
      <w:r w:rsidRPr="00F85DCF">
        <w:rPr>
          <w:lang w:val="en-GB"/>
        </w:rPr>
        <w:t>w</w:t>
      </w:r>
      <w:r w:rsidR="00684DA3" w:rsidRPr="00F85DCF">
        <w:rPr>
          <w:lang w:val="en-GB"/>
        </w:rPr>
        <w:t xml:space="preserve">here there is a proposed </w:t>
      </w:r>
      <w:r w:rsidR="00101BC5" w:rsidRPr="007A102F">
        <w:rPr>
          <w:i/>
          <w:lang w:val="en-GB"/>
        </w:rPr>
        <w:t>A</w:t>
      </w:r>
      <w:r w:rsidR="002D5850" w:rsidRPr="007A102F">
        <w:rPr>
          <w:i/>
          <w:lang w:val="en-GB"/>
        </w:rPr>
        <w:t xml:space="preserve">ll other foods </w:t>
      </w:r>
      <w:r w:rsidR="0003601D" w:rsidRPr="007A102F">
        <w:rPr>
          <w:i/>
          <w:lang w:val="en-GB"/>
        </w:rPr>
        <w:t xml:space="preserve">except animal </w:t>
      </w:r>
      <w:r w:rsidR="007A102F" w:rsidRPr="007A102F">
        <w:rPr>
          <w:i/>
          <w:lang w:val="en-GB"/>
        </w:rPr>
        <w:t xml:space="preserve">food </w:t>
      </w:r>
      <w:r w:rsidR="0003601D" w:rsidRPr="007A102F">
        <w:rPr>
          <w:i/>
          <w:lang w:val="en-GB"/>
        </w:rPr>
        <w:t>commodities</w:t>
      </w:r>
      <w:r w:rsidR="00684DA3" w:rsidRPr="00F85DCF">
        <w:rPr>
          <w:lang w:val="en-GB"/>
        </w:rPr>
        <w:t xml:space="preserve"> MRL for a</w:t>
      </w:r>
      <w:r w:rsidR="00F44DDA" w:rsidRPr="00F85DCF">
        <w:rPr>
          <w:lang w:val="en-GB"/>
        </w:rPr>
        <w:t>n agvet</w:t>
      </w:r>
      <w:r w:rsidR="00684DA3" w:rsidRPr="00F85DCF">
        <w:rPr>
          <w:lang w:val="en-GB"/>
        </w:rPr>
        <w:t xml:space="preserve"> chemical, the chemical </w:t>
      </w:r>
      <w:r w:rsidR="00845F28" w:rsidRPr="00F85DCF">
        <w:rPr>
          <w:lang w:val="en-GB"/>
        </w:rPr>
        <w:t xml:space="preserve">residue </w:t>
      </w:r>
      <w:r w:rsidRPr="00F85DCF">
        <w:rPr>
          <w:lang w:val="en-GB"/>
        </w:rPr>
        <w:t>was</w:t>
      </w:r>
      <w:r w:rsidR="00684DA3" w:rsidRPr="00F85DCF">
        <w:rPr>
          <w:lang w:val="en-GB"/>
        </w:rPr>
        <w:t xml:space="preserve"> in all </w:t>
      </w:r>
      <w:r w:rsidR="001F184A" w:rsidRPr="00F85DCF">
        <w:rPr>
          <w:lang w:val="en-GB"/>
        </w:rPr>
        <w:t xml:space="preserve">relevant </w:t>
      </w:r>
      <w:r w:rsidR="00684DA3" w:rsidRPr="00F85DCF">
        <w:rPr>
          <w:lang w:val="en-GB"/>
        </w:rPr>
        <w:t xml:space="preserve">food commodities for which there is no established MRL at the </w:t>
      </w:r>
      <w:r w:rsidR="00101BC5" w:rsidRPr="00F85DCF">
        <w:rPr>
          <w:i/>
          <w:lang w:val="en-GB"/>
        </w:rPr>
        <w:t>A</w:t>
      </w:r>
      <w:r w:rsidR="00637AEE" w:rsidRPr="00F85DCF">
        <w:rPr>
          <w:i/>
          <w:lang w:val="en-GB"/>
        </w:rPr>
        <w:t xml:space="preserve">ll other foods </w:t>
      </w:r>
      <w:r w:rsidR="0003601D" w:rsidRPr="00F85DCF">
        <w:rPr>
          <w:i/>
          <w:lang w:val="en-GB"/>
        </w:rPr>
        <w:t>except animal</w:t>
      </w:r>
      <w:r w:rsidR="007A102F">
        <w:rPr>
          <w:i/>
          <w:lang w:val="en-GB"/>
        </w:rPr>
        <w:t xml:space="preserve"> food</w:t>
      </w:r>
      <w:r w:rsidR="0003601D" w:rsidRPr="00F85DCF">
        <w:rPr>
          <w:i/>
          <w:lang w:val="en-GB"/>
        </w:rPr>
        <w:t xml:space="preserve"> commodities</w:t>
      </w:r>
      <w:r w:rsidR="00684DA3" w:rsidRPr="00F85DCF">
        <w:rPr>
          <w:lang w:val="en-GB"/>
        </w:rPr>
        <w:t xml:space="preserve"> MRL concentration, including where the commodities </w:t>
      </w:r>
      <w:r w:rsidRPr="00F85DCF">
        <w:rPr>
          <w:lang w:val="en-GB"/>
        </w:rPr>
        <w:t xml:space="preserve">were </w:t>
      </w:r>
      <w:r w:rsidR="007F27A0" w:rsidRPr="00F85DCF">
        <w:rPr>
          <w:lang w:val="en-GB"/>
        </w:rPr>
        <w:t>used in mixed foods</w:t>
      </w:r>
      <w:r w:rsidR="00AA50F5" w:rsidRPr="00F85DCF">
        <w:rPr>
          <w:lang w:val="en-GB"/>
        </w:rPr>
        <w:t>.</w:t>
      </w:r>
    </w:p>
    <w:p w14:paraId="0558E9A3" w14:textId="77777777" w:rsidR="0054275A" w:rsidRPr="00F85DCF" w:rsidRDefault="0054275A" w:rsidP="00A87D43">
      <w:pPr>
        <w:rPr>
          <w:lang w:val="en-GB"/>
        </w:rPr>
      </w:pPr>
    </w:p>
    <w:p w14:paraId="2867E641" w14:textId="0059C301" w:rsidR="00A87D43" w:rsidRDefault="004F60AB" w:rsidP="00A87D43">
      <w:pPr>
        <w:rPr>
          <w:lang w:val="en-GB"/>
        </w:rPr>
      </w:pPr>
      <w:r w:rsidRPr="00F85DCF">
        <w:rPr>
          <w:lang w:val="en-GB"/>
        </w:rPr>
        <w:t>Overall, t</w:t>
      </w:r>
      <w:r w:rsidR="0056353A" w:rsidRPr="00F85DCF">
        <w:rPr>
          <w:lang w:val="en-GB"/>
        </w:rPr>
        <w:t>hese assumptions will lead to a conservative (i</w:t>
      </w:r>
      <w:r w:rsidR="00451839" w:rsidRPr="00F85DCF">
        <w:rPr>
          <w:lang w:val="en-GB"/>
        </w:rPr>
        <w:t>.</w:t>
      </w:r>
      <w:r w:rsidR="0056353A" w:rsidRPr="00F85DCF">
        <w:rPr>
          <w:lang w:val="en-GB"/>
        </w:rPr>
        <w:t>e</w:t>
      </w:r>
      <w:r w:rsidR="00451839" w:rsidRPr="00F85DCF">
        <w:rPr>
          <w:lang w:val="en-GB"/>
        </w:rPr>
        <w:t>.</w:t>
      </w:r>
      <w:r w:rsidR="0056353A" w:rsidRPr="00F85DCF">
        <w:rPr>
          <w:lang w:val="en-GB"/>
        </w:rPr>
        <w:t xml:space="preserve"> protective) estimate of </w:t>
      </w:r>
      <w:r w:rsidR="00845F28" w:rsidRPr="00F85DCF">
        <w:rPr>
          <w:lang w:val="en-GB"/>
        </w:rPr>
        <w:t xml:space="preserve">dietary </w:t>
      </w:r>
      <w:r w:rsidR="0056353A" w:rsidRPr="00F85DCF">
        <w:rPr>
          <w:lang w:val="en-GB"/>
        </w:rPr>
        <w:t xml:space="preserve">exposure. </w:t>
      </w:r>
      <w:r w:rsidR="00A87D43" w:rsidRPr="00F85DCF">
        <w:rPr>
          <w:lang w:val="en-GB"/>
        </w:rPr>
        <w:t>For more information on FSANZ dietary exposure assessment principles, methodology, assumptions and limitations and uncertainties of the concentration and food consumption data, see the FSANZ document</w:t>
      </w:r>
      <w:r w:rsidR="00BF3D75" w:rsidRPr="00F85DCF">
        <w:rPr>
          <w:lang w:val="en-GB"/>
        </w:rPr>
        <w:t>,</w:t>
      </w:r>
      <w:r w:rsidR="00506325">
        <w:rPr>
          <w:lang w:val="en-GB"/>
        </w:rPr>
        <w:t xml:space="preserve"> </w:t>
      </w:r>
      <w:r w:rsidR="00506325" w:rsidRPr="00506325">
        <w:rPr>
          <w:i/>
          <w:lang w:val="en-GB"/>
        </w:rPr>
        <w:t xml:space="preserve">Principles and Practices of Dietary Exposure Assessment for Food </w:t>
      </w:r>
      <w:r w:rsidR="00506325">
        <w:rPr>
          <w:i/>
          <w:lang w:val="en-GB"/>
        </w:rPr>
        <w:t>R</w:t>
      </w:r>
      <w:r w:rsidR="00506325" w:rsidRPr="00506325">
        <w:rPr>
          <w:i/>
          <w:lang w:val="en-GB"/>
        </w:rPr>
        <w:t xml:space="preserve">egulatory </w:t>
      </w:r>
      <w:r w:rsidR="00506325">
        <w:rPr>
          <w:i/>
          <w:lang w:val="en-GB"/>
        </w:rPr>
        <w:t>P</w:t>
      </w:r>
      <w:r w:rsidR="00506325" w:rsidRPr="00506325">
        <w:rPr>
          <w:i/>
          <w:lang w:val="en-GB"/>
        </w:rPr>
        <w:t xml:space="preserve">urposes </w:t>
      </w:r>
      <w:r w:rsidR="00506325">
        <w:rPr>
          <w:lang w:val="en-GB"/>
        </w:rPr>
        <w:t>(FSANZ, 2009a) on the FSANZ website</w:t>
      </w:r>
      <w:r w:rsidR="00506325">
        <w:rPr>
          <w:rStyle w:val="FootnoteReference"/>
          <w:lang w:val="en-GB"/>
        </w:rPr>
        <w:footnoteReference w:id="9"/>
      </w:r>
      <w:r w:rsidR="00506325">
        <w:rPr>
          <w:lang w:val="en-GB"/>
        </w:rPr>
        <w:t>.</w:t>
      </w:r>
      <w:r w:rsidR="00BF3D75" w:rsidRPr="00F85DCF">
        <w:rPr>
          <w:lang w:val="en-GB"/>
        </w:rPr>
        <w:t xml:space="preserve"> </w:t>
      </w:r>
    </w:p>
    <w:p w14:paraId="2BB61C9C" w14:textId="68F611CB" w:rsidR="00AF7843" w:rsidRPr="00506325" w:rsidRDefault="00AF7843" w:rsidP="00A87D43">
      <w:pPr>
        <w:rPr>
          <w:lang w:val="en-GB"/>
        </w:rPr>
      </w:pPr>
    </w:p>
    <w:p w14:paraId="722AD067" w14:textId="2ECBA939" w:rsidR="00AF7843" w:rsidRPr="00F85DCF" w:rsidRDefault="0054275A" w:rsidP="00234708">
      <w:pPr>
        <w:pStyle w:val="Heading1"/>
        <w:rPr>
          <w:i/>
        </w:rPr>
      </w:pPr>
      <w:bookmarkStart w:id="45" w:name="_Toc448848083"/>
      <w:r w:rsidRPr="00F85DCF">
        <w:t>5</w:t>
      </w:r>
      <w:r w:rsidRPr="00F85DCF">
        <w:tab/>
      </w:r>
      <w:r w:rsidR="00AF7843" w:rsidRPr="00F85DCF">
        <w:t>Review of principles and process for dietary exposure assessments</w:t>
      </w:r>
      <w:r w:rsidR="00897504" w:rsidRPr="00F85DCF">
        <w:t xml:space="preserve"> (DEAs)</w:t>
      </w:r>
      <w:r w:rsidR="00AF7843" w:rsidRPr="00F85DCF">
        <w:t xml:space="preserve"> including </w:t>
      </w:r>
      <w:r w:rsidR="00114EDC" w:rsidRPr="00F85DCF">
        <w:rPr>
          <w:i/>
        </w:rPr>
        <w:t>A</w:t>
      </w:r>
      <w:r w:rsidR="00AF7843" w:rsidRPr="00F85DCF">
        <w:rPr>
          <w:i/>
        </w:rPr>
        <w:t xml:space="preserve">ll other foods except animal </w:t>
      </w:r>
      <w:r w:rsidR="007A102F">
        <w:rPr>
          <w:i/>
        </w:rPr>
        <w:t xml:space="preserve">food </w:t>
      </w:r>
      <w:r w:rsidR="00AF7843" w:rsidRPr="00F85DCF">
        <w:rPr>
          <w:i/>
        </w:rPr>
        <w:t xml:space="preserve">commodities </w:t>
      </w:r>
      <w:r w:rsidR="00AF7843" w:rsidRPr="00F85DCF">
        <w:t>MRLs</w:t>
      </w:r>
      <w:bookmarkEnd w:id="45"/>
      <w:r w:rsidR="00AF7843" w:rsidRPr="00F85DCF">
        <w:t xml:space="preserve"> </w:t>
      </w:r>
    </w:p>
    <w:p w14:paraId="6F89EF5C" w14:textId="6ECFB75C" w:rsidR="00AF7843" w:rsidRPr="00F85DCF" w:rsidRDefault="0054275A" w:rsidP="00AF7843">
      <w:pPr>
        <w:pStyle w:val="Heading2"/>
      </w:pPr>
      <w:bookmarkStart w:id="46" w:name="_Toc448848084"/>
      <w:r w:rsidRPr="00F85DCF">
        <w:t>5.1</w:t>
      </w:r>
      <w:r w:rsidRPr="00F85DCF">
        <w:tab/>
      </w:r>
      <w:r w:rsidR="00AF7843" w:rsidRPr="00F85DCF">
        <w:t>Summary</w:t>
      </w:r>
      <w:bookmarkEnd w:id="46"/>
    </w:p>
    <w:p w14:paraId="19B08480" w14:textId="7D928E93" w:rsidR="00AF7843" w:rsidRPr="00F85DCF" w:rsidRDefault="00AF7843" w:rsidP="00AF7843">
      <w:pPr>
        <w:rPr>
          <w:lang w:val="en-GB"/>
        </w:rPr>
      </w:pPr>
      <w:r w:rsidRPr="00F85DCF">
        <w:rPr>
          <w:lang w:val="en-GB"/>
        </w:rPr>
        <w:t xml:space="preserve">The pilot </w:t>
      </w:r>
      <w:r w:rsidR="00BE0797" w:rsidRPr="00F85DCF">
        <w:rPr>
          <w:lang w:val="en-GB"/>
        </w:rPr>
        <w:t>risk assessment approach</w:t>
      </w:r>
      <w:r w:rsidRPr="00F85DCF">
        <w:rPr>
          <w:lang w:val="en-GB"/>
        </w:rPr>
        <w:t xml:space="preserve"> resulted in FSANZ proposing 21 </w:t>
      </w:r>
      <w:r w:rsidR="00F24E9F" w:rsidRPr="00F85DCF">
        <w:rPr>
          <w:i/>
          <w:lang w:val="en-GB"/>
        </w:rPr>
        <w:t>A</w:t>
      </w:r>
      <w:r w:rsidRPr="00F85DCF">
        <w:rPr>
          <w:i/>
          <w:lang w:val="en-GB"/>
        </w:rPr>
        <w:t xml:space="preserve">ll other foods </w:t>
      </w:r>
      <w:r w:rsidRPr="00F85DCF">
        <w:rPr>
          <w:i/>
          <w:lang w:val="en-GB" w:eastAsia="en-AU"/>
        </w:rPr>
        <w:t xml:space="preserve">except animal </w:t>
      </w:r>
      <w:r w:rsidR="007A102F">
        <w:rPr>
          <w:i/>
          <w:lang w:val="en-GB" w:eastAsia="en-AU"/>
        </w:rPr>
        <w:t xml:space="preserve">food </w:t>
      </w:r>
      <w:r w:rsidRPr="00F85DCF">
        <w:rPr>
          <w:i/>
          <w:lang w:val="en-GB" w:eastAsia="en-AU"/>
        </w:rPr>
        <w:t>commodities</w:t>
      </w:r>
      <w:r w:rsidRPr="00F85DCF">
        <w:rPr>
          <w:sz w:val="20"/>
          <w:szCs w:val="20"/>
          <w:lang w:val="en-GB" w:eastAsia="en-AU"/>
        </w:rPr>
        <w:t xml:space="preserve"> </w:t>
      </w:r>
      <w:r w:rsidRPr="00F85DCF">
        <w:rPr>
          <w:lang w:val="en-GB"/>
        </w:rPr>
        <w:t xml:space="preserve">MRLs. The outcome is summarised in Table </w:t>
      </w:r>
      <w:r w:rsidR="00C50D26" w:rsidRPr="00F85DCF">
        <w:rPr>
          <w:lang w:val="en-GB"/>
        </w:rPr>
        <w:t>2</w:t>
      </w:r>
      <w:r w:rsidRPr="00F85DCF">
        <w:rPr>
          <w:lang w:val="en-GB"/>
        </w:rPr>
        <w:t xml:space="preserve">. </w:t>
      </w:r>
    </w:p>
    <w:p w14:paraId="23D7E184" w14:textId="0E8E2DC3" w:rsidR="00AF7843" w:rsidRPr="00F85DCF" w:rsidRDefault="00AF7843" w:rsidP="00AF7843">
      <w:pPr>
        <w:pStyle w:val="FSTableColumnRowheading"/>
        <w:rPr>
          <w:lang w:val="en-GB"/>
        </w:rPr>
      </w:pPr>
      <w:r w:rsidRPr="00F85DCF">
        <w:rPr>
          <w:lang w:val="en-GB"/>
        </w:rPr>
        <w:t xml:space="preserve">Table </w:t>
      </w:r>
      <w:r w:rsidR="00C50D26" w:rsidRPr="00F85DCF">
        <w:rPr>
          <w:lang w:val="en-GB"/>
        </w:rPr>
        <w:t>2:</w:t>
      </w:r>
      <w:r w:rsidR="0054275A" w:rsidRPr="00F85DCF">
        <w:rPr>
          <w:lang w:val="en-GB"/>
        </w:rPr>
        <w:t xml:space="preserve"> </w:t>
      </w:r>
      <w:r w:rsidRPr="00F85DCF">
        <w:rPr>
          <w:lang w:val="en-GB"/>
        </w:rPr>
        <w:t>Outcomes of the pilot</w:t>
      </w:r>
    </w:p>
    <w:tbl>
      <w:tblPr>
        <w:tblStyle w:val="TableGrid"/>
        <w:tblW w:w="0" w:type="auto"/>
        <w:tblLook w:val="04A0" w:firstRow="1" w:lastRow="0" w:firstColumn="1" w:lastColumn="0" w:noHBand="0" w:noVBand="1"/>
      </w:tblPr>
      <w:tblGrid>
        <w:gridCol w:w="3095"/>
        <w:gridCol w:w="2031"/>
        <w:gridCol w:w="4160"/>
      </w:tblGrid>
      <w:tr w:rsidR="00AF7843" w:rsidRPr="00F85DCF" w14:paraId="63A3249F" w14:textId="77777777" w:rsidTr="00C97799">
        <w:trPr>
          <w:trHeight w:val="338"/>
        </w:trPr>
        <w:tc>
          <w:tcPr>
            <w:tcW w:w="3237" w:type="dxa"/>
            <w:vAlign w:val="center"/>
          </w:tcPr>
          <w:p w14:paraId="2BF35594" w14:textId="77777777" w:rsidR="00AF7843" w:rsidRPr="00F85DCF" w:rsidRDefault="00AF7843" w:rsidP="00C97799">
            <w:pPr>
              <w:rPr>
                <w:b/>
                <w:sz w:val="20"/>
                <w:lang w:val="en-GB"/>
              </w:rPr>
            </w:pPr>
            <w:r w:rsidRPr="00F85DCF">
              <w:rPr>
                <w:b/>
                <w:sz w:val="20"/>
                <w:lang w:val="en-GB"/>
              </w:rPr>
              <w:t>Stages</w:t>
            </w:r>
          </w:p>
        </w:tc>
        <w:tc>
          <w:tcPr>
            <w:tcW w:w="2116" w:type="dxa"/>
            <w:vAlign w:val="center"/>
          </w:tcPr>
          <w:p w14:paraId="3126D354" w14:textId="77777777" w:rsidR="00AF7843" w:rsidRPr="00F85DCF" w:rsidRDefault="00AF7843" w:rsidP="00C97799">
            <w:pPr>
              <w:jc w:val="center"/>
              <w:rPr>
                <w:sz w:val="20"/>
                <w:lang w:val="en-GB"/>
              </w:rPr>
            </w:pPr>
            <w:r w:rsidRPr="00F85DCF">
              <w:rPr>
                <w:b/>
                <w:sz w:val="20"/>
                <w:lang w:val="en-GB"/>
              </w:rPr>
              <w:t>Number in list</w:t>
            </w:r>
          </w:p>
        </w:tc>
        <w:tc>
          <w:tcPr>
            <w:tcW w:w="4360" w:type="dxa"/>
            <w:vAlign w:val="center"/>
          </w:tcPr>
          <w:p w14:paraId="3985F8B6" w14:textId="77777777" w:rsidR="00AF7843" w:rsidRPr="00F85DCF" w:rsidRDefault="00AF7843" w:rsidP="00C97799">
            <w:pPr>
              <w:rPr>
                <w:sz w:val="20"/>
                <w:lang w:val="en-GB"/>
              </w:rPr>
            </w:pPr>
            <w:r w:rsidRPr="00F85DCF">
              <w:rPr>
                <w:b/>
                <w:sz w:val="20"/>
                <w:lang w:val="en-GB"/>
              </w:rPr>
              <w:t>Comment</w:t>
            </w:r>
          </w:p>
        </w:tc>
      </w:tr>
      <w:tr w:rsidR="00AF7843" w:rsidRPr="00F85DCF" w14:paraId="771FA571" w14:textId="77777777" w:rsidTr="00C97799">
        <w:tc>
          <w:tcPr>
            <w:tcW w:w="9713" w:type="dxa"/>
            <w:gridSpan w:val="3"/>
            <w:shd w:val="clear" w:color="auto" w:fill="F2F2F2" w:themeFill="background1" w:themeFillShade="F2"/>
            <w:vAlign w:val="center"/>
          </w:tcPr>
          <w:p w14:paraId="04C0E50C" w14:textId="77777777" w:rsidR="00AF7843" w:rsidRPr="00F85DCF" w:rsidRDefault="00AF7843" w:rsidP="00C97799">
            <w:pPr>
              <w:jc w:val="center"/>
              <w:rPr>
                <w:sz w:val="20"/>
                <w:lang w:val="en-GB"/>
              </w:rPr>
            </w:pPr>
            <w:r w:rsidRPr="00F85DCF">
              <w:rPr>
                <w:b/>
                <w:sz w:val="20"/>
                <w:lang w:val="en-GB"/>
              </w:rPr>
              <w:t>Stage 1</w:t>
            </w:r>
          </w:p>
        </w:tc>
      </w:tr>
      <w:tr w:rsidR="00AF7843" w:rsidRPr="00F85DCF" w14:paraId="4799E752" w14:textId="77777777" w:rsidTr="00C97799">
        <w:tc>
          <w:tcPr>
            <w:tcW w:w="3237" w:type="dxa"/>
            <w:vAlign w:val="center"/>
          </w:tcPr>
          <w:p w14:paraId="141AE713" w14:textId="77777777" w:rsidR="00AF7843" w:rsidRPr="00F85DCF" w:rsidRDefault="00AF7843" w:rsidP="00C97799">
            <w:pPr>
              <w:rPr>
                <w:sz w:val="20"/>
                <w:lang w:val="en-GB"/>
              </w:rPr>
            </w:pPr>
            <w:r w:rsidRPr="00F85DCF">
              <w:rPr>
                <w:sz w:val="20"/>
                <w:lang w:val="en-GB"/>
              </w:rPr>
              <w:t>Selected agvet chemicals for assessment in the pilot</w:t>
            </w:r>
          </w:p>
        </w:tc>
        <w:tc>
          <w:tcPr>
            <w:tcW w:w="2116" w:type="dxa"/>
            <w:vAlign w:val="center"/>
          </w:tcPr>
          <w:p w14:paraId="671F8384" w14:textId="77777777" w:rsidR="00AF7843" w:rsidRPr="00F85DCF" w:rsidRDefault="00AF7843" w:rsidP="00C97799">
            <w:pPr>
              <w:jc w:val="center"/>
              <w:rPr>
                <w:sz w:val="20"/>
                <w:lang w:val="en-GB"/>
              </w:rPr>
            </w:pPr>
            <w:r w:rsidRPr="00F85DCF">
              <w:rPr>
                <w:sz w:val="20"/>
                <w:lang w:val="en-GB"/>
              </w:rPr>
              <w:t>132</w:t>
            </w:r>
          </w:p>
        </w:tc>
        <w:tc>
          <w:tcPr>
            <w:tcW w:w="4360" w:type="dxa"/>
            <w:vAlign w:val="center"/>
          </w:tcPr>
          <w:p w14:paraId="3F0540F6" w14:textId="77777777" w:rsidR="00AF7843" w:rsidRPr="00F85DCF" w:rsidRDefault="00AF7843" w:rsidP="00C97799">
            <w:pPr>
              <w:rPr>
                <w:sz w:val="20"/>
                <w:lang w:val="en-GB"/>
              </w:rPr>
            </w:pPr>
            <w:r w:rsidRPr="00F85DCF">
              <w:rPr>
                <w:sz w:val="20"/>
                <w:lang w:val="en-GB"/>
              </w:rPr>
              <w:t>NRS, APVMA suggestions, submissions</w:t>
            </w:r>
          </w:p>
        </w:tc>
      </w:tr>
      <w:tr w:rsidR="00AF7843" w:rsidRPr="00F85DCF" w14:paraId="036DF99D" w14:textId="77777777" w:rsidTr="00C97799">
        <w:tc>
          <w:tcPr>
            <w:tcW w:w="3237" w:type="dxa"/>
            <w:vAlign w:val="center"/>
          </w:tcPr>
          <w:p w14:paraId="764C1957" w14:textId="77777777" w:rsidR="00AF7843" w:rsidRPr="00F85DCF" w:rsidRDefault="00AF7843" w:rsidP="00C97799">
            <w:pPr>
              <w:rPr>
                <w:sz w:val="20"/>
                <w:lang w:val="en-GB"/>
              </w:rPr>
            </w:pPr>
            <w:r w:rsidRPr="00F85DCF">
              <w:rPr>
                <w:sz w:val="20"/>
                <w:lang w:val="en-GB"/>
              </w:rPr>
              <w:t>Exclusion criteria applied</w:t>
            </w:r>
          </w:p>
        </w:tc>
        <w:tc>
          <w:tcPr>
            <w:tcW w:w="2116" w:type="dxa"/>
            <w:vAlign w:val="center"/>
          </w:tcPr>
          <w:p w14:paraId="607515AA" w14:textId="77777777" w:rsidR="00AF7843" w:rsidRPr="00F85DCF" w:rsidRDefault="00AF7843" w:rsidP="00C97799">
            <w:pPr>
              <w:jc w:val="center"/>
              <w:rPr>
                <w:sz w:val="20"/>
                <w:lang w:val="en-GB"/>
              </w:rPr>
            </w:pPr>
            <w:r w:rsidRPr="00F85DCF">
              <w:rPr>
                <w:sz w:val="20"/>
                <w:lang w:val="en-GB"/>
              </w:rPr>
              <w:t>92</w:t>
            </w:r>
          </w:p>
        </w:tc>
        <w:tc>
          <w:tcPr>
            <w:tcW w:w="4360" w:type="dxa"/>
            <w:vAlign w:val="center"/>
          </w:tcPr>
          <w:p w14:paraId="06CD0CBA" w14:textId="64A49BC0" w:rsidR="00AF7843" w:rsidRPr="00F85DCF" w:rsidRDefault="00416171" w:rsidP="00C97799">
            <w:pPr>
              <w:rPr>
                <w:sz w:val="20"/>
                <w:lang w:val="en-GB"/>
              </w:rPr>
            </w:pPr>
            <w:r w:rsidRPr="00F85DCF">
              <w:rPr>
                <w:sz w:val="20"/>
                <w:lang w:val="en-GB"/>
              </w:rPr>
              <w:t xml:space="preserve">Schedule </w:t>
            </w:r>
            <w:r w:rsidR="00AF7843" w:rsidRPr="00F85DCF">
              <w:rPr>
                <w:sz w:val="20"/>
                <w:lang w:val="en-GB"/>
              </w:rPr>
              <w:t>7 poison</w:t>
            </w:r>
            <w:r w:rsidR="006832B3">
              <w:rPr>
                <w:sz w:val="20"/>
                <w:lang w:val="en-GB"/>
              </w:rPr>
              <w:t xml:space="preserve"> </w:t>
            </w:r>
            <w:r w:rsidR="006832B3" w:rsidRPr="006832B3">
              <w:rPr>
                <w:sz w:val="20"/>
                <w:szCs w:val="20"/>
                <w:lang w:val="en-GB"/>
              </w:rPr>
              <w:t>(the SUSMP)</w:t>
            </w:r>
            <w:r w:rsidR="00AF7843" w:rsidRPr="006832B3">
              <w:rPr>
                <w:sz w:val="20"/>
                <w:szCs w:val="20"/>
                <w:lang w:val="en-GB"/>
              </w:rPr>
              <w:t>,</w:t>
            </w:r>
            <w:r w:rsidR="00AF7843" w:rsidRPr="00F85DCF">
              <w:rPr>
                <w:sz w:val="20"/>
                <w:lang w:val="en-GB"/>
              </w:rPr>
              <w:t xml:space="preserve"> ERL, not in Code, etc.</w:t>
            </w:r>
          </w:p>
        </w:tc>
      </w:tr>
      <w:tr w:rsidR="00AF7843" w:rsidRPr="00F85DCF" w14:paraId="5658EA86" w14:textId="77777777" w:rsidTr="00C97799">
        <w:tc>
          <w:tcPr>
            <w:tcW w:w="3237" w:type="dxa"/>
            <w:vAlign w:val="center"/>
          </w:tcPr>
          <w:p w14:paraId="2D0DBECC" w14:textId="77777777" w:rsidR="00AF7843" w:rsidRPr="00F85DCF" w:rsidRDefault="00AF7843" w:rsidP="00C97799">
            <w:pPr>
              <w:rPr>
                <w:sz w:val="20"/>
                <w:lang w:val="en-GB"/>
              </w:rPr>
            </w:pPr>
            <w:r w:rsidRPr="00F85DCF">
              <w:rPr>
                <w:sz w:val="20"/>
                <w:lang w:val="en-GB"/>
              </w:rPr>
              <w:t>NESTI &gt;100% ARfD</w:t>
            </w:r>
          </w:p>
        </w:tc>
        <w:tc>
          <w:tcPr>
            <w:tcW w:w="2116" w:type="dxa"/>
            <w:vAlign w:val="center"/>
          </w:tcPr>
          <w:p w14:paraId="035D6BE2" w14:textId="77777777" w:rsidR="00AF7843" w:rsidRPr="00F85DCF" w:rsidRDefault="00AF7843" w:rsidP="00C97799">
            <w:pPr>
              <w:jc w:val="center"/>
              <w:rPr>
                <w:sz w:val="20"/>
                <w:highlight w:val="yellow"/>
                <w:lang w:val="en-GB"/>
              </w:rPr>
            </w:pPr>
            <w:r w:rsidRPr="00F85DCF">
              <w:rPr>
                <w:sz w:val="20"/>
                <w:lang w:val="en-GB"/>
              </w:rPr>
              <w:t>89</w:t>
            </w:r>
          </w:p>
        </w:tc>
        <w:tc>
          <w:tcPr>
            <w:tcW w:w="4360" w:type="dxa"/>
            <w:vAlign w:val="center"/>
          </w:tcPr>
          <w:p w14:paraId="3200736D" w14:textId="77777777" w:rsidR="00AF7843" w:rsidRPr="00F85DCF" w:rsidRDefault="00AF7843" w:rsidP="00C97799">
            <w:pPr>
              <w:rPr>
                <w:sz w:val="20"/>
                <w:lang w:val="en-GB"/>
              </w:rPr>
            </w:pPr>
            <w:r w:rsidRPr="00F85DCF">
              <w:rPr>
                <w:sz w:val="20"/>
                <w:lang w:val="en-GB"/>
              </w:rPr>
              <w:t>For individual foods with existing MRLs</w:t>
            </w:r>
          </w:p>
        </w:tc>
      </w:tr>
      <w:tr w:rsidR="00AF7843" w:rsidRPr="00F85DCF" w14:paraId="5236CC77" w14:textId="77777777" w:rsidTr="00C97799">
        <w:tc>
          <w:tcPr>
            <w:tcW w:w="3237" w:type="dxa"/>
            <w:vAlign w:val="center"/>
          </w:tcPr>
          <w:p w14:paraId="2C29ECEC" w14:textId="7341D82F" w:rsidR="00AF7843" w:rsidRPr="00F85DCF" w:rsidRDefault="00AF7843" w:rsidP="00CA3377">
            <w:pPr>
              <w:rPr>
                <w:sz w:val="20"/>
                <w:lang w:val="en-GB"/>
              </w:rPr>
            </w:pPr>
            <w:r w:rsidRPr="00F85DCF">
              <w:rPr>
                <w:sz w:val="20"/>
                <w:lang w:val="en-GB"/>
              </w:rPr>
              <w:t xml:space="preserve">NEDI &gt;100% ADI, including </w:t>
            </w:r>
            <w:r w:rsidR="00CA3377" w:rsidRPr="00F85DCF">
              <w:rPr>
                <w:i/>
                <w:sz w:val="20"/>
                <w:lang w:val="en-GB"/>
              </w:rPr>
              <w:t>A</w:t>
            </w:r>
            <w:r w:rsidRPr="00F85DCF">
              <w:rPr>
                <w:i/>
                <w:sz w:val="20"/>
                <w:lang w:val="en-GB"/>
              </w:rPr>
              <w:t xml:space="preserve">ll other foods except animal </w:t>
            </w:r>
            <w:r w:rsidR="00F00842">
              <w:rPr>
                <w:i/>
                <w:sz w:val="20"/>
                <w:lang w:val="en-GB"/>
              </w:rPr>
              <w:t xml:space="preserve">food </w:t>
            </w:r>
            <w:r w:rsidRPr="00F85DCF">
              <w:rPr>
                <w:i/>
                <w:sz w:val="20"/>
                <w:lang w:val="en-GB"/>
              </w:rPr>
              <w:t>commodities</w:t>
            </w:r>
          </w:p>
        </w:tc>
        <w:tc>
          <w:tcPr>
            <w:tcW w:w="2116" w:type="dxa"/>
            <w:vAlign w:val="center"/>
          </w:tcPr>
          <w:p w14:paraId="5F72F632" w14:textId="77777777" w:rsidR="00AF7843" w:rsidRPr="00F85DCF" w:rsidRDefault="00AF7843" w:rsidP="00C97799">
            <w:pPr>
              <w:jc w:val="center"/>
              <w:rPr>
                <w:sz w:val="20"/>
                <w:lang w:val="en-GB"/>
              </w:rPr>
            </w:pPr>
            <w:r w:rsidRPr="00F85DCF">
              <w:rPr>
                <w:sz w:val="20"/>
                <w:lang w:val="en-GB"/>
              </w:rPr>
              <w:t>74</w:t>
            </w:r>
          </w:p>
        </w:tc>
        <w:tc>
          <w:tcPr>
            <w:tcW w:w="4360" w:type="dxa"/>
            <w:vAlign w:val="center"/>
          </w:tcPr>
          <w:p w14:paraId="585BBB8C" w14:textId="78A183A1" w:rsidR="00AF7843" w:rsidRPr="00F85DCF" w:rsidRDefault="00AF7843" w:rsidP="00CA3377">
            <w:pPr>
              <w:rPr>
                <w:sz w:val="20"/>
                <w:lang w:val="en-GB"/>
              </w:rPr>
            </w:pPr>
            <w:r w:rsidRPr="00F85DCF">
              <w:rPr>
                <w:sz w:val="20"/>
                <w:lang w:val="en-GB"/>
              </w:rPr>
              <w:t xml:space="preserve">2xLimit of Determination/Q used as screening MRL for </w:t>
            </w:r>
            <w:r w:rsidR="00CA3377" w:rsidRPr="00F85DCF">
              <w:rPr>
                <w:i/>
                <w:sz w:val="20"/>
                <w:lang w:val="en-GB"/>
              </w:rPr>
              <w:t>A</w:t>
            </w:r>
            <w:r w:rsidRPr="00F85DCF">
              <w:rPr>
                <w:i/>
                <w:sz w:val="20"/>
                <w:lang w:val="en-GB"/>
              </w:rPr>
              <w:t xml:space="preserve">ll other foods except animal </w:t>
            </w:r>
            <w:r w:rsidR="007A102F">
              <w:rPr>
                <w:i/>
                <w:sz w:val="20"/>
                <w:lang w:val="en-GB"/>
              </w:rPr>
              <w:t xml:space="preserve">food </w:t>
            </w:r>
            <w:r w:rsidRPr="00F85DCF">
              <w:rPr>
                <w:i/>
                <w:sz w:val="20"/>
                <w:lang w:val="en-GB"/>
              </w:rPr>
              <w:t>commodities</w:t>
            </w:r>
          </w:p>
        </w:tc>
      </w:tr>
      <w:tr w:rsidR="00AF7843" w:rsidRPr="00F85DCF" w14:paraId="67298701" w14:textId="77777777" w:rsidTr="00C97799">
        <w:tc>
          <w:tcPr>
            <w:tcW w:w="3237" w:type="dxa"/>
            <w:vAlign w:val="center"/>
          </w:tcPr>
          <w:p w14:paraId="1B4ECC92" w14:textId="77777777" w:rsidR="00AF7843" w:rsidRPr="00F85DCF" w:rsidRDefault="00AF7843" w:rsidP="00C97799">
            <w:pPr>
              <w:rPr>
                <w:sz w:val="20"/>
                <w:lang w:val="en-GB"/>
              </w:rPr>
            </w:pPr>
            <w:r w:rsidRPr="00F85DCF">
              <w:rPr>
                <w:sz w:val="20"/>
                <w:lang w:val="en-GB"/>
              </w:rPr>
              <w:t>80/20 principle applied to estimated total exposure</w:t>
            </w:r>
          </w:p>
        </w:tc>
        <w:tc>
          <w:tcPr>
            <w:tcW w:w="2116" w:type="dxa"/>
            <w:vAlign w:val="center"/>
          </w:tcPr>
          <w:p w14:paraId="390AC0A0" w14:textId="77777777" w:rsidR="00AF7843" w:rsidRPr="00F85DCF" w:rsidRDefault="00AF7843" w:rsidP="00C97799">
            <w:pPr>
              <w:jc w:val="center"/>
              <w:rPr>
                <w:sz w:val="20"/>
                <w:lang w:val="en-GB"/>
              </w:rPr>
            </w:pPr>
            <w:r w:rsidRPr="00F85DCF">
              <w:rPr>
                <w:sz w:val="20"/>
                <w:lang w:val="en-GB"/>
              </w:rPr>
              <w:t>19</w:t>
            </w:r>
          </w:p>
        </w:tc>
        <w:tc>
          <w:tcPr>
            <w:tcW w:w="4360" w:type="dxa"/>
            <w:vAlign w:val="center"/>
          </w:tcPr>
          <w:p w14:paraId="6C8C8DD1" w14:textId="77777777" w:rsidR="00AF7843" w:rsidRPr="00F85DCF" w:rsidRDefault="00AF7843" w:rsidP="00C97799">
            <w:pPr>
              <w:rPr>
                <w:sz w:val="20"/>
                <w:lang w:val="en-GB"/>
              </w:rPr>
            </w:pPr>
            <w:r w:rsidRPr="00F85DCF">
              <w:rPr>
                <w:sz w:val="20"/>
                <w:lang w:val="en-GB"/>
              </w:rPr>
              <w:t xml:space="preserve">Assessed on case-by-case basis in </w:t>
            </w:r>
            <w:r w:rsidRPr="00F85DCF">
              <w:rPr>
                <w:b/>
                <w:sz w:val="20"/>
                <w:lang w:val="en-GB"/>
              </w:rPr>
              <w:t>Stage 2</w:t>
            </w:r>
          </w:p>
        </w:tc>
      </w:tr>
      <w:tr w:rsidR="00AF7843" w:rsidRPr="00F85DCF" w14:paraId="42A866CC" w14:textId="77777777" w:rsidTr="00C97799">
        <w:tc>
          <w:tcPr>
            <w:tcW w:w="9713" w:type="dxa"/>
            <w:gridSpan w:val="3"/>
            <w:shd w:val="clear" w:color="auto" w:fill="F2F2F2" w:themeFill="background1" w:themeFillShade="F2"/>
            <w:vAlign w:val="center"/>
          </w:tcPr>
          <w:p w14:paraId="3F2D29C6" w14:textId="77777777" w:rsidR="00AF7843" w:rsidRPr="00F85DCF" w:rsidRDefault="00AF7843" w:rsidP="00C97799">
            <w:pPr>
              <w:jc w:val="center"/>
              <w:rPr>
                <w:sz w:val="20"/>
                <w:lang w:val="en-GB"/>
              </w:rPr>
            </w:pPr>
            <w:r w:rsidRPr="00F85DCF">
              <w:rPr>
                <w:b/>
                <w:sz w:val="20"/>
                <w:lang w:val="en-GB"/>
              </w:rPr>
              <w:t>Stage 2</w:t>
            </w:r>
          </w:p>
        </w:tc>
      </w:tr>
      <w:tr w:rsidR="00AF7843" w:rsidRPr="00F85DCF" w14:paraId="229C25FA" w14:textId="77777777" w:rsidTr="00C97799">
        <w:tc>
          <w:tcPr>
            <w:tcW w:w="3237" w:type="dxa"/>
            <w:vAlign w:val="center"/>
          </w:tcPr>
          <w:p w14:paraId="517C8017" w14:textId="2C038339" w:rsidR="00AF7843" w:rsidRPr="00F85DCF" w:rsidRDefault="00AF7843" w:rsidP="00C97799">
            <w:pPr>
              <w:rPr>
                <w:sz w:val="20"/>
                <w:lang w:val="en-GB"/>
              </w:rPr>
            </w:pPr>
            <w:r w:rsidRPr="00F85DCF">
              <w:rPr>
                <w:i/>
                <w:sz w:val="20"/>
                <w:lang w:val="en-GB"/>
              </w:rPr>
              <w:t xml:space="preserve">All other foods except animal </w:t>
            </w:r>
            <w:r w:rsidR="00F00842">
              <w:rPr>
                <w:i/>
                <w:sz w:val="20"/>
                <w:lang w:val="en-GB"/>
              </w:rPr>
              <w:t xml:space="preserve">food </w:t>
            </w:r>
            <w:r w:rsidRPr="00F85DCF">
              <w:rPr>
                <w:i/>
                <w:sz w:val="20"/>
                <w:lang w:val="en-GB"/>
              </w:rPr>
              <w:t>commodities</w:t>
            </w:r>
            <w:r w:rsidRPr="00F85DCF">
              <w:rPr>
                <w:sz w:val="20"/>
                <w:lang w:val="en-GB"/>
              </w:rPr>
              <w:t xml:space="preserve"> MRL proposed</w:t>
            </w:r>
          </w:p>
        </w:tc>
        <w:tc>
          <w:tcPr>
            <w:tcW w:w="2116" w:type="dxa"/>
            <w:vAlign w:val="center"/>
          </w:tcPr>
          <w:p w14:paraId="304AE659" w14:textId="4953D0B3" w:rsidR="00AF7843" w:rsidRPr="00F85DCF" w:rsidRDefault="00E919A0" w:rsidP="00C97799">
            <w:pPr>
              <w:jc w:val="center"/>
              <w:rPr>
                <w:sz w:val="20"/>
                <w:lang w:val="en-GB"/>
              </w:rPr>
            </w:pPr>
            <w:r>
              <w:rPr>
                <w:sz w:val="20"/>
                <w:lang w:val="en-GB"/>
              </w:rPr>
              <w:t>19</w:t>
            </w:r>
          </w:p>
        </w:tc>
        <w:tc>
          <w:tcPr>
            <w:tcW w:w="4360" w:type="dxa"/>
            <w:vAlign w:val="center"/>
          </w:tcPr>
          <w:p w14:paraId="44739EB4" w14:textId="30563A75" w:rsidR="00AF7843" w:rsidRPr="00F85DCF" w:rsidRDefault="00AF7843" w:rsidP="00C97799">
            <w:pPr>
              <w:rPr>
                <w:sz w:val="20"/>
                <w:lang w:val="en-GB"/>
              </w:rPr>
            </w:pPr>
            <w:r w:rsidRPr="00F85DCF">
              <w:rPr>
                <w:sz w:val="20"/>
                <w:lang w:val="en-GB"/>
              </w:rPr>
              <w:t xml:space="preserve">Additional MRLs proposed for parent or related </w:t>
            </w:r>
            <w:r w:rsidR="00591DBC" w:rsidRPr="00F85DCF">
              <w:rPr>
                <w:sz w:val="20"/>
                <w:lang w:val="en-GB"/>
              </w:rPr>
              <w:t xml:space="preserve">agvet </w:t>
            </w:r>
            <w:r w:rsidRPr="00F85DCF">
              <w:rPr>
                <w:sz w:val="20"/>
                <w:lang w:val="en-GB"/>
              </w:rPr>
              <w:t>chemical residues where relevant</w:t>
            </w:r>
          </w:p>
        </w:tc>
      </w:tr>
    </w:tbl>
    <w:p w14:paraId="5B699F57" w14:textId="42D18B1F" w:rsidR="00AF7843" w:rsidRPr="00F85DCF" w:rsidRDefault="0054275A" w:rsidP="00AF7843">
      <w:pPr>
        <w:pStyle w:val="Heading2"/>
      </w:pPr>
      <w:bookmarkStart w:id="47" w:name="_Toc448848085"/>
      <w:r w:rsidRPr="00F85DCF">
        <w:lastRenderedPageBreak/>
        <w:t>5.2</w:t>
      </w:r>
      <w:r w:rsidRPr="00F85DCF">
        <w:tab/>
      </w:r>
      <w:r w:rsidR="00AF7843" w:rsidRPr="00F85DCF">
        <w:t>Conclusions</w:t>
      </w:r>
      <w:bookmarkEnd w:id="47"/>
    </w:p>
    <w:p w14:paraId="7E12BD4B" w14:textId="3A55C879" w:rsidR="00AF7843" w:rsidRPr="00F85DCF" w:rsidRDefault="00AF7843" w:rsidP="0054275A">
      <w:pPr>
        <w:pStyle w:val="FSBullet1"/>
        <w:rPr>
          <w:lang w:val="en-GB"/>
        </w:rPr>
      </w:pPr>
      <w:r w:rsidRPr="00F85DCF">
        <w:rPr>
          <w:lang w:val="en-GB"/>
        </w:rPr>
        <w:t xml:space="preserve">The exercise undertaken for P1027 demonstrated that it is feasible to develop principles and a process for proposing </w:t>
      </w:r>
      <w:r w:rsidR="00234708"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MRLs for agvet chemicals. </w:t>
      </w:r>
    </w:p>
    <w:p w14:paraId="7424D62A" w14:textId="77777777" w:rsidR="0054275A" w:rsidRPr="00F85DCF" w:rsidRDefault="0054275A" w:rsidP="0054275A">
      <w:pPr>
        <w:rPr>
          <w:lang w:val="en-GB"/>
        </w:rPr>
      </w:pPr>
    </w:p>
    <w:p w14:paraId="2FF4EDA5" w14:textId="153F02A8" w:rsidR="00AF7843" w:rsidRPr="00F85DCF" w:rsidRDefault="00AF7843" w:rsidP="0054275A">
      <w:pPr>
        <w:pStyle w:val="FSBullet1"/>
        <w:rPr>
          <w:rFonts w:eastAsiaTheme="minorHAnsi" w:cstheme="minorBidi"/>
          <w:szCs w:val="22"/>
          <w:lang w:val="en-GB"/>
        </w:rPr>
      </w:pPr>
      <w:r w:rsidRPr="00F85DCF">
        <w:rPr>
          <w:rFonts w:eastAsiaTheme="minorHAnsi" w:cstheme="minorBidi"/>
          <w:szCs w:val="22"/>
          <w:lang w:val="en-GB"/>
        </w:rPr>
        <w:t xml:space="preserve">The process for setting </w:t>
      </w:r>
      <w:r w:rsidR="00234708" w:rsidRPr="00F85DCF">
        <w:rPr>
          <w:rFonts w:eastAsiaTheme="minorHAnsi" w:cstheme="minorBidi"/>
          <w:i/>
          <w:szCs w:val="22"/>
          <w:lang w:val="en-GB"/>
        </w:rPr>
        <w:t>A</w:t>
      </w:r>
      <w:r w:rsidRPr="00F85DCF">
        <w:rPr>
          <w:rFonts w:eastAsiaTheme="minorHAnsi" w:cstheme="minorBidi"/>
          <w:i/>
          <w:szCs w:val="22"/>
          <w:lang w:val="en-GB"/>
        </w:rPr>
        <w:t xml:space="preserve">ll other foods </w:t>
      </w:r>
      <w:r w:rsidRPr="00F85DCF">
        <w:rPr>
          <w:rFonts w:eastAsiaTheme="minorHAnsi" w:cstheme="minorBidi"/>
          <w:szCs w:val="22"/>
          <w:lang w:val="en-GB"/>
        </w:rPr>
        <w:t xml:space="preserve">MRLs is not suitable for capturing inadvertent presence of pesticide residues in animal </w:t>
      </w:r>
      <w:r w:rsidR="00A57F6B">
        <w:rPr>
          <w:rFonts w:eastAsiaTheme="minorHAnsi" w:cstheme="minorBidi"/>
          <w:szCs w:val="22"/>
          <w:lang w:val="en-GB"/>
        </w:rPr>
        <w:t xml:space="preserve">food </w:t>
      </w:r>
      <w:r w:rsidRPr="00F85DCF">
        <w:rPr>
          <w:rFonts w:eastAsiaTheme="minorHAnsi" w:cstheme="minorBidi"/>
          <w:szCs w:val="22"/>
          <w:lang w:val="en-GB"/>
        </w:rPr>
        <w:t xml:space="preserve">commodities. Animal </w:t>
      </w:r>
      <w:r w:rsidR="00A57F6B">
        <w:rPr>
          <w:rFonts w:eastAsiaTheme="minorHAnsi" w:cstheme="minorBidi"/>
          <w:szCs w:val="22"/>
          <w:lang w:val="en-GB"/>
        </w:rPr>
        <w:t xml:space="preserve">food </w:t>
      </w:r>
      <w:r w:rsidRPr="00F85DCF">
        <w:rPr>
          <w:rFonts w:eastAsiaTheme="minorHAnsi" w:cstheme="minorBidi"/>
          <w:szCs w:val="22"/>
          <w:lang w:val="en-GB"/>
        </w:rPr>
        <w:t xml:space="preserve">commodities are therefore excluded from an </w:t>
      </w:r>
      <w:r w:rsidRPr="00F85DCF">
        <w:rPr>
          <w:rFonts w:eastAsiaTheme="minorHAnsi" w:cstheme="minorBidi"/>
          <w:i/>
          <w:szCs w:val="22"/>
          <w:lang w:val="en-GB"/>
        </w:rPr>
        <w:t>all other foods</w:t>
      </w:r>
      <w:r w:rsidRPr="00F85DCF">
        <w:rPr>
          <w:rFonts w:eastAsiaTheme="minorHAnsi" w:cstheme="minorBidi"/>
          <w:szCs w:val="22"/>
          <w:lang w:val="en-GB"/>
        </w:rPr>
        <w:t xml:space="preserve"> MRL and the new description is </w:t>
      </w:r>
      <w:r w:rsidR="00234708" w:rsidRPr="00F85DCF">
        <w:rPr>
          <w:rFonts w:eastAsiaTheme="minorHAnsi" w:cstheme="minorBidi"/>
          <w:i/>
          <w:szCs w:val="22"/>
          <w:lang w:val="en-GB"/>
        </w:rPr>
        <w:t>A</w:t>
      </w:r>
      <w:r w:rsidRPr="00F85DCF">
        <w:rPr>
          <w:rFonts w:eastAsiaTheme="minorHAnsi" w:cstheme="minorBidi"/>
          <w:i/>
          <w:szCs w:val="22"/>
          <w:lang w:val="en-GB"/>
        </w:rPr>
        <w:t xml:space="preserve">ll other foods except animal </w:t>
      </w:r>
      <w:r w:rsidR="007A102F">
        <w:rPr>
          <w:rFonts w:eastAsiaTheme="minorHAnsi" w:cstheme="minorBidi"/>
          <w:i/>
          <w:szCs w:val="22"/>
          <w:lang w:val="en-GB"/>
        </w:rPr>
        <w:t xml:space="preserve">food </w:t>
      </w:r>
      <w:r w:rsidRPr="00F85DCF">
        <w:rPr>
          <w:rFonts w:eastAsiaTheme="minorHAnsi" w:cstheme="minorBidi"/>
          <w:i/>
          <w:szCs w:val="22"/>
          <w:lang w:val="en-GB"/>
        </w:rPr>
        <w:t xml:space="preserve">commodities </w:t>
      </w:r>
      <w:r w:rsidRPr="00F85DCF">
        <w:rPr>
          <w:rFonts w:eastAsiaTheme="minorHAnsi" w:cstheme="minorBidi"/>
          <w:szCs w:val="22"/>
          <w:lang w:val="en-GB"/>
        </w:rPr>
        <w:t>MRLs.</w:t>
      </w:r>
    </w:p>
    <w:p w14:paraId="0310B509" w14:textId="77777777" w:rsidR="0054275A" w:rsidRPr="00F85DCF" w:rsidRDefault="0054275A" w:rsidP="0054275A">
      <w:pPr>
        <w:rPr>
          <w:lang w:val="en-GB"/>
        </w:rPr>
      </w:pPr>
    </w:p>
    <w:p w14:paraId="624D8F1B" w14:textId="1E72721A" w:rsidR="00AF7843" w:rsidRPr="00F85DCF" w:rsidRDefault="00AF7843" w:rsidP="0054275A">
      <w:pPr>
        <w:pStyle w:val="FSBullet1"/>
        <w:rPr>
          <w:lang w:val="en-GB"/>
        </w:rPr>
      </w:pPr>
      <w:r w:rsidRPr="00F85DCF">
        <w:rPr>
          <w:lang w:val="en-GB"/>
        </w:rPr>
        <w:t xml:space="preserve">The graduated risk analysis approach taken in the pilot resulted in a manageable number of </w:t>
      </w:r>
      <w:r w:rsidR="00F1277D" w:rsidRPr="00F85DCF">
        <w:rPr>
          <w:lang w:val="en-GB"/>
        </w:rPr>
        <w:t xml:space="preserve">agvet </w:t>
      </w:r>
      <w:r w:rsidRPr="00F85DCF">
        <w:rPr>
          <w:lang w:val="en-GB"/>
        </w:rPr>
        <w:t xml:space="preserve">chemicals to work with and succeeded in proposing </w:t>
      </w:r>
      <w:r w:rsidR="00E919A0">
        <w:rPr>
          <w:lang w:val="en-GB"/>
        </w:rPr>
        <w:t>19</w:t>
      </w:r>
      <w:r w:rsidRPr="00F85DCF">
        <w:rPr>
          <w:lang w:val="en-GB"/>
        </w:rPr>
        <w:t xml:space="preserve"> </w:t>
      </w:r>
      <w:r w:rsidR="00234708"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MRLs based on sound risk assessment</w:t>
      </w:r>
      <w:r w:rsidR="0054275A" w:rsidRPr="00F85DCF">
        <w:rPr>
          <w:lang w:val="en-GB"/>
        </w:rPr>
        <w:t>.</w:t>
      </w:r>
    </w:p>
    <w:p w14:paraId="75F729C9" w14:textId="77777777" w:rsidR="0054275A" w:rsidRPr="00F85DCF" w:rsidRDefault="0054275A" w:rsidP="0054275A">
      <w:pPr>
        <w:rPr>
          <w:lang w:val="en-GB"/>
        </w:rPr>
      </w:pPr>
    </w:p>
    <w:p w14:paraId="5477F98A" w14:textId="25B0DD86" w:rsidR="00AF7843" w:rsidRPr="00F85DCF" w:rsidRDefault="00AF7843" w:rsidP="0054275A">
      <w:pPr>
        <w:pStyle w:val="FSBullet1"/>
        <w:rPr>
          <w:lang w:val="en-GB"/>
        </w:rPr>
      </w:pPr>
      <w:r w:rsidRPr="00F85DCF">
        <w:rPr>
          <w:lang w:val="en-GB"/>
        </w:rPr>
        <w:t xml:space="preserve">The DEA approach used a set of criteria and assumptions that resulted in ‘worst case scenario’ dietary exposure estimates when an </w:t>
      </w:r>
      <w:r w:rsidR="00234708"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 was included in the estimate. </w:t>
      </w:r>
    </w:p>
    <w:p w14:paraId="19199E43" w14:textId="0E9AA621" w:rsidR="0054275A" w:rsidRPr="00F85DCF" w:rsidRDefault="0054275A" w:rsidP="00506325">
      <w:pPr>
        <w:pStyle w:val="FSBullet1"/>
        <w:numPr>
          <w:ilvl w:val="0"/>
          <w:numId w:val="0"/>
        </w:numPr>
        <w:rPr>
          <w:lang w:val="en-GB"/>
        </w:rPr>
      </w:pPr>
    </w:p>
    <w:p w14:paraId="19AD1135" w14:textId="722FD28B" w:rsidR="00AF7843" w:rsidRPr="00F85DCF" w:rsidRDefault="00AF7843" w:rsidP="0054275A">
      <w:pPr>
        <w:pStyle w:val="FSBullet1"/>
        <w:rPr>
          <w:lang w:val="en-GB"/>
        </w:rPr>
      </w:pPr>
      <w:r w:rsidRPr="00F85DCF">
        <w:rPr>
          <w:lang w:val="en-GB"/>
        </w:rPr>
        <w:t xml:space="preserve">The assumptions currently used in </w:t>
      </w:r>
      <w:r w:rsidR="007E1D6F" w:rsidRPr="00F85DCF">
        <w:rPr>
          <w:lang w:val="en-GB"/>
        </w:rPr>
        <w:t xml:space="preserve">this proposal for </w:t>
      </w:r>
      <w:r w:rsidRPr="00F85DCF">
        <w:rPr>
          <w:lang w:val="en-GB"/>
        </w:rPr>
        <w:t xml:space="preserve">the dietary exposure assessment for specific commodities are appropriate for establishing MRLs where the </w:t>
      </w:r>
      <w:r w:rsidR="00717949" w:rsidRPr="00F85DCF">
        <w:rPr>
          <w:lang w:val="en-GB"/>
        </w:rPr>
        <w:t xml:space="preserve">agvet </w:t>
      </w:r>
      <w:r w:rsidRPr="00F85DCF">
        <w:rPr>
          <w:lang w:val="en-GB"/>
        </w:rPr>
        <w:t>pesticide is intentionally applied to protect specific crops</w:t>
      </w:r>
      <w:r w:rsidR="00717949" w:rsidRPr="00F85DCF">
        <w:rPr>
          <w:lang w:val="en-GB"/>
        </w:rPr>
        <w:t>.</w:t>
      </w:r>
    </w:p>
    <w:p w14:paraId="4ECE1419" w14:textId="77777777" w:rsidR="0054275A" w:rsidRPr="00F85DCF" w:rsidRDefault="0054275A" w:rsidP="0054275A">
      <w:pPr>
        <w:rPr>
          <w:lang w:val="en-GB"/>
        </w:rPr>
      </w:pPr>
    </w:p>
    <w:p w14:paraId="1F79CB37" w14:textId="2A69FC4B" w:rsidR="00AF7843" w:rsidRPr="00F85DCF" w:rsidRDefault="007564D8" w:rsidP="0054275A">
      <w:pPr>
        <w:pStyle w:val="FSBullet1"/>
        <w:rPr>
          <w:lang w:val="en-GB"/>
        </w:rPr>
      </w:pPr>
      <w:r w:rsidRPr="00F85DCF">
        <w:rPr>
          <w:lang w:val="en-GB"/>
        </w:rPr>
        <w:t>The principles of graduated risk assessment require criteria that result in a more refined estimate of potential dietary exposure to inadvertent agvet chemical residues.</w:t>
      </w:r>
      <w:r>
        <w:rPr>
          <w:lang w:val="en-GB"/>
        </w:rPr>
        <w:t xml:space="preserve"> </w:t>
      </w:r>
      <w:r w:rsidR="00AF7843" w:rsidRPr="00F85DCF">
        <w:rPr>
          <w:lang w:val="en-GB"/>
        </w:rPr>
        <w:t xml:space="preserve">However, </w:t>
      </w:r>
      <w:r w:rsidR="007E1D6F" w:rsidRPr="00F85DCF">
        <w:rPr>
          <w:lang w:val="en-GB"/>
        </w:rPr>
        <w:t>the outcome of the internal rev</w:t>
      </w:r>
      <w:r w:rsidR="00717949" w:rsidRPr="00F85DCF">
        <w:rPr>
          <w:lang w:val="en-GB"/>
        </w:rPr>
        <w:t>i</w:t>
      </w:r>
      <w:r w:rsidR="007E1D6F" w:rsidRPr="00F85DCF">
        <w:rPr>
          <w:lang w:val="en-GB"/>
        </w:rPr>
        <w:t xml:space="preserve">ew of the pilot was that some of </w:t>
      </w:r>
      <w:r w:rsidR="00AF7843" w:rsidRPr="00F85DCF">
        <w:rPr>
          <w:lang w:val="en-GB"/>
        </w:rPr>
        <w:t>the</w:t>
      </w:r>
      <w:r>
        <w:rPr>
          <w:lang w:val="en-GB"/>
        </w:rPr>
        <w:t xml:space="preserve"> </w:t>
      </w:r>
      <w:r w:rsidR="00AF7843" w:rsidRPr="00F85DCF">
        <w:rPr>
          <w:lang w:val="en-GB"/>
        </w:rPr>
        <w:t xml:space="preserve">assumptions </w:t>
      </w:r>
      <w:r w:rsidR="004C1747">
        <w:rPr>
          <w:lang w:val="en-GB"/>
        </w:rPr>
        <w:t>(</w:t>
      </w:r>
      <w:r w:rsidR="005D443E">
        <w:rPr>
          <w:lang w:val="en-GB"/>
        </w:rPr>
        <w:t xml:space="preserve">which are </w:t>
      </w:r>
      <w:r w:rsidR="004C1747">
        <w:rPr>
          <w:lang w:val="en-GB"/>
        </w:rPr>
        <w:t>appropriately applied in routine exposure estimates</w:t>
      </w:r>
      <w:r w:rsidR="005D443E">
        <w:rPr>
          <w:lang w:val="en-GB"/>
        </w:rPr>
        <w:t xml:space="preserve"> in order not to underestimate dietary exposure</w:t>
      </w:r>
      <w:r w:rsidR="004C1747">
        <w:rPr>
          <w:lang w:val="en-GB"/>
        </w:rPr>
        <w:t>)</w:t>
      </w:r>
      <w:r w:rsidR="005D443E">
        <w:rPr>
          <w:lang w:val="en-GB"/>
        </w:rPr>
        <w:t xml:space="preserve"> </w:t>
      </w:r>
      <w:r w:rsidR="007E1D6F" w:rsidRPr="00F85DCF">
        <w:rPr>
          <w:lang w:val="en-GB"/>
        </w:rPr>
        <w:t>should be reconsidered</w:t>
      </w:r>
      <w:r w:rsidR="00577EBF">
        <w:rPr>
          <w:lang w:val="en-GB"/>
        </w:rPr>
        <w:t xml:space="preserve"> when estimating exposure to inadvertent pesticide residues</w:t>
      </w:r>
      <w:r w:rsidR="005D443E">
        <w:rPr>
          <w:lang w:val="en-GB"/>
        </w:rPr>
        <w:t>.</w:t>
      </w:r>
      <w:r w:rsidR="007E1D6F" w:rsidRPr="00F85DCF">
        <w:rPr>
          <w:lang w:val="en-GB"/>
        </w:rPr>
        <w:t xml:space="preserve"> </w:t>
      </w:r>
    </w:p>
    <w:p w14:paraId="471150C0" w14:textId="77777777" w:rsidR="0054275A" w:rsidRPr="00F85DCF" w:rsidRDefault="0054275A" w:rsidP="0054275A">
      <w:pPr>
        <w:rPr>
          <w:lang w:val="en-GB"/>
        </w:rPr>
      </w:pPr>
    </w:p>
    <w:p w14:paraId="390428EF" w14:textId="00A3349B" w:rsidR="005D443E" w:rsidRDefault="00AF7843" w:rsidP="0054275A">
      <w:pPr>
        <w:pStyle w:val="FSBullet1"/>
        <w:rPr>
          <w:lang w:val="en-GB"/>
        </w:rPr>
      </w:pPr>
      <w:r w:rsidRPr="00F85DCF">
        <w:rPr>
          <w:lang w:val="en-GB"/>
        </w:rPr>
        <w:t xml:space="preserve">FSANZ </w:t>
      </w:r>
      <w:r w:rsidR="005D443E">
        <w:rPr>
          <w:lang w:val="en-GB"/>
        </w:rPr>
        <w:t xml:space="preserve">and </w:t>
      </w:r>
      <w:r w:rsidR="00577EBF">
        <w:rPr>
          <w:lang w:val="en-GB"/>
        </w:rPr>
        <w:t xml:space="preserve">the </w:t>
      </w:r>
      <w:r w:rsidR="005D443E">
        <w:rPr>
          <w:lang w:val="en-GB"/>
        </w:rPr>
        <w:t xml:space="preserve">APVMA </w:t>
      </w:r>
      <w:r w:rsidR="007E1D6F" w:rsidRPr="00F85DCF">
        <w:rPr>
          <w:lang w:val="en-GB"/>
        </w:rPr>
        <w:t xml:space="preserve">therefore </w:t>
      </w:r>
      <w:r w:rsidRPr="00F85DCF">
        <w:rPr>
          <w:lang w:val="en-GB"/>
        </w:rPr>
        <w:t>consider</w:t>
      </w:r>
      <w:r w:rsidR="007564D8">
        <w:rPr>
          <w:lang w:val="en-GB"/>
        </w:rPr>
        <w:t>ed</w:t>
      </w:r>
      <w:r w:rsidRPr="00F85DCF">
        <w:rPr>
          <w:lang w:val="en-GB"/>
        </w:rPr>
        <w:t xml:space="preserve"> that the </w:t>
      </w:r>
      <w:r w:rsidR="005D443E">
        <w:rPr>
          <w:lang w:val="en-GB"/>
        </w:rPr>
        <w:t xml:space="preserve">assumption of 100% probability of </w:t>
      </w:r>
      <w:r w:rsidR="00577EBF">
        <w:rPr>
          <w:lang w:val="en-GB"/>
        </w:rPr>
        <w:t xml:space="preserve">the </w:t>
      </w:r>
      <w:r w:rsidR="005D443E">
        <w:rPr>
          <w:lang w:val="en-GB"/>
        </w:rPr>
        <w:t xml:space="preserve">occurrence of agvet residue across the broad </w:t>
      </w:r>
      <w:r w:rsidR="005D443E" w:rsidRPr="005D443E">
        <w:rPr>
          <w:i/>
          <w:lang w:val="en-GB"/>
        </w:rPr>
        <w:t>All other foods except animal food commodities</w:t>
      </w:r>
      <w:r w:rsidR="005D443E">
        <w:rPr>
          <w:lang w:val="en-GB"/>
        </w:rPr>
        <w:t xml:space="preserve"> category should be refined and </w:t>
      </w:r>
      <w:r w:rsidR="00994104">
        <w:rPr>
          <w:lang w:val="en-GB"/>
        </w:rPr>
        <w:t xml:space="preserve">a </w:t>
      </w:r>
      <w:r w:rsidR="005D443E">
        <w:rPr>
          <w:lang w:val="en-GB"/>
        </w:rPr>
        <w:t xml:space="preserve">more realistic probability of occurrence </w:t>
      </w:r>
      <w:r w:rsidR="007564D8">
        <w:rPr>
          <w:lang w:val="en-GB"/>
        </w:rPr>
        <w:t xml:space="preserve">(below 100%) </w:t>
      </w:r>
      <w:r w:rsidR="005D443E">
        <w:rPr>
          <w:lang w:val="en-GB"/>
        </w:rPr>
        <w:t xml:space="preserve">be considered </w:t>
      </w:r>
      <w:r w:rsidR="00577EBF">
        <w:rPr>
          <w:lang w:val="en-GB"/>
        </w:rPr>
        <w:t xml:space="preserve">when estimating exposure to inadvertent </w:t>
      </w:r>
      <w:r w:rsidR="00781BBF">
        <w:rPr>
          <w:lang w:val="en-GB"/>
        </w:rPr>
        <w:t>pesticide</w:t>
      </w:r>
      <w:r w:rsidR="00577EBF">
        <w:rPr>
          <w:lang w:val="en-GB"/>
        </w:rPr>
        <w:t xml:space="preserve"> residues</w:t>
      </w:r>
      <w:r w:rsidR="005D443E">
        <w:rPr>
          <w:lang w:val="en-GB"/>
        </w:rPr>
        <w:t>.</w:t>
      </w:r>
    </w:p>
    <w:p w14:paraId="2CC7FD84" w14:textId="77777777" w:rsidR="0054275A" w:rsidRPr="00F85DCF" w:rsidRDefault="0054275A" w:rsidP="0054275A">
      <w:pPr>
        <w:rPr>
          <w:lang w:val="en-GB"/>
        </w:rPr>
      </w:pPr>
    </w:p>
    <w:p w14:paraId="23E84B36" w14:textId="3E764531" w:rsidR="00AF7843" w:rsidRPr="005D443E" w:rsidRDefault="00AF7843" w:rsidP="005D443E">
      <w:pPr>
        <w:pStyle w:val="FSBullet1"/>
        <w:rPr>
          <w:lang w:val="en-GB"/>
        </w:rPr>
      </w:pPr>
      <w:r w:rsidRPr="00F85DCF">
        <w:rPr>
          <w:lang w:val="en-GB"/>
        </w:rPr>
        <w:t xml:space="preserve">The </w:t>
      </w:r>
      <w:r w:rsidR="007564D8">
        <w:rPr>
          <w:lang w:val="en-GB"/>
        </w:rPr>
        <w:t xml:space="preserve">full </w:t>
      </w:r>
      <w:r w:rsidRPr="00F85DCF">
        <w:rPr>
          <w:lang w:val="en-GB"/>
        </w:rPr>
        <w:t xml:space="preserve">screening </w:t>
      </w:r>
      <w:r w:rsidR="00416171" w:rsidRPr="00F85DCF">
        <w:rPr>
          <w:lang w:val="en-GB"/>
        </w:rPr>
        <w:t xml:space="preserve">approach </w:t>
      </w:r>
      <w:r w:rsidRPr="00F85DCF">
        <w:rPr>
          <w:lang w:val="en-GB"/>
        </w:rPr>
        <w:t xml:space="preserve">used in Stage 1 of P1027 </w:t>
      </w:r>
      <w:r w:rsidR="007564D8">
        <w:rPr>
          <w:lang w:val="en-GB"/>
        </w:rPr>
        <w:t>would</w:t>
      </w:r>
      <w:r w:rsidR="005D443E">
        <w:rPr>
          <w:lang w:val="en-GB"/>
        </w:rPr>
        <w:t xml:space="preserve"> not be used for </w:t>
      </w:r>
      <w:r w:rsidRPr="00F85DCF">
        <w:rPr>
          <w:lang w:val="en-GB"/>
        </w:rPr>
        <w:t xml:space="preserve">future risk assessments. </w:t>
      </w:r>
      <w:r w:rsidR="005D443E">
        <w:rPr>
          <w:lang w:val="en-GB"/>
        </w:rPr>
        <w:t xml:space="preserve">However, </w:t>
      </w:r>
      <w:r w:rsidR="005D443E" w:rsidRPr="00F85DCF">
        <w:rPr>
          <w:lang w:val="en-GB"/>
        </w:rPr>
        <w:t xml:space="preserve">FSANZ is proposing to include most of the Stage 1 exclusion criteria </w:t>
      </w:r>
      <w:r w:rsidR="005D443E">
        <w:rPr>
          <w:lang w:val="en-GB"/>
        </w:rPr>
        <w:t xml:space="preserve">as the </w:t>
      </w:r>
      <w:r w:rsidR="005D443E" w:rsidRPr="00F85DCF">
        <w:rPr>
          <w:lang w:val="en-GB"/>
        </w:rPr>
        <w:t>first step in the risk assessment process (see section 6 below)</w:t>
      </w:r>
      <w:r w:rsidR="005D443E">
        <w:rPr>
          <w:lang w:val="en-GB"/>
        </w:rPr>
        <w:t xml:space="preserve"> </w:t>
      </w:r>
      <w:r w:rsidR="00A86510">
        <w:rPr>
          <w:lang w:val="en-GB"/>
        </w:rPr>
        <w:t>which</w:t>
      </w:r>
      <w:r w:rsidR="005D443E" w:rsidRPr="00F85DCF">
        <w:rPr>
          <w:lang w:val="en-GB"/>
        </w:rPr>
        <w:t xml:space="preserve"> can be applied to all agvet chemicals listed in the Code.</w:t>
      </w:r>
    </w:p>
    <w:p w14:paraId="2380DC73" w14:textId="77777777" w:rsidR="0054275A" w:rsidRPr="00F85DCF" w:rsidRDefault="0054275A" w:rsidP="0054275A">
      <w:pPr>
        <w:rPr>
          <w:lang w:val="en-GB"/>
        </w:rPr>
      </w:pPr>
    </w:p>
    <w:p w14:paraId="32619444" w14:textId="6D1DA499" w:rsidR="00AF7843" w:rsidRPr="00F85DCF" w:rsidRDefault="0054275A" w:rsidP="00234708">
      <w:pPr>
        <w:pStyle w:val="Heading1"/>
      </w:pPr>
      <w:bookmarkStart w:id="48" w:name="_Toc448848086"/>
      <w:r w:rsidRPr="00F85DCF">
        <w:t>6</w:t>
      </w:r>
      <w:r w:rsidRPr="00F85DCF">
        <w:tab/>
      </w:r>
      <w:r w:rsidR="00AF7843" w:rsidRPr="00F85DCF">
        <w:t xml:space="preserve">Future DEA process for setting </w:t>
      </w:r>
      <w:r w:rsidR="00AF7843" w:rsidRPr="00F85DCF">
        <w:rPr>
          <w:i/>
        </w:rPr>
        <w:t xml:space="preserve">All other foods except animal </w:t>
      </w:r>
      <w:r w:rsidR="007A102F">
        <w:rPr>
          <w:i/>
        </w:rPr>
        <w:t xml:space="preserve">food </w:t>
      </w:r>
      <w:r w:rsidR="00AF7843" w:rsidRPr="00F85DCF">
        <w:rPr>
          <w:i/>
        </w:rPr>
        <w:t>commodities</w:t>
      </w:r>
      <w:r w:rsidR="00AF7843" w:rsidRPr="00F85DCF">
        <w:t xml:space="preserve"> MRLs</w:t>
      </w:r>
      <w:bookmarkEnd w:id="48"/>
    </w:p>
    <w:p w14:paraId="6481B643" w14:textId="3C788717" w:rsidR="00AF7843" w:rsidRPr="00F85DCF" w:rsidRDefault="00AF7843" w:rsidP="00AF7843">
      <w:pPr>
        <w:rPr>
          <w:lang w:val="en-GB"/>
        </w:rPr>
      </w:pPr>
      <w:r w:rsidRPr="00F85DCF">
        <w:rPr>
          <w:lang w:val="en-GB"/>
        </w:rPr>
        <w:t xml:space="preserve">The proposed </w:t>
      </w:r>
      <w:r w:rsidR="00674A5B" w:rsidRPr="00F85DCF">
        <w:rPr>
          <w:lang w:val="en-GB"/>
        </w:rPr>
        <w:t xml:space="preserve">P1027 </w:t>
      </w:r>
      <w:r w:rsidR="006D5974">
        <w:rPr>
          <w:lang w:val="en-GB"/>
        </w:rPr>
        <w:t>approach</w:t>
      </w:r>
      <w:r w:rsidRPr="00F85DCF">
        <w:rPr>
          <w:lang w:val="en-GB"/>
        </w:rPr>
        <w:t xml:space="preserve"> for DEAs for each agvet chemical in the future is as follows:</w:t>
      </w:r>
    </w:p>
    <w:p w14:paraId="5F3A2611" w14:textId="0DF65703" w:rsidR="00AF7843" w:rsidRPr="00F85DCF" w:rsidRDefault="0054275A" w:rsidP="0054275A">
      <w:pPr>
        <w:pStyle w:val="Heading2"/>
      </w:pPr>
      <w:bookmarkStart w:id="49" w:name="_Toc448848087"/>
      <w:r w:rsidRPr="00F85DCF">
        <w:t>6.1</w:t>
      </w:r>
      <w:r w:rsidRPr="00F85DCF">
        <w:tab/>
      </w:r>
      <w:r w:rsidR="00AF7843" w:rsidRPr="00F85DCF">
        <w:t>Step 1: Apply exclusion criteria</w:t>
      </w:r>
      <w:bookmarkEnd w:id="49"/>
      <w:r w:rsidR="00AF7843" w:rsidRPr="00F85DCF">
        <w:t xml:space="preserve"> </w:t>
      </w:r>
    </w:p>
    <w:p w14:paraId="54D3526F" w14:textId="7B3592B0" w:rsidR="00AF7843" w:rsidRPr="00F85DCF" w:rsidRDefault="00AF7843" w:rsidP="00AF7843">
      <w:pPr>
        <w:rPr>
          <w:lang w:val="en-GB"/>
        </w:rPr>
      </w:pPr>
      <w:r w:rsidRPr="00F85DCF">
        <w:rPr>
          <w:lang w:val="en-GB"/>
        </w:rPr>
        <w:t xml:space="preserve">Agvet chemicals will be excluded from the setting of </w:t>
      </w:r>
      <w:r w:rsidR="00583357"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MRLs as follows:</w:t>
      </w:r>
    </w:p>
    <w:p w14:paraId="21A43F43" w14:textId="77777777" w:rsidR="0054275A" w:rsidRPr="00F85DCF" w:rsidRDefault="0054275A" w:rsidP="00AF7843">
      <w:pPr>
        <w:rPr>
          <w:lang w:val="en-GB"/>
        </w:rPr>
      </w:pPr>
    </w:p>
    <w:p w14:paraId="4A0E5A9E" w14:textId="7C5572C1" w:rsidR="00AF7843" w:rsidRPr="00F85DCF" w:rsidRDefault="00395CB8" w:rsidP="0054275A">
      <w:pPr>
        <w:pStyle w:val="FSBullet1"/>
        <w:rPr>
          <w:lang w:val="en-GB"/>
        </w:rPr>
      </w:pPr>
      <w:r w:rsidRPr="00F85DCF">
        <w:rPr>
          <w:lang w:val="en-GB"/>
        </w:rPr>
        <w:t>Agvet c</w:t>
      </w:r>
      <w:r w:rsidR="00AF7843" w:rsidRPr="00F85DCF">
        <w:rPr>
          <w:lang w:val="en-GB"/>
        </w:rPr>
        <w:t>hemical is not currently listed in Schedule 20</w:t>
      </w:r>
    </w:p>
    <w:p w14:paraId="23B747A0" w14:textId="602D885A" w:rsidR="00420F9C" w:rsidRDefault="00395CB8" w:rsidP="0054275A">
      <w:pPr>
        <w:pStyle w:val="FSBullet1"/>
        <w:rPr>
          <w:lang w:val="en-GB"/>
        </w:rPr>
      </w:pPr>
      <w:r w:rsidRPr="00F85DCF">
        <w:rPr>
          <w:lang w:val="en-GB"/>
        </w:rPr>
        <w:t>A</w:t>
      </w:r>
      <w:r w:rsidR="00AF7843" w:rsidRPr="00F85DCF">
        <w:rPr>
          <w:lang w:val="en-GB"/>
        </w:rPr>
        <w:t>ctive constituent</w:t>
      </w:r>
      <w:r w:rsidRPr="00F85DCF">
        <w:rPr>
          <w:lang w:val="en-GB"/>
        </w:rPr>
        <w:t xml:space="preserve"> (agvet chemical)</w:t>
      </w:r>
      <w:r w:rsidR="00AF7843" w:rsidRPr="00F85DCF">
        <w:rPr>
          <w:lang w:val="en-GB"/>
        </w:rPr>
        <w:t xml:space="preserve"> is not registered for use in Australia</w:t>
      </w:r>
      <w:r w:rsidR="00420F9C">
        <w:rPr>
          <w:lang w:val="en-GB"/>
        </w:rPr>
        <w:br w:type="page"/>
      </w:r>
    </w:p>
    <w:p w14:paraId="49439200" w14:textId="01EE0F0C" w:rsidR="00AF7843" w:rsidRPr="00F85DCF" w:rsidRDefault="00395CB8" w:rsidP="0054275A">
      <w:pPr>
        <w:pStyle w:val="FSBullet1"/>
        <w:rPr>
          <w:lang w:val="en-GB"/>
        </w:rPr>
      </w:pPr>
      <w:r w:rsidRPr="00F85DCF">
        <w:rPr>
          <w:lang w:val="en-GB"/>
        </w:rPr>
        <w:lastRenderedPageBreak/>
        <w:t>A</w:t>
      </w:r>
      <w:r w:rsidR="00AF7843" w:rsidRPr="00F85DCF">
        <w:rPr>
          <w:lang w:val="en-GB"/>
        </w:rPr>
        <w:t>ctive constituent of residue listed only as a Schedule 7 poison</w:t>
      </w:r>
      <w:r w:rsidR="00F10864">
        <w:rPr>
          <w:lang w:val="en-GB"/>
        </w:rPr>
        <w:t xml:space="preserve"> (the SUSMP)</w:t>
      </w:r>
    </w:p>
    <w:p w14:paraId="4044F1C7" w14:textId="48F0F9FB" w:rsidR="00AF7843" w:rsidRPr="00F85DCF" w:rsidRDefault="00395CB8" w:rsidP="0054275A">
      <w:pPr>
        <w:pStyle w:val="FSBullet1"/>
        <w:rPr>
          <w:lang w:val="en-GB"/>
        </w:rPr>
      </w:pPr>
      <w:r w:rsidRPr="00F85DCF">
        <w:rPr>
          <w:lang w:val="en-GB"/>
        </w:rPr>
        <w:t xml:space="preserve">Agvet </w:t>
      </w:r>
      <w:r w:rsidR="00AF7843" w:rsidRPr="00F85DCF">
        <w:rPr>
          <w:lang w:val="en-GB"/>
        </w:rPr>
        <w:t xml:space="preserve">chemical is a veterinary medicine </w:t>
      </w:r>
    </w:p>
    <w:p w14:paraId="2FFC28B9" w14:textId="786D7734" w:rsidR="00AF7843" w:rsidRPr="00F85DCF" w:rsidRDefault="00395CB8" w:rsidP="0054275A">
      <w:pPr>
        <w:pStyle w:val="FSBullet1"/>
        <w:rPr>
          <w:lang w:val="en-GB"/>
        </w:rPr>
      </w:pPr>
      <w:r w:rsidRPr="00F85DCF">
        <w:rPr>
          <w:lang w:val="en-GB"/>
        </w:rPr>
        <w:t xml:space="preserve">Agvet </w:t>
      </w:r>
      <w:r w:rsidR="00E7199D" w:rsidRPr="00F85DCF">
        <w:rPr>
          <w:lang w:val="en-GB"/>
        </w:rPr>
        <w:t>chemical</w:t>
      </w:r>
      <w:r w:rsidR="00AF7843" w:rsidRPr="00F85DCF">
        <w:rPr>
          <w:lang w:val="en-GB"/>
        </w:rPr>
        <w:t xml:space="preserve"> has an</w:t>
      </w:r>
      <w:r w:rsidR="00AD7E12" w:rsidRPr="00AD7E12">
        <w:rPr>
          <w:lang w:val="en-GB"/>
        </w:rPr>
        <w:t xml:space="preserve"> </w:t>
      </w:r>
      <w:r w:rsidR="00AD7E12" w:rsidRPr="00F85DCF">
        <w:rPr>
          <w:lang w:val="en-GB"/>
        </w:rPr>
        <w:t>ERL</w:t>
      </w:r>
      <w:r w:rsidR="00AD7E12" w:rsidRPr="00F85DCF">
        <w:rPr>
          <w:rStyle w:val="FootnoteReference"/>
          <w:lang w:val="en-GB"/>
        </w:rPr>
        <w:t xml:space="preserve"> </w:t>
      </w:r>
      <w:r w:rsidR="00AF7843" w:rsidRPr="00F85DCF">
        <w:rPr>
          <w:lang w:val="en-GB"/>
        </w:rPr>
        <w:t xml:space="preserve">listed in Schedule 21 </w:t>
      </w:r>
    </w:p>
    <w:p w14:paraId="77B31B58" w14:textId="61711E64" w:rsidR="00AF7843" w:rsidRPr="00F85DCF" w:rsidRDefault="00395CB8" w:rsidP="0054275A">
      <w:pPr>
        <w:pStyle w:val="FSBullet1"/>
        <w:rPr>
          <w:lang w:val="en-GB"/>
        </w:rPr>
      </w:pPr>
      <w:r w:rsidRPr="00F85DCF">
        <w:rPr>
          <w:lang w:val="en-GB"/>
        </w:rPr>
        <w:t xml:space="preserve">Agvet </w:t>
      </w:r>
      <w:r w:rsidR="00AF7843" w:rsidRPr="00F85DCF">
        <w:rPr>
          <w:lang w:val="en-GB"/>
        </w:rPr>
        <w:t>chemical is currently nominated by the APVMA for formal review</w:t>
      </w:r>
    </w:p>
    <w:p w14:paraId="4A90E5E7" w14:textId="77777777" w:rsidR="0054275A" w:rsidRDefault="0054275A" w:rsidP="0054275A">
      <w:pPr>
        <w:rPr>
          <w:lang w:val="en-GB"/>
        </w:rPr>
      </w:pPr>
    </w:p>
    <w:tbl>
      <w:tblPr>
        <w:tblStyle w:val="TableGrid"/>
        <w:tblW w:w="0" w:type="auto"/>
        <w:tblLook w:val="04A0" w:firstRow="1" w:lastRow="0" w:firstColumn="1" w:lastColumn="0" w:noHBand="0" w:noVBand="1"/>
      </w:tblPr>
      <w:tblGrid>
        <w:gridCol w:w="9286"/>
      </w:tblGrid>
      <w:tr w:rsidR="00420F9C" w14:paraId="6DDAB9D4" w14:textId="77777777" w:rsidTr="00420F9C">
        <w:tc>
          <w:tcPr>
            <w:tcW w:w="9286" w:type="dxa"/>
          </w:tcPr>
          <w:p w14:paraId="535B3A5C" w14:textId="4AE255AE" w:rsidR="00420F9C" w:rsidRPr="00420F9C" w:rsidRDefault="00420F9C" w:rsidP="0054275A">
            <w:pPr>
              <w:pStyle w:val="ListParagraph"/>
              <w:numPr>
                <w:ilvl w:val="0"/>
                <w:numId w:val="19"/>
              </w:numPr>
              <w:ind w:left="567" w:hanging="567"/>
            </w:pPr>
            <w:r>
              <w:t>An A</w:t>
            </w:r>
            <w:r>
              <w:rPr>
                <w:i/>
              </w:rPr>
              <w:t>ll other foods except animal food commodities</w:t>
            </w:r>
            <w:r>
              <w:t xml:space="preserve"> MRL will not be proposed for chemicals that meet one or more of the exclusion criteria</w:t>
            </w:r>
          </w:p>
        </w:tc>
      </w:tr>
    </w:tbl>
    <w:p w14:paraId="2F7A4CDC" w14:textId="5582D15F" w:rsidR="00AF7843" w:rsidRPr="00F85DCF" w:rsidRDefault="0054275A" w:rsidP="0054275A">
      <w:pPr>
        <w:pStyle w:val="Heading2"/>
      </w:pPr>
      <w:bookmarkStart w:id="50" w:name="_Toc448848088"/>
      <w:r w:rsidRPr="00F85DCF">
        <w:t>6.2</w:t>
      </w:r>
      <w:r w:rsidRPr="00F85DCF">
        <w:tab/>
      </w:r>
      <w:r w:rsidR="00AF7843" w:rsidRPr="00F85DCF">
        <w:t>Step 2: DEA based on existing permissions</w:t>
      </w:r>
      <w:bookmarkEnd w:id="50"/>
    </w:p>
    <w:p w14:paraId="01E363A6" w14:textId="0C2D7F98" w:rsidR="00AF7843" w:rsidRPr="00F85DCF" w:rsidRDefault="00AF7843" w:rsidP="00AF7843">
      <w:pPr>
        <w:rPr>
          <w:lang w:val="en-GB"/>
        </w:rPr>
      </w:pPr>
      <w:r w:rsidRPr="00F85DCF">
        <w:rPr>
          <w:lang w:val="en-GB"/>
        </w:rPr>
        <w:t>For agvet chemicals that have not been excluded in Step 1, the following calculations will be carried out using the most recent food consumption data from the 2011</w:t>
      </w:r>
      <w:r w:rsidR="0054275A" w:rsidRPr="00F85DCF">
        <w:rPr>
          <w:lang w:val="en-GB"/>
        </w:rPr>
        <w:sym w:font="Symbol" w:char="F02D"/>
      </w:r>
      <w:r w:rsidRPr="00F85DCF">
        <w:rPr>
          <w:lang w:val="en-GB"/>
        </w:rPr>
        <w:t>12 National Nutrition and Physical Activity survey (NNPAS) component of the 2011</w:t>
      </w:r>
      <w:r w:rsidR="0054275A" w:rsidRPr="00F85DCF">
        <w:rPr>
          <w:lang w:val="en-GB"/>
        </w:rPr>
        <w:sym w:font="Symbol" w:char="F02D"/>
      </w:r>
      <w:r w:rsidRPr="00F85DCF">
        <w:rPr>
          <w:lang w:val="en-GB"/>
        </w:rPr>
        <w:t>13 Australian Health Survey (all MRL DEAs are currently based on 1995 NNS consumption data):</w:t>
      </w:r>
    </w:p>
    <w:p w14:paraId="5227A41C" w14:textId="77777777" w:rsidR="0054275A" w:rsidRPr="00F85DCF" w:rsidRDefault="0054275A" w:rsidP="00AF7843">
      <w:pPr>
        <w:rPr>
          <w:lang w:val="en-GB"/>
        </w:rPr>
      </w:pPr>
    </w:p>
    <w:p w14:paraId="0B7294F9" w14:textId="00EFA100" w:rsidR="00AF7843" w:rsidRPr="00F85DCF" w:rsidRDefault="00395CB8" w:rsidP="0054275A">
      <w:pPr>
        <w:pStyle w:val="FSBullet1"/>
        <w:rPr>
          <w:lang w:val="en-GB"/>
        </w:rPr>
      </w:pPr>
      <w:r w:rsidRPr="00F85DCF">
        <w:rPr>
          <w:lang w:val="en-GB"/>
        </w:rPr>
        <w:t>E</w:t>
      </w:r>
      <w:r w:rsidR="00AF7843" w:rsidRPr="00F85DCF">
        <w:rPr>
          <w:lang w:val="en-GB"/>
        </w:rPr>
        <w:t xml:space="preserve">stimate the acute dietary exposure to the residue from </w:t>
      </w:r>
      <w:r w:rsidR="00CE3DFF" w:rsidRPr="00F85DCF">
        <w:rPr>
          <w:lang w:val="en-GB"/>
        </w:rPr>
        <w:t xml:space="preserve">individual </w:t>
      </w:r>
      <w:r w:rsidR="00AF7843" w:rsidRPr="00F85DCF">
        <w:rPr>
          <w:lang w:val="en-GB"/>
        </w:rPr>
        <w:t>foods with existing MRLs where an ARfD has been established, using HR data, where available (NESTI)</w:t>
      </w:r>
    </w:p>
    <w:p w14:paraId="45C9DABE" w14:textId="27AB1149" w:rsidR="00AF7843" w:rsidRPr="00F85DCF" w:rsidRDefault="00395CB8" w:rsidP="0054275A">
      <w:pPr>
        <w:pStyle w:val="FSBullet1"/>
        <w:rPr>
          <w:lang w:val="en-GB"/>
        </w:rPr>
      </w:pPr>
      <w:r w:rsidRPr="00F85DCF">
        <w:rPr>
          <w:lang w:val="en-GB"/>
        </w:rPr>
        <w:t>E</w:t>
      </w:r>
      <w:r w:rsidR="00AF7843" w:rsidRPr="00F85DCF">
        <w:rPr>
          <w:lang w:val="en-GB"/>
        </w:rPr>
        <w:t>stimate acute dietary exposure to the residue if present at or above the</w:t>
      </w:r>
      <w:r w:rsidR="002A7A69" w:rsidRPr="00F85DCF">
        <w:rPr>
          <w:lang w:val="en-GB"/>
        </w:rPr>
        <w:t xml:space="preserve"> </w:t>
      </w:r>
      <w:r w:rsidR="00CE3DFF" w:rsidRPr="00F85DCF">
        <w:rPr>
          <w:lang w:val="en-GB"/>
        </w:rPr>
        <w:t>LOD</w:t>
      </w:r>
    </w:p>
    <w:p w14:paraId="178043C2" w14:textId="100F5910" w:rsidR="00CE3DFF" w:rsidRPr="00F85DCF" w:rsidRDefault="00395CB8" w:rsidP="0054275A">
      <w:pPr>
        <w:pStyle w:val="FSBullet1"/>
        <w:rPr>
          <w:lang w:val="en-GB"/>
        </w:rPr>
      </w:pPr>
      <w:r w:rsidRPr="00F85DCF">
        <w:rPr>
          <w:lang w:val="en-GB"/>
        </w:rPr>
        <w:t>I</w:t>
      </w:r>
      <w:r w:rsidR="00AF7843" w:rsidRPr="00F85DCF">
        <w:rPr>
          <w:lang w:val="en-GB"/>
        </w:rPr>
        <w:t>f the NESTI &lt; ARfD</w:t>
      </w:r>
      <w:r w:rsidR="00CE3DFF" w:rsidRPr="00F85DCF">
        <w:rPr>
          <w:lang w:val="en-GB"/>
        </w:rPr>
        <w:t xml:space="preserve"> for all foods with an MRL</w:t>
      </w:r>
      <w:r w:rsidR="00AF7843" w:rsidRPr="00F85DCF">
        <w:rPr>
          <w:lang w:val="en-GB"/>
        </w:rPr>
        <w:t xml:space="preserve">, then estimate the chronic dietary exposure to the residue from </w:t>
      </w:r>
      <w:r w:rsidR="00CE3DFF" w:rsidRPr="00F85DCF">
        <w:rPr>
          <w:lang w:val="en-GB"/>
        </w:rPr>
        <w:t xml:space="preserve">all </w:t>
      </w:r>
      <w:r w:rsidR="00AF7843" w:rsidRPr="00F85DCF">
        <w:rPr>
          <w:lang w:val="en-GB"/>
        </w:rPr>
        <w:t>foods with existing MRLs using STMR or STMR-P data for concentration levels where available (NEDI)</w:t>
      </w:r>
      <w:r w:rsidR="00CE3DFF" w:rsidRPr="00F85DCF">
        <w:rPr>
          <w:lang w:val="en-GB"/>
        </w:rPr>
        <w:t xml:space="preserve">. </w:t>
      </w:r>
    </w:p>
    <w:p w14:paraId="6BD98407" w14:textId="43B64668" w:rsidR="00AF7843" w:rsidRPr="00F85DCF" w:rsidRDefault="00CE3DFF" w:rsidP="0054275A">
      <w:pPr>
        <w:pStyle w:val="FSBullet1"/>
        <w:rPr>
          <w:lang w:val="en-GB"/>
        </w:rPr>
      </w:pPr>
      <w:r w:rsidRPr="00F85DCF">
        <w:rPr>
          <w:lang w:val="en-GB"/>
        </w:rPr>
        <w:t>If the NEDI &lt; ADI proceed to Step 3.</w:t>
      </w:r>
    </w:p>
    <w:p w14:paraId="45032151" w14:textId="77777777" w:rsidR="00CE3DFF" w:rsidRDefault="00CE3DFF" w:rsidP="00CE3DFF">
      <w:pPr>
        <w:rPr>
          <w:lang w:val="en-GB" w:bidi="en-US"/>
        </w:rPr>
      </w:pPr>
    </w:p>
    <w:tbl>
      <w:tblPr>
        <w:tblStyle w:val="TableGrid"/>
        <w:tblW w:w="0" w:type="auto"/>
        <w:tblLook w:val="04A0" w:firstRow="1" w:lastRow="0" w:firstColumn="1" w:lastColumn="0" w:noHBand="0" w:noVBand="1"/>
      </w:tblPr>
      <w:tblGrid>
        <w:gridCol w:w="9286"/>
      </w:tblGrid>
      <w:tr w:rsidR="00420F9C" w14:paraId="0FBD73E8" w14:textId="77777777" w:rsidTr="00420F9C">
        <w:tc>
          <w:tcPr>
            <w:tcW w:w="9286" w:type="dxa"/>
          </w:tcPr>
          <w:p w14:paraId="59FB10B9" w14:textId="48152C53" w:rsidR="00420F9C" w:rsidRPr="00420F9C" w:rsidRDefault="00420F9C" w:rsidP="00FC0DB1">
            <w:pPr>
              <w:pStyle w:val="ListParagraph"/>
              <w:numPr>
                <w:ilvl w:val="0"/>
                <w:numId w:val="18"/>
              </w:numPr>
              <w:ind w:left="567" w:hanging="567"/>
            </w:pPr>
            <w:r>
              <w:t xml:space="preserve">An </w:t>
            </w:r>
            <w:r>
              <w:rPr>
                <w:i/>
              </w:rPr>
              <w:t>All other foods except animal food commodities</w:t>
            </w:r>
            <w:r>
              <w:t xml:space="preserve"> MRL will not be proposed for chemicals when existing permissions result in chronic and/or acute dietary exposures estimates (based on 2011-12 NNPAS data) equal to or greater than 100% of the relevant HBGV.</w:t>
            </w:r>
          </w:p>
        </w:tc>
      </w:tr>
    </w:tbl>
    <w:p w14:paraId="41C7997C" w14:textId="771E1E26" w:rsidR="00AF7843" w:rsidRPr="00F85DCF" w:rsidRDefault="0054275A" w:rsidP="0054275A">
      <w:pPr>
        <w:pStyle w:val="Heading2"/>
      </w:pPr>
      <w:bookmarkStart w:id="51" w:name="_Toc448848089"/>
      <w:r w:rsidRPr="00F85DCF">
        <w:t>6.3</w:t>
      </w:r>
      <w:r w:rsidRPr="00F85DCF">
        <w:tab/>
      </w:r>
      <w:r w:rsidR="00AF7843" w:rsidRPr="00F85DCF">
        <w:t xml:space="preserve">Step 3: DEA to propose </w:t>
      </w:r>
      <w:r w:rsidR="00832C0D" w:rsidRPr="00F85DCF">
        <w:rPr>
          <w:i/>
        </w:rPr>
        <w:t>A</w:t>
      </w:r>
      <w:r w:rsidR="00AF7843" w:rsidRPr="00F85DCF">
        <w:rPr>
          <w:i/>
        </w:rPr>
        <w:t xml:space="preserve">ll other foods except animal </w:t>
      </w:r>
      <w:r w:rsidR="007A102F">
        <w:rPr>
          <w:i/>
        </w:rPr>
        <w:t xml:space="preserve">food </w:t>
      </w:r>
      <w:r w:rsidR="00AF7843" w:rsidRPr="00F85DCF">
        <w:rPr>
          <w:i/>
        </w:rPr>
        <w:t>commodities</w:t>
      </w:r>
      <w:r w:rsidR="00AF7843" w:rsidRPr="00F85DCF">
        <w:t xml:space="preserve"> MRLs</w:t>
      </w:r>
      <w:bookmarkEnd w:id="51"/>
    </w:p>
    <w:p w14:paraId="2157F7D3" w14:textId="483BF1D0" w:rsidR="00AF7843" w:rsidRPr="00F85DCF" w:rsidRDefault="00AF7843" w:rsidP="0054275A">
      <w:pPr>
        <w:rPr>
          <w:lang w:val="en-GB"/>
        </w:rPr>
      </w:pPr>
      <w:r w:rsidRPr="00F85DCF">
        <w:rPr>
          <w:lang w:val="en-GB"/>
        </w:rPr>
        <w:t>For agvet chemicals that have not been excluded in Step</w:t>
      </w:r>
      <w:r w:rsidR="00674A5B" w:rsidRPr="00F85DCF">
        <w:rPr>
          <w:lang w:val="en-GB"/>
        </w:rPr>
        <w:t>s</w:t>
      </w:r>
      <w:r w:rsidRPr="00F85DCF">
        <w:rPr>
          <w:lang w:val="en-GB"/>
        </w:rPr>
        <w:t xml:space="preserve"> 1 or 2, the acute and chronic DEA calculations will be carried out using existing pesticide residue concentration data (MRL, STMR, STMR-P) for commodities with </w:t>
      </w:r>
      <w:r w:rsidR="00674A5B" w:rsidRPr="00F85DCF">
        <w:rPr>
          <w:lang w:val="en-GB"/>
        </w:rPr>
        <w:t xml:space="preserve">existing </w:t>
      </w:r>
      <w:r w:rsidRPr="00F85DCF">
        <w:rPr>
          <w:lang w:val="en-GB"/>
        </w:rPr>
        <w:t>MRLs in Schedule</w:t>
      </w:r>
      <w:r w:rsidR="00674A5B" w:rsidRPr="00F85DCF">
        <w:rPr>
          <w:lang w:val="en-GB"/>
        </w:rPr>
        <w:t xml:space="preserve"> 20</w:t>
      </w:r>
      <w:r w:rsidR="00CE3DFF" w:rsidRPr="00F85DCF">
        <w:rPr>
          <w:lang w:val="en-GB"/>
        </w:rPr>
        <w:t xml:space="preserve"> as above but this time including the</w:t>
      </w:r>
      <w:r w:rsidR="00197407" w:rsidRPr="00F85DCF">
        <w:rPr>
          <w:lang w:val="en-GB"/>
        </w:rPr>
        <w:t xml:space="preserve"> </w:t>
      </w:r>
      <w:r w:rsidRPr="00F85DCF">
        <w:rPr>
          <w:lang w:val="en-GB"/>
        </w:rPr>
        <w:t xml:space="preserve">proposed </w:t>
      </w:r>
      <w:r w:rsidR="00674A5B"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w:t>
      </w:r>
      <w:r w:rsidR="00CE3DFF" w:rsidRPr="00F85DCF">
        <w:rPr>
          <w:lang w:val="en-GB"/>
        </w:rPr>
        <w:t xml:space="preserve"> in the calculations.</w:t>
      </w:r>
    </w:p>
    <w:p w14:paraId="14582BC6" w14:textId="77777777" w:rsidR="0054275A" w:rsidRPr="00F85DCF" w:rsidRDefault="0054275A" w:rsidP="0054275A">
      <w:pPr>
        <w:rPr>
          <w:lang w:val="en-GB"/>
        </w:rPr>
      </w:pPr>
    </w:p>
    <w:p w14:paraId="46CB21F5" w14:textId="4B677F77" w:rsidR="00AF7843" w:rsidRPr="00F85DCF" w:rsidRDefault="00AF7843" w:rsidP="0054275A">
      <w:pPr>
        <w:rPr>
          <w:lang w:val="en-GB"/>
        </w:rPr>
      </w:pPr>
      <w:r w:rsidRPr="00F85DCF">
        <w:rPr>
          <w:lang w:val="en-GB"/>
        </w:rPr>
        <w:t xml:space="preserve">The proposed </w:t>
      </w:r>
      <w:r w:rsidR="00741F20"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 </w:t>
      </w:r>
      <w:r w:rsidR="00D35D3F" w:rsidRPr="00F85DCF">
        <w:rPr>
          <w:lang w:val="en-GB"/>
        </w:rPr>
        <w:t xml:space="preserve">will </w:t>
      </w:r>
      <w:r w:rsidRPr="00F85DCF">
        <w:rPr>
          <w:lang w:val="en-GB"/>
        </w:rPr>
        <w:t>take into account:</w:t>
      </w:r>
    </w:p>
    <w:p w14:paraId="32DF56CC" w14:textId="77777777" w:rsidR="0054275A" w:rsidRPr="00F85DCF" w:rsidRDefault="0054275A" w:rsidP="0054275A">
      <w:pPr>
        <w:rPr>
          <w:lang w:val="en-GB"/>
        </w:rPr>
      </w:pPr>
    </w:p>
    <w:p w14:paraId="79E298B4" w14:textId="593562B5" w:rsidR="00AF7843" w:rsidRPr="00F85DCF" w:rsidRDefault="00C65A03" w:rsidP="0054275A">
      <w:pPr>
        <w:pStyle w:val="FSBullet1"/>
        <w:rPr>
          <w:lang w:val="en-GB"/>
        </w:rPr>
      </w:pPr>
      <w:r w:rsidRPr="00F85DCF">
        <w:rPr>
          <w:lang w:val="en-GB"/>
        </w:rPr>
        <w:t>T</w:t>
      </w:r>
      <w:r w:rsidR="00AF7843" w:rsidRPr="00F85DCF">
        <w:rPr>
          <w:lang w:val="en-GB"/>
        </w:rPr>
        <w:t xml:space="preserve">he numerical value of existing MRLs to determine the </w:t>
      </w:r>
      <w:r w:rsidR="00AF7843" w:rsidRPr="00F85DCF">
        <w:rPr>
          <w:i/>
          <w:lang w:val="en-GB"/>
        </w:rPr>
        <w:t>highest</w:t>
      </w:r>
      <w:r w:rsidR="00AF7843" w:rsidRPr="00F85DCF">
        <w:rPr>
          <w:lang w:val="en-GB"/>
        </w:rPr>
        <w:t xml:space="preserve"> concentration at which an </w:t>
      </w:r>
      <w:r w:rsidR="00690D3F" w:rsidRPr="00F85DCF">
        <w:rPr>
          <w:i/>
          <w:lang w:val="en-GB"/>
        </w:rPr>
        <w:t>A</w:t>
      </w:r>
      <w:r w:rsidR="00331ABB" w:rsidRPr="00F85DCF">
        <w:rPr>
          <w:i/>
          <w:lang w:val="en-GB"/>
        </w:rPr>
        <w:t xml:space="preserve">ll other foods </w:t>
      </w:r>
      <w:r w:rsidR="00AF7843" w:rsidRPr="00F85DCF">
        <w:rPr>
          <w:i/>
          <w:lang w:val="en-GB"/>
        </w:rPr>
        <w:t xml:space="preserve">except animal </w:t>
      </w:r>
      <w:r w:rsidR="007A102F">
        <w:rPr>
          <w:i/>
          <w:lang w:val="en-GB"/>
        </w:rPr>
        <w:t xml:space="preserve">food </w:t>
      </w:r>
      <w:r w:rsidR="00AF7843" w:rsidRPr="00F85DCF">
        <w:rPr>
          <w:i/>
          <w:lang w:val="en-GB"/>
        </w:rPr>
        <w:t>commodities</w:t>
      </w:r>
      <w:r w:rsidR="00AF7843" w:rsidRPr="00F85DCF">
        <w:rPr>
          <w:lang w:val="en-GB"/>
        </w:rPr>
        <w:t xml:space="preserve"> MRL can be proposed, giving regard to GAP</w:t>
      </w:r>
      <w:r w:rsidR="00331ABB" w:rsidRPr="00F85DCF">
        <w:rPr>
          <w:lang w:val="en-GB"/>
        </w:rPr>
        <w:t>.</w:t>
      </w:r>
    </w:p>
    <w:p w14:paraId="05093664" w14:textId="2BBF2830" w:rsidR="00AF7843" w:rsidRPr="00F85DCF" w:rsidRDefault="00C65A03" w:rsidP="0054275A">
      <w:pPr>
        <w:pStyle w:val="FSBullet1"/>
        <w:rPr>
          <w:lang w:val="en-GB"/>
        </w:rPr>
      </w:pPr>
      <w:r w:rsidRPr="00F85DCF">
        <w:rPr>
          <w:lang w:val="en-GB"/>
        </w:rPr>
        <w:t>T</w:t>
      </w:r>
      <w:r w:rsidR="00AF7843" w:rsidRPr="00F85DCF">
        <w:rPr>
          <w:lang w:val="en-GB"/>
        </w:rPr>
        <w:t xml:space="preserve">he </w:t>
      </w:r>
      <w:r w:rsidR="00D35D3F" w:rsidRPr="00F85DCF">
        <w:rPr>
          <w:lang w:val="en-GB"/>
        </w:rPr>
        <w:t>LOD</w:t>
      </w:r>
      <w:r w:rsidR="00AF7843" w:rsidRPr="00F85DCF">
        <w:rPr>
          <w:lang w:val="en-GB"/>
        </w:rPr>
        <w:t xml:space="preserve"> relevant to the </w:t>
      </w:r>
      <w:r w:rsidR="003008B0" w:rsidRPr="00F85DCF">
        <w:rPr>
          <w:lang w:val="en-GB"/>
        </w:rPr>
        <w:t xml:space="preserve">agvet </w:t>
      </w:r>
      <w:r w:rsidR="00AF7843" w:rsidRPr="00F85DCF">
        <w:rPr>
          <w:lang w:val="en-GB"/>
        </w:rPr>
        <w:t xml:space="preserve">chemical residue of interest to determine the lowest concentration at which an </w:t>
      </w:r>
      <w:r w:rsidR="00690D3F" w:rsidRPr="00F85DCF">
        <w:rPr>
          <w:i/>
          <w:lang w:val="en-GB"/>
        </w:rPr>
        <w:t>A</w:t>
      </w:r>
      <w:r w:rsidR="00AF7843" w:rsidRPr="00F85DCF">
        <w:rPr>
          <w:i/>
          <w:lang w:val="en-GB"/>
        </w:rPr>
        <w:t xml:space="preserve">ll other foods except animal </w:t>
      </w:r>
      <w:r w:rsidR="007A102F">
        <w:rPr>
          <w:i/>
          <w:lang w:val="en-GB"/>
        </w:rPr>
        <w:t xml:space="preserve">food </w:t>
      </w:r>
      <w:r w:rsidR="00AF7843" w:rsidRPr="00F85DCF">
        <w:rPr>
          <w:i/>
          <w:lang w:val="en-GB"/>
        </w:rPr>
        <w:t>commodities MRL</w:t>
      </w:r>
      <w:r w:rsidR="00AF7843" w:rsidRPr="00F85DCF">
        <w:rPr>
          <w:lang w:val="en-GB"/>
        </w:rPr>
        <w:t xml:space="preserve"> can be proposed, that is high enough to be practical for regulatory purposes</w:t>
      </w:r>
      <w:r w:rsidR="00331ABB" w:rsidRPr="00F85DCF">
        <w:rPr>
          <w:lang w:val="en-GB"/>
        </w:rPr>
        <w:t>.</w:t>
      </w:r>
    </w:p>
    <w:p w14:paraId="4D785DB0" w14:textId="0E9C7873" w:rsidR="00AF7843" w:rsidRPr="00F85DCF" w:rsidRDefault="0054275A" w:rsidP="0054275A">
      <w:pPr>
        <w:pStyle w:val="Heading3"/>
      </w:pPr>
      <w:r w:rsidRPr="00F85DCF">
        <w:t>6.3.1</w:t>
      </w:r>
      <w:r w:rsidRPr="00F85DCF">
        <w:tab/>
      </w:r>
      <w:r w:rsidR="00AF7843" w:rsidRPr="00F85DCF">
        <w:t xml:space="preserve">Step 3a: Determine the estimated acute dietary exposure from </w:t>
      </w:r>
      <w:r w:rsidR="00690D3F" w:rsidRPr="00F85DCF">
        <w:rPr>
          <w:i/>
        </w:rPr>
        <w:t>A</w:t>
      </w:r>
      <w:r w:rsidR="00AF7843" w:rsidRPr="00F85DCF">
        <w:rPr>
          <w:i/>
        </w:rPr>
        <w:t xml:space="preserve">ll other foods except animal </w:t>
      </w:r>
      <w:r w:rsidR="007A102F">
        <w:rPr>
          <w:i/>
        </w:rPr>
        <w:t xml:space="preserve">food </w:t>
      </w:r>
      <w:r w:rsidR="00AF7843" w:rsidRPr="00F85DCF">
        <w:rPr>
          <w:i/>
        </w:rPr>
        <w:t>commodities</w:t>
      </w:r>
      <w:r w:rsidR="00AF7843" w:rsidRPr="00F85DCF">
        <w:t xml:space="preserve"> where an acute ARfD has been established </w:t>
      </w:r>
    </w:p>
    <w:p w14:paraId="45DBEF20" w14:textId="77777777" w:rsidR="00420F9C" w:rsidRDefault="00AF7843" w:rsidP="0054275A">
      <w:pPr>
        <w:pStyle w:val="FSBullet1"/>
        <w:rPr>
          <w:lang w:val="en-GB"/>
        </w:rPr>
      </w:pPr>
      <w:r w:rsidRPr="00F85DCF">
        <w:rPr>
          <w:lang w:val="en-GB"/>
        </w:rPr>
        <w:t xml:space="preserve">Use the proposed </w:t>
      </w:r>
      <w:r w:rsidR="00690D3F"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MRLs and the commodity identified for each NESTI case as the highest consumption amount for </w:t>
      </w:r>
    </w:p>
    <w:p w14:paraId="5E3F0284" w14:textId="77777777" w:rsidR="00420F9C" w:rsidRDefault="00AF7843" w:rsidP="0054275A">
      <w:pPr>
        <w:pStyle w:val="FSBullet1"/>
        <w:rPr>
          <w:lang w:val="en-GB"/>
        </w:rPr>
      </w:pPr>
      <w:r w:rsidRPr="00F85DCF">
        <w:rPr>
          <w:lang w:val="en-GB"/>
        </w:rPr>
        <w:t>2</w:t>
      </w:r>
      <w:r w:rsidR="0054275A" w:rsidRPr="00F85DCF">
        <w:rPr>
          <w:lang w:val="en-GB"/>
        </w:rPr>
        <w:sym w:font="Symbol" w:char="F02D"/>
      </w:r>
      <w:r w:rsidRPr="00F85DCF">
        <w:rPr>
          <w:lang w:val="en-GB"/>
        </w:rPr>
        <w:t xml:space="preserve">6 year olds and </w:t>
      </w:r>
      <w:r w:rsidR="009D3811" w:rsidRPr="00F85DCF">
        <w:rPr>
          <w:lang w:val="en-GB"/>
        </w:rPr>
        <w:t xml:space="preserve">the population aged </w:t>
      </w:r>
      <w:r w:rsidRPr="00F85DCF">
        <w:rPr>
          <w:lang w:val="en-GB"/>
        </w:rPr>
        <w:t xml:space="preserve">2 years and </w:t>
      </w:r>
      <w:r w:rsidR="009D3811" w:rsidRPr="00F85DCF">
        <w:rPr>
          <w:lang w:val="en-GB"/>
        </w:rPr>
        <w:t>above</w:t>
      </w:r>
      <w:r w:rsidR="00D35D3F" w:rsidRPr="00F85DCF">
        <w:rPr>
          <w:lang w:val="en-GB"/>
        </w:rPr>
        <w:t xml:space="preserve"> from the 2011-12 NNPAS</w:t>
      </w:r>
      <w:r w:rsidRPr="00F85DCF">
        <w:rPr>
          <w:lang w:val="en-GB"/>
        </w:rPr>
        <w:t>.</w:t>
      </w:r>
      <w:r w:rsidR="00420F9C">
        <w:rPr>
          <w:lang w:val="en-GB"/>
        </w:rPr>
        <w:br w:type="page"/>
      </w:r>
    </w:p>
    <w:tbl>
      <w:tblPr>
        <w:tblStyle w:val="TableGrid"/>
        <w:tblW w:w="0" w:type="auto"/>
        <w:tblLook w:val="04A0" w:firstRow="1" w:lastRow="0" w:firstColumn="1" w:lastColumn="0" w:noHBand="0" w:noVBand="1"/>
      </w:tblPr>
      <w:tblGrid>
        <w:gridCol w:w="9286"/>
      </w:tblGrid>
      <w:tr w:rsidR="00420F9C" w14:paraId="587E7C44" w14:textId="77777777" w:rsidTr="00420F9C">
        <w:tc>
          <w:tcPr>
            <w:tcW w:w="9286" w:type="dxa"/>
          </w:tcPr>
          <w:p w14:paraId="1F944A0D" w14:textId="77777777" w:rsidR="00420F9C" w:rsidRDefault="00420F9C" w:rsidP="00FC0DB1">
            <w:pPr>
              <w:pStyle w:val="ListParagraph"/>
              <w:numPr>
                <w:ilvl w:val="0"/>
                <w:numId w:val="16"/>
              </w:numPr>
              <w:ind w:left="567" w:hanging="567"/>
            </w:pPr>
            <w:r>
              <w:lastRenderedPageBreak/>
              <w:t>For</w:t>
            </w:r>
            <w:r w:rsidRPr="00873A9D">
              <w:t xml:space="preserve"> </w:t>
            </w:r>
            <w:r>
              <w:t xml:space="preserve">agvet </w:t>
            </w:r>
            <w:r w:rsidRPr="00873A9D">
              <w:t xml:space="preserve">chemicals that result in acute dietary exposures estimates </w:t>
            </w:r>
            <w:r>
              <w:t>(NESTI) less</w:t>
            </w:r>
            <w:r w:rsidRPr="00873A9D">
              <w:t xml:space="preserve"> than 100% of the relevant ARfD using the proposed MRL</w:t>
            </w:r>
            <w:r>
              <w:t xml:space="preserve"> for </w:t>
            </w:r>
            <w:r>
              <w:rPr>
                <w:i/>
              </w:rPr>
              <w:t xml:space="preserve">All other foods except animal food commodities, </w:t>
            </w:r>
            <w:r>
              <w:t>a chronic DEA will be carried out</w:t>
            </w:r>
            <w:r w:rsidRPr="00873A9D">
              <w:t>.</w:t>
            </w:r>
          </w:p>
          <w:p w14:paraId="5F0B8873" w14:textId="63FAFA9C" w:rsidR="00420F9C" w:rsidRPr="00FC0DB1" w:rsidRDefault="00420F9C" w:rsidP="00AF7843">
            <w:pPr>
              <w:pStyle w:val="ListParagraph"/>
              <w:numPr>
                <w:ilvl w:val="0"/>
                <w:numId w:val="16"/>
              </w:numPr>
              <w:ind w:left="567" w:hanging="567"/>
            </w:pPr>
            <w:r>
              <w:t xml:space="preserve">For agvet chemicals </w:t>
            </w:r>
            <w:r w:rsidRPr="00873A9D">
              <w:t xml:space="preserve">that result in acute dietary exposures estimates </w:t>
            </w:r>
            <w:r>
              <w:t xml:space="preserve">(NESTI) more than or equal to </w:t>
            </w:r>
            <w:r w:rsidRPr="00873A9D">
              <w:t>100% of the relevant ARfD</w:t>
            </w:r>
            <w:r>
              <w:t>, the NESTI will be repeated using the lowest practical A</w:t>
            </w:r>
            <w:r>
              <w:rPr>
                <w:i/>
              </w:rPr>
              <w:t>ll other foods except animal food commodities</w:t>
            </w:r>
            <w:r>
              <w:t xml:space="preserve"> MRL</w:t>
            </w:r>
            <w:r>
              <w:rPr>
                <w:i/>
              </w:rPr>
              <w:t xml:space="preserve">. </w:t>
            </w:r>
            <w:r w:rsidRPr="009D3811">
              <w:t>If the NESTI &lt;100% ARfD then a chronic DEA will be carried out.</w:t>
            </w:r>
          </w:p>
        </w:tc>
      </w:tr>
    </w:tbl>
    <w:p w14:paraId="5A4C1B9C" w14:textId="679C0FEC" w:rsidR="00AF7843" w:rsidRPr="00F85DCF" w:rsidRDefault="0054275A" w:rsidP="0054275A">
      <w:pPr>
        <w:pStyle w:val="Heading3"/>
      </w:pPr>
      <w:r w:rsidRPr="00F85DCF">
        <w:t>6.3.2</w:t>
      </w:r>
      <w:r w:rsidRPr="00F85DCF">
        <w:tab/>
      </w:r>
      <w:r w:rsidR="00AF7843" w:rsidRPr="00F85DCF">
        <w:t xml:space="preserve">Step 3b: Estimate total chronic dietary exposure including the contribution from </w:t>
      </w:r>
      <w:r w:rsidR="00690D3F" w:rsidRPr="00F85DCF">
        <w:rPr>
          <w:i/>
        </w:rPr>
        <w:t>A</w:t>
      </w:r>
      <w:r w:rsidR="00AF7843" w:rsidRPr="00F85DCF">
        <w:rPr>
          <w:i/>
        </w:rPr>
        <w:t xml:space="preserve">ll other foods except animal </w:t>
      </w:r>
      <w:r w:rsidR="007A102F">
        <w:rPr>
          <w:i/>
        </w:rPr>
        <w:t xml:space="preserve">food </w:t>
      </w:r>
      <w:r w:rsidR="00AF7843" w:rsidRPr="00F85DCF">
        <w:rPr>
          <w:i/>
        </w:rPr>
        <w:t>commodities</w:t>
      </w:r>
      <w:r w:rsidR="00AF7843" w:rsidRPr="00F85DCF">
        <w:t xml:space="preserve"> </w:t>
      </w:r>
    </w:p>
    <w:p w14:paraId="34CC101B" w14:textId="370BB5EE" w:rsidR="00AF7843" w:rsidRPr="00F85DCF" w:rsidRDefault="00AF7843" w:rsidP="0054275A">
      <w:pPr>
        <w:pStyle w:val="FSBullet1"/>
        <w:rPr>
          <w:lang w:val="en-GB"/>
        </w:rPr>
      </w:pPr>
      <w:r w:rsidRPr="00F85DCF">
        <w:rPr>
          <w:lang w:val="en-GB"/>
        </w:rPr>
        <w:t xml:space="preserve">Estimate the total chronic dietary exposure to the </w:t>
      </w:r>
      <w:r w:rsidR="004A3DD6" w:rsidRPr="00F85DCF">
        <w:rPr>
          <w:lang w:val="en-GB"/>
        </w:rPr>
        <w:t xml:space="preserve">agvet </w:t>
      </w:r>
      <w:r w:rsidRPr="00F85DCF">
        <w:rPr>
          <w:lang w:val="en-GB"/>
        </w:rPr>
        <w:t xml:space="preserve">chemical from foods with existing MRLs using STMR or STMR-P data (where available) and from </w:t>
      </w:r>
      <w:r w:rsidR="0021349B" w:rsidRPr="00F85DCF">
        <w:rPr>
          <w:i/>
          <w:lang w:val="en-GB"/>
        </w:rPr>
        <w:t>A</w:t>
      </w:r>
      <w:r w:rsidRPr="00F85DCF">
        <w:rPr>
          <w:i/>
          <w:lang w:val="en-GB"/>
        </w:rPr>
        <w:t xml:space="preserve">ll other foods except animal </w:t>
      </w:r>
      <w:r w:rsidR="00076EF2">
        <w:rPr>
          <w:i/>
          <w:lang w:val="en-GB"/>
        </w:rPr>
        <w:t xml:space="preserve">food </w:t>
      </w:r>
      <w:r w:rsidRPr="00F85DCF">
        <w:rPr>
          <w:i/>
          <w:lang w:val="en-GB"/>
        </w:rPr>
        <w:t xml:space="preserve">commodities </w:t>
      </w:r>
      <w:r w:rsidRPr="00F85DCF">
        <w:rPr>
          <w:lang w:val="en-GB"/>
        </w:rPr>
        <w:t xml:space="preserve">using the proposed </w:t>
      </w:r>
      <w:r w:rsidRPr="00F85DCF">
        <w:rPr>
          <w:i/>
          <w:lang w:val="en-GB"/>
        </w:rPr>
        <w:t xml:space="preserve">all other foods except animal </w:t>
      </w:r>
      <w:r w:rsidR="007A102F">
        <w:rPr>
          <w:i/>
          <w:lang w:val="en-GB"/>
        </w:rPr>
        <w:t xml:space="preserve">food </w:t>
      </w:r>
      <w:r w:rsidRPr="00F85DCF">
        <w:rPr>
          <w:i/>
          <w:lang w:val="en-GB"/>
        </w:rPr>
        <w:t>commodities</w:t>
      </w:r>
      <w:r w:rsidRPr="00F85DCF">
        <w:rPr>
          <w:lang w:val="en-GB"/>
        </w:rPr>
        <w:t xml:space="preserve"> MRL</w:t>
      </w:r>
      <w:r w:rsidR="00D35D3F" w:rsidRPr="00F85DCF">
        <w:rPr>
          <w:lang w:val="en-GB"/>
        </w:rPr>
        <w:t>,</w:t>
      </w:r>
      <w:r w:rsidRPr="00F85DCF">
        <w:rPr>
          <w:lang w:val="en-GB"/>
        </w:rPr>
        <w:t xml:space="preserve"> assuming 10% of </w:t>
      </w:r>
      <w:r w:rsidR="0021349B" w:rsidRPr="00F85DCF">
        <w:rPr>
          <w:i/>
          <w:lang w:val="en-GB"/>
        </w:rPr>
        <w:t>A</w:t>
      </w:r>
      <w:r w:rsidRPr="00F85DCF">
        <w:rPr>
          <w:i/>
          <w:lang w:val="en-GB"/>
        </w:rPr>
        <w:t xml:space="preserve">ll other foods except animal </w:t>
      </w:r>
      <w:r w:rsidR="007A102F">
        <w:rPr>
          <w:i/>
          <w:lang w:val="en-GB"/>
        </w:rPr>
        <w:t xml:space="preserve">food </w:t>
      </w:r>
      <w:r w:rsidRPr="00F85DCF">
        <w:rPr>
          <w:i/>
          <w:lang w:val="en-GB"/>
        </w:rPr>
        <w:t>commodities</w:t>
      </w:r>
      <w:r w:rsidRPr="00F85DCF">
        <w:rPr>
          <w:lang w:val="en-GB"/>
        </w:rPr>
        <w:t xml:space="preserve"> contain the </w:t>
      </w:r>
      <w:r w:rsidR="00380F0E" w:rsidRPr="00F85DCF">
        <w:rPr>
          <w:lang w:val="en-GB"/>
        </w:rPr>
        <w:t xml:space="preserve">agvet </w:t>
      </w:r>
      <w:r w:rsidRPr="00F85DCF">
        <w:rPr>
          <w:lang w:val="en-GB"/>
        </w:rPr>
        <w:t>chemical residue due to inadvertent use (NEDI)</w:t>
      </w:r>
      <w:r w:rsidR="009D3811" w:rsidRPr="00F85DCF">
        <w:rPr>
          <w:lang w:val="en-GB"/>
        </w:rPr>
        <w:t>.</w:t>
      </w:r>
    </w:p>
    <w:p w14:paraId="5120A9D1" w14:textId="77777777" w:rsidR="0054275A" w:rsidRPr="00F85DCF" w:rsidRDefault="0054275A" w:rsidP="0054275A">
      <w:pPr>
        <w:rPr>
          <w:lang w:val="en-GB"/>
        </w:rPr>
      </w:pPr>
    </w:p>
    <w:p w14:paraId="1392ACE2" w14:textId="1DAF65B7" w:rsidR="00AF7843" w:rsidRDefault="00AF7843" w:rsidP="0054275A">
      <w:pPr>
        <w:pStyle w:val="FSBullet1"/>
        <w:rPr>
          <w:lang w:val="en-GB"/>
        </w:rPr>
      </w:pPr>
      <w:r w:rsidRPr="00F85DCF">
        <w:rPr>
          <w:lang w:val="en-GB"/>
        </w:rPr>
        <w:t xml:space="preserve">Calculate the percentage contribution of </w:t>
      </w:r>
      <w:r w:rsidR="0021349B" w:rsidRPr="00F85DCF">
        <w:rPr>
          <w:i/>
          <w:lang w:val="en-GB"/>
        </w:rPr>
        <w:t>A</w:t>
      </w:r>
      <w:r w:rsidRPr="00F85DCF">
        <w:rPr>
          <w:i/>
          <w:lang w:val="en-GB"/>
        </w:rPr>
        <w:t>ll other foods except animal</w:t>
      </w:r>
      <w:r w:rsidR="007A102F">
        <w:rPr>
          <w:i/>
          <w:lang w:val="en-GB"/>
        </w:rPr>
        <w:t xml:space="preserve"> food</w:t>
      </w:r>
      <w:r w:rsidRPr="00F85DCF">
        <w:rPr>
          <w:i/>
          <w:lang w:val="en-GB"/>
        </w:rPr>
        <w:t xml:space="preserve"> commodities</w:t>
      </w:r>
      <w:r w:rsidRPr="00F85DCF">
        <w:rPr>
          <w:lang w:val="en-GB"/>
        </w:rPr>
        <w:t xml:space="preserve"> to total chronic dietary exposure</w:t>
      </w:r>
      <w:r w:rsidR="009D3811" w:rsidRPr="00F85DCF">
        <w:rPr>
          <w:lang w:val="en-GB"/>
        </w:rPr>
        <w:t>.</w:t>
      </w:r>
    </w:p>
    <w:p w14:paraId="495BCDB6" w14:textId="77777777" w:rsidR="003F182A" w:rsidRDefault="003F182A" w:rsidP="003F182A">
      <w:pPr>
        <w:rPr>
          <w:lang w:val="en-GB"/>
        </w:rPr>
      </w:pPr>
    </w:p>
    <w:tbl>
      <w:tblPr>
        <w:tblStyle w:val="TableGrid"/>
        <w:tblW w:w="0" w:type="auto"/>
        <w:tblLook w:val="04A0" w:firstRow="1" w:lastRow="0" w:firstColumn="1" w:lastColumn="0" w:noHBand="0" w:noVBand="1"/>
      </w:tblPr>
      <w:tblGrid>
        <w:gridCol w:w="9286"/>
      </w:tblGrid>
      <w:tr w:rsidR="00420F9C" w14:paraId="41329C59" w14:textId="77777777" w:rsidTr="00420F9C">
        <w:tc>
          <w:tcPr>
            <w:tcW w:w="9286" w:type="dxa"/>
          </w:tcPr>
          <w:p w14:paraId="42413FEE" w14:textId="77777777" w:rsidR="00420F9C" w:rsidRDefault="00420F9C" w:rsidP="00420F9C">
            <w:pPr>
              <w:pStyle w:val="ListParagraph"/>
              <w:numPr>
                <w:ilvl w:val="0"/>
                <w:numId w:val="16"/>
              </w:numPr>
            </w:pPr>
            <w:r w:rsidRPr="00122044">
              <w:t xml:space="preserve">If the total </w:t>
            </w:r>
            <w:r>
              <w:t>chronic d</w:t>
            </w:r>
            <w:r w:rsidRPr="00122044">
              <w:t xml:space="preserve">ietary exposure </w:t>
            </w:r>
            <w:r>
              <w:t xml:space="preserve">(NEDI) </w:t>
            </w:r>
            <w:r w:rsidRPr="00122044">
              <w:t xml:space="preserve">at the </w:t>
            </w:r>
            <w:r>
              <w:t xml:space="preserve">lowest proposed </w:t>
            </w:r>
            <w:r>
              <w:rPr>
                <w:i/>
              </w:rPr>
              <w:t>All other foods except animal food commodities</w:t>
            </w:r>
            <w:r w:rsidRPr="00122044">
              <w:t xml:space="preserve"> MRL </w:t>
            </w:r>
            <w:r>
              <w:t xml:space="preserve">that has been considered </w:t>
            </w:r>
            <w:r w:rsidRPr="00122044">
              <w:t>exceeds 100% of the HBGV</w:t>
            </w:r>
            <w:r>
              <w:t>,</w:t>
            </w:r>
            <w:r w:rsidRPr="00122044">
              <w:t xml:space="preserve"> </w:t>
            </w:r>
            <w:r>
              <w:t>no</w:t>
            </w:r>
            <w:r w:rsidRPr="00122044">
              <w:t xml:space="preserve"> </w:t>
            </w:r>
            <w:r>
              <w:rPr>
                <w:i/>
              </w:rPr>
              <w:t>All other foods except animal food commodities</w:t>
            </w:r>
            <w:r w:rsidRPr="00122044">
              <w:t xml:space="preserve"> MRL </w:t>
            </w:r>
            <w:r>
              <w:t>can be proposed for inclusion in the Code.</w:t>
            </w:r>
          </w:p>
          <w:p w14:paraId="5C3E72D6" w14:textId="77777777" w:rsidR="00420F9C" w:rsidRDefault="00420F9C" w:rsidP="00420F9C">
            <w:pPr>
              <w:pStyle w:val="ListParagraph"/>
              <w:numPr>
                <w:ilvl w:val="0"/>
                <w:numId w:val="16"/>
              </w:numPr>
            </w:pPr>
            <w:r w:rsidRPr="00122044">
              <w:t xml:space="preserve">If the total </w:t>
            </w:r>
            <w:r>
              <w:t xml:space="preserve">chronic </w:t>
            </w:r>
            <w:r w:rsidRPr="00122044">
              <w:t xml:space="preserve">dietary exposure </w:t>
            </w:r>
            <w:r>
              <w:t>(NEDI)</w:t>
            </w:r>
            <w:r w:rsidRPr="00122044">
              <w:t xml:space="preserve"> </w:t>
            </w:r>
            <w:r>
              <w:t xml:space="preserve">at the proposed </w:t>
            </w:r>
            <w:r>
              <w:rPr>
                <w:i/>
              </w:rPr>
              <w:t>All other foods except animal food commodities</w:t>
            </w:r>
            <w:r w:rsidRPr="00122044">
              <w:t xml:space="preserve"> MRL </w:t>
            </w:r>
            <w:r>
              <w:t>is lower than</w:t>
            </w:r>
            <w:r w:rsidRPr="00122044">
              <w:t xml:space="preserve"> 100% of the HBGV</w:t>
            </w:r>
            <w:r>
              <w:t xml:space="preserve">, the proposed </w:t>
            </w:r>
            <w:r>
              <w:rPr>
                <w:i/>
              </w:rPr>
              <w:t>All other foods except animal food commodities</w:t>
            </w:r>
            <w:r>
              <w:t xml:space="preserve"> MRL may be adjusted on a case by case basis until the </w:t>
            </w:r>
            <w:r w:rsidRPr="004612CF">
              <w:t xml:space="preserve">percentage contribution of </w:t>
            </w:r>
            <w:r>
              <w:rPr>
                <w:i/>
              </w:rPr>
              <w:t>All other foods except animal food commodities</w:t>
            </w:r>
            <w:r w:rsidRPr="004612CF">
              <w:t xml:space="preserve"> to total chronic dietary exposure</w:t>
            </w:r>
            <w:r>
              <w:t xml:space="preserve"> is less </w:t>
            </w:r>
            <w:r w:rsidRPr="00F13006">
              <w:t xml:space="preserve">than </w:t>
            </w:r>
            <w:r>
              <w:t xml:space="preserve">or equal to </w:t>
            </w:r>
            <w:r w:rsidRPr="00F13006">
              <w:t>20% of total dietary exposure (providing</w:t>
            </w:r>
            <w:r>
              <w:t xml:space="preserve"> the NESTI using the proposed </w:t>
            </w:r>
            <w:r w:rsidRPr="00690D3F">
              <w:rPr>
                <w:i/>
              </w:rPr>
              <w:t xml:space="preserve">All other foods except animal </w:t>
            </w:r>
            <w:r>
              <w:rPr>
                <w:i/>
              </w:rPr>
              <w:t xml:space="preserve">food </w:t>
            </w:r>
            <w:r w:rsidRPr="00690D3F">
              <w:rPr>
                <w:i/>
              </w:rPr>
              <w:t>commodities</w:t>
            </w:r>
            <w:r>
              <w:t xml:space="preserve"> MRL remains &lt;100% ARfD).</w:t>
            </w:r>
          </w:p>
          <w:p w14:paraId="62C872BA" w14:textId="77777777" w:rsidR="00420F9C" w:rsidRPr="004612CF" w:rsidRDefault="00420F9C" w:rsidP="00420F9C">
            <w:pPr>
              <w:pStyle w:val="ListParagraph"/>
              <w:numPr>
                <w:ilvl w:val="0"/>
                <w:numId w:val="16"/>
              </w:numPr>
            </w:pPr>
            <w:r>
              <w:t>If the</w:t>
            </w:r>
            <w:r w:rsidRPr="000C07E7">
              <w:t xml:space="preserve"> proposed</w:t>
            </w:r>
            <w:r>
              <w:rPr>
                <w:i/>
              </w:rPr>
              <w:t xml:space="preserve"> All other foods except animal food commodities</w:t>
            </w:r>
            <w:r w:rsidRPr="000C07E7">
              <w:t xml:space="preserve"> MRL will not contribute in excess of 20% </w:t>
            </w:r>
            <w:r>
              <w:t>of the</w:t>
            </w:r>
            <w:r w:rsidRPr="000C07E7">
              <w:t xml:space="preserve"> total chronic dietary exposure or result in an acute dietary exposure estimate that e</w:t>
            </w:r>
            <w:r>
              <w:t xml:space="preserve">xceeds the ARfD, then the </w:t>
            </w:r>
            <w:r>
              <w:rPr>
                <w:i/>
              </w:rPr>
              <w:t>All other foods except animal food commodities</w:t>
            </w:r>
            <w:r w:rsidRPr="000C07E7">
              <w:t xml:space="preserve"> </w:t>
            </w:r>
            <w:r>
              <w:t>MRL for the chemical residue can be included in a FSANZ or APVMA proposal to change the Code.</w:t>
            </w:r>
          </w:p>
          <w:p w14:paraId="5011428B" w14:textId="77777777" w:rsidR="00420F9C" w:rsidRDefault="00420F9C" w:rsidP="003F182A">
            <w:pPr>
              <w:rPr>
                <w:lang w:val="en-GB"/>
              </w:rPr>
            </w:pPr>
          </w:p>
        </w:tc>
      </w:tr>
    </w:tbl>
    <w:p w14:paraId="4B6D35D4" w14:textId="152768B3" w:rsidR="00FA53CB" w:rsidRPr="00F85DCF" w:rsidRDefault="00FA53CB">
      <w:pPr>
        <w:rPr>
          <w:lang w:val="en-GB"/>
        </w:rPr>
      </w:pPr>
    </w:p>
    <w:p w14:paraId="1C01025F" w14:textId="7A22C20B" w:rsidR="00FA53CB" w:rsidRPr="00F85DCF" w:rsidRDefault="000E0D6C" w:rsidP="00FA53CB">
      <w:pPr>
        <w:pStyle w:val="Heading1"/>
      </w:pPr>
      <w:bookmarkStart w:id="52" w:name="_Toc448848090"/>
      <w:r w:rsidRPr="00F85DCF">
        <w:t>7</w:t>
      </w:r>
      <w:r w:rsidRPr="00F85DCF">
        <w:tab/>
      </w:r>
      <w:r w:rsidR="00FA53CB" w:rsidRPr="00F85DCF">
        <w:t>References</w:t>
      </w:r>
      <w:bookmarkEnd w:id="52"/>
    </w:p>
    <w:p w14:paraId="6DC4BFCA" w14:textId="77777777" w:rsidR="00FA53CB" w:rsidRPr="00F85DCF" w:rsidRDefault="00FA53CB" w:rsidP="00FA53CB">
      <w:pPr>
        <w:rPr>
          <w:sz w:val="20"/>
          <w:lang w:val="en-GB"/>
        </w:rPr>
      </w:pPr>
      <w:r w:rsidRPr="00F85DCF">
        <w:rPr>
          <w:sz w:val="20"/>
          <w:lang w:val="en-GB"/>
        </w:rPr>
        <w:t xml:space="preserve">FSANZ (2009). </w:t>
      </w:r>
      <w:r w:rsidRPr="00F85DCF">
        <w:rPr>
          <w:i/>
          <w:sz w:val="20"/>
          <w:lang w:val="en-GB"/>
        </w:rPr>
        <w:t>Principles and Practices of Dietary Exposure Assessment for Food Regulatory Purposes</w:t>
      </w:r>
      <w:r w:rsidRPr="00F85DCF">
        <w:rPr>
          <w:sz w:val="20"/>
          <w:lang w:val="en-GB"/>
        </w:rPr>
        <w:t xml:space="preserve">. </w:t>
      </w:r>
      <w:hyperlink r:id="rId16" w:history="1">
        <w:r w:rsidRPr="00F85DCF">
          <w:rPr>
            <w:rStyle w:val="Hyperlink"/>
            <w:sz w:val="20"/>
            <w:lang w:val="en-GB"/>
          </w:rPr>
          <w:t>http://www.foodstandards.gov.au/science/exposure/Documents/Principles%20_%20practices%20exposure%20assessment%202009.pdf</w:t>
        </w:r>
      </w:hyperlink>
    </w:p>
    <w:p w14:paraId="2FFE9AF3" w14:textId="77777777" w:rsidR="00FA53CB" w:rsidRPr="00F85DCF" w:rsidRDefault="00FA53CB" w:rsidP="00FA53CB">
      <w:pPr>
        <w:rPr>
          <w:sz w:val="20"/>
          <w:lang w:val="en-GB"/>
        </w:rPr>
      </w:pPr>
    </w:p>
    <w:p w14:paraId="571B406B" w14:textId="77777777" w:rsidR="00FA53CB" w:rsidRPr="00F85DCF" w:rsidRDefault="00FA53CB" w:rsidP="00FA53CB">
      <w:pPr>
        <w:rPr>
          <w:sz w:val="20"/>
          <w:lang w:val="en-GB"/>
        </w:rPr>
      </w:pPr>
      <w:r w:rsidRPr="00F85DCF">
        <w:rPr>
          <w:sz w:val="20"/>
          <w:lang w:val="en-GB"/>
        </w:rPr>
        <w:t xml:space="preserve">WHO/FAO (2009a) Environmental Health Criteria 240 Principles and Methods for the Risk Assessment of Chemicals in Food. A joint publication of the Food and Agriculture Organization of the United Nations and the World Health Organization. </w:t>
      </w:r>
      <w:hyperlink r:id="rId17" w:history="1">
        <w:r w:rsidRPr="00F85DCF">
          <w:rPr>
            <w:rStyle w:val="Hyperlink"/>
            <w:sz w:val="20"/>
            <w:lang w:val="en-GB"/>
          </w:rPr>
          <w:t>http://www.inchem.org/documents/ehc/ehc/ehc240_index.htm</w:t>
        </w:r>
      </w:hyperlink>
    </w:p>
    <w:p w14:paraId="4B831B84" w14:textId="77777777" w:rsidR="00FA53CB" w:rsidRPr="00F85DCF" w:rsidRDefault="00FA53CB" w:rsidP="00FA53CB">
      <w:pPr>
        <w:rPr>
          <w:sz w:val="20"/>
          <w:lang w:val="en-GB"/>
        </w:rPr>
      </w:pPr>
    </w:p>
    <w:p w14:paraId="7FC37E33" w14:textId="77777777" w:rsidR="00FA53CB" w:rsidRPr="00F85DCF" w:rsidRDefault="00FA53CB" w:rsidP="00FA53CB">
      <w:pPr>
        <w:rPr>
          <w:sz w:val="20"/>
          <w:lang w:val="en-GB"/>
        </w:rPr>
      </w:pPr>
      <w:r w:rsidRPr="00F85DCF">
        <w:rPr>
          <w:sz w:val="20"/>
          <w:lang w:val="en-GB"/>
        </w:rPr>
        <w:t xml:space="preserve">WHO (2009b) </w:t>
      </w:r>
      <w:r w:rsidRPr="00F85DCF">
        <w:rPr>
          <w:i/>
          <w:sz w:val="20"/>
          <w:lang w:val="en-GB"/>
        </w:rPr>
        <w:t>Acute and chronic hazard exposure assessments.</w:t>
      </w:r>
      <w:r w:rsidRPr="00F85DCF">
        <w:rPr>
          <w:sz w:val="20"/>
          <w:lang w:val="en-GB"/>
        </w:rPr>
        <w:t xml:space="preserve"> Joint FAO/WHO Meeting on Pesticide Residues. </w:t>
      </w:r>
      <w:hyperlink r:id="rId18" w:history="1">
        <w:r w:rsidRPr="00F85DCF">
          <w:rPr>
            <w:rStyle w:val="Hyperlink"/>
            <w:sz w:val="20"/>
            <w:lang w:val="en-GB"/>
          </w:rPr>
          <w:t>http://www.who.int/foodsafety/chem/acute_data/en/</w:t>
        </w:r>
      </w:hyperlink>
    </w:p>
    <w:p w14:paraId="09CD7646" w14:textId="77777777" w:rsidR="00FA53CB" w:rsidRPr="00F85DCF" w:rsidRDefault="00FA53CB" w:rsidP="00FA53CB">
      <w:pPr>
        <w:rPr>
          <w:lang w:val="en-GB"/>
        </w:rPr>
      </w:pPr>
      <w:r w:rsidRPr="00F85DCF">
        <w:rPr>
          <w:lang w:val="en-GB"/>
        </w:rPr>
        <w:br w:type="page"/>
      </w:r>
    </w:p>
    <w:p w14:paraId="159F9D60" w14:textId="0742A276" w:rsidR="00044F58" w:rsidRPr="00F85DCF" w:rsidRDefault="00710566" w:rsidP="000E0D6C">
      <w:pPr>
        <w:pStyle w:val="Heading2"/>
      </w:pPr>
      <w:bookmarkStart w:id="53" w:name="_Toc448848091"/>
      <w:r w:rsidRPr="00F85DCF">
        <w:lastRenderedPageBreak/>
        <w:t xml:space="preserve">Appendix </w:t>
      </w:r>
      <w:r w:rsidR="00BA10D3" w:rsidRPr="00F85DCF">
        <w:t>A</w:t>
      </w:r>
      <w:r w:rsidRPr="00F85DCF">
        <w:t>1</w:t>
      </w:r>
      <w:r w:rsidR="000E0D6C" w:rsidRPr="00F85DCF">
        <w:t xml:space="preserve"> – </w:t>
      </w:r>
      <w:r w:rsidRPr="00F85DCF">
        <w:t xml:space="preserve">Stage 1 </w:t>
      </w:r>
      <w:r w:rsidR="00FC0DB1">
        <w:t>–</w:t>
      </w:r>
      <w:r w:rsidRPr="00F85DCF">
        <w:t xml:space="preserve"> </w:t>
      </w:r>
      <w:r w:rsidR="00044F58" w:rsidRPr="00F85DCF">
        <w:t>Chemicals for assessment</w:t>
      </w:r>
      <w:bookmarkEnd w:id="53"/>
      <w:r w:rsidR="00044F58" w:rsidRPr="00F85DCF">
        <w:t xml:space="preserve"> </w:t>
      </w:r>
    </w:p>
    <w:p w14:paraId="7A5445BA" w14:textId="4555348B" w:rsidR="008C4064" w:rsidRPr="00F85DCF" w:rsidRDefault="00044F58" w:rsidP="008F5EFD">
      <w:pPr>
        <w:rPr>
          <w:lang w:val="en-GB" w:eastAsia="en-AU"/>
        </w:rPr>
      </w:pPr>
      <w:r w:rsidRPr="00F85DCF">
        <w:rPr>
          <w:lang w:val="en-GB" w:eastAsia="en-AU"/>
        </w:rPr>
        <w:t xml:space="preserve">The application of </w:t>
      </w:r>
      <w:r w:rsidR="009B20F2" w:rsidRPr="00F85DCF">
        <w:rPr>
          <w:lang w:val="en-GB" w:eastAsia="en-AU"/>
        </w:rPr>
        <w:t xml:space="preserve">screening </w:t>
      </w:r>
      <w:r w:rsidRPr="00F85DCF">
        <w:rPr>
          <w:lang w:val="en-GB" w:eastAsia="en-AU"/>
        </w:rPr>
        <w:t>criteria to</w:t>
      </w:r>
      <w:r w:rsidR="00712557" w:rsidRPr="00F85DCF">
        <w:rPr>
          <w:lang w:val="en-GB" w:eastAsia="en-AU"/>
        </w:rPr>
        <w:t xml:space="preserve"> the</w:t>
      </w:r>
      <w:r w:rsidRPr="00F85DCF">
        <w:rPr>
          <w:lang w:val="en-GB" w:eastAsia="en-AU"/>
        </w:rPr>
        <w:t xml:space="preserve"> initial list of 132 </w:t>
      </w:r>
      <w:r w:rsidR="00E25E86" w:rsidRPr="00F85DCF">
        <w:rPr>
          <w:lang w:val="en-GB" w:eastAsia="en-AU"/>
        </w:rPr>
        <w:t xml:space="preserve">agvet </w:t>
      </w:r>
      <w:r w:rsidRPr="00F85DCF">
        <w:rPr>
          <w:lang w:val="en-GB" w:eastAsia="en-AU"/>
        </w:rPr>
        <w:t xml:space="preserve">chemicals </w:t>
      </w:r>
      <w:r w:rsidR="00E71699" w:rsidRPr="00F85DCF">
        <w:rPr>
          <w:lang w:val="en-GB" w:eastAsia="en-AU"/>
        </w:rPr>
        <w:t xml:space="preserve">resulted in </w:t>
      </w:r>
      <w:r w:rsidR="00C252F3">
        <w:rPr>
          <w:lang w:val="en-GB" w:eastAsia="en-AU"/>
        </w:rPr>
        <w:t>19</w:t>
      </w:r>
      <w:r w:rsidR="00C252F3" w:rsidRPr="00F85DCF">
        <w:rPr>
          <w:lang w:val="en-GB" w:eastAsia="en-AU"/>
        </w:rPr>
        <w:t xml:space="preserve"> </w:t>
      </w:r>
      <w:r w:rsidR="00E25E86" w:rsidRPr="00F85DCF">
        <w:rPr>
          <w:lang w:val="en-GB" w:eastAsia="en-AU"/>
        </w:rPr>
        <w:t xml:space="preserve">agvet </w:t>
      </w:r>
      <w:r w:rsidRPr="00F85DCF">
        <w:rPr>
          <w:lang w:val="en-GB" w:eastAsia="en-AU"/>
        </w:rPr>
        <w:t xml:space="preserve">chemicals </w:t>
      </w:r>
      <w:r w:rsidR="00E71699" w:rsidRPr="00F85DCF">
        <w:rPr>
          <w:lang w:val="en-GB" w:eastAsia="en-AU"/>
        </w:rPr>
        <w:t xml:space="preserve">short-listed </w:t>
      </w:r>
      <w:r w:rsidRPr="00F85DCF">
        <w:rPr>
          <w:lang w:val="en-GB" w:eastAsia="en-AU"/>
        </w:rPr>
        <w:t>for consideration in P1027</w:t>
      </w:r>
      <w:r w:rsidR="008C4064" w:rsidRPr="00F85DCF">
        <w:rPr>
          <w:lang w:val="en-GB" w:eastAsia="en-AU"/>
        </w:rPr>
        <w:t xml:space="preserve"> (Table </w:t>
      </w:r>
      <w:r w:rsidR="009C7C71" w:rsidRPr="00F85DCF">
        <w:rPr>
          <w:lang w:val="en-GB" w:eastAsia="en-AU"/>
        </w:rPr>
        <w:t>3</w:t>
      </w:r>
      <w:r w:rsidR="008C4064" w:rsidRPr="00F85DCF">
        <w:rPr>
          <w:lang w:val="en-GB" w:eastAsia="en-AU"/>
        </w:rPr>
        <w:t>)</w:t>
      </w:r>
      <w:r w:rsidRPr="00F85DCF">
        <w:rPr>
          <w:lang w:val="en-GB" w:eastAsia="en-AU"/>
        </w:rPr>
        <w:t xml:space="preserve">. A list of the </w:t>
      </w:r>
      <w:r w:rsidR="00E25E86" w:rsidRPr="00F85DCF">
        <w:rPr>
          <w:lang w:val="en-GB" w:eastAsia="en-AU"/>
        </w:rPr>
        <w:t xml:space="preserve">agvet </w:t>
      </w:r>
      <w:r w:rsidRPr="00F85DCF">
        <w:rPr>
          <w:lang w:val="en-GB" w:eastAsia="en-AU"/>
        </w:rPr>
        <w:t xml:space="preserve">chemicals that were excluded and the reason for their exclusion is provided at </w:t>
      </w:r>
      <w:r w:rsidR="00DF6FB6" w:rsidRPr="00F85DCF">
        <w:rPr>
          <w:lang w:val="en-GB" w:eastAsia="en-AU"/>
        </w:rPr>
        <w:t xml:space="preserve">Appendix </w:t>
      </w:r>
      <w:r w:rsidR="00E65498" w:rsidRPr="00F85DCF">
        <w:rPr>
          <w:lang w:val="en-GB" w:eastAsia="en-AU"/>
        </w:rPr>
        <w:t>A</w:t>
      </w:r>
      <w:r w:rsidR="001E5781" w:rsidRPr="00F85DCF">
        <w:rPr>
          <w:lang w:val="en-GB" w:eastAsia="en-AU"/>
        </w:rPr>
        <w:t>4</w:t>
      </w:r>
      <w:r w:rsidRPr="00F85DCF">
        <w:rPr>
          <w:lang w:val="en-GB" w:eastAsia="en-AU"/>
        </w:rPr>
        <w:t xml:space="preserve">. It should be noted that </w:t>
      </w:r>
      <w:r w:rsidR="00712557" w:rsidRPr="00F85DCF">
        <w:rPr>
          <w:lang w:val="en-GB" w:eastAsia="en-AU"/>
        </w:rPr>
        <w:t>t</w:t>
      </w:r>
      <w:r w:rsidRPr="00F85DCF">
        <w:rPr>
          <w:lang w:val="en-GB" w:eastAsia="en-AU"/>
        </w:rPr>
        <w:t xml:space="preserve">he establishment of an </w:t>
      </w:r>
      <w:r w:rsidR="00B52164" w:rsidRPr="00F85DCF">
        <w:rPr>
          <w:i/>
          <w:lang w:val="en-GB" w:eastAsia="en-AU"/>
        </w:rPr>
        <w:t>A</w:t>
      </w:r>
      <w:r w:rsidR="00A855D9" w:rsidRPr="00F85DCF">
        <w:rPr>
          <w:i/>
          <w:lang w:val="en-GB" w:eastAsia="en-AU"/>
        </w:rPr>
        <w:t xml:space="preserve">ll other foods </w:t>
      </w:r>
      <w:r w:rsidR="0003601D" w:rsidRPr="00F85DCF">
        <w:rPr>
          <w:i/>
          <w:lang w:val="en-GB" w:eastAsia="en-AU"/>
        </w:rPr>
        <w:t xml:space="preserve">except animal </w:t>
      </w:r>
      <w:r w:rsidR="00D767BE">
        <w:rPr>
          <w:i/>
          <w:lang w:val="en-GB" w:eastAsia="en-AU"/>
        </w:rPr>
        <w:t xml:space="preserve">food </w:t>
      </w:r>
      <w:r w:rsidR="0003601D" w:rsidRPr="00F85DCF">
        <w:rPr>
          <w:i/>
          <w:lang w:val="en-GB" w:eastAsia="en-AU"/>
        </w:rPr>
        <w:t>commoditie</w:t>
      </w:r>
      <w:r w:rsidR="00A855D9" w:rsidRPr="00F85DCF">
        <w:rPr>
          <w:i/>
          <w:lang w:val="en-GB" w:eastAsia="en-AU"/>
        </w:rPr>
        <w:t>s</w:t>
      </w:r>
      <w:r w:rsidR="00E55179" w:rsidRPr="00F85DCF">
        <w:rPr>
          <w:lang w:val="en-GB" w:eastAsia="en-AU"/>
        </w:rPr>
        <w:t xml:space="preserve"> </w:t>
      </w:r>
      <w:r w:rsidRPr="00F85DCF">
        <w:rPr>
          <w:lang w:val="en-GB" w:eastAsia="en-AU"/>
        </w:rPr>
        <w:t xml:space="preserve">MRL is dependent on the outcome of the </w:t>
      </w:r>
      <w:r w:rsidR="00E55179" w:rsidRPr="00F85DCF">
        <w:rPr>
          <w:lang w:val="en-GB" w:eastAsia="en-AU"/>
        </w:rPr>
        <w:t>DEA</w:t>
      </w:r>
      <w:r w:rsidR="008C4064" w:rsidRPr="00F85DCF">
        <w:rPr>
          <w:lang w:val="en-GB" w:eastAsia="en-AU"/>
        </w:rPr>
        <w:t xml:space="preserve"> </w:t>
      </w:r>
      <w:r w:rsidR="009B20F2" w:rsidRPr="00F85DCF">
        <w:rPr>
          <w:lang w:val="en-GB" w:eastAsia="en-AU"/>
        </w:rPr>
        <w:t xml:space="preserve">at </w:t>
      </w:r>
      <w:r w:rsidR="00DF6FB6" w:rsidRPr="00F85DCF">
        <w:rPr>
          <w:lang w:val="en-GB" w:eastAsia="en-AU"/>
        </w:rPr>
        <w:t>Stage 2</w:t>
      </w:r>
      <w:r w:rsidR="008C4064" w:rsidRPr="00F85DCF">
        <w:rPr>
          <w:lang w:val="en-GB" w:eastAsia="en-AU"/>
        </w:rPr>
        <w:t xml:space="preserve">, </w:t>
      </w:r>
      <w:r w:rsidR="009B20F2" w:rsidRPr="00F85DCF">
        <w:rPr>
          <w:lang w:val="en-GB" w:eastAsia="en-AU"/>
        </w:rPr>
        <w:t>(</w:t>
      </w:r>
      <w:r w:rsidR="008C4064" w:rsidRPr="00F85DCF">
        <w:rPr>
          <w:lang w:val="en-GB" w:eastAsia="en-AU"/>
        </w:rPr>
        <w:t>see below)</w:t>
      </w:r>
      <w:r w:rsidR="00712557" w:rsidRPr="00F85DCF">
        <w:rPr>
          <w:lang w:val="en-GB" w:eastAsia="en-AU"/>
        </w:rPr>
        <w:t>.</w:t>
      </w:r>
      <w:r w:rsidR="00C72643" w:rsidRPr="00F85DCF">
        <w:rPr>
          <w:lang w:val="en-GB"/>
        </w:rPr>
        <w:t xml:space="preserve"> </w:t>
      </w:r>
    </w:p>
    <w:p w14:paraId="0E03E430" w14:textId="4981A9E0" w:rsidR="008C4064" w:rsidRPr="00F85DCF" w:rsidRDefault="008C4064" w:rsidP="005F3AD9">
      <w:pPr>
        <w:pStyle w:val="FSTableColumnRowheading"/>
        <w:rPr>
          <w:lang w:val="en-GB"/>
        </w:rPr>
      </w:pPr>
      <w:r w:rsidRPr="00F85DCF">
        <w:rPr>
          <w:lang w:val="en-GB"/>
        </w:rPr>
        <w:t xml:space="preserve">Table </w:t>
      </w:r>
      <w:r w:rsidR="009C7C71" w:rsidRPr="00F85DCF">
        <w:rPr>
          <w:lang w:val="en-GB"/>
        </w:rPr>
        <w:t>3:</w:t>
      </w:r>
      <w:r w:rsidR="00D56F9A" w:rsidRPr="00F85DCF">
        <w:rPr>
          <w:lang w:val="en-GB"/>
        </w:rPr>
        <w:tab/>
      </w:r>
      <w:r w:rsidR="00AD1479" w:rsidRPr="00F85DCF">
        <w:rPr>
          <w:lang w:val="en-GB"/>
        </w:rPr>
        <w:t xml:space="preserve">Agvet </w:t>
      </w:r>
      <w:r w:rsidRPr="00F85DCF">
        <w:rPr>
          <w:lang w:val="en-GB"/>
        </w:rPr>
        <w:t xml:space="preserve">Chemicals </w:t>
      </w:r>
      <w:r w:rsidR="00192240" w:rsidRPr="00F85DCF">
        <w:rPr>
          <w:lang w:val="en-GB"/>
        </w:rPr>
        <w:t>progress</w:t>
      </w:r>
      <w:r w:rsidR="00996331" w:rsidRPr="00F85DCF">
        <w:rPr>
          <w:lang w:val="en-GB"/>
        </w:rPr>
        <w:t>ed</w:t>
      </w:r>
      <w:r w:rsidR="00192240" w:rsidRPr="00F85DCF">
        <w:rPr>
          <w:lang w:val="en-GB"/>
        </w:rPr>
        <w:t xml:space="preserve"> to Stage 2</w:t>
      </w:r>
      <w:r w:rsidR="004D5D3A" w:rsidRPr="00F85DCF">
        <w:rPr>
          <w:lang w:val="en-GB"/>
        </w:rPr>
        <w:t xml:space="preserve"> following Stage 1 screening</w:t>
      </w:r>
    </w:p>
    <w:tbl>
      <w:tblPr>
        <w:tblStyle w:val="LightShading"/>
        <w:tblW w:w="0" w:type="auto"/>
        <w:tblLook w:val="04A0" w:firstRow="1" w:lastRow="0" w:firstColumn="1" w:lastColumn="0" w:noHBand="0" w:noVBand="1"/>
      </w:tblPr>
      <w:tblGrid>
        <w:gridCol w:w="2834"/>
        <w:gridCol w:w="5141"/>
      </w:tblGrid>
      <w:tr w:rsidR="00C71B0A" w:rsidRPr="00F85DCF" w14:paraId="32978D65" w14:textId="4B892C98" w:rsidTr="003F1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9621B1" w14:textId="650C7189" w:rsidR="00C71B0A" w:rsidRPr="00F85DCF" w:rsidRDefault="00735E1E" w:rsidP="00C71B0A">
            <w:pPr>
              <w:rPr>
                <w:rFonts w:cs="Arial"/>
                <w:color w:val="auto"/>
                <w:sz w:val="20"/>
                <w:szCs w:val="20"/>
                <w:lang w:val="en-GB" w:eastAsia="en-GB"/>
              </w:rPr>
            </w:pPr>
            <w:r w:rsidRPr="00F85DCF">
              <w:rPr>
                <w:rFonts w:cs="Arial"/>
                <w:color w:val="auto"/>
                <w:sz w:val="20"/>
                <w:szCs w:val="20"/>
                <w:lang w:val="en-GB" w:eastAsia="en-GB"/>
              </w:rPr>
              <w:t xml:space="preserve">Agvet </w:t>
            </w:r>
            <w:r w:rsidR="00C71B0A" w:rsidRPr="00F85DCF">
              <w:rPr>
                <w:rFonts w:cs="Arial"/>
                <w:color w:val="auto"/>
                <w:sz w:val="20"/>
                <w:szCs w:val="20"/>
                <w:lang w:val="en-GB" w:eastAsia="en-GB"/>
              </w:rPr>
              <w:t>Chemical</w:t>
            </w:r>
          </w:p>
        </w:tc>
        <w:tc>
          <w:tcPr>
            <w:tcW w:w="0" w:type="auto"/>
          </w:tcPr>
          <w:p w14:paraId="72AA006E" w14:textId="77777777" w:rsidR="000A585E" w:rsidRPr="00F85DCF" w:rsidRDefault="000A585E" w:rsidP="000A585E">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Estimated dietary exposure,</w:t>
            </w:r>
          </w:p>
          <w:p w14:paraId="68809D35" w14:textId="275E96F0" w:rsidR="00C71B0A" w:rsidRPr="00F85DCF" w:rsidRDefault="00E55179" w:rsidP="00463A9A">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 xml:space="preserve">expressed </w:t>
            </w:r>
            <w:r w:rsidR="000A585E" w:rsidRPr="00F85DCF">
              <w:rPr>
                <w:rFonts w:cs="Arial"/>
                <w:color w:val="auto"/>
                <w:sz w:val="20"/>
                <w:szCs w:val="20"/>
                <w:lang w:val="en-GB"/>
              </w:rPr>
              <w:t xml:space="preserve">as a </w:t>
            </w:r>
            <w:r w:rsidR="00C71B0A" w:rsidRPr="00F85DCF">
              <w:rPr>
                <w:rFonts w:cs="Arial"/>
                <w:color w:val="auto"/>
                <w:sz w:val="20"/>
                <w:szCs w:val="20"/>
                <w:lang w:val="en-GB"/>
              </w:rPr>
              <w:t xml:space="preserve">%ADI </w:t>
            </w:r>
            <w:r w:rsidR="00463A9A" w:rsidRPr="00F85DCF">
              <w:rPr>
                <w:rFonts w:cs="Arial"/>
                <w:color w:val="auto"/>
                <w:sz w:val="20"/>
                <w:szCs w:val="20"/>
                <w:lang w:val="en-GB"/>
              </w:rPr>
              <w:t xml:space="preserve">based on </w:t>
            </w:r>
            <w:r w:rsidR="00C71B0A" w:rsidRPr="00F85DCF">
              <w:rPr>
                <w:rFonts w:cs="Arial"/>
                <w:color w:val="auto"/>
                <w:sz w:val="20"/>
                <w:szCs w:val="20"/>
                <w:lang w:val="en-GB"/>
              </w:rPr>
              <w:t>current permissions</w:t>
            </w:r>
          </w:p>
        </w:tc>
      </w:tr>
      <w:tr w:rsidR="00C71B0A" w:rsidRPr="00F85DCF" w14:paraId="69718398" w14:textId="0959A54D" w:rsidTr="003F1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B182C89" w14:textId="2ABF55A1"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2-Phenylphenol</w:t>
            </w:r>
          </w:p>
        </w:tc>
        <w:tc>
          <w:tcPr>
            <w:tcW w:w="0" w:type="auto"/>
          </w:tcPr>
          <w:p w14:paraId="4F273FAE" w14:textId="7FB86A73" w:rsidR="00C71B0A" w:rsidRPr="00F85DCF" w:rsidRDefault="0044351F" w:rsidP="004444C7">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14</w:t>
            </w:r>
            <w:r w:rsidR="00C71B0A" w:rsidRPr="00F85DCF">
              <w:rPr>
                <w:rFonts w:cs="Arial"/>
                <w:color w:val="auto"/>
                <w:sz w:val="20"/>
                <w:szCs w:val="20"/>
                <w:lang w:val="en-GB"/>
              </w:rPr>
              <w:t>%</w:t>
            </w:r>
            <w:r w:rsidR="0088500B" w:rsidRPr="00F85DCF">
              <w:rPr>
                <w:rFonts w:cs="Arial"/>
                <w:color w:val="auto"/>
                <w:sz w:val="20"/>
                <w:szCs w:val="20"/>
                <w:lang w:val="en-GB"/>
              </w:rPr>
              <w:t xml:space="preserve"> (7% citrus only)</w:t>
            </w:r>
          </w:p>
        </w:tc>
      </w:tr>
      <w:tr w:rsidR="00C71B0A" w:rsidRPr="00F85DCF" w14:paraId="1ACAEEED" w14:textId="21940A7C" w:rsidTr="003F182A">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2D259C7" w14:textId="792579A3"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Ametoctradin</w:t>
            </w:r>
          </w:p>
        </w:tc>
        <w:tc>
          <w:tcPr>
            <w:tcW w:w="0" w:type="auto"/>
          </w:tcPr>
          <w:p w14:paraId="4762FE74" w14:textId="1CEDEB29" w:rsidR="00C71B0A" w:rsidRPr="00F85DCF" w:rsidRDefault="00192240" w:rsidP="00E02AF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&lt;1</w:t>
            </w:r>
            <w:r w:rsidR="00C71B0A" w:rsidRPr="00F85DCF">
              <w:rPr>
                <w:rFonts w:cs="Arial"/>
                <w:color w:val="auto"/>
                <w:sz w:val="20"/>
                <w:szCs w:val="20"/>
                <w:lang w:val="en-GB"/>
              </w:rPr>
              <w:t>%</w:t>
            </w:r>
          </w:p>
        </w:tc>
      </w:tr>
      <w:tr w:rsidR="00C71B0A" w:rsidRPr="00F85DCF" w14:paraId="14960724" w14:textId="0411D628" w:rsidTr="003F1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63CC672" w14:textId="11B661E3"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Azoxystrobin</w:t>
            </w:r>
          </w:p>
        </w:tc>
        <w:tc>
          <w:tcPr>
            <w:tcW w:w="0" w:type="auto"/>
          </w:tcPr>
          <w:p w14:paraId="3B517840" w14:textId="428F941C"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33%</w:t>
            </w:r>
          </w:p>
        </w:tc>
      </w:tr>
      <w:tr w:rsidR="00C71B0A" w:rsidRPr="00F85DCF" w14:paraId="48187ACA" w14:textId="72B671F1" w:rsidTr="003F182A">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A9CAFFE" w14:textId="55CC829D"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Bifenthrin</w:t>
            </w:r>
          </w:p>
        </w:tc>
        <w:tc>
          <w:tcPr>
            <w:tcW w:w="0" w:type="auto"/>
          </w:tcPr>
          <w:p w14:paraId="5C3E18EB" w14:textId="1931C91F"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44%</w:t>
            </w:r>
          </w:p>
        </w:tc>
      </w:tr>
      <w:tr w:rsidR="00C71B0A" w:rsidRPr="00F85DCF" w14:paraId="734F09EF" w14:textId="163D3AB2" w:rsidTr="003F1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50F9EE1" w14:textId="34959A41"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Captan</w:t>
            </w:r>
          </w:p>
        </w:tc>
        <w:tc>
          <w:tcPr>
            <w:tcW w:w="0" w:type="auto"/>
          </w:tcPr>
          <w:p w14:paraId="460188D8" w14:textId="0472084B"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31%</w:t>
            </w:r>
          </w:p>
        </w:tc>
      </w:tr>
      <w:tr w:rsidR="00C71B0A" w:rsidRPr="00F85DCF" w14:paraId="506C8B5D" w14:textId="005F83BF" w:rsidTr="003F182A">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A3CFAC1" w14:textId="008C4095"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Cyfluthrin</w:t>
            </w:r>
          </w:p>
        </w:tc>
        <w:tc>
          <w:tcPr>
            <w:tcW w:w="0" w:type="auto"/>
          </w:tcPr>
          <w:p w14:paraId="6B4DE2E4" w14:textId="25B4D102"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45%</w:t>
            </w:r>
          </w:p>
        </w:tc>
      </w:tr>
      <w:tr w:rsidR="00C71B0A" w:rsidRPr="00F85DCF" w14:paraId="791512DA" w14:textId="4599A8D1" w:rsidTr="003F1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30A3160" w14:textId="56D9806D"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Deltamethrin</w:t>
            </w:r>
          </w:p>
        </w:tc>
        <w:tc>
          <w:tcPr>
            <w:tcW w:w="0" w:type="auto"/>
          </w:tcPr>
          <w:p w14:paraId="32EE32B8" w14:textId="6585B063"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69%</w:t>
            </w:r>
          </w:p>
        </w:tc>
      </w:tr>
      <w:tr w:rsidR="00C71B0A" w:rsidRPr="00F85DCF" w14:paraId="4F9CBF38" w14:textId="19A4FBAB" w:rsidTr="003F182A">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8813360" w14:textId="6E633678"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Fenhexamid</w:t>
            </w:r>
          </w:p>
        </w:tc>
        <w:tc>
          <w:tcPr>
            <w:tcW w:w="0" w:type="auto"/>
          </w:tcPr>
          <w:p w14:paraId="6957866A" w14:textId="54CCBA54"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9%</w:t>
            </w:r>
          </w:p>
        </w:tc>
      </w:tr>
      <w:tr w:rsidR="00C71B0A" w:rsidRPr="00F85DCF" w14:paraId="5470811E" w14:textId="3B394AEE" w:rsidTr="003F1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B609CE9" w14:textId="10E56B9C"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Fludioxonil</w:t>
            </w:r>
          </w:p>
        </w:tc>
        <w:tc>
          <w:tcPr>
            <w:tcW w:w="0" w:type="auto"/>
          </w:tcPr>
          <w:p w14:paraId="1FFC646E" w14:textId="4D1505BA"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29%</w:t>
            </w:r>
          </w:p>
        </w:tc>
      </w:tr>
      <w:tr w:rsidR="00C71B0A" w:rsidRPr="00F85DCF" w14:paraId="1EBC3DF6" w14:textId="410A8E09" w:rsidTr="003F182A">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163A01" w14:textId="77777777"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Glyphosate</w:t>
            </w:r>
          </w:p>
        </w:tc>
        <w:tc>
          <w:tcPr>
            <w:tcW w:w="0" w:type="auto"/>
          </w:tcPr>
          <w:p w14:paraId="4CF7C656" w14:textId="6F2D8ABC" w:rsidR="00C71B0A" w:rsidRPr="00F85DCF" w:rsidRDefault="00E527E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9</w:t>
            </w:r>
            <w:r w:rsidR="00C71B0A" w:rsidRPr="00F85DCF">
              <w:rPr>
                <w:rFonts w:cs="Arial"/>
                <w:color w:val="auto"/>
                <w:sz w:val="20"/>
                <w:szCs w:val="20"/>
                <w:lang w:val="en-GB"/>
              </w:rPr>
              <w:t>%</w:t>
            </w:r>
          </w:p>
        </w:tc>
      </w:tr>
      <w:tr w:rsidR="00C71B0A" w:rsidRPr="00F85DCF" w14:paraId="7A5FABB7" w14:textId="042E71A6" w:rsidTr="003F1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6A1DB1D" w14:textId="4B00CD94"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Iprodione</w:t>
            </w:r>
          </w:p>
        </w:tc>
        <w:tc>
          <w:tcPr>
            <w:tcW w:w="0" w:type="auto"/>
          </w:tcPr>
          <w:p w14:paraId="04CAA1E9" w14:textId="49563267"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64%</w:t>
            </w:r>
          </w:p>
        </w:tc>
      </w:tr>
      <w:tr w:rsidR="00C71B0A" w:rsidRPr="00F85DCF" w14:paraId="45E9B6EC" w14:textId="520F528C" w:rsidTr="003F182A">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34B96EC" w14:textId="58F8CC45"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Methomyl</w:t>
            </w:r>
            <w:r w:rsidR="004444C7" w:rsidRPr="00F85DCF">
              <w:rPr>
                <w:rFonts w:cs="Arial"/>
                <w:b w:val="0"/>
                <w:color w:val="auto"/>
                <w:sz w:val="20"/>
                <w:szCs w:val="20"/>
                <w:lang w:val="en-GB" w:eastAsia="en-GB"/>
              </w:rPr>
              <w:t xml:space="preserve"> and Thiodicarb</w:t>
            </w:r>
          </w:p>
        </w:tc>
        <w:tc>
          <w:tcPr>
            <w:tcW w:w="0" w:type="auto"/>
          </w:tcPr>
          <w:p w14:paraId="30DEA884" w14:textId="13CEDEBF" w:rsidR="00C71B0A" w:rsidRPr="00F85DCF" w:rsidRDefault="00146F41"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39</w:t>
            </w:r>
            <w:r w:rsidR="0017607F" w:rsidRPr="00F85DCF">
              <w:rPr>
                <w:rFonts w:cs="Arial"/>
                <w:color w:val="auto"/>
                <w:sz w:val="20"/>
                <w:szCs w:val="20"/>
                <w:lang w:val="en-GB"/>
              </w:rPr>
              <w:t>%</w:t>
            </w:r>
          </w:p>
        </w:tc>
      </w:tr>
      <w:tr w:rsidR="00C71B0A" w:rsidRPr="00F85DCF" w14:paraId="5E021652" w14:textId="181837A9" w:rsidTr="003F1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21B57BF" w14:textId="2F23B16E"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Penthiopyrad</w:t>
            </w:r>
          </w:p>
        </w:tc>
        <w:tc>
          <w:tcPr>
            <w:tcW w:w="0" w:type="auto"/>
          </w:tcPr>
          <w:p w14:paraId="741C192C" w14:textId="2D93B399"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7%</w:t>
            </w:r>
          </w:p>
        </w:tc>
      </w:tr>
      <w:tr w:rsidR="00C71B0A" w:rsidRPr="00F85DCF" w14:paraId="775ED559" w14:textId="7CB4CBF5" w:rsidTr="003F182A">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11F4320" w14:textId="3B35A35F"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Pyrimethanil</w:t>
            </w:r>
          </w:p>
        </w:tc>
        <w:tc>
          <w:tcPr>
            <w:tcW w:w="0" w:type="auto"/>
          </w:tcPr>
          <w:p w14:paraId="3F017C47" w14:textId="165DBA0B"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24%</w:t>
            </w:r>
          </w:p>
        </w:tc>
      </w:tr>
      <w:tr w:rsidR="00C71B0A" w:rsidRPr="00F85DCF" w14:paraId="0401B663" w14:textId="2A625310" w:rsidTr="003F1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C2BB66A" w14:textId="28E372D3"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Spinosad</w:t>
            </w:r>
          </w:p>
        </w:tc>
        <w:tc>
          <w:tcPr>
            <w:tcW w:w="0" w:type="auto"/>
          </w:tcPr>
          <w:p w14:paraId="191947DC" w14:textId="24B6FA16"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42%</w:t>
            </w:r>
          </w:p>
        </w:tc>
      </w:tr>
      <w:tr w:rsidR="00C71B0A" w:rsidRPr="00F85DCF" w14:paraId="3ADD263C" w14:textId="6F376FC7" w:rsidTr="003F182A">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0BE9814" w14:textId="228ECA3B" w:rsidR="00C71B0A" w:rsidRPr="00F85DCF" w:rsidRDefault="00C71B0A" w:rsidP="00C71B0A">
            <w:pPr>
              <w:rPr>
                <w:rFonts w:cs="Arial"/>
                <w:b w:val="0"/>
                <w:color w:val="auto"/>
                <w:sz w:val="20"/>
                <w:szCs w:val="20"/>
                <w:lang w:val="en-GB" w:eastAsia="en-GB"/>
              </w:rPr>
            </w:pPr>
            <w:r w:rsidRPr="00F85DCF">
              <w:rPr>
                <w:rFonts w:cs="Arial"/>
                <w:b w:val="0"/>
                <w:color w:val="auto"/>
                <w:sz w:val="20"/>
                <w:szCs w:val="20"/>
                <w:lang w:val="en-GB" w:eastAsia="en-GB"/>
              </w:rPr>
              <w:t>Thiabendazole</w:t>
            </w:r>
          </w:p>
        </w:tc>
        <w:tc>
          <w:tcPr>
            <w:tcW w:w="0" w:type="auto"/>
          </w:tcPr>
          <w:p w14:paraId="3CC81071" w14:textId="1AA4D96A" w:rsidR="00C71B0A" w:rsidRPr="00F85DCF" w:rsidRDefault="00C71B0A" w:rsidP="00C71B0A">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48%</w:t>
            </w:r>
          </w:p>
        </w:tc>
      </w:tr>
      <w:tr w:rsidR="00C71B0A" w:rsidRPr="00F85DCF" w14:paraId="06BD8F3E" w14:textId="204A261B" w:rsidTr="003F1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5110A603" w14:textId="3F0DCA05" w:rsidR="00C71B0A" w:rsidRPr="00F85DCF" w:rsidRDefault="008B091C" w:rsidP="008B091C">
            <w:pPr>
              <w:rPr>
                <w:rFonts w:cs="Arial"/>
                <w:b w:val="0"/>
                <w:color w:val="auto"/>
                <w:sz w:val="20"/>
                <w:szCs w:val="20"/>
                <w:lang w:val="en-GB" w:eastAsia="en-GB"/>
              </w:rPr>
            </w:pPr>
            <w:r w:rsidRPr="00F85DCF">
              <w:rPr>
                <w:rFonts w:cs="Arial"/>
                <w:b w:val="0"/>
                <w:color w:val="auto"/>
                <w:sz w:val="20"/>
                <w:szCs w:val="20"/>
                <w:lang w:val="en-GB" w:eastAsia="en-GB"/>
              </w:rPr>
              <w:t>Triadimefon</w:t>
            </w:r>
            <w:r w:rsidRPr="00F85DCF">
              <w:rPr>
                <w:rFonts w:cs="Arial"/>
                <w:b w:val="0"/>
                <w:color w:val="auto"/>
                <w:sz w:val="20"/>
                <w:szCs w:val="20"/>
                <w:vertAlign w:val="superscript"/>
                <w:lang w:val="en-GB" w:eastAsia="en-GB"/>
              </w:rPr>
              <w:t>1</w:t>
            </w:r>
            <w:r w:rsidRPr="00F85DCF">
              <w:rPr>
                <w:rFonts w:cs="Arial"/>
                <w:b w:val="0"/>
                <w:color w:val="auto"/>
                <w:sz w:val="20"/>
                <w:szCs w:val="20"/>
                <w:lang w:val="en-GB" w:eastAsia="en-GB"/>
              </w:rPr>
              <w:t xml:space="preserve"> </w:t>
            </w:r>
            <w:r w:rsidR="004444C7" w:rsidRPr="00F85DCF">
              <w:rPr>
                <w:rFonts w:cs="Arial"/>
                <w:b w:val="0"/>
                <w:color w:val="auto"/>
                <w:sz w:val="20"/>
                <w:szCs w:val="20"/>
                <w:lang w:val="en-GB" w:eastAsia="en-GB"/>
              </w:rPr>
              <w:t>and Triadimenol</w:t>
            </w:r>
          </w:p>
        </w:tc>
        <w:tc>
          <w:tcPr>
            <w:tcW w:w="0" w:type="auto"/>
          </w:tcPr>
          <w:p w14:paraId="57A49DB1" w14:textId="63ADB52E" w:rsidR="00C71B0A" w:rsidRPr="00F85DCF" w:rsidRDefault="00C71B0A" w:rsidP="00C71B0A">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eastAsia="en-GB"/>
              </w:rPr>
            </w:pPr>
            <w:r w:rsidRPr="00F85DCF">
              <w:rPr>
                <w:rFonts w:cs="Arial"/>
                <w:color w:val="auto"/>
                <w:sz w:val="20"/>
                <w:szCs w:val="20"/>
                <w:lang w:val="en-GB"/>
              </w:rPr>
              <w:t>26%</w:t>
            </w:r>
          </w:p>
        </w:tc>
      </w:tr>
    </w:tbl>
    <w:p w14:paraId="4D251A2F" w14:textId="75AEBF26" w:rsidR="00957E2A" w:rsidRPr="00F85DCF" w:rsidRDefault="008B091C" w:rsidP="004B12FC">
      <w:pPr>
        <w:ind w:left="360"/>
        <w:rPr>
          <w:sz w:val="16"/>
          <w:szCs w:val="16"/>
          <w:lang w:val="en-GB"/>
        </w:rPr>
      </w:pPr>
      <w:r w:rsidRPr="00F85DCF">
        <w:rPr>
          <w:vertAlign w:val="superscript"/>
          <w:lang w:val="en-GB"/>
        </w:rPr>
        <w:t>1</w:t>
      </w:r>
      <w:r w:rsidR="00146F41" w:rsidRPr="00F85DCF">
        <w:rPr>
          <w:lang w:val="en-GB"/>
        </w:rPr>
        <w:t xml:space="preserve"> </w:t>
      </w:r>
      <w:r w:rsidR="004B12FC" w:rsidRPr="00F85DCF">
        <w:rPr>
          <w:sz w:val="16"/>
          <w:szCs w:val="16"/>
          <w:lang w:val="en-GB"/>
        </w:rPr>
        <w:t>Dietary exposure expressed as sum of triadimefon and t</w:t>
      </w:r>
      <w:r w:rsidR="00146F41" w:rsidRPr="00F85DCF">
        <w:rPr>
          <w:sz w:val="16"/>
          <w:szCs w:val="16"/>
          <w:lang w:val="en-GB"/>
        </w:rPr>
        <w:t>ri</w:t>
      </w:r>
      <w:r w:rsidR="004B12FC" w:rsidRPr="00F85DCF">
        <w:rPr>
          <w:sz w:val="16"/>
          <w:szCs w:val="16"/>
          <w:lang w:val="en-GB"/>
        </w:rPr>
        <w:t>a</w:t>
      </w:r>
      <w:r w:rsidR="00146F41" w:rsidRPr="00F85DCF">
        <w:rPr>
          <w:sz w:val="16"/>
          <w:szCs w:val="16"/>
          <w:lang w:val="en-GB"/>
        </w:rPr>
        <w:t>dimenol</w:t>
      </w:r>
    </w:p>
    <w:p w14:paraId="3B48F31F" w14:textId="77777777" w:rsidR="000E0D6C" w:rsidRPr="00F85DCF" w:rsidRDefault="000E0D6C" w:rsidP="00FF54B6">
      <w:pPr>
        <w:pStyle w:val="Heading1"/>
        <w:ind w:left="2268" w:hanging="2268"/>
      </w:pPr>
      <w:r w:rsidRPr="00F85DCF">
        <w:br w:type="page"/>
      </w:r>
    </w:p>
    <w:p w14:paraId="6F75109B" w14:textId="6CA19B70" w:rsidR="00345CBC" w:rsidRPr="00F85DCF" w:rsidRDefault="00BF3D14" w:rsidP="000E0D6C">
      <w:pPr>
        <w:pStyle w:val="Heading2"/>
        <w:ind w:left="0" w:firstLine="0"/>
        <w:rPr>
          <w:i/>
        </w:rPr>
      </w:pPr>
      <w:bookmarkStart w:id="54" w:name="_Toc448848092"/>
      <w:r w:rsidRPr="00F85DCF">
        <w:lastRenderedPageBreak/>
        <w:t xml:space="preserve">Appendix </w:t>
      </w:r>
      <w:r w:rsidR="00C600E5" w:rsidRPr="00F85DCF">
        <w:t>A</w:t>
      </w:r>
      <w:r w:rsidRPr="00F85DCF">
        <w:t>2</w:t>
      </w:r>
      <w:r w:rsidR="000E0D6C" w:rsidRPr="00F85DCF">
        <w:t xml:space="preserve"> – </w:t>
      </w:r>
      <w:r w:rsidRPr="00F85DCF">
        <w:t xml:space="preserve">Stage 2 </w:t>
      </w:r>
      <w:r w:rsidR="00FC0DB1">
        <w:t>–</w:t>
      </w:r>
      <w:r w:rsidRPr="00F85DCF">
        <w:t xml:space="preserve"> </w:t>
      </w:r>
      <w:r w:rsidR="00345CBC" w:rsidRPr="00F85DCF">
        <w:t>Dietary exposure assessments</w:t>
      </w:r>
      <w:r w:rsidR="00B92F7D" w:rsidRPr="00F85DCF">
        <w:t xml:space="preserve"> including </w:t>
      </w:r>
      <w:r w:rsidR="00F57650" w:rsidRPr="00F85DCF">
        <w:rPr>
          <w:i/>
        </w:rPr>
        <w:t>A</w:t>
      </w:r>
      <w:r w:rsidR="00FB18B4" w:rsidRPr="00F85DCF">
        <w:rPr>
          <w:i/>
        </w:rPr>
        <w:t xml:space="preserve">ll other foods except animal </w:t>
      </w:r>
      <w:r w:rsidR="00DB1D33">
        <w:rPr>
          <w:i/>
        </w:rPr>
        <w:t xml:space="preserve">food </w:t>
      </w:r>
      <w:r w:rsidR="00FB18B4" w:rsidRPr="00F85DCF">
        <w:rPr>
          <w:i/>
        </w:rPr>
        <w:t>commodities</w:t>
      </w:r>
      <w:bookmarkEnd w:id="54"/>
    </w:p>
    <w:p w14:paraId="61BA95B1" w14:textId="7CEB7D61" w:rsidR="0032709B" w:rsidRDefault="000D3602" w:rsidP="000D3602">
      <w:pPr>
        <w:rPr>
          <w:lang w:val="en-GB"/>
        </w:rPr>
      </w:pPr>
      <w:r w:rsidRPr="00F85DCF">
        <w:rPr>
          <w:lang w:val="en-GB"/>
        </w:rPr>
        <w:t xml:space="preserve">Details of the individual assessment of each </w:t>
      </w:r>
      <w:r w:rsidR="00E21C66" w:rsidRPr="00F85DCF">
        <w:rPr>
          <w:lang w:val="en-GB"/>
        </w:rPr>
        <w:t xml:space="preserve">agvet </w:t>
      </w:r>
      <w:r w:rsidRPr="00F85DCF">
        <w:rPr>
          <w:lang w:val="en-GB"/>
        </w:rPr>
        <w:t>chemical are provided below.</w:t>
      </w:r>
      <w:r w:rsidR="00BD6FFE" w:rsidRPr="00F85DCF">
        <w:rPr>
          <w:lang w:val="en-GB"/>
        </w:rPr>
        <w:t xml:space="preserve"> Any references to an agvet chemical, </w:t>
      </w:r>
      <w:r w:rsidR="004142D0" w:rsidRPr="00F85DCF">
        <w:rPr>
          <w:lang w:val="en-GB"/>
        </w:rPr>
        <w:t>MRL</w:t>
      </w:r>
      <w:r w:rsidR="008B50D2" w:rsidRPr="00F85DCF">
        <w:rPr>
          <w:lang w:val="en-GB"/>
        </w:rPr>
        <w:t xml:space="preserve"> or</w:t>
      </w:r>
      <w:r w:rsidR="00BD6FFE" w:rsidRPr="00F85DCF">
        <w:rPr>
          <w:lang w:val="en-GB"/>
        </w:rPr>
        <w:t xml:space="preserve"> the range of MRLs or commodities below, refers to </w:t>
      </w:r>
      <w:r w:rsidR="0032709B" w:rsidRPr="00F85DCF">
        <w:rPr>
          <w:lang w:val="en-GB"/>
        </w:rPr>
        <w:t xml:space="preserve">current </w:t>
      </w:r>
      <w:r w:rsidR="00BD6FFE" w:rsidRPr="00F85DCF">
        <w:rPr>
          <w:lang w:val="en-GB"/>
        </w:rPr>
        <w:t>permissions in Schedule 20 of the Code.</w:t>
      </w:r>
      <w:r w:rsidR="00AF6994" w:rsidRPr="00F85DCF">
        <w:rPr>
          <w:lang w:val="en-GB"/>
        </w:rPr>
        <w:t xml:space="preserve"> </w:t>
      </w:r>
    </w:p>
    <w:p w14:paraId="3B72F2CC" w14:textId="5562A364" w:rsidR="009F3771" w:rsidRDefault="009F3771" w:rsidP="000D3602">
      <w:pPr>
        <w:rPr>
          <w:lang w:val="en-GB"/>
        </w:rPr>
      </w:pPr>
    </w:p>
    <w:p w14:paraId="45B53FF0" w14:textId="474DCACC" w:rsidR="009F3771" w:rsidRPr="00F85DCF" w:rsidRDefault="009F3771" w:rsidP="000D3602">
      <w:pPr>
        <w:rPr>
          <w:lang w:val="en-GB"/>
        </w:rPr>
      </w:pPr>
      <w:r w:rsidRPr="00F85DCF">
        <w:rPr>
          <w:lang w:val="en-GB"/>
        </w:rPr>
        <w:t xml:space="preserve">While the Limit of Determination is the lowest MRL at which an </w:t>
      </w:r>
      <w:r w:rsidRPr="00F85DCF">
        <w:rPr>
          <w:i/>
          <w:lang w:val="en-GB"/>
        </w:rPr>
        <w:t xml:space="preserve">All other foods except animal </w:t>
      </w:r>
      <w:r>
        <w:rPr>
          <w:i/>
          <w:lang w:val="en-GB"/>
        </w:rPr>
        <w:t xml:space="preserve">food </w:t>
      </w:r>
      <w:r w:rsidRPr="00F85DCF">
        <w:rPr>
          <w:i/>
          <w:lang w:val="en-GB"/>
        </w:rPr>
        <w:t>commodities</w:t>
      </w:r>
      <w:r w:rsidRPr="00F85DCF">
        <w:rPr>
          <w:lang w:val="en-GB"/>
        </w:rPr>
        <w:t xml:space="preserve"> MRL can be set, it may not be desirable to do so as it may not be high enough to allow for </w:t>
      </w:r>
      <w:r w:rsidRPr="00F85DCF">
        <w:rPr>
          <w:lang w:val="en-GB" w:eastAsia="en-AU"/>
        </w:rPr>
        <w:t>inadvertent</w:t>
      </w:r>
      <w:r w:rsidRPr="00F85DCF">
        <w:rPr>
          <w:lang w:val="en-GB"/>
        </w:rPr>
        <w:t xml:space="preserve"> presence of the chemical in the food. Therefore, </w:t>
      </w:r>
      <w:r>
        <w:rPr>
          <w:lang w:val="en-GB"/>
        </w:rPr>
        <w:t xml:space="preserve">an </w:t>
      </w:r>
      <w:r w:rsidRPr="00F85DCF">
        <w:rPr>
          <w:i/>
          <w:lang w:val="en-GB"/>
        </w:rPr>
        <w:t xml:space="preserve">All other foods except animal </w:t>
      </w:r>
      <w:r>
        <w:rPr>
          <w:i/>
          <w:lang w:val="en-GB"/>
        </w:rPr>
        <w:t xml:space="preserve">food </w:t>
      </w:r>
      <w:r w:rsidRPr="00F85DCF">
        <w:rPr>
          <w:i/>
          <w:lang w:val="en-GB"/>
        </w:rPr>
        <w:t>commodities</w:t>
      </w:r>
      <w:r w:rsidRPr="00F85DCF">
        <w:rPr>
          <w:lang w:val="en-GB"/>
        </w:rPr>
        <w:t xml:space="preserve"> MRL that is higher than the Limit of Determination</w:t>
      </w:r>
      <w:r>
        <w:rPr>
          <w:lang w:val="en-GB"/>
        </w:rPr>
        <w:t xml:space="preserve"> has been proposed for each chemical based on </w:t>
      </w:r>
      <w:r w:rsidRPr="00F85DCF">
        <w:rPr>
          <w:lang w:val="en-GB"/>
        </w:rPr>
        <w:t xml:space="preserve">the range of MRLs, the number of commodities with current MRLs and the contribution of </w:t>
      </w:r>
      <w:r w:rsidRPr="00F85DCF">
        <w:rPr>
          <w:i/>
          <w:lang w:val="en-GB"/>
        </w:rPr>
        <w:t xml:space="preserve">All other foods except animal </w:t>
      </w:r>
      <w:r>
        <w:rPr>
          <w:i/>
          <w:lang w:val="en-GB"/>
        </w:rPr>
        <w:t xml:space="preserve">food </w:t>
      </w:r>
      <w:r w:rsidRPr="00F85DCF">
        <w:rPr>
          <w:i/>
          <w:lang w:val="en-GB"/>
        </w:rPr>
        <w:t>commodities</w:t>
      </w:r>
      <w:r w:rsidRPr="00F85DCF">
        <w:rPr>
          <w:lang w:val="en-GB"/>
        </w:rPr>
        <w:t xml:space="preserve"> to the estimated total dietary exposure</w:t>
      </w:r>
      <w:r>
        <w:rPr>
          <w:lang w:val="en-GB"/>
        </w:rPr>
        <w:t>.</w:t>
      </w:r>
      <w:r w:rsidRPr="00F85DCF">
        <w:rPr>
          <w:lang w:val="en-GB"/>
        </w:rPr>
        <w:t xml:space="preserve"> </w:t>
      </w:r>
    </w:p>
    <w:p w14:paraId="7975F8D9" w14:textId="77777777" w:rsidR="0032709B" w:rsidRPr="00F85DCF" w:rsidRDefault="0032709B" w:rsidP="000D3602">
      <w:pPr>
        <w:rPr>
          <w:lang w:val="en-GB"/>
        </w:rPr>
      </w:pPr>
    </w:p>
    <w:p w14:paraId="3DD88F66" w14:textId="718C3C7F" w:rsidR="0032709B" w:rsidRPr="00F85DCF" w:rsidRDefault="00AF6994" w:rsidP="000D3602">
      <w:pPr>
        <w:rPr>
          <w:lang w:val="en-GB"/>
        </w:rPr>
      </w:pPr>
      <w:r w:rsidRPr="00F85DCF">
        <w:rPr>
          <w:lang w:val="en-GB"/>
        </w:rPr>
        <w:t xml:space="preserve">A summary of the outcomes of assessment of the agvet chemicals considered in Stage 2 is provided in Appendix </w:t>
      </w:r>
      <w:r w:rsidR="006017FA" w:rsidRPr="00F85DCF">
        <w:rPr>
          <w:lang w:val="en-GB"/>
        </w:rPr>
        <w:t>A</w:t>
      </w:r>
      <w:r w:rsidRPr="00F85DCF">
        <w:rPr>
          <w:lang w:val="en-GB"/>
        </w:rPr>
        <w:t>3, including details of relevant HBGVs for each</w:t>
      </w:r>
      <w:r w:rsidR="00815552" w:rsidRPr="00F85DCF">
        <w:rPr>
          <w:lang w:val="en-GB"/>
        </w:rPr>
        <w:t xml:space="preserve"> agvet</w:t>
      </w:r>
      <w:r w:rsidRPr="00F85DCF">
        <w:rPr>
          <w:lang w:val="en-GB"/>
        </w:rPr>
        <w:t xml:space="preserve"> chemical.</w:t>
      </w:r>
    </w:p>
    <w:p w14:paraId="419A4B9E" w14:textId="4DA2756D" w:rsidR="00F6750E" w:rsidRPr="00F85DCF" w:rsidRDefault="00F6750E" w:rsidP="000E0D6C">
      <w:pPr>
        <w:pStyle w:val="Heading3"/>
      </w:pPr>
      <w:r w:rsidRPr="00F85DCF">
        <w:t>2</w:t>
      </w:r>
      <w:r w:rsidR="0069092F" w:rsidRPr="00F85DCF">
        <w:t>-</w:t>
      </w:r>
      <w:r w:rsidRPr="00F85DCF">
        <w:t>Phenylphenol</w:t>
      </w:r>
    </w:p>
    <w:tbl>
      <w:tblPr>
        <w:tblStyle w:val="TableGrid"/>
        <w:tblW w:w="9072" w:type="dxa"/>
        <w:tblLook w:val="04A0" w:firstRow="1" w:lastRow="0" w:firstColumn="1" w:lastColumn="0" w:noHBand="0" w:noVBand="1"/>
      </w:tblPr>
      <w:tblGrid>
        <w:gridCol w:w="3445"/>
        <w:gridCol w:w="5627"/>
      </w:tblGrid>
      <w:tr w:rsidR="00CC7D9E" w:rsidRPr="00F85DCF" w14:paraId="3EB2C72F" w14:textId="77777777" w:rsidTr="000E0D6C">
        <w:trPr>
          <w:trHeight w:val="20"/>
        </w:trPr>
        <w:tc>
          <w:tcPr>
            <w:tcW w:w="3510" w:type="dxa"/>
            <w:vAlign w:val="center"/>
          </w:tcPr>
          <w:p w14:paraId="2E411BC3" w14:textId="060F9BCA" w:rsidR="00CC7D9E" w:rsidRPr="006D5974" w:rsidRDefault="006D5974" w:rsidP="00D5197E">
            <w:pPr>
              <w:rPr>
                <w:b/>
                <w:sz w:val="20"/>
                <w:szCs w:val="20"/>
                <w:lang w:val="en-GB"/>
              </w:rPr>
            </w:pPr>
            <w:r w:rsidRPr="006D5974">
              <w:rPr>
                <w:b/>
                <w:sz w:val="20"/>
                <w:szCs w:val="20"/>
                <w:lang w:val="en-GB"/>
              </w:rPr>
              <w:t>Considerations</w:t>
            </w:r>
          </w:p>
        </w:tc>
        <w:tc>
          <w:tcPr>
            <w:tcW w:w="5776" w:type="dxa"/>
            <w:vAlign w:val="center"/>
          </w:tcPr>
          <w:p w14:paraId="12D2DE9C" w14:textId="77777777" w:rsidR="00CC7D9E" w:rsidRPr="00F85DCF" w:rsidRDefault="00CC7D9E" w:rsidP="00D5197E">
            <w:pPr>
              <w:rPr>
                <w:b/>
                <w:sz w:val="20"/>
                <w:szCs w:val="20"/>
                <w:lang w:val="en-GB" w:eastAsia="en-AU"/>
              </w:rPr>
            </w:pPr>
            <w:r w:rsidRPr="00F85DCF">
              <w:rPr>
                <w:b/>
                <w:sz w:val="20"/>
                <w:szCs w:val="20"/>
                <w:lang w:val="en-GB" w:eastAsia="en-AU"/>
              </w:rPr>
              <w:t>Comments</w:t>
            </w:r>
          </w:p>
        </w:tc>
      </w:tr>
      <w:tr w:rsidR="00CC7D9E" w:rsidRPr="00F85DCF" w14:paraId="244911B3" w14:textId="77777777" w:rsidTr="000E0D6C">
        <w:trPr>
          <w:trHeight w:val="20"/>
        </w:trPr>
        <w:tc>
          <w:tcPr>
            <w:tcW w:w="3510" w:type="dxa"/>
            <w:vAlign w:val="center"/>
          </w:tcPr>
          <w:p w14:paraId="6B903EF9" w14:textId="76234F2D" w:rsidR="00CC7D9E" w:rsidRPr="00F85DCF" w:rsidRDefault="000025E0" w:rsidP="00D5197E">
            <w:pPr>
              <w:rPr>
                <w:sz w:val="20"/>
                <w:szCs w:val="20"/>
                <w:lang w:val="en-GB"/>
              </w:rPr>
            </w:pPr>
            <w:r w:rsidRPr="00F85DCF">
              <w:rPr>
                <w:sz w:val="20"/>
                <w:szCs w:val="20"/>
                <w:lang w:val="en-GB"/>
              </w:rPr>
              <w:t>Limit of Determination</w:t>
            </w:r>
          </w:p>
        </w:tc>
        <w:tc>
          <w:tcPr>
            <w:tcW w:w="5776" w:type="dxa"/>
            <w:vAlign w:val="center"/>
          </w:tcPr>
          <w:p w14:paraId="17CCBBB0" w14:textId="77777777" w:rsidR="00CC7D9E" w:rsidRPr="00F85DCF" w:rsidRDefault="00CC7D9E" w:rsidP="00D5197E">
            <w:pPr>
              <w:rPr>
                <w:sz w:val="20"/>
                <w:szCs w:val="20"/>
                <w:lang w:val="en-GB"/>
              </w:rPr>
            </w:pPr>
            <w:r w:rsidRPr="00F85DCF">
              <w:rPr>
                <w:sz w:val="20"/>
                <w:szCs w:val="20"/>
                <w:lang w:val="en-GB" w:eastAsia="en-AU"/>
              </w:rPr>
              <w:t>0.05 mg/kg</w:t>
            </w:r>
          </w:p>
        </w:tc>
      </w:tr>
      <w:tr w:rsidR="00CC7D9E" w:rsidRPr="00F85DCF" w14:paraId="2A80EFBD" w14:textId="77777777" w:rsidTr="000E0D6C">
        <w:trPr>
          <w:trHeight w:val="20"/>
        </w:trPr>
        <w:tc>
          <w:tcPr>
            <w:tcW w:w="3510" w:type="dxa"/>
            <w:vAlign w:val="center"/>
          </w:tcPr>
          <w:p w14:paraId="7DBAD390" w14:textId="77777777" w:rsidR="00CC7D9E" w:rsidRPr="00F85DCF" w:rsidRDefault="00CC7D9E" w:rsidP="00D5197E">
            <w:pPr>
              <w:rPr>
                <w:sz w:val="20"/>
                <w:szCs w:val="20"/>
                <w:lang w:val="en-GB"/>
              </w:rPr>
            </w:pPr>
            <w:r w:rsidRPr="00F85DCF">
              <w:rPr>
                <w:sz w:val="20"/>
                <w:szCs w:val="20"/>
                <w:lang w:val="en-GB"/>
              </w:rPr>
              <w:t>Lowest plant commodity MRL</w:t>
            </w:r>
          </w:p>
        </w:tc>
        <w:tc>
          <w:tcPr>
            <w:tcW w:w="5776" w:type="dxa"/>
            <w:vAlign w:val="center"/>
          </w:tcPr>
          <w:p w14:paraId="03533766" w14:textId="77777777" w:rsidR="00CC7D9E" w:rsidRPr="00F85DCF" w:rsidRDefault="00CC7D9E" w:rsidP="00D5197E">
            <w:pPr>
              <w:rPr>
                <w:sz w:val="20"/>
                <w:szCs w:val="20"/>
                <w:lang w:val="en-GB" w:eastAsia="en-AU"/>
              </w:rPr>
            </w:pPr>
            <w:r w:rsidRPr="00F85DCF">
              <w:rPr>
                <w:sz w:val="20"/>
                <w:szCs w:val="20"/>
                <w:lang w:val="en-GB" w:eastAsia="en-AU"/>
              </w:rPr>
              <w:t>10 mg/kg</w:t>
            </w:r>
          </w:p>
        </w:tc>
      </w:tr>
      <w:tr w:rsidR="00CC7D9E" w:rsidRPr="00F85DCF" w14:paraId="7D9E3476" w14:textId="77777777" w:rsidTr="000E0D6C">
        <w:trPr>
          <w:trHeight w:val="20"/>
        </w:trPr>
        <w:tc>
          <w:tcPr>
            <w:tcW w:w="3510" w:type="dxa"/>
            <w:vAlign w:val="center"/>
          </w:tcPr>
          <w:p w14:paraId="2F79FB88" w14:textId="72B58657" w:rsidR="00CC7D9E" w:rsidRPr="00F85DCF" w:rsidRDefault="000B13FB" w:rsidP="00D5197E">
            <w:pPr>
              <w:rPr>
                <w:sz w:val="20"/>
                <w:szCs w:val="20"/>
                <w:lang w:val="en-GB"/>
              </w:rPr>
            </w:pPr>
            <w:r w:rsidRPr="00F85DCF">
              <w:rPr>
                <w:sz w:val="20"/>
                <w:szCs w:val="20"/>
                <w:lang w:val="en-GB" w:eastAsia="en-AU"/>
              </w:rPr>
              <w:t>M</w:t>
            </w:r>
            <w:r w:rsidR="00CC7D9E" w:rsidRPr="00F85DCF">
              <w:rPr>
                <w:sz w:val="20"/>
                <w:szCs w:val="20"/>
                <w:lang w:val="en-GB" w:eastAsia="en-AU"/>
              </w:rPr>
              <w:t xml:space="preserve">agnitude of existing </w:t>
            </w:r>
            <w:r w:rsidR="00351AC0" w:rsidRPr="00F85DCF">
              <w:rPr>
                <w:sz w:val="20"/>
                <w:szCs w:val="20"/>
                <w:lang w:val="en-GB" w:eastAsia="en-AU"/>
              </w:rPr>
              <w:t xml:space="preserve">plant commodity </w:t>
            </w:r>
            <w:r w:rsidR="00CC7D9E" w:rsidRPr="00F85DCF">
              <w:rPr>
                <w:sz w:val="20"/>
                <w:szCs w:val="20"/>
                <w:lang w:val="en-GB" w:eastAsia="en-AU"/>
              </w:rPr>
              <w:t xml:space="preserve">MRLs </w:t>
            </w:r>
          </w:p>
        </w:tc>
        <w:tc>
          <w:tcPr>
            <w:tcW w:w="5776" w:type="dxa"/>
            <w:vAlign w:val="center"/>
          </w:tcPr>
          <w:p w14:paraId="75B36107" w14:textId="3A417101" w:rsidR="00CC7D9E" w:rsidRPr="00F85DCF" w:rsidRDefault="00CC7D9E" w:rsidP="00D5197E">
            <w:pPr>
              <w:rPr>
                <w:sz w:val="20"/>
                <w:szCs w:val="20"/>
                <w:lang w:val="en-GB" w:eastAsia="en-AU"/>
              </w:rPr>
            </w:pPr>
            <w:r w:rsidRPr="00F85DCF">
              <w:rPr>
                <w:sz w:val="20"/>
                <w:szCs w:val="20"/>
                <w:lang w:val="en-GB"/>
              </w:rPr>
              <w:t xml:space="preserve">The </w:t>
            </w:r>
            <w:r w:rsidR="004142D0" w:rsidRPr="00F85DCF">
              <w:rPr>
                <w:sz w:val="20"/>
                <w:szCs w:val="20"/>
                <w:lang w:val="en-GB"/>
              </w:rPr>
              <w:t>r</w:t>
            </w:r>
            <w:r w:rsidRPr="00F85DCF">
              <w:rPr>
                <w:sz w:val="20"/>
                <w:szCs w:val="20"/>
                <w:lang w:val="en-GB"/>
              </w:rPr>
              <w:t xml:space="preserve">ange of </w:t>
            </w:r>
            <w:r w:rsidR="000B13FB" w:rsidRPr="00F85DCF">
              <w:rPr>
                <w:sz w:val="20"/>
                <w:szCs w:val="20"/>
                <w:lang w:val="en-GB"/>
              </w:rPr>
              <w:t xml:space="preserve">values for </w:t>
            </w:r>
            <w:r w:rsidRPr="00F85DCF">
              <w:rPr>
                <w:sz w:val="20"/>
                <w:szCs w:val="20"/>
                <w:lang w:val="en-GB"/>
              </w:rPr>
              <w:t xml:space="preserve">existing MRLs (was 3 mg/kg (cherries) to 25 mg/kg (pears). However, the registered uses have since changed and the </w:t>
            </w:r>
            <w:r w:rsidR="00396B0E" w:rsidRPr="00F85DCF">
              <w:rPr>
                <w:sz w:val="20"/>
                <w:szCs w:val="20"/>
                <w:lang w:val="en-GB"/>
              </w:rPr>
              <w:t xml:space="preserve">Schedule </w:t>
            </w:r>
            <w:r w:rsidR="000A23F4" w:rsidRPr="00F85DCF">
              <w:rPr>
                <w:sz w:val="20"/>
                <w:szCs w:val="20"/>
                <w:lang w:val="en-GB"/>
              </w:rPr>
              <w:t>is in the process of b</w:t>
            </w:r>
            <w:r w:rsidRPr="00F85DCF">
              <w:rPr>
                <w:sz w:val="20"/>
                <w:szCs w:val="20"/>
                <w:lang w:val="en-GB"/>
              </w:rPr>
              <w:t>e</w:t>
            </w:r>
            <w:r w:rsidR="000A23F4" w:rsidRPr="00F85DCF">
              <w:rPr>
                <w:sz w:val="20"/>
                <w:szCs w:val="20"/>
                <w:lang w:val="en-GB"/>
              </w:rPr>
              <w:t>ing</w:t>
            </w:r>
            <w:r w:rsidRPr="00F85DCF">
              <w:rPr>
                <w:sz w:val="20"/>
                <w:szCs w:val="20"/>
                <w:lang w:val="en-GB"/>
              </w:rPr>
              <w:t xml:space="preserve"> amended by the APVMA. The</w:t>
            </w:r>
            <w:r w:rsidR="000A23F4" w:rsidRPr="00F85DCF">
              <w:rPr>
                <w:sz w:val="20"/>
                <w:szCs w:val="20"/>
                <w:lang w:val="en-GB"/>
              </w:rPr>
              <w:t xml:space="preserve"> </w:t>
            </w:r>
            <w:r w:rsidRPr="00F85DCF">
              <w:rPr>
                <w:sz w:val="20"/>
                <w:szCs w:val="20"/>
                <w:lang w:val="en-GB"/>
              </w:rPr>
              <w:t>re</w:t>
            </w:r>
            <w:r w:rsidR="000A23F4" w:rsidRPr="00F85DCF">
              <w:rPr>
                <w:sz w:val="20"/>
                <w:szCs w:val="20"/>
                <w:lang w:val="en-GB"/>
              </w:rPr>
              <w:t>sult will be</w:t>
            </w:r>
            <w:r w:rsidRPr="00F85DCF">
              <w:rPr>
                <w:sz w:val="20"/>
                <w:szCs w:val="20"/>
                <w:lang w:val="en-GB"/>
              </w:rPr>
              <w:t xml:space="preserve"> </w:t>
            </w:r>
            <w:r w:rsidRPr="00F85DCF">
              <w:rPr>
                <w:sz w:val="20"/>
                <w:szCs w:val="20"/>
                <w:lang w:val="en-GB" w:eastAsia="en-AU"/>
              </w:rPr>
              <w:t xml:space="preserve">a single </w:t>
            </w:r>
            <w:r w:rsidR="000A23F4" w:rsidRPr="00F85DCF">
              <w:rPr>
                <w:sz w:val="20"/>
                <w:szCs w:val="20"/>
                <w:lang w:val="en-GB" w:eastAsia="en-AU"/>
              </w:rPr>
              <w:t xml:space="preserve">registered use and consequent </w:t>
            </w:r>
            <w:r w:rsidRPr="00F85DCF">
              <w:rPr>
                <w:sz w:val="20"/>
                <w:szCs w:val="20"/>
                <w:lang w:val="en-GB" w:eastAsia="en-AU"/>
              </w:rPr>
              <w:t>permission</w:t>
            </w:r>
            <w:r w:rsidR="000A23F4" w:rsidRPr="00F85DCF">
              <w:rPr>
                <w:sz w:val="20"/>
                <w:szCs w:val="20"/>
                <w:lang w:val="en-GB" w:eastAsia="en-AU"/>
              </w:rPr>
              <w:t xml:space="preserve"> </w:t>
            </w:r>
            <w:r w:rsidRPr="00F85DCF">
              <w:rPr>
                <w:sz w:val="20"/>
                <w:szCs w:val="20"/>
                <w:lang w:val="en-GB" w:eastAsia="en-AU"/>
              </w:rPr>
              <w:t>of 10 mg/kg for citrus fruit</w:t>
            </w:r>
            <w:r w:rsidR="000B13FB" w:rsidRPr="00F85DCF">
              <w:rPr>
                <w:sz w:val="20"/>
                <w:szCs w:val="20"/>
                <w:lang w:val="en-GB" w:eastAsia="en-AU"/>
              </w:rPr>
              <w:t xml:space="preserve"> </w:t>
            </w:r>
            <w:r w:rsidR="00A9314C" w:rsidRPr="00F85DCF">
              <w:rPr>
                <w:sz w:val="20"/>
                <w:szCs w:val="20"/>
                <w:lang w:val="en-GB" w:eastAsia="en-AU"/>
              </w:rPr>
              <w:t>o</w:t>
            </w:r>
            <w:r w:rsidR="000B13FB" w:rsidRPr="00F85DCF">
              <w:rPr>
                <w:sz w:val="20"/>
                <w:szCs w:val="20"/>
                <w:lang w:val="en-GB" w:eastAsia="en-AU"/>
              </w:rPr>
              <w:t xml:space="preserve">nly. </w:t>
            </w:r>
          </w:p>
        </w:tc>
      </w:tr>
      <w:tr w:rsidR="00CC7D9E" w:rsidRPr="00F85DCF" w14:paraId="75EF3481" w14:textId="77777777" w:rsidTr="000E0D6C">
        <w:trPr>
          <w:trHeight w:val="20"/>
        </w:trPr>
        <w:tc>
          <w:tcPr>
            <w:tcW w:w="3510" w:type="dxa"/>
            <w:vAlign w:val="center"/>
          </w:tcPr>
          <w:p w14:paraId="394F9ADD" w14:textId="43A168A2" w:rsidR="00CC7D9E" w:rsidRPr="00F85DCF" w:rsidRDefault="00CC7D9E" w:rsidP="002A26A0">
            <w:pPr>
              <w:rPr>
                <w:sz w:val="20"/>
                <w:szCs w:val="20"/>
                <w:lang w:val="en-GB"/>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 xml:space="preserve">MRL that is not the </w:t>
            </w:r>
            <w:r w:rsidR="002A26A0" w:rsidRPr="00F85DCF">
              <w:rPr>
                <w:sz w:val="20"/>
                <w:szCs w:val="20"/>
                <w:lang w:val="en-GB" w:eastAsia="en-AU"/>
              </w:rPr>
              <w:t>Limit</w:t>
            </w:r>
            <w:r w:rsidR="000025E0" w:rsidRPr="00F85DCF">
              <w:rPr>
                <w:sz w:val="20"/>
                <w:szCs w:val="20"/>
                <w:lang w:val="en-GB" w:eastAsia="en-AU"/>
              </w:rPr>
              <w:t xml:space="preserve"> of Determination</w:t>
            </w:r>
          </w:p>
        </w:tc>
        <w:tc>
          <w:tcPr>
            <w:tcW w:w="5776" w:type="dxa"/>
            <w:vAlign w:val="center"/>
          </w:tcPr>
          <w:p w14:paraId="3DF4DDD6" w14:textId="77777777" w:rsidR="00CC7D9E" w:rsidRPr="00F85DCF" w:rsidRDefault="00CC7D9E" w:rsidP="00D5197E">
            <w:pPr>
              <w:rPr>
                <w:sz w:val="20"/>
                <w:szCs w:val="20"/>
                <w:lang w:val="en-GB"/>
              </w:rPr>
            </w:pPr>
            <w:r w:rsidRPr="00F85DCF">
              <w:rPr>
                <w:sz w:val="20"/>
                <w:szCs w:val="20"/>
                <w:lang w:val="en-GB"/>
              </w:rPr>
              <w:t>10 mg/kg</w:t>
            </w:r>
          </w:p>
        </w:tc>
      </w:tr>
      <w:tr w:rsidR="00CC7D9E" w:rsidRPr="00F85DCF" w14:paraId="54733A41" w14:textId="77777777" w:rsidTr="000E0D6C">
        <w:trPr>
          <w:trHeight w:val="20"/>
        </w:trPr>
        <w:tc>
          <w:tcPr>
            <w:tcW w:w="3510" w:type="dxa"/>
            <w:vAlign w:val="center"/>
          </w:tcPr>
          <w:p w14:paraId="74BE29ED" w14:textId="24F5D747" w:rsidR="00CC7D9E" w:rsidRPr="00F85DCF" w:rsidRDefault="00CC7D9E" w:rsidP="00D5197E">
            <w:pPr>
              <w:rPr>
                <w:sz w:val="20"/>
                <w:szCs w:val="20"/>
                <w:lang w:val="en-GB" w:eastAsia="en-AU"/>
              </w:rPr>
            </w:pPr>
            <w:r w:rsidRPr="00F85DCF">
              <w:rPr>
                <w:sz w:val="20"/>
                <w:szCs w:val="20"/>
                <w:lang w:val="en-GB" w:eastAsia="en-AU"/>
              </w:rPr>
              <w:t>Most relevant reference point to minimi</w:t>
            </w:r>
            <w:r w:rsidR="00BB6615" w:rsidRPr="00F85DCF">
              <w:rPr>
                <w:sz w:val="20"/>
                <w:szCs w:val="20"/>
                <w:lang w:val="en-GB" w:eastAsia="en-AU"/>
              </w:rPr>
              <w:t>s</w:t>
            </w:r>
            <w:r w:rsidRPr="00F85DCF">
              <w:rPr>
                <w:sz w:val="20"/>
                <w:szCs w:val="20"/>
                <w:lang w:val="en-GB" w:eastAsia="en-AU"/>
              </w:rPr>
              <w:t>e off-label use</w:t>
            </w:r>
          </w:p>
        </w:tc>
        <w:tc>
          <w:tcPr>
            <w:tcW w:w="5776" w:type="dxa"/>
            <w:vAlign w:val="center"/>
          </w:tcPr>
          <w:p w14:paraId="3E5B6D0C" w14:textId="4080F9DA" w:rsidR="00CC7D9E" w:rsidRPr="00F85DCF" w:rsidRDefault="00F86461" w:rsidP="003E3818">
            <w:pPr>
              <w:rPr>
                <w:sz w:val="20"/>
                <w:szCs w:val="20"/>
                <w:lang w:val="en-GB" w:eastAsia="en-AU"/>
              </w:rPr>
            </w:pPr>
            <w:r w:rsidRPr="00F85DCF">
              <w:rPr>
                <w:sz w:val="20"/>
                <w:szCs w:val="20"/>
                <w:lang w:val="en-GB" w:eastAsia="en-AU"/>
              </w:rPr>
              <w:t>0.1 mg /kg (</w:t>
            </w:r>
            <w:r w:rsidR="003E3818" w:rsidRPr="00F85DCF">
              <w:rPr>
                <w:sz w:val="20"/>
                <w:szCs w:val="20"/>
                <w:lang w:val="en-GB" w:eastAsia="en-AU"/>
              </w:rPr>
              <w:t>2 x</w:t>
            </w:r>
            <w:r w:rsidR="00CC7D9E" w:rsidRPr="00F85DCF">
              <w:rPr>
                <w:sz w:val="20"/>
                <w:szCs w:val="20"/>
                <w:lang w:val="en-GB" w:eastAsia="en-AU"/>
              </w:rPr>
              <w:t xml:space="preserve">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CC7D9E" w:rsidRPr="00F85DCF" w14:paraId="2729A237" w14:textId="77777777" w:rsidTr="000E0D6C">
        <w:trPr>
          <w:trHeight w:val="20"/>
        </w:trPr>
        <w:tc>
          <w:tcPr>
            <w:tcW w:w="3510" w:type="dxa"/>
            <w:vAlign w:val="center"/>
          </w:tcPr>
          <w:p w14:paraId="638EA1BC" w14:textId="77777777" w:rsidR="00CC7D9E" w:rsidRPr="00F85DCF" w:rsidRDefault="00CC7D9E" w:rsidP="00D5197E">
            <w:pPr>
              <w:rPr>
                <w:sz w:val="20"/>
                <w:szCs w:val="20"/>
                <w:lang w:val="en-GB"/>
              </w:rPr>
            </w:pPr>
            <w:r w:rsidRPr="00F85DCF">
              <w:rPr>
                <w:sz w:val="20"/>
                <w:szCs w:val="20"/>
                <w:lang w:val="en-GB" w:eastAsia="en-AU"/>
              </w:rPr>
              <w:t>Chronic dietary exposure (NEDI) considering existing permissions only</w:t>
            </w:r>
          </w:p>
        </w:tc>
        <w:tc>
          <w:tcPr>
            <w:tcW w:w="5776" w:type="dxa"/>
            <w:vAlign w:val="center"/>
          </w:tcPr>
          <w:p w14:paraId="71DF8621" w14:textId="55CAEB57" w:rsidR="00CC7D9E" w:rsidRPr="00F85DCF" w:rsidRDefault="0044351F" w:rsidP="00D5197E">
            <w:pPr>
              <w:rPr>
                <w:sz w:val="20"/>
                <w:szCs w:val="20"/>
                <w:lang w:val="en-GB"/>
              </w:rPr>
            </w:pPr>
            <w:r w:rsidRPr="00F85DCF">
              <w:rPr>
                <w:sz w:val="20"/>
                <w:szCs w:val="20"/>
                <w:lang w:val="en-GB" w:eastAsia="en-AU"/>
              </w:rPr>
              <w:t xml:space="preserve">14% of the ADI with existing permissions and </w:t>
            </w:r>
            <w:r w:rsidR="00050106" w:rsidRPr="00F85DCF">
              <w:rPr>
                <w:sz w:val="20"/>
                <w:szCs w:val="20"/>
                <w:lang w:val="en-GB" w:eastAsia="en-AU"/>
              </w:rPr>
              <w:t>6</w:t>
            </w:r>
            <w:r w:rsidR="00CC7D9E" w:rsidRPr="00F85DCF">
              <w:rPr>
                <w:sz w:val="20"/>
                <w:szCs w:val="20"/>
                <w:lang w:val="en-GB" w:eastAsia="en-AU"/>
              </w:rPr>
              <w:t xml:space="preserve">% </w:t>
            </w:r>
            <w:r w:rsidRPr="00F85DCF">
              <w:rPr>
                <w:sz w:val="20"/>
                <w:szCs w:val="20"/>
                <w:lang w:val="en-GB" w:eastAsia="en-AU"/>
              </w:rPr>
              <w:t>when the proposed registered use for citrus fruits only is included</w:t>
            </w:r>
          </w:p>
        </w:tc>
      </w:tr>
      <w:tr w:rsidR="00CC7D9E" w:rsidRPr="00F85DCF" w14:paraId="4C931A09" w14:textId="77777777" w:rsidTr="000E0D6C">
        <w:trPr>
          <w:trHeight w:val="20"/>
        </w:trPr>
        <w:tc>
          <w:tcPr>
            <w:tcW w:w="3510" w:type="dxa"/>
            <w:vAlign w:val="center"/>
          </w:tcPr>
          <w:p w14:paraId="0340E5FC" w14:textId="3314D1BA" w:rsidR="00CC7D9E" w:rsidRPr="00F85DCF" w:rsidRDefault="00CC7D9E" w:rsidP="00AC4EA7">
            <w:pPr>
              <w:rPr>
                <w:sz w:val="20"/>
                <w:szCs w:val="20"/>
                <w:lang w:val="en-GB"/>
              </w:rPr>
            </w:pPr>
            <w:r w:rsidRPr="00F85DCF">
              <w:rPr>
                <w:sz w:val="20"/>
                <w:szCs w:val="20"/>
                <w:lang w:val="en-GB"/>
              </w:rPr>
              <w:t xml:space="preserve">Proposed </w:t>
            </w:r>
            <w:r w:rsidR="00AC4EA7" w:rsidRPr="00F85DCF">
              <w:rPr>
                <w:i/>
                <w:sz w:val="20"/>
                <w:szCs w:val="20"/>
                <w:lang w:val="en-GB"/>
              </w:rPr>
              <w:t>A</w:t>
            </w:r>
            <w:r w:rsidR="00FB18B4" w:rsidRPr="00F85DCF">
              <w:rPr>
                <w:i/>
                <w:sz w:val="20"/>
                <w:szCs w:val="20"/>
                <w:lang w:val="en-GB"/>
              </w:rPr>
              <w:t xml:space="preserve">ll other foods </w:t>
            </w:r>
            <w:r w:rsidR="0003601D" w:rsidRPr="00F85DCF">
              <w:rPr>
                <w:i/>
                <w:sz w:val="20"/>
                <w:szCs w:val="20"/>
                <w:lang w:val="en-GB"/>
              </w:rPr>
              <w:t xml:space="preserve">except animal </w:t>
            </w:r>
            <w:r w:rsidR="00D767BE">
              <w:rPr>
                <w:i/>
                <w:sz w:val="20"/>
                <w:szCs w:val="20"/>
                <w:lang w:val="en-GB"/>
              </w:rPr>
              <w:t xml:space="preserve">food </w:t>
            </w:r>
            <w:r w:rsidR="0003601D" w:rsidRPr="00F85DCF">
              <w:rPr>
                <w:i/>
                <w:sz w:val="20"/>
                <w:szCs w:val="20"/>
                <w:lang w:val="en-GB"/>
              </w:rPr>
              <w:t>commodities</w:t>
            </w:r>
            <w:r w:rsidR="00FA272E" w:rsidRPr="00F85DCF">
              <w:rPr>
                <w:sz w:val="20"/>
                <w:szCs w:val="20"/>
                <w:lang w:val="en-GB"/>
              </w:rPr>
              <w:t xml:space="preserve"> </w:t>
            </w:r>
            <w:r w:rsidRPr="00F85DCF">
              <w:rPr>
                <w:sz w:val="20"/>
                <w:szCs w:val="20"/>
                <w:lang w:val="en-GB"/>
              </w:rPr>
              <w:t>MRL</w:t>
            </w:r>
            <w:r w:rsidR="000E2FD4" w:rsidRPr="00F85DCF">
              <w:rPr>
                <w:sz w:val="20"/>
                <w:szCs w:val="20"/>
                <w:lang w:val="en-GB"/>
              </w:rPr>
              <w:t xml:space="preserve"> </w:t>
            </w:r>
          </w:p>
        </w:tc>
        <w:tc>
          <w:tcPr>
            <w:tcW w:w="5776" w:type="dxa"/>
            <w:vAlign w:val="center"/>
          </w:tcPr>
          <w:p w14:paraId="6BC3AB64" w14:textId="6BE95F9B" w:rsidR="00CC7D9E" w:rsidRPr="00F85DCF" w:rsidRDefault="00CC7D9E" w:rsidP="00D5197E">
            <w:pPr>
              <w:rPr>
                <w:sz w:val="20"/>
                <w:szCs w:val="20"/>
                <w:lang w:val="en-GB"/>
              </w:rPr>
            </w:pPr>
            <w:r w:rsidRPr="00F85DCF">
              <w:rPr>
                <w:sz w:val="20"/>
                <w:szCs w:val="20"/>
                <w:lang w:val="en-GB"/>
              </w:rPr>
              <w:t xml:space="preserve">0.1 </w:t>
            </w:r>
            <w:r w:rsidRPr="00F85DCF">
              <w:rPr>
                <w:sz w:val="20"/>
                <w:szCs w:val="20"/>
                <w:lang w:val="en-GB" w:eastAsia="en-AU"/>
              </w:rPr>
              <w:t>mg/kg</w:t>
            </w:r>
            <w:r w:rsidR="00D43AA1" w:rsidRPr="00F85DCF">
              <w:rPr>
                <w:sz w:val="20"/>
                <w:szCs w:val="20"/>
                <w:lang w:val="en-GB"/>
              </w:rPr>
              <w:t xml:space="preserve"> </w:t>
            </w:r>
          </w:p>
        </w:tc>
      </w:tr>
      <w:tr w:rsidR="000B13FB" w:rsidRPr="00F85DCF" w14:paraId="7B793A30" w14:textId="77777777" w:rsidTr="000E0D6C">
        <w:trPr>
          <w:trHeight w:val="20"/>
        </w:trPr>
        <w:tc>
          <w:tcPr>
            <w:tcW w:w="3510" w:type="dxa"/>
            <w:vAlign w:val="center"/>
          </w:tcPr>
          <w:p w14:paraId="0EE43D6D" w14:textId="458953E0" w:rsidR="000B13FB" w:rsidRPr="00F85DCF" w:rsidRDefault="000B13FB" w:rsidP="00AC4EA7">
            <w:pPr>
              <w:rPr>
                <w:sz w:val="20"/>
                <w:szCs w:val="20"/>
                <w:lang w:val="en-GB" w:eastAsia="en-AU"/>
              </w:rPr>
            </w:pPr>
            <w:r w:rsidRPr="00F85DCF">
              <w:rPr>
                <w:sz w:val="20"/>
                <w:szCs w:val="20"/>
                <w:lang w:val="en-GB" w:eastAsia="en-AU"/>
              </w:rPr>
              <w:t xml:space="preserve">NEDI including </w:t>
            </w:r>
            <w:r w:rsidR="00AC4EA7" w:rsidRPr="00F85DCF">
              <w:rPr>
                <w:i/>
                <w:sz w:val="20"/>
                <w:szCs w:val="20"/>
                <w:lang w:val="en-GB" w:eastAsia="en-AU"/>
              </w:rPr>
              <w:t>A</w:t>
            </w:r>
            <w:r w:rsidR="0003601D" w:rsidRPr="00F85DCF">
              <w:rPr>
                <w:i/>
                <w:sz w:val="20"/>
                <w:szCs w:val="20"/>
                <w:lang w:val="en-GB" w:eastAsia="en-AU"/>
              </w:rPr>
              <w:t xml:space="preserve">ll other foods except animal </w:t>
            </w:r>
            <w:r w:rsidR="00B60F8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5776" w:type="dxa"/>
            <w:vAlign w:val="center"/>
          </w:tcPr>
          <w:p w14:paraId="6515415B" w14:textId="750F4C45" w:rsidR="000B13FB" w:rsidRPr="00F85DCF" w:rsidRDefault="007E2048" w:rsidP="00D5197E">
            <w:pPr>
              <w:rPr>
                <w:sz w:val="20"/>
                <w:szCs w:val="20"/>
                <w:lang w:val="en-GB" w:eastAsia="en-AU"/>
              </w:rPr>
            </w:pPr>
            <w:r w:rsidRPr="00F85DCF">
              <w:rPr>
                <w:sz w:val="20"/>
                <w:szCs w:val="20"/>
                <w:lang w:val="en-GB" w:eastAsia="en-AU"/>
              </w:rPr>
              <w:t>15</w:t>
            </w:r>
            <w:r w:rsidR="000B13FB" w:rsidRPr="00F85DCF">
              <w:rPr>
                <w:sz w:val="20"/>
                <w:szCs w:val="20"/>
                <w:lang w:val="en-GB" w:eastAsia="en-AU"/>
              </w:rPr>
              <w:t>% of the ADI</w:t>
            </w:r>
            <w:r w:rsidRPr="00F85DCF">
              <w:rPr>
                <w:sz w:val="20"/>
                <w:szCs w:val="20"/>
                <w:lang w:val="en-GB" w:eastAsia="en-AU"/>
              </w:rPr>
              <w:t xml:space="preserve"> with existing permissions and 7% when the proposed registered use for citrus fruits only is included</w:t>
            </w:r>
          </w:p>
        </w:tc>
      </w:tr>
      <w:tr w:rsidR="000B13FB" w:rsidRPr="00F85DCF" w14:paraId="7E35314E" w14:textId="77777777" w:rsidTr="000E0D6C">
        <w:trPr>
          <w:trHeight w:val="20"/>
        </w:trPr>
        <w:tc>
          <w:tcPr>
            <w:tcW w:w="3510" w:type="dxa"/>
            <w:vAlign w:val="center"/>
          </w:tcPr>
          <w:p w14:paraId="66186B5E" w14:textId="4A7AC5D1" w:rsidR="000B13FB" w:rsidRPr="00F85DCF" w:rsidRDefault="000B13FB" w:rsidP="00AC4EA7">
            <w:pPr>
              <w:rPr>
                <w:sz w:val="20"/>
                <w:szCs w:val="20"/>
                <w:lang w:val="en-GB" w:eastAsia="en-AU"/>
              </w:rPr>
            </w:pPr>
            <w:r w:rsidRPr="00F85DCF">
              <w:rPr>
                <w:sz w:val="20"/>
                <w:szCs w:val="20"/>
                <w:lang w:val="en-GB" w:eastAsia="en-AU"/>
              </w:rPr>
              <w:t xml:space="preserve">Percentage contribution of </w:t>
            </w:r>
            <w:r w:rsidR="00AC4EA7" w:rsidRPr="00F85DCF">
              <w:rPr>
                <w:i/>
                <w:sz w:val="20"/>
                <w:szCs w:val="20"/>
                <w:lang w:val="en-GB" w:eastAsia="en-AU"/>
              </w:rPr>
              <w:t>A</w:t>
            </w:r>
            <w:r w:rsidR="0007288D"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chronic exposure </w:t>
            </w:r>
          </w:p>
        </w:tc>
        <w:tc>
          <w:tcPr>
            <w:tcW w:w="5776" w:type="dxa"/>
            <w:vAlign w:val="center"/>
          </w:tcPr>
          <w:p w14:paraId="51DBF43A" w14:textId="24AE97CE" w:rsidR="000B13FB" w:rsidRPr="00F85DCF" w:rsidRDefault="000B13FB" w:rsidP="00AC4EA7">
            <w:pPr>
              <w:rPr>
                <w:sz w:val="20"/>
                <w:szCs w:val="20"/>
                <w:lang w:val="en-GB" w:eastAsia="en-AU"/>
              </w:rPr>
            </w:pPr>
            <w:r w:rsidRPr="00F85DCF">
              <w:rPr>
                <w:sz w:val="20"/>
                <w:szCs w:val="20"/>
                <w:lang w:val="en-GB" w:eastAsia="en-AU"/>
              </w:rPr>
              <w:t xml:space="preserve">An </w:t>
            </w:r>
            <w:r w:rsidR="00AC4EA7" w:rsidRPr="00F85DCF">
              <w:rPr>
                <w:i/>
                <w:sz w:val="20"/>
                <w:szCs w:val="20"/>
                <w:lang w:val="en-GB" w:eastAsia="en-AU"/>
              </w:rPr>
              <w:t>A</w:t>
            </w:r>
            <w:r w:rsidR="001D6A87"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would result in a contribution of </w:t>
            </w:r>
            <w:r w:rsidR="00D70D18" w:rsidRPr="00F85DCF">
              <w:rPr>
                <w:sz w:val="20"/>
                <w:szCs w:val="20"/>
                <w:lang w:val="en-GB" w:eastAsia="en-AU"/>
              </w:rPr>
              <w:t>5%/12</w:t>
            </w:r>
            <w:r w:rsidRPr="00F85DCF">
              <w:rPr>
                <w:sz w:val="20"/>
                <w:szCs w:val="20"/>
                <w:lang w:val="en-GB" w:eastAsia="en-AU"/>
              </w:rPr>
              <w:t>% of the estimated total dietary exposure</w:t>
            </w:r>
            <w:r w:rsidR="00D70D18" w:rsidRPr="00F85DCF">
              <w:rPr>
                <w:sz w:val="20"/>
                <w:szCs w:val="20"/>
                <w:lang w:val="en-GB" w:eastAsia="en-AU"/>
              </w:rPr>
              <w:t xml:space="preserve"> (existing permissions / citrus fruits only permission respectively). </w:t>
            </w:r>
          </w:p>
        </w:tc>
      </w:tr>
      <w:tr w:rsidR="000B13FB" w:rsidRPr="00F85DCF" w14:paraId="5021BDA2" w14:textId="77777777" w:rsidTr="000E0D6C">
        <w:trPr>
          <w:trHeight w:val="20"/>
        </w:trPr>
        <w:tc>
          <w:tcPr>
            <w:tcW w:w="3510" w:type="dxa"/>
            <w:vAlign w:val="center"/>
          </w:tcPr>
          <w:p w14:paraId="425A9BAB" w14:textId="77777777" w:rsidR="000B13FB" w:rsidRPr="00F85DCF" w:rsidRDefault="000B13FB" w:rsidP="00D5197E">
            <w:pPr>
              <w:rPr>
                <w:sz w:val="20"/>
                <w:szCs w:val="20"/>
                <w:lang w:val="en-GB"/>
              </w:rPr>
            </w:pPr>
            <w:r w:rsidRPr="00F85DCF">
              <w:rPr>
                <w:sz w:val="20"/>
                <w:szCs w:val="20"/>
                <w:lang w:val="en-GB" w:eastAsia="en-AU"/>
              </w:rPr>
              <w:t>Acute dietary exposure assessment</w:t>
            </w:r>
            <w:r w:rsidRPr="00F85DCF">
              <w:rPr>
                <w:sz w:val="20"/>
                <w:szCs w:val="20"/>
                <w:lang w:val="en-GB"/>
              </w:rPr>
              <w:t xml:space="preserve"> (NESTI)</w:t>
            </w:r>
          </w:p>
        </w:tc>
        <w:tc>
          <w:tcPr>
            <w:tcW w:w="5776" w:type="dxa"/>
            <w:vAlign w:val="center"/>
          </w:tcPr>
          <w:p w14:paraId="2912C524" w14:textId="56E39497" w:rsidR="000B13FB" w:rsidRPr="00F85DCF" w:rsidRDefault="000B13FB" w:rsidP="00BC6991">
            <w:pPr>
              <w:rPr>
                <w:sz w:val="20"/>
                <w:szCs w:val="20"/>
                <w:lang w:val="en-GB"/>
              </w:rPr>
            </w:pPr>
            <w:r w:rsidRPr="00F85DCF">
              <w:rPr>
                <w:sz w:val="20"/>
                <w:szCs w:val="20"/>
                <w:lang w:val="en-GB" w:eastAsia="en-AU"/>
              </w:rPr>
              <w:t xml:space="preserve">An acute dietary exposure assessment </w:t>
            </w:r>
            <w:r w:rsidR="00A36725" w:rsidRPr="00F85DCF">
              <w:rPr>
                <w:sz w:val="20"/>
                <w:szCs w:val="20"/>
                <w:lang w:val="en-GB" w:eastAsia="en-AU"/>
              </w:rPr>
              <w:t xml:space="preserve">is </w:t>
            </w:r>
            <w:r w:rsidRPr="00F85DCF">
              <w:rPr>
                <w:sz w:val="20"/>
                <w:szCs w:val="20"/>
                <w:lang w:val="en-GB" w:eastAsia="en-AU"/>
              </w:rPr>
              <w:t>not required for 2-Phenylphenol</w:t>
            </w:r>
            <w:r w:rsidR="00BC6991" w:rsidRPr="00F85DCF">
              <w:rPr>
                <w:sz w:val="20"/>
                <w:szCs w:val="20"/>
                <w:lang w:val="en-GB" w:eastAsia="en-AU"/>
              </w:rPr>
              <w:t>.</w:t>
            </w:r>
            <w:r w:rsidR="00BC6991" w:rsidRPr="00F85DCF">
              <w:rPr>
                <w:sz w:val="20"/>
                <w:szCs w:val="20"/>
                <w:lang w:val="en-GB"/>
              </w:rPr>
              <w:t xml:space="preserve"> This compound was considered by the OCS to have low acute toxicity, therefore</w:t>
            </w:r>
            <w:r w:rsidRPr="00F85DCF">
              <w:rPr>
                <w:sz w:val="20"/>
                <w:szCs w:val="20"/>
                <w:lang w:val="en-GB"/>
              </w:rPr>
              <w:t xml:space="preserve"> no acute reference dose has been established</w:t>
            </w:r>
            <w:r w:rsidRPr="00F85DCF">
              <w:rPr>
                <w:sz w:val="20"/>
                <w:szCs w:val="20"/>
                <w:lang w:val="en-GB" w:eastAsia="en-AU"/>
              </w:rPr>
              <w:t>.</w:t>
            </w:r>
          </w:p>
        </w:tc>
      </w:tr>
      <w:tr w:rsidR="000B13FB" w:rsidRPr="00F85DCF" w14:paraId="66EE7E6B" w14:textId="77777777" w:rsidTr="000E0D6C">
        <w:trPr>
          <w:trHeight w:val="20"/>
        </w:trPr>
        <w:tc>
          <w:tcPr>
            <w:tcW w:w="3510" w:type="dxa"/>
            <w:vAlign w:val="center"/>
          </w:tcPr>
          <w:p w14:paraId="696EEF72" w14:textId="77777777" w:rsidR="000B13FB" w:rsidRPr="00F85DCF" w:rsidRDefault="000B13FB" w:rsidP="00D5197E">
            <w:pPr>
              <w:rPr>
                <w:sz w:val="20"/>
                <w:szCs w:val="20"/>
                <w:lang w:val="en-GB" w:eastAsia="en-AU"/>
              </w:rPr>
            </w:pPr>
            <w:r w:rsidRPr="00F85DCF">
              <w:rPr>
                <w:sz w:val="20"/>
                <w:szCs w:val="20"/>
                <w:lang w:val="en-GB" w:eastAsia="en-AU"/>
              </w:rPr>
              <w:t>Conclusion</w:t>
            </w:r>
          </w:p>
        </w:tc>
        <w:tc>
          <w:tcPr>
            <w:tcW w:w="5776" w:type="dxa"/>
            <w:vAlign w:val="center"/>
          </w:tcPr>
          <w:p w14:paraId="5FE4C88C" w14:textId="405BDEEE" w:rsidR="000B13FB" w:rsidRPr="00F85DCF" w:rsidRDefault="000B13FB" w:rsidP="00AC4EA7">
            <w:pPr>
              <w:rPr>
                <w:sz w:val="20"/>
                <w:szCs w:val="20"/>
                <w:lang w:val="en-GB" w:eastAsia="en-AU"/>
              </w:rPr>
            </w:pPr>
            <w:r w:rsidRPr="00F85DCF">
              <w:rPr>
                <w:sz w:val="20"/>
                <w:szCs w:val="20"/>
                <w:lang w:val="en-GB"/>
              </w:rPr>
              <w:t xml:space="preserve">After considering the principles set out above an </w:t>
            </w:r>
            <w:r w:rsidR="00AC4EA7" w:rsidRPr="00F85DCF">
              <w:rPr>
                <w:b/>
                <w:i/>
                <w:sz w:val="20"/>
                <w:szCs w:val="20"/>
                <w:lang w:val="en-GB" w:eastAsia="en-AU"/>
              </w:rPr>
              <w:t>A</w:t>
            </w:r>
            <w:r w:rsidR="0007288D" w:rsidRPr="00F85DCF">
              <w:rPr>
                <w:b/>
                <w:i/>
                <w:sz w:val="20"/>
                <w:szCs w:val="20"/>
                <w:lang w:val="en-GB" w:eastAsia="en-AU"/>
              </w:rPr>
              <w:t xml:space="preserve">ll other foods </w:t>
            </w:r>
            <w:r w:rsidR="0003601D" w:rsidRPr="00F85DCF">
              <w:rPr>
                <w:b/>
                <w:i/>
                <w:sz w:val="20"/>
                <w:szCs w:val="20"/>
                <w:lang w:val="en-GB" w:eastAsia="en-AU"/>
              </w:rPr>
              <w:t xml:space="preserve">except animal </w:t>
            </w:r>
            <w:r w:rsidR="00D767BE">
              <w:rPr>
                <w:b/>
                <w:i/>
                <w:sz w:val="20"/>
                <w:szCs w:val="20"/>
                <w:lang w:val="en-GB" w:eastAsia="en-AU"/>
              </w:rPr>
              <w:t xml:space="preserve">food </w:t>
            </w:r>
            <w:r w:rsidR="0003601D" w:rsidRPr="00F85DCF">
              <w:rPr>
                <w:b/>
                <w:i/>
                <w:sz w:val="20"/>
                <w:szCs w:val="20"/>
                <w:lang w:val="en-GB" w:eastAsia="en-AU"/>
              </w:rPr>
              <w:t>commodities</w:t>
            </w:r>
            <w:r w:rsidRPr="00F85DCF">
              <w:rPr>
                <w:b/>
                <w:sz w:val="20"/>
                <w:szCs w:val="20"/>
                <w:lang w:val="en-GB" w:eastAsia="en-AU"/>
              </w:rPr>
              <w:t xml:space="preserve"> </w:t>
            </w:r>
            <w:r w:rsidRPr="00F85DCF">
              <w:rPr>
                <w:b/>
                <w:sz w:val="20"/>
                <w:szCs w:val="20"/>
                <w:lang w:val="en-GB"/>
              </w:rPr>
              <w:t>MRL of 0.1 mg/kg</w:t>
            </w:r>
            <w:r w:rsidRPr="00F85DCF">
              <w:rPr>
                <w:sz w:val="20"/>
                <w:szCs w:val="20"/>
                <w:lang w:val="en-GB"/>
              </w:rPr>
              <w:t xml:space="preserve"> for 2</w:t>
            </w:r>
            <w:r w:rsidRPr="00F85DCF">
              <w:rPr>
                <w:sz w:val="20"/>
                <w:szCs w:val="20"/>
                <w:lang w:val="en-GB"/>
              </w:rPr>
              <w:noBreakHyphen/>
              <w:t xml:space="preserve">Phenylphenol is considered acceptable because it has been shown to be practical, adequately manages the risk of off-label use and does not increase the </w:t>
            </w:r>
            <w:r w:rsidR="00F86461" w:rsidRPr="00F85DCF">
              <w:rPr>
                <w:sz w:val="20"/>
                <w:szCs w:val="20"/>
                <w:lang w:val="en-GB"/>
              </w:rPr>
              <w:t xml:space="preserve">level of concern about </w:t>
            </w:r>
            <w:r w:rsidRPr="00F85DCF">
              <w:rPr>
                <w:sz w:val="20"/>
                <w:szCs w:val="20"/>
                <w:lang w:val="en-GB"/>
              </w:rPr>
              <w:t>risk to public health.</w:t>
            </w:r>
          </w:p>
        </w:tc>
      </w:tr>
    </w:tbl>
    <w:p w14:paraId="3CF3B558" w14:textId="77777777" w:rsidR="00CA752F" w:rsidRPr="00F85DCF" w:rsidRDefault="00CA752F">
      <w:pPr>
        <w:rPr>
          <w:sz w:val="20"/>
          <w:szCs w:val="20"/>
          <w:lang w:val="en-GB"/>
        </w:rPr>
      </w:pPr>
      <w:r w:rsidRPr="00F85DCF">
        <w:rPr>
          <w:sz w:val="20"/>
          <w:szCs w:val="20"/>
          <w:lang w:val="en-GB"/>
        </w:rPr>
        <w:br w:type="page"/>
      </w:r>
    </w:p>
    <w:p w14:paraId="5753D632" w14:textId="77777777" w:rsidR="00F6750E" w:rsidRPr="00F85DCF" w:rsidRDefault="00F6750E" w:rsidP="000E0D6C">
      <w:pPr>
        <w:pStyle w:val="Heading3"/>
      </w:pPr>
      <w:r w:rsidRPr="00F85DCF">
        <w:lastRenderedPageBreak/>
        <w:t>Ametoctradin</w:t>
      </w:r>
    </w:p>
    <w:tbl>
      <w:tblPr>
        <w:tblStyle w:val="TableGrid"/>
        <w:tblW w:w="9072" w:type="dxa"/>
        <w:tblLook w:val="04A0" w:firstRow="1" w:lastRow="0" w:firstColumn="1" w:lastColumn="0" w:noHBand="0" w:noVBand="1"/>
      </w:tblPr>
      <w:tblGrid>
        <w:gridCol w:w="3583"/>
        <w:gridCol w:w="5489"/>
      </w:tblGrid>
      <w:tr w:rsidR="00CC7D9E" w:rsidRPr="00F85DCF" w14:paraId="2E78E7D0" w14:textId="77777777" w:rsidTr="000E0D6C">
        <w:tc>
          <w:tcPr>
            <w:tcW w:w="3652" w:type="dxa"/>
            <w:vAlign w:val="center"/>
          </w:tcPr>
          <w:p w14:paraId="169D6BCB" w14:textId="63827F12" w:rsidR="00CC7D9E" w:rsidRPr="00F85DCF" w:rsidRDefault="006D5974" w:rsidP="00D5197E">
            <w:pPr>
              <w:rPr>
                <w:b/>
                <w:sz w:val="20"/>
                <w:szCs w:val="20"/>
                <w:lang w:val="en-GB"/>
              </w:rPr>
            </w:pPr>
            <w:r w:rsidRPr="006D5974">
              <w:rPr>
                <w:b/>
                <w:sz w:val="20"/>
                <w:szCs w:val="20"/>
                <w:lang w:val="en-GB"/>
              </w:rPr>
              <w:t>Considerations</w:t>
            </w:r>
          </w:p>
        </w:tc>
        <w:tc>
          <w:tcPr>
            <w:tcW w:w="5634" w:type="dxa"/>
            <w:vAlign w:val="center"/>
          </w:tcPr>
          <w:p w14:paraId="303CFB13" w14:textId="77777777" w:rsidR="00CC7D9E" w:rsidRPr="00F85DCF" w:rsidRDefault="00CC7D9E" w:rsidP="00D5197E">
            <w:pPr>
              <w:rPr>
                <w:b/>
                <w:sz w:val="20"/>
                <w:szCs w:val="20"/>
                <w:lang w:val="en-GB" w:eastAsia="en-AU"/>
              </w:rPr>
            </w:pPr>
            <w:r w:rsidRPr="00F85DCF">
              <w:rPr>
                <w:b/>
                <w:sz w:val="20"/>
                <w:szCs w:val="20"/>
                <w:lang w:val="en-GB" w:eastAsia="en-AU"/>
              </w:rPr>
              <w:t>Comments</w:t>
            </w:r>
          </w:p>
        </w:tc>
      </w:tr>
      <w:tr w:rsidR="00CC7D9E" w:rsidRPr="00F85DCF" w14:paraId="31A574BD" w14:textId="77777777" w:rsidTr="000E0D6C">
        <w:tc>
          <w:tcPr>
            <w:tcW w:w="3652" w:type="dxa"/>
            <w:vAlign w:val="center"/>
          </w:tcPr>
          <w:p w14:paraId="6F61DD38" w14:textId="73C85339" w:rsidR="00CC7D9E" w:rsidRPr="00F85DCF" w:rsidRDefault="002A26A0" w:rsidP="002A26A0">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5634" w:type="dxa"/>
            <w:vAlign w:val="center"/>
          </w:tcPr>
          <w:p w14:paraId="18709233" w14:textId="77777777" w:rsidR="00CC7D9E" w:rsidRPr="00F85DCF" w:rsidRDefault="00CC7D9E" w:rsidP="00D5197E">
            <w:pPr>
              <w:rPr>
                <w:sz w:val="20"/>
                <w:szCs w:val="20"/>
                <w:lang w:val="en-GB"/>
              </w:rPr>
            </w:pPr>
            <w:r w:rsidRPr="00F85DCF">
              <w:rPr>
                <w:sz w:val="20"/>
                <w:szCs w:val="20"/>
                <w:lang w:val="en-GB" w:eastAsia="en-AU"/>
              </w:rPr>
              <w:t>0.02 mg/kg</w:t>
            </w:r>
          </w:p>
        </w:tc>
      </w:tr>
      <w:tr w:rsidR="00CC7D9E" w:rsidRPr="00F85DCF" w14:paraId="49F7F8A8" w14:textId="77777777" w:rsidTr="000E0D6C">
        <w:tc>
          <w:tcPr>
            <w:tcW w:w="3652" w:type="dxa"/>
            <w:vAlign w:val="center"/>
          </w:tcPr>
          <w:p w14:paraId="653F3BA7" w14:textId="77777777" w:rsidR="00CC7D9E" w:rsidRPr="00F85DCF" w:rsidRDefault="00CC7D9E" w:rsidP="00D5197E">
            <w:pPr>
              <w:rPr>
                <w:sz w:val="20"/>
                <w:szCs w:val="20"/>
                <w:lang w:val="en-GB"/>
              </w:rPr>
            </w:pPr>
            <w:r w:rsidRPr="00F85DCF">
              <w:rPr>
                <w:sz w:val="20"/>
                <w:szCs w:val="20"/>
                <w:lang w:val="en-GB"/>
              </w:rPr>
              <w:t>Lowest plant commodity MRL</w:t>
            </w:r>
          </w:p>
        </w:tc>
        <w:tc>
          <w:tcPr>
            <w:tcW w:w="5634" w:type="dxa"/>
            <w:vAlign w:val="center"/>
          </w:tcPr>
          <w:p w14:paraId="45E053B4" w14:textId="77777777" w:rsidR="00CC7D9E" w:rsidRPr="00F85DCF" w:rsidRDefault="00CC7D9E" w:rsidP="00D5197E">
            <w:pPr>
              <w:rPr>
                <w:sz w:val="20"/>
                <w:szCs w:val="20"/>
                <w:lang w:val="en-GB"/>
              </w:rPr>
            </w:pPr>
            <w:r w:rsidRPr="00F85DCF">
              <w:rPr>
                <w:sz w:val="20"/>
                <w:szCs w:val="20"/>
                <w:lang w:val="en-GB" w:eastAsia="en-AU"/>
              </w:rPr>
              <w:t>0.05 mg/kg (potato)</w:t>
            </w:r>
          </w:p>
        </w:tc>
      </w:tr>
      <w:tr w:rsidR="00CC7D9E" w:rsidRPr="00F85DCF" w14:paraId="2B23AB1E" w14:textId="77777777" w:rsidTr="000E0D6C">
        <w:tc>
          <w:tcPr>
            <w:tcW w:w="3652" w:type="dxa"/>
            <w:vAlign w:val="center"/>
          </w:tcPr>
          <w:p w14:paraId="4A83E47E" w14:textId="11C6624C" w:rsidR="00CC7D9E" w:rsidRPr="00F85DCF" w:rsidRDefault="00EB72A5" w:rsidP="00D5197E">
            <w:pPr>
              <w:rPr>
                <w:sz w:val="20"/>
                <w:szCs w:val="20"/>
                <w:lang w:val="en-GB" w:eastAsia="en-AU"/>
              </w:rPr>
            </w:pPr>
            <w:r w:rsidRPr="00F85DCF">
              <w:rPr>
                <w:sz w:val="20"/>
                <w:szCs w:val="20"/>
                <w:lang w:val="en-GB" w:eastAsia="en-AU"/>
              </w:rPr>
              <w:t xml:space="preserve">Magnitude of existing </w:t>
            </w:r>
            <w:r w:rsidR="00351AC0" w:rsidRPr="00F85DCF">
              <w:rPr>
                <w:sz w:val="20"/>
                <w:szCs w:val="20"/>
                <w:lang w:val="en-GB" w:eastAsia="en-AU"/>
              </w:rPr>
              <w:t xml:space="preserve">plant commodity </w:t>
            </w:r>
            <w:r w:rsidRPr="00F85DCF">
              <w:rPr>
                <w:sz w:val="20"/>
                <w:szCs w:val="20"/>
                <w:lang w:val="en-GB" w:eastAsia="en-AU"/>
              </w:rPr>
              <w:t>MRLs</w:t>
            </w:r>
          </w:p>
        </w:tc>
        <w:tc>
          <w:tcPr>
            <w:tcW w:w="5634" w:type="dxa"/>
            <w:vAlign w:val="center"/>
          </w:tcPr>
          <w:p w14:paraId="40E1A27F" w14:textId="76E216D5" w:rsidR="00CC7D9E" w:rsidRPr="00F85DCF" w:rsidRDefault="00CC7D9E" w:rsidP="00D5197E">
            <w:pPr>
              <w:rPr>
                <w:sz w:val="20"/>
                <w:szCs w:val="20"/>
                <w:lang w:val="en-GB"/>
              </w:rPr>
            </w:pPr>
            <w:r w:rsidRPr="00F85DCF">
              <w:rPr>
                <w:sz w:val="20"/>
                <w:szCs w:val="20"/>
                <w:lang w:val="en-GB"/>
              </w:rPr>
              <w:t xml:space="preserve">The range of existing MRLs </w:t>
            </w:r>
            <w:r w:rsidR="00A36725" w:rsidRPr="00F85DCF">
              <w:rPr>
                <w:sz w:val="20"/>
                <w:szCs w:val="20"/>
                <w:lang w:val="en-GB"/>
              </w:rPr>
              <w:t>is</w:t>
            </w:r>
            <w:r w:rsidRPr="00F85DCF">
              <w:rPr>
                <w:sz w:val="20"/>
                <w:szCs w:val="20"/>
                <w:lang w:val="en-GB"/>
              </w:rPr>
              <w:t xml:space="preserve"> 0.05 mg/kg (potato) to 50 mg/kg (leafy vegetables)</w:t>
            </w:r>
            <w:r w:rsidR="00364CB6" w:rsidRPr="00F85DCF">
              <w:rPr>
                <w:sz w:val="20"/>
                <w:szCs w:val="20"/>
                <w:lang w:val="en-GB"/>
              </w:rPr>
              <w:t>.</w:t>
            </w:r>
          </w:p>
        </w:tc>
      </w:tr>
      <w:tr w:rsidR="00CC7D9E" w:rsidRPr="00F85DCF" w14:paraId="59B6B9DC" w14:textId="77777777" w:rsidTr="000E0D6C">
        <w:tc>
          <w:tcPr>
            <w:tcW w:w="3652" w:type="dxa"/>
            <w:vAlign w:val="center"/>
          </w:tcPr>
          <w:p w14:paraId="12687498" w14:textId="5C8286AC" w:rsidR="00CC7D9E" w:rsidRPr="00F85DCF" w:rsidRDefault="00CC7D9E" w:rsidP="00D5197E">
            <w:pPr>
              <w:rPr>
                <w:sz w:val="20"/>
                <w:szCs w:val="20"/>
                <w:lang w:val="en-GB" w:eastAsia="en-AU"/>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 xml:space="preserve">MRL that is not the </w:t>
            </w:r>
            <w:r w:rsidR="002A26A0" w:rsidRPr="00F85DCF">
              <w:rPr>
                <w:sz w:val="20"/>
                <w:szCs w:val="20"/>
                <w:lang w:val="en-GB" w:eastAsia="en-AU"/>
              </w:rPr>
              <w:t>Limit</w:t>
            </w:r>
            <w:r w:rsidR="000025E0" w:rsidRPr="00F85DCF">
              <w:rPr>
                <w:sz w:val="20"/>
                <w:szCs w:val="20"/>
                <w:lang w:val="en-GB" w:eastAsia="en-AU"/>
              </w:rPr>
              <w:t xml:space="preserve"> of Determination</w:t>
            </w:r>
          </w:p>
        </w:tc>
        <w:tc>
          <w:tcPr>
            <w:tcW w:w="5634" w:type="dxa"/>
            <w:vAlign w:val="center"/>
          </w:tcPr>
          <w:p w14:paraId="4C4DA4C3" w14:textId="77777777" w:rsidR="00CC7D9E" w:rsidRPr="00F85DCF" w:rsidRDefault="00CC7D9E" w:rsidP="00D5197E">
            <w:pPr>
              <w:rPr>
                <w:sz w:val="20"/>
                <w:szCs w:val="20"/>
                <w:lang w:val="en-GB"/>
              </w:rPr>
            </w:pPr>
            <w:r w:rsidRPr="00F85DCF">
              <w:rPr>
                <w:sz w:val="20"/>
                <w:szCs w:val="20"/>
                <w:lang w:val="en-GB"/>
              </w:rPr>
              <w:t>0.05 mg/kg (potato)</w:t>
            </w:r>
          </w:p>
        </w:tc>
      </w:tr>
      <w:tr w:rsidR="00CC7D9E" w:rsidRPr="00F85DCF" w14:paraId="1EB0A0E9" w14:textId="77777777" w:rsidTr="000E0D6C">
        <w:tc>
          <w:tcPr>
            <w:tcW w:w="3652" w:type="dxa"/>
            <w:vAlign w:val="center"/>
          </w:tcPr>
          <w:p w14:paraId="520511C6" w14:textId="0B1C063B" w:rsidR="00CC7D9E" w:rsidRPr="00F85DCF" w:rsidRDefault="00CC7D9E" w:rsidP="00D5197E">
            <w:pPr>
              <w:rPr>
                <w:sz w:val="20"/>
                <w:szCs w:val="20"/>
                <w:lang w:val="en-GB" w:eastAsia="en-AU"/>
              </w:rPr>
            </w:pPr>
            <w:r w:rsidRPr="00F85DCF">
              <w:rPr>
                <w:sz w:val="20"/>
                <w:szCs w:val="20"/>
                <w:lang w:val="en-GB" w:eastAsia="en-AU"/>
              </w:rPr>
              <w:t>Most relevant reference point to minimi</w:t>
            </w:r>
            <w:r w:rsidR="00BB6615" w:rsidRPr="00F85DCF">
              <w:rPr>
                <w:sz w:val="20"/>
                <w:szCs w:val="20"/>
                <w:lang w:val="en-GB" w:eastAsia="en-AU"/>
              </w:rPr>
              <w:t>s</w:t>
            </w:r>
            <w:r w:rsidRPr="00F85DCF">
              <w:rPr>
                <w:sz w:val="20"/>
                <w:szCs w:val="20"/>
                <w:lang w:val="en-GB" w:eastAsia="en-AU"/>
              </w:rPr>
              <w:t>e off-label use</w:t>
            </w:r>
          </w:p>
        </w:tc>
        <w:tc>
          <w:tcPr>
            <w:tcW w:w="5634" w:type="dxa"/>
            <w:vAlign w:val="center"/>
          </w:tcPr>
          <w:p w14:paraId="2787C581" w14:textId="6806D574" w:rsidR="00CC7D9E" w:rsidRPr="00F85DCF" w:rsidRDefault="00CC7D9E" w:rsidP="00D5197E">
            <w:pPr>
              <w:rPr>
                <w:sz w:val="20"/>
                <w:szCs w:val="20"/>
                <w:lang w:val="en-GB"/>
              </w:rPr>
            </w:pPr>
            <w:r w:rsidRPr="00F85DCF">
              <w:rPr>
                <w:sz w:val="20"/>
                <w:szCs w:val="20"/>
                <w:lang w:val="en-GB"/>
              </w:rPr>
              <w:t>0.4 mg/kg (cucumber)</w:t>
            </w:r>
            <w:r w:rsidR="004142D0" w:rsidRPr="00F85DCF">
              <w:rPr>
                <w:sz w:val="20"/>
                <w:szCs w:val="20"/>
                <w:lang w:val="en-GB"/>
              </w:rPr>
              <w:t>.</w:t>
            </w:r>
            <w:r w:rsidR="00027B14" w:rsidRPr="00F85DCF">
              <w:rPr>
                <w:sz w:val="20"/>
                <w:szCs w:val="20"/>
                <w:lang w:val="en-GB"/>
              </w:rPr>
              <w:t xml:space="preserve"> Although potato has a lower MRL, the </w:t>
            </w:r>
            <w:r w:rsidR="00751049" w:rsidRPr="00F85DCF">
              <w:rPr>
                <w:sz w:val="20"/>
                <w:szCs w:val="20"/>
                <w:lang w:val="en-GB"/>
              </w:rPr>
              <w:t xml:space="preserve">agvet </w:t>
            </w:r>
            <w:r w:rsidR="00027B14" w:rsidRPr="00F85DCF">
              <w:rPr>
                <w:sz w:val="20"/>
                <w:szCs w:val="20"/>
                <w:lang w:val="en-GB"/>
              </w:rPr>
              <w:t xml:space="preserve">chemical is applied to the leaves above ground and therefore the MRL for the edible portion </w:t>
            </w:r>
            <w:r w:rsidR="00A36725" w:rsidRPr="00F85DCF">
              <w:rPr>
                <w:sz w:val="20"/>
                <w:szCs w:val="20"/>
                <w:lang w:val="en-GB"/>
              </w:rPr>
              <w:t xml:space="preserve">is </w:t>
            </w:r>
            <w:r w:rsidR="00027B14" w:rsidRPr="00F85DCF">
              <w:rPr>
                <w:sz w:val="20"/>
                <w:szCs w:val="20"/>
                <w:lang w:val="en-GB"/>
              </w:rPr>
              <w:t>not considered as</w:t>
            </w:r>
            <w:r w:rsidR="006A735A" w:rsidRPr="00F85DCF">
              <w:rPr>
                <w:sz w:val="20"/>
                <w:szCs w:val="20"/>
                <w:lang w:val="en-GB"/>
              </w:rPr>
              <w:t xml:space="preserve"> an appropriate reference point.</w:t>
            </w:r>
          </w:p>
        </w:tc>
      </w:tr>
      <w:tr w:rsidR="00CC7D9E" w:rsidRPr="00F85DCF" w14:paraId="2B3CD6C8" w14:textId="77777777" w:rsidTr="000E0D6C">
        <w:tc>
          <w:tcPr>
            <w:tcW w:w="3652" w:type="dxa"/>
            <w:vAlign w:val="center"/>
          </w:tcPr>
          <w:p w14:paraId="7919C336" w14:textId="77777777" w:rsidR="00CC7D9E" w:rsidRPr="00F85DCF" w:rsidRDefault="00CC7D9E" w:rsidP="00D5197E">
            <w:pPr>
              <w:rPr>
                <w:sz w:val="20"/>
                <w:szCs w:val="20"/>
                <w:lang w:val="en-GB"/>
              </w:rPr>
            </w:pPr>
            <w:r w:rsidRPr="00F85DCF">
              <w:rPr>
                <w:sz w:val="20"/>
                <w:szCs w:val="20"/>
                <w:lang w:val="en-GB" w:eastAsia="en-AU"/>
              </w:rPr>
              <w:t>Chronic dietary exposure (NEDI) considering existing permissions only</w:t>
            </w:r>
          </w:p>
        </w:tc>
        <w:tc>
          <w:tcPr>
            <w:tcW w:w="5634" w:type="dxa"/>
            <w:vAlign w:val="center"/>
          </w:tcPr>
          <w:p w14:paraId="6C62F423" w14:textId="48F5A0EC" w:rsidR="00CC7D9E" w:rsidRPr="00F85DCF" w:rsidRDefault="00CC7D9E" w:rsidP="00D5197E">
            <w:pPr>
              <w:rPr>
                <w:sz w:val="20"/>
                <w:szCs w:val="20"/>
                <w:lang w:val="en-GB"/>
              </w:rPr>
            </w:pPr>
            <w:r w:rsidRPr="00F85DCF">
              <w:rPr>
                <w:sz w:val="20"/>
                <w:szCs w:val="20"/>
                <w:lang w:val="en-GB"/>
              </w:rPr>
              <w:t>&lt;1%</w:t>
            </w:r>
            <w:r w:rsidR="001D1C3B" w:rsidRPr="00F85DCF">
              <w:rPr>
                <w:sz w:val="20"/>
                <w:szCs w:val="20"/>
                <w:lang w:val="en-GB"/>
              </w:rPr>
              <w:t xml:space="preserve"> of the ADI</w:t>
            </w:r>
          </w:p>
        </w:tc>
      </w:tr>
      <w:tr w:rsidR="00CC7D9E" w:rsidRPr="00F85DCF" w14:paraId="2351EB3C" w14:textId="77777777" w:rsidTr="000E0D6C">
        <w:tc>
          <w:tcPr>
            <w:tcW w:w="3652" w:type="dxa"/>
            <w:vAlign w:val="center"/>
          </w:tcPr>
          <w:p w14:paraId="58087811" w14:textId="56358EED" w:rsidR="00CC7D9E" w:rsidRPr="00F85DCF" w:rsidRDefault="00CC7D9E" w:rsidP="008761EC">
            <w:pPr>
              <w:rPr>
                <w:sz w:val="20"/>
                <w:szCs w:val="20"/>
                <w:lang w:val="en-GB"/>
              </w:rPr>
            </w:pPr>
            <w:r w:rsidRPr="00F85DCF">
              <w:rPr>
                <w:sz w:val="20"/>
                <w:szCs w:val="20"/>
                <w:lang w:val="en-GB"/>
              </w:rPr>
              <w:t xml:space="preserve">Proposed </w:t>
            </w:r>
            <w:r w:rsidR="008761EC" w:rsidRPr="00F85DCF">
              <w:rPr>
                <w:i/>
                <w:sz w:val="20"/>
                <w:szCs w:val="20"/>
                <w:lang w:val="en-GB"/>
              </w:rPr>
              <w:t>A</w:t>
            </w:r>
            <w:r w:rsidR="00310DF0" w:rsidRPr="00F85DCF">
              <w:rPr>
                <w:i/>
                <w:sz w:val="20"/>
                <w:szCs w:val="20"/>
                <w:lang w:val="en-GB"/>
              </w:rPr>
              <w:t xml:space="preserve">ll other foods except animal </w:t>
            </w:r>
            <w:r w:rsidR="00D767BE">
              <w:rPr>
                <w:i/>
                <w:sz w:val="20"/>
                <w:szCs w:val="20"/>
                <w:lang w:val="en-GB"/>
              </w:rPr>
              <w:t xml:space="preserve">food </w:t>
            </w:r>
            <w:r w:rsidR="00310DF0" w:rsidRPr="00F85DCF">
              <w:rPr>
                <w:i/>
                <w:sz w:val="20"/>
                <w:szCs w:val="20"/>
                <w:lang w:val="en-GB"/>
              </w:rPr>
              <w:t>commodities</w:t>
            </w:r>
            <w:r w:rsidRPr="00F85DCF">
              <w:rPr>
                <w:sz w:val="20"/>
                <w:szCs w:val="20"/>
                <w:lang w:val="en-GB"/>
              </w:rPr>
              <w:t xml:space="preserve"> MRL</w:t>
            </w:r>
            <w:r w:rsidR="00351AC0" w:rsidRPr="00F85DCF">
              <w:rPr>
                <w:sz w:val="20"/>
                <w:szCs w:val="20"/>
                <w:lang w:val="en-GB"/>
              </w:rPr>
              <w:t xml:space="preserve"> </w:t>
            </w:r>
          </w:p>
        </w:tc>
        <w:tc>
          <w:tcPr>
            <w:tcW w:w="5634" w:type="dxa"/>
            <w:vAlign w:val="center"/>
          </w:tcPr>
          <w:p w14:paraId="57F313F8" w14:textId="77777777" w:rsidR="00CC7D9E" w:rsidRPr="00F85DCF" w:rsidRDefault="00CC7D9E" w:rsidP="00D5197E">
            <w:pPr>
              <w:rPr>
                <w:sz w:val="20"/>
                <w:szCs w:val="20"/>
                <w:lang w:val="en-GB"/>
              </w:rPr>
            </w:pPr>
            <w:r w:rsidRPr="00F85DCF">
              <w:rPr>
                <w:sz w:val="20"/>
                <w:szCs w:val="20"/>
                <w:lang w:val="en-GB"/>
              </w:rPr>
              <w:t>0.2 mg/kg</w:t>
            </w:r>
          </w:p>
        </w:tc>
      </w:tr>
      <w:tr w:rsidR="00CC7D9E" w:rsidRPr="00F85DCF" w14:paraId="1C332A35" w14:textId="77777777" w:rsidTr="000E0D6C">
        <w:tc>
          <w:tcPr>
            <w:tcW w:w="3652" w:type="dxa"/>
            <w:vAlign w:val="center"/>
          </w:tcPr>
          <w:p w14:paraId="439EA24C" w14:textId="58027B5F" w:rsidR="00CC7D9E" w:rsidRPr="00F85DCF" w:rsidRDefault="00CC7D9E" w:rsidP="008761EC">
            <w:pPr>
              <w:rPr>
                <w:sz w:val="20"/>
                <w:szCs w:val="20"/>
                <w:lang w:val="en-GB"/>
              </w:rPr>
            </w:pPr>
            <w:r w:rsidRPr="00F85DCF">
              <w:rPr>
                <w:sz w:val="20"/>
                <w:szCs w:val="20"/>
                <w:lang w:val="en-GB" w:eastAsia="en-AU"/>
              </w:rPr>
              <w:t xml:space="preserve">NEDI including </w:t>
            </w:r>
            <w:r w:rsidR="008761EC"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195F90">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5634" w:type="dxa"/>
            <w:vAlign w:val="center"/>
          </w:tcPr>
          <w:p w14:paraId="37C503E5" w14:textId="515B1D44" w:rsidR="00CC7D9E" w:rsidRPr="00F85DCF" w:rsidRDefault="00CC7D9E" w:rsidP="00D5197E">
            <w:pPr>
              <w:rPr>
                <w:sz w:val="20"/>
                <w:szCs w:val="20"/>
                <w:lang w:val="en-GB"/>
              </w:rPr>
            </w:pPr>
            <w:r w:rsidRPr="00F85DCF">
              <w:rPr>
                <w:sz w:val="20"/>
                <w:szCs w:val="20"/>
                <w:lang w:val="en-GB" w:eastAsia="en-AU"/>
              </w:rPr>
              <w:t>&lt;1% of the ADI</w:t>
            </w:r>
          </w:p>
        </w:tc>
      </w:tr>
      <w:tr w:rsidR="00CC7D9E" w:rsidRPr="00F85DCF" w14:paraId="2290255B" w14:textId="77777777" w:rsidTr="000E0D6C">
        <w:tc>
          <w:tcPr>
            <w:tcW w:w="3652" w:type="dxa"/>
            <w:vAlign w:val="center"/>
          </w:tcPr>
          <w:p w14:paraId="71E6E7B3" w14:textId="19FDB463" w:rsidR="00CC7D9E" w:rsidRPr="00F85DCF" w:rsidRDefault="00E46481" w:rsidP="008761EC">
            <w:pPr>
              <w:rPr>
                <w:sz w:val="20"/>
                <w:szCs w:val="20"/>
                <w:lang w:val="en-GB" w:eastAsia="en-AU"/>
              </w:rPr>
            </w:pPr>
            <w:r w:rsidRPr="00F85DCF">
              <w:rPr>
                <w:sz w:val="20"/>
                <w:szCs w:val="20"/>
                <w:lang w:val="en-GB" w:eastAsia="en-AU"/>
              </w:rPr>
              <w:t xml:space="preserve">Percentage contribution of </w:t>
            </w:r>
            <w:r w:rsidR="008761EC"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F27164" w:rsidRPr="00F85DCF">
              <w:rPr>
                <w:sz w:val="20"/>
                <w:szCs w:val="20"/>
                <w:lang w:val="en-GB" w:eastAsia="en-AU"/>
              </w:rPr>
              <w:t xml:space="preserve">chronic </w:t>
            </w:r>
            <w:r w:rsidRPr="00F85DCF">
              <w:rPr>
                <w:sz w:val="20"/>
                <w:szCs w:val="20"/>
                <w:lang w:val="en-GB" w:eastAsia="en-AU"/>
              </w:rPr>
              <w:t>exposure</w:t>
            </w:r>
          </w:p>
        </w:tc>
        <w:tc>
          <w:tcPr>
            <w:tcW w:w="5634" w:type="dxa"/>
            <w:vAlign w:val="center"/>
          </w:tcPr>
          <w:p w14:paraId="4253C3ED" w14:textId="21456963" w:rsidR="00CC7D9E" w:rsidRPr="00F85DCF" w:rsidRDefault="00CC7D9E" w:rsidP="008761EC">
            <w:pPr>
              <w:rPr>
                <w:sz w:val="20"/>
                <w:szCs w:val="20"/>
                <w:lang w:val="en-GB" w:eastAsia="en-AU"/>
              </w:rPr>
            </w:pPr>
            <w:r w:rsidRPr="00F85DCF">
              <w:rPr>
                <w:sz w:val="20"/>
                <w:szCs w:val="20"/>
                <w:lang w:val="en-GB" w:eastAsia="en-AU"/>
              </w:rPr>
              <w:t xml:space="preserve">An </w:t>
            </w:r>
            <w:r w:rsidR="008761EC"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w:t>
            </w:r>
            <w:r w:rsidR="007C2013" w:rsidRPr="00F85DCF">
              <w:rPr>
                <w:sz w:val="20"/>
                <w:szCs w:val="20"/>
                <w:lang w:val="en-GB" w:eastAsia="en-AU"/>
              </w:rPr>
              <w:t>result</w:t>
            </w:r>
            <w:r w:rsidR="00D472BA" w:rsidRPr="00F85DCF">
              <w:rPr>
                <w:sz w:val="20"/>
                <w:szCs w:val="20"/>
                <w:lang w:val="en-GB" w:eastAsia="en-AU"/>
              </w:rPr>
              <w:t>s</w:t>
            </w:r>
            <w:r w:rsidR="007C2013" w:rsidRPr="00F85DCF">
              <w:rPr>
                <w:sz w:val="20"/>
                <w:szCs w:val="20"/>
                <w:lang w:val="en-GB" w:eastAsia="en-AU"/>
              </w:rPr>
              <w:t xml:space="preserve"> in a contribution of 14% to the estimated total dietary </w:t>
            </w:r>
            <w:r w:rsidRPr="00F85DCF" w:rsidDel="007C2013">
              <w:rPr>
                <w:sz w:val="20"/>
                <w:lang w:val="en-GB" w:eastAsia="en-AU"/>
              </w:rPr>
              <w:t>exposure</w:t>
            </w:r>
            <w:r w:rsidRPr="00F85DCF">
              <w:rPr>
                <w:sz w:val="20"/>
                <w:szCs w:val="20"/>
                <w:lang w:val="en-GB" w:eastAsia="en-AU"/>
              </w:rPr>
              <w:t xml:space="preserve">. Increasing the </w:t>
            </w:r>
            <w:r w:rsidR="008761EC"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to 0.15 mg/kg is still within the target</w:t>
            </w:r>
            <w:r w:rsidR="00AD2DF5" w:rsidRPr="00F85DCF">
              <w:rPr>
                <w:sz w:val="20"/>
                <w:szCs w:val="20"/>
                <w:lang w:val="en-GB" w:eastAsia="en-AU"/>
              </w:rPr>
              <w:t xml:space="preserve"> of 20% </w:t>
            </w:r>
            <w:r w:rsidR="007C2013" w:rsidRPr="00F85DCF">
              <w:rPr>
                <w:sz w:val="20"/>
                <w:szCs w:val="20"/>
                <w:lang w:val="en-GB" w:eastAsia="en-AU"/>
              </w:rPr>
              <w:t>contribution to</w:t>
            </w:r>
            <w:r w:rsidR="00AD2DF5" w:rsidRPr="00F85DCF">
              <w:rPr>
                <w:sz w:val="20"/>
                <w:szCs w:val="20"/>
                <w:lang w:val="en-GB" w:eastAsia="en-AU"/>
              </w:rPr>
              <w:t xml:space="preserve"> total </w:t>
            </w:r>
            <w:r w:rsidR="00BF52C4" w:rsidRPr="00F85DCF">
              <w:rPr>
                <w:sz w:val="20"/>
                <w:szCs w:val="20"/>
                <w:lang w:val="en-GB" w:eastAsia="en-AU"/>
              </w:rPr>
              <w:t xml:space="preserve">dietary </w:t>
            </w:r>
            <w:r w:rsidR="00AD2DF5" w:rsidRPr="00F85DCF">
              <w:rPr>
                <w:sz w:val="20"/>
                <w:szCs w:val="20"/>
                <w:lang w:val="en-GB" w:eastAsia="en-AU"/>
              </w:rPr>
              <w:t>exposure</w:t>
            </w:r>
            <w:r w:rsidRPr="00F85DCF">
              <w:rPr>
                <w:sz w:val="20"/>
                <w:szCs w:val="20"/>
                <w:lang w:val="en-GB" w:eastAsia="en-AU"/>
              </w:rPr>
              <w:t xml:space="preserve">. However, this was rounded up to 0.2 mg/kg which increased the </w:t>
            </w:r>
            <w:r w:rsidR="007C2013" w:rsidRPr="00F85DCF">
              <w:rPr>
                <w:sz w:val="20"/>
                <w:szCs w:val="20"/>
                <w:lang w:val="en-GB" w:eastAsia="en-AU"/>
              </w:rPr>
              <w:t xml:space="preserve">contribution </w:t>
            </w:r>
            <w:r w:rsidRPr="00F85DCF">
              <w:rPr>
                <w:sz w:val="20"/>
                <w:szCs w:val="20"/>
                <w:lang w:val="en-GB" w:eastAsia="en-AU"/>
              </w:rPr>
              <w:t xml:space="preserve">to 25% of total </w:t>
            </w:r>
            <w:r w:rsidR="007C2013" w:rsidRPr="00F85DCF">
              <w:rPr>
                <w:sz w:val="20"/>
                <w:szCs w:val="20"/>
                <w:lang w:val="en-GB" w:eastAsia="en-AU"/>
              </w:rPr>
              <w:t xml:space="preserve">estimated </w:t>
            </w:r>
            <w:r w:rsidRPr="00F85DCF">
              <w:rPr>
                <w:sz w:val="20"/>
                <w:szCs w:val="20"/>
                <w:lang w:val="en-GB" w:eastAsia="en-AU"/>
              </w:rPr>
              <w:t xml:space="preserve">exposure. Although slightly above the 20% target, considering the total </w:t>
            </w:r>
            <w:r w:rsidR="007C2013" w:rsidRPr="00F85DCF">
              <w:rPr>
                <w:sz w:val="20"/>
                <w:szCs w:val="20"/>
                <w:lang w:val="en-GB" w:eastAsia="en-AU"/>
              </w:rPr>
              <w:t xml:space="preserve">estimated </w:t>
            </w:r>
            <w:r w:rsidRPr="00F85DCF">
              <w:rPr>
                <w:sz w:val="20"/>
                <w:szCs w:val="20"/>
                <w:lang w:val="en-GB" w:eastAsia="en-AU"/>
              </w:rPr>
              <w:t>dietary exposure for Ametoctradin is currently less than 1% of the HBGV</w:t>
            </w:r>
            <w:r w:rsidR="007C2013" w:rsidRPr="00F85DCF">
              <w:rPr>
                <w:sz w:val="20"/>
                <w:szCs w:val="20"/>
                <w:lang w:val="en-GB" w:eastAsia="en-AU"/>
              </w:rPr>
              <w:t xml:space="preserve"> from foods with existing </w:t>
            </w:r>
            <w:r w:rsidR="00520EC5" w:rsidRPr="00F85DCF">
              <w:rPr>
                <w:sz w:val="20"/>
                <w:szCs w:val="20"/>
                <w:lang w:val="en-GB" w:eastAsia="en-AU"/>
              </w:rPr>
              <w:t>MRLs</w:t>
            </w:r>
            <w:r w:rsidRPr="00F85DCF">
              <w:rPr>
                <w:sz w:val="20"/>
                <w:szCs w:val="20"/>
                <w:lang w:val="en-GB" w:eastAsia="en-AU"/>
              </w:rPr>
              <w:t xml:space="preserve">, this </w:t>
            </w:r>
            <w:r w:rsidR="00D7430E" w:rsidRPr="00F85DCF">
              <w:rPr>
                <w:sz w:val="20"/>
                <w:szCs w:val="20"/>
                <w:lang w:val="en-GB" w:eastAsia="en-AU"/>
              </w:rPr>
              <w:t xml:space="preserve">is </w:t>
            </w:r>
            <w:r w:rsidRPr="00F85DCF">
              <w:rPr>
                <w:sz w:val="20"/>
                <w:szCs w:val="20"/>
                <w:lang w:val="en-GB" w:eastAsia="en-AU"/>
              </w:rPr>
              <w:t>considered acceptable</w:t>
            </w:r>
            <w:r w:rsidR="00080F58" w:rsidRPr="00F85DCF">
              <w:rPr>
                <w:sz w:val="20"/>
                <w:szCs w:val="20"/>
                <w:lang w:val="en-GB" w:eastAsia="en-AU"/>
              </w:rPr>
              <w:t>.</w:t>
            </w:r>
          </w:p>
        </w:tc>
      </w:tr>
      <w:tr w:rsidR="00F27164" w:rsidRPr="00F85DCF" w14:paraId="76ECBC95" w14:textId="77777777" w:rsidTr="000E0D6C">
        <w:tc>
          <w:tcPr>
            <w:tcW w:w="3652" w:type="dxa"/>
            <w:vAlign w:val="center"/>
          </w:tcPr>
          <w:p w14:paraId="5566407E" w14:textId="72B6D93B" w:rsidR="00F27164" w:rsidRPr="00F85DCF" w:rsidRDefault="00F27164" w:rsidP="00D5197E">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5634" w:type="dxa"/>
            <w:vAlign w:val="center"/>
          </w:tcPr>
          <w:p w14:paraId="4EC5020E" w14:textId="6ACA8D31" w:rsidR="00F27164" w:rsidRPr="00F85DCF" w:rsidRDefault="00F27164" w:rsidP="001F06E6">
            <w:pPr>
              <w:rPr>
                <w:sz w:val="20"/>
                <w:szCs w:val="20"/>
                <w:lang w:val="en-GB"/>
              </w:rPr>
            </w:pPr>
            <w:r w:rsidRPr="00F85DCF">
              <w:rPr>
                <w:sz w:val="20"/>
                <w:szCs w:val="20"/>
                <w:lang w:val="en-GB" w:eastAsia="en-AU"/>
              </w:rPr>
              <w:t xml:space="preserve">An acute dietary exposure assessment </w:t>
            </w:r>
            <w:r w:rsidR="00D7430E" w:rsidRPr="00F85DCF">
              <w:rPr>
                <w:sz w:val="20"/>
                <w:szCs w:val="20"/>
                <w:lang w:val="en-GB" w:eastAsia="en-AU"/>
              </w:rPr>
              <w:t xml:space="preserve">is </w:t>
            </w:r>
            <w:r w:rsidRPr="00F85DCF">
              <w:rPr>
                <w:sz w:val="20"/>
                <w:szCs w:val="20"/>
                <w:lang w:val="en-GB" w:eastAsia="en-AU"/>
              </w:rPr>
              <w:t xml:space="preserve">considered unnecessary for </w:t>
            </w:r>
            <w:r w:rsidRPr="00F85DCF">
              <w:rPr>
                <w:sz w:val="20"/>
                <w:szCs w:val="20"/>
                <w:lang w:val="en-GB"/>
              </w:rPr>
              <w:t xml:space="preserve">Ametoctradin because </w:t>
            </w:r>
            <w:r w:rsidR="001F06E6" w:rsidRPr="00F85DCF">
              <w:rPr>
                <w:sz w:val="20"/>
                <w:szCs w:val="20"/>
                <w:lang w:val="en-GB"/>
              </w:rPr>
              <w:t>the OCS has not established an acute reference dose and JMPR consider an ARfD unnecessary.</w:t>
            </w:r>
          </w:p>
        </w:tc>
      </w:tr>
      <w:tr w:rsidR="00F27164" w:rsidRPr="00F85DCF" w14:paraId="60289A1C" w14:textId="77777777" w:rsidTr="000E0D6C">
        <w:tc>
          <w:tcPr>
            <w:tcW w:w="3652" w:type="dxa"/>
            <w:vAlign w:val="center"/>
          </w:tcPr>
          <w:p w14:paraId="0EF5C7C3" w14:textId="77777777" w:rsidR="00F27164" w:rsidRPr="00F85DCF" w:rsidRDefault="00F27164" w:rsidP="00D5197E">
            <w:pPr>
              <w:rPr>
                <w:sz w:val="20"/>
                <w:szCs w:val="20"/>
                <w:lang w:val="en-GB" w:eastAsia="en-AU"/>
              </w:rPr>
            </w:pPr>
            <w:r w:rsidRPr="00F85DCF">
              <w:rPr>
                <w:sz w:val="20"/>
                <w:szCs w:val="20"/>
                <w:lang w:val="en-GB" w:eastAsia="en-AU"/>
              </w:rPr>
              <w:t>Conclusion</w:t>
            </w:r>
          </w:p>
        </w:tc>
        <w:tc>
          <w:tcPr>
            <w:tcW w:w="5634" w:type="dxa"/>
            <w:vAlign w:val="center"/>
          </w:tcPr>
          <w:p w14:paraId="05FD440F" w14:textId="1C61F225" w:rsidR="00F27164" w:rsidRPr="00F85DCF" w:rsidRDefault="00F27164" w:rsidP="0027053C">
            <w:pPr>
              <w:rPr>
                <w:sz w:val="20"/>
                <w:szCs w:val="20"/>
                <w:lang w:val="en-GB" w:eastAsia="en-AU"/>
              </w:rPr>
            </w:pPr>
            <w:r w:rsidRPr="00F85DCF">
              <w:rPr>
                <w:sz w:val="20"/>
                <w:szCs w:val="20"/>
                <w:lang w:val="en-GB"/>
              </w:rPr>
              <w:t xml:space="preserve">After considering the principles set out above an </w:t>
            </w:r>
            <w:r w:rsidR="0027053C" w:rsidRPr="00F85DCF">
              <w:rPr>
                <w:b/>
                <w:i/>
                <w:sz w:val="20"/>
                <w:szCs w:val="20"/>
                <w:lang w:val="en-GB"/>
              </w:rPr>
              <w:t>A</w:t>
            </w:r>
            <w:r w:rsidR="00310DF0" w:rsidRPr="00F85DCF">
              <w:rPr>
                <w:b/>
                <w:i/>
                <w:sz w:val="20"/>
                <w:szCs w:val="20"/>
                <w:lang w:val="en-GB"/>
              </w:rPr>
              <w:t xml:space="preserve">ll other foods </w:t>
            </w:r>
            <w:r w:rsidR="0003601D" w:rsidRPr="00F85DCF">
              <w:rPr>
                <w:b/>
                <w:i/>
                <w:sz w:val="20"/>
                <w:szCs w:val="20"/>
                <w:lang w:val="en-GB"/>
              </w:rPr>
              <w:t xml:space="preserve">except animal </w:t>
            </w:r>
            <w:r w:rsidR="00D767BE">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0.2 mg/kg </w:t>
            </w:r>
            <w:r w:rsidRPr="00F85DCF">
              <w:rPr>
                <w:sz w:val="20"/>
                <w:szCs w:val="20"/>
                <w:lang w:val="en-GB"/>
              </w:rPr>
              <w:t xml:space="preserve">for Ametoctradin is acceptable because it has been shown to be practical, adequately manages the risk of off-label use and does not increase the </w:t>
            </w:r>
            <w:r w:rsidR="00F86461" w:rsidRPr="00F85DCF">
              <w:rPr>
                <w:sz w:val="20"/>
                <w:szCs w:val="20"/>
                <w:lang w:val="en-GB"/>
              </w:rPr>
              <w:t>level of concern about</w:t>
            </w:r>
            <w:r w:rsidRPr="00F85DCF">
              <w:rPr>
                <w:sz w:val="20"/>
                <w:szCs w:val="20"/>
                <w:lang w:val="en-GB"/>
              </w:rPr>
              <w:t xml:space="preserve"> risk to public health</w:t>
            </w:r>
            <w:r w:rsidR="00080F58" w:rsidRPr="00F85DCF">
              <w:rPr>
                <w:sz w:val="20"/>
                <w:szCs w:val="20"/>
                <w:lang w:val="en-GB"/>
              </w:rPr>
              <w:t>.</w:t>
            </w:r>
          </w:p>
        </w:tc>
      </w:tr>
    </w:tbl>
    <w:p w14:paraId="02CFCE28" w14:textId="77777777" w:rsidR="00CA752F" w:rsidRPr="00F85DCF" w:rsidRDefault="00CA752F">
      <w:pPr>
        <w:rPr>
          <w:sz w:val="20"/>
          <w:szCs w:val="20"/>
          <w:lang w:val="en-GB"/>
        </w:rPr>
      </w:pPr>
      <w:r w:rsidRPr="00F85DCF">
        <w:rPr>
          <w:sz w:val="20"/>
          <w:szCs w:val="20"/>
          <w:lang w:val="en-GB"/>
        </w:rPr>
        <w:br w:type="page"/>
      </w:r>
    </w:p>
    <w:p w14:paraId="464D2849" w14:textId="70EFB654" w:rsidR="00F6750E" w:rsidRPr="00F85DCF" w:rsidRDefault="00F6750E" w:rsidP="000E0D6C">
      <w:pPr>
        <w:pStyle w:val="Heading3"/>
      </w:pPr>
      <w:r w:rsidRPr="00F85DCF">
        <w:lastRenderedPageBreak/>
        <w:t>Azoxystrobin</w:t>
      </w:r>
    </w:p>
    <w:tbl>
      <w:tblPr>
        <w:tblStyle w:val="TableGrid"/>
        <w:tblW w:w="9072" w:type="dxa"/>
        <w:tblLook w:val="04A0" w:firstRow="1" w:lastRow="0" w:firstColumn="1" w:lastColumn="0" w:noHBand="0" w:noVBand="1"/>
      </w:tblPr>
      <w:tblGrid>
        <w:gridCol w:w="3445"/>
        <w:gridCol w:w="5627"/>
      </w:tblGrid>
      <w:tr w:rsidR="00CC7D9E" w:rsidRPr="00F85DCF" w14:paraId="20FF7CC4" w14:textId="77777777" w:rsidTr="000E0D6C">
        <w:tc>
          <w:tcPr>
            <w:tcW w:w="3510" w:type="dxa"/>
            <w:vAlign w:val="center"/>
          </w:tcPr>
          <w:p w14:paraId="5A6ECF01" w14:textId="1BFC3027" w:rsidR="00CC7D9E" w:rsidRPr="00F85DCF" w:rsidRDefault="006D5974" w:rsidP="00D5197E">
            <w:pPr>
              <w:rPr>
                <w:b/>
                <w:sz w:val="20"/>
                <w:szCs w:val="20"/>
                <w:lang w:val="en-GB"/>
              </w:rPr>
            </w:pPr>
            <w:r w:rsidRPr="006D5974">
              <w:rPr>
                <w:b/>
                <w:sz w:val="20"/>
                <w:szCs w:val="20"/>
                <w:lang w:val="en-GB"/>
              </w:rPr>
              <w:t>Considerations</w:t>
            </w:r>
          </w:p>
        </w:tc>
        <w:tc>
          <w:tcPr>
            <w:tcW w:w="5776" w:type="dxa"/>
            <w:vAlign w:val="center"/>
          </w:tcPr>
          <w:p w14:paraId="680849AE" w14:textId="77777777" w:rsidR="00CC7D9E" w:rsidRPr="00F85DCF" w:rsidRDefault="00CC7D9E" w:rsidP="00D5197E">
            <w:pPr>
              <w:rPr>
                <w:b/>
                <w:sz w:val="20"/>
                <w:szCs w:val="20"/>
                <w:lang w:val="en-GB" w:eastAsia="en-AU"/>
              </w:rPr>
            </w:pPr>
            <w:r w:rsidRPr="00F85DCF">
              <w:rPr>
                <w:b/>
                <w:sz w:val="20"/>
                <w:szCs w:val="20"/>
                <w:lang w:val="en-GB" w:eastAsia="en-AU"/>
              </w:rPr>
              <w:t>Comments</w:t>
            </w:r>
          </w:p>
        </w:tc>
      </w:tr>
      <w:tr w:rsidR="00CC7D9E" w:rsidRPr="00F85DCF" w14:paraId="009C6ADB" w14:textId="77777777" w:rsidTr="000E0D6C">
        <w:tc>
          <w:tcPr>
            <w:tcW w:w="3510" w:type="dxa"/>
            <w:vAlign w:val="center"/>
          </w:tcPr>
          <w:p w14:paraId="04623BE8" w14:textId="68385428" w:rsidR="00CC7D9E" w:rsidRPr="00F85DCF" w:rsidRDefault="002A26A0" w:rsidP="00D5197E">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5776" w:type="dxa"/>
            <w:vAlign w:val="center"/>
          </w:tcPr>
          <w:p w14:paraId="47A0D872" w14:textId="77777777" w:rsidR="00CC7D9E" w:rsidRPr="00F85DCF" w:rsidRDefault="00CC7D9E" w:rsidP="00D5197E">
            <w:pPr>
              <w:rPr>
                <w:sz w:val="20"/>
                <w:szCs w:val="20"/>
                <w:lang w:val="en-GB"/>
              </w:rPr>
            </w:pPr>
            <w:r w:rsidRPr="00F85DCF">
              <w:rPr>
                <w:sz w:val="20"/>
                <w:szCs w:val="20"/>
                <w:lang w:val="en-GB" w:eastAsia="en-AU"/>
              </w:rPr>
              <w:t>0.01 mg/kg</w:t>
            </w:r>
          </w:p>
        </w:tc>
      </w:tr>
      <w:tr w:rsidR="00CC7D9E" w:rsidRPr="00F85DCF" w14:paraId="1626FE81" w14:textId="77777777" w:rsidTr="000E0D6C">
        <w:tc>
          <w:tcPr>
            <w:tcW w:w="3510" w:type="dxa"/>
            <w:vAlign w:val="center"/>
          </w:tcPr>
          <w:p w14:paraId="3175AE8F" w14:textId="77777777" w:rsidR="00CC7D9E" w:rsidRPr="00F85DCF" w:rsidRDefault="00CC7D9E" w:rsidP="00D5197E">
            <w:pPr>
              <w:rPr>
                <w:sz w:val="20"/>
                <w:szCs w:val="20"/>
                <w:lang w:val="en-GB"/>
              </w:rPr>
            </w:pPr>
            <w:r w:rsidRPr="00F85DCF">
              <w:rPr>
                <w:sz w:val="20"/>
                <w:szCs w:val="20"/>
                <w:lang w:val="en-GB"/>
              </w:rPr>
              <w:t>Lowest plant commodity MRL</w:t>
            </w:r>
          </w:p>
        </w:tc>
        <w:tc>
          <w:tcPr>
            <w:tcW w:w="5776" w:type="dxa"/>
            <w:vAlign w:val="center"/>
          </w:tcPr>
          <w:p w14:paraId="0AB67EB1" w14:textId="540171F3" w:rsidR="00CC7D9E" w:rsidRPr="00F85DCF" w:rsidRDefault="00CC7D9E" w:rsidP="00D5197E">
            <w:pPr>
              <w:rPr>
                <w:sz w:val="20"/>
                <w:szCs w:val="20"/>
                <w:lang w:val="en-GB"/>
              </w:rPr>
            </w:pPr>
            <w:r w:rsidRPr="00F85DCF">
              <w:rPr>
                <w:sz w:val="20"/>
                <w:szCs w:val="20"/>
                <w:lang w:val="en-GB" w:eastAsia="en-AU"/>
              </w:rPr>
              <w:t xml:space="preserve">*0.01 mg/kg (almonds, cotton seed and maize) (*denotes set at the </w:t>
            </w:r>
            <w:r w:rsidR="000025E0" w:rsidRPr="00F85DCF">
              <w:rPr>
                <w:sz w:val="20"/>
                <w:szCs w:val="20"/>
                <w:lang w:val="en-GB" w:eastAsia="en-AU"/>
              </w:rPr>
              <w:t>Level of Determination</w:t>
            </w:r>
            <w:r w:rsidRPr="00F85DCF">
              <w:rPr>
                <w:sz w:val="20"/>
                <w:szCs w:val="20"/>
                <w:lang w:val="en-GB" w:eastAsia="en-AU"/>
              </w:rPr>
              <w:t>)</w:t>
            </w:r>
          </w:p>
        </w:tc>
      </w:tr>
      <w:tr w:rsidR="00CC7D9E" w:rsidRPr="00F85DCF" w14:paraId="3DBC59F2" w14:textId="77777777" w:rsidTr="000E0D6C">
        <w:tc>
          <w:tcPr>
            <w:tcW w:w="3510" w:type="dxa"/>
            <w:vAlign w:val="center"/>
          </w:tcPr>
          <w:p w14:paraId="6B1542FA" w14:textId="4A9CE38F" w:rsidR="00CC7D9E" w:rsidRPr="00F85DCF" w:rsidRDefault="00EB72A5" w:rsidP="00D5197E">
            <w:pPr>
              <w:rPr>
                <w:sz w:val="20"/>
                <w:szCs w:val="20"/>
                <w:lang w:val="en-GB"/>
              </w:rPr>
            </w:pPr>
            <w:r w:rsidRPr="00F85DCF">
              <w:rPr>
                <w:sz w:val="20"/>
                <w:szCs w:val="20"/>
                <w:lang w:val="en-GB" w:eastAsia="en-AU"/>
              </w:rPr>
              <w:t xml:space="preserve">Magnitude of existing </w:t>
            </w:r>
            <w:r w:rsidR="00351AC0" w:rsidRPr="00F85DCF">
              <w:rPr>
                <w:sz w:val="20"/>
                <w:szCs w:val="20"/>
                <w:lang w:val="en-GB" w:eastAsia="en-AU"/>
              </w:rPr>
              <w:t xml:space="preserve">plant commodity </w:t>
            </w:r>
            <w:r w:rsidRPr="00F85DCF">
              <w:rPr>
                <w:sz w:val="20"/>
                <w:szCs w:val="20"/>
                <w:lang w:val="en-GB" w:eastAsia="en-AU"/>
              </w:rPr>
              <w:t xml:space="preserve">MRLs </w:t>
            </w:r>
          </w:p>
        </w:tc>
        <w:tc>
          <w:tcPr>
            <w:tcW w:w="5776" w:type="dxa"/>
            <w:vAlign w:val="center"/>
          </w:tcPr>
          <w:p w14:paraId="14C752B3" w14:textId="1F5D2372" w:rsidR="00CC7D9E" w:rsidRPr="00F85DCF" w:rsidRDefault="00991BA4" w:rsidP="00D5197E">
            <w:pPr>
              <w:rPr>
                <w:sz w:val="20"/>
                <w:szCs w:val="20"/>
                <w:lang w:val="en-GB"/>
              </w:rPr>
            </w:pPr>
            <w:r w:rsidRPr="00F85DCF">
              <w:rPr>
                <w:sz w:val="20"/>
                <w:szCs w:val="20"/>
                <w:lang w:val="en-GB"/>
              </w:rPr>
              <w:t>The range of existing MRLs</w:t>
            </w:r>
            <w:r w:rsidR="00CC7D9E" w:rsidRPr="00F85DCF">
              <w:rPr>
                <w:sz w:val="20"/>
                <w:szCs w:val="20"/>
                <w:lang w:val="en-GB"/>
              </w:rPr>
              <w:t xml:space="preserve"> </w:t>
            </w:r>
            <w:r w:rsidR="00207D70" w:rsidRPr="00F85DCF">
              <w:rPr>
                <w:sz w:val="20"/>
                <w:szCs w:val="20"/>
                <w:lang w:val="en-GB"/>
              </w:rPr>
              <w:t xml:space="preserve">is </w:t>
            </w:r>
            <w:r w:rsidR="00CC7D9E" w:rsidRPr="00F85DCF">
              <w:rPr>
                <w:sz w:val="20"/>
                <w:szCs w:val="20"/>
                <w:lang w:val="en-GB" w:eastAsia="en-AU"/>
              </w:rPr>
              <w:t xml:space="preserve">0.01 </w:t>
            </w:r>
            <w:r w:rsidR="00CC7D9E" w:rsidRPr="00F85DCF">
              <w:rPr>
                <w:sz w:val="20"/>
                <w:szCs w:val="20"/>
                <w:lang w:val="en-GB"/>
              </w:rPr>
              <w:t>mg/kg (</w:t>
            </w:r>
            <w:r w:rsidR="00CC7D9E" w:rsidRPr="00F85DCF">
              <w:rPr>
                <w:sz w:val="20"/>
                <w:szCs w:val="20"/>
                <w:lang w:val="en-GB" w:eastAsia="en-AU"/>
              </w:rPr>
              <w:t>almonds, cotton seed and maize</w:t>
            </w:r>
            <w:r w:rsidR="00CC7D9E" w:rsidRPr="00F85DCF">
              <w:rPr>
                <w:sz w:val="20"/>
                <w:szCs w:val="20"/>
                <w:lang w:val="en-GB"/>
              </w:rPr>
              <w:t xml:space="preserve">) to </w:t>
            </w:r>
            <w:r w:rsidR="00CC7D9E" w:rsidRPr="00F85DCF">
              <w:rPr>
                <w:sz w:val="20"/>
                <w:szCs w:val="20"/>
                <w:lang w:val="en-GB" w:eastAsia="en-AU"/>
              </w:rPr>
              <w:t>T50</w:t>
            </w:r>
            <w:r w:rsidR="00BB6615" w:rsidRPr="00F85DCF">
              <w:rPr>
                <w:sz w:val="20"/>
                <w:szCs w:val="20"/>
                <w:lang w:val="en-GB" w:eastAsia="en-AU"/>
              </w:rPr>
              <w:t> </w:t>
            </w:r>
            <w:r w:rsidR="00CC7D9E" w:rsidRPr="00F85DCF">
              <w:rPr>
                <w:sz w:val="20"/>
                <w:szCs w:val="20"/>
                <w:lang w:val="en-GB"/>
              </w:rPr>
              <w:t xml:space="preserve">mg/kg (there are currently 15 commodities at this level). The highest non temporary MRL is 15 mg/kg (lettuce head, </w:t>
            </w:r>
            <w:r w:rsidR="00BB6615" w:rsidRPr="00F85DCF">
              <w:rPr>
                <w:sz w:val="20"/>
                <w:szCs w:val="20"/>
                <w:lang w:val="en-GB"/>
              </w:rPr>
              <w:t xml:space="preserve">lettuce </w:t>
            </w:r>
            <w:r w:rsidR="00CC7D9E" w:rsidRPr="00F85DCF">
              <w:rPr>
                <w:sz w:val="20"/>
                <w:szCs w:val="20"/>
                <w:lang w:val="en-GB"/>
              </w:rPr>
              <w:t>leaf).</w:t>
            </w:r>
          </w:p>
        </w:tc>
      </w:tr>
      <w:tr w:rsidR="00CC7D9E" w:rsidRPr="00F85DCF" w14:paraId="2FA20FBF" w14:textId="77777777" w:rsidTr="000E0D6C">
        <w:tc>
          <w:tcPr>
            <w:tcW w:w="3510" w:type="dxa"/>
            <w:vAlign w:val="center"/>
          </w:tcPr>
          <w:p w14:paraId="7DD3663D" w14:textId="567D54F0" w:rsidR="00CC7D9E" w:rsidRPr="00F85DCF" w:rsidRDefault="00CC7D9E" w:rsidP="00D5197E">
            <w:pPr>
              <w:rPr>
                <w:sz w:val="20"/>
                <w:szCs w:val="20"/>
                <w:lang w:val="en-GB" w:eastAsia="en-AU"/>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 xml:space="preserve">MRL that is not the </w:t>
            </w:r>
            <w:r w:rsidR="002A26A0" w:rsidRPr="00F85DCF">
              <w:rPr>
                <w:sz w:val="20"/>
                <w:szCs w:val="20"/>
                <w:lang w:val="en-GB" w:eastAsia="en-AU"/>
              </w:rPr>
              <w:t>Limit</w:t>
            </w:r>
            <w:r w:rsidR="000025E0" w:rsidRPr="00F85DCF">
              <w:rPr>
                <w:sz w:val="20"/>
                <w:szCs w:val="20"/>
                <w:lang w:val="en-GB" w:eastAsia="en-AU"/>
              </w:rPr>
              <w:t xml:space="preserve"> of Determination</w:t>
            </w:r>
          </w:p>
        </w:tc>
        <w:tc>
          <w:tcPr>
            <w:tcW w:w="5776" w:type="dxa"/>
            <w:vAlign w:val="center"/>
          </w:tcPr>
          <w:p w14:paraId="32061D62" w14:textId="44F3E217" w:rsidR="00CC7D9E" w:rsidRPr="00F85DCF" w:rsidRDefault="00CC7D9E" w:rsidP="00D5197E">
            <w:pPr>
              <w:rPr>
                <w:sz w:val="20"/>
                <w:szCs w:val="20"/>
                <w:lang w:val="en-GB"/>
              </w:rPr>
            </w:pPr>
            <w:r w:rsidRPr="00F85DCF">
              <w:rPr>
                <w:sz w:val="20"/>
                <w:szCs w:val="20"/>
                <w:lang w:val="en-GB" w:eastAsia="en-AU"/>
              </w:rPr>
              <w:t xml:space="preserve">0.05 </w:t>
            </w:r>
            <w:r w:rsidRPr="00F85DCF">
              <w:rPr>
                <w:sz w:val="20"/>
                <w:szCs w:val="20"/>
                <w:lang w:val="en-GB"/>
              </w:rPr>
              <w:t>mg/kg (</w:t>
            </w:r>
            <w:r w:rsidRPr="00F85DCF">
              <w:rPr>
                <w:sz w:val="20"/>
                <w:szCs w:val="20"/>
                <w:lang w:val="en-GB" w:eastAsia="en-AU"/>
              </w:rPr>
              <w:t>peanut</w:t>
            </w:r>
            <w:r w:rsidR="00A8445D" w:rsidRPr="00F85DCF">
              <w:rPr>
                <w:sz w:val="20"/>
                <w:szCs w:val="20"/>
                <w:lang w:val="en-GB" w:eastAsia="en-AU"/>
              </w:rPr>
              <w:t xml:space="preserve"> and</w:t>
            </w:r>
            <w:r w:rsidRPr="00F85DCF">
              <w:rPr>
                <w:sz w:val="20"/>
                <w:szCs w:val="20"/>
                <w:lang w:val="en-GB" w:eastAsia="en-AU"/>
              </w:rPr>
              <w:t xml:space="preserve"> potato</w:t>
            </w:r>
            <w:r w:rsidRPr="00F85DCF">
              <w:rPr>
                <w:sz w:val="20"/>
                <w:szCs w:val="20"/>
                <w:lang w:val="en-GB"/>
              </w:rPr>
              <w:t>)</w:t>
            </w:r>
          </w:p>
        </w:tc>
      </w:tr>
      <w:tr w:rsidR="00CC7D9E" w:rsidRPr="00F85DCF" w14:paraId="6B279895" w14:textId="77777777" w:rsidTr="000E0D6C">
        <w:tc>
          <w:tcPr>
            <w:tcW w:w="3510" w:type="dxa"/>
            <w:vAlign w:val="center"/>
          </w:tcPr>
          <w:p w14:paraId="7742CF60" w14:textId="702F947B" w:rsidR="00CC7D9E" w:rsidRPr="00F85DCF" w:rsidRDefault="00CC7D9E" w:rsidP="00D5197E">
            <w:pPr>
              <w:rPr>
                <w:sz w:val="20"/>
                <w:szCs w:val="20"/>
                <w:lang w:val="en-GB" w:eastAsia="en-AU"/>
              </w:rPr>
            </w:pPr>
            <w:r w:rsidRPr="00F85DCF">
              <w:rPr>
                <w:sz w:val="20"/>
                <w:szCs w:val="20"/>
                <w:lang w:val="en-GB" w:eastAsia="en-AU"/>
              </w:rPr>
              <w:t xml:space="preserve">Most relevant reference point to </w:t>
            </w:r>
            <w:r w:rsidR="00BB6615" w:rsidRPr="00F85DCF">
              <w:rPr>
                <w:sz w:val="20"/>
                <w:szCs w:val="20"/>
                <w:lang w:val="en-GB" w:eastAsia="en-AU"/>
              </w:rPr>
              <w:t xml:space="preserve">minimise </w:t>
            </w:r>
            <w:r w:rsidRPr="00F85DCF">
              <w:rPr>
                <w:sz w:val="20"/>
                <w:szCs w:val="20"/>
                <w:lang w:val="en-GB" w:eastAsia="en-AU"/>
              </w:rPr>
              <w:t>off-label use</w:t>
            </w:r>
          </w:p>
        </w:tc>
        <w:tc>
          <w:tcPr>
            <w:tcW w:w="5776" w:type="dxa"/>
            <w:vAlign w:val="center"/>
          </w:tcPr>
          <w:p w14:paraId="591A9088" w14:textId="44F156A5" w:rsidR="00CC7D9E" w:rsidRPr="00F85DCF" w:rsidRDefault="00CC7D9E" w:rsidP="00D5197E">
            <w:pPr>
              <w:rPr>
                <w:sz w:val="20"/>
                <w:szCs w:val="20"/>
                <w:lang w:val="en-GB"/>
              </w:rPr>
            </w:pPr>
            <w:r w:rsidRPr="00F85DCF">
              <w:rPr>
                <w:sz w:val="20"/>
                <w:szCs w:val="20"/>
                <w:lang w:val="en-GB" w:eastAsia="en-AU"/>
              </w:rPr>
              <w:t xml:space="preserve">0.1 </w:t>
            </w:r>
            <w:r w:rsidRPr="00F85DCF">
              <w:rPr>
                <w:sz w:val="20"/>
                <w:szCs w:val="20"/>
                <w:lang w:val="en-GB"/>
              </w:rPr>
              <w:t>mg/kg (</w:t>
            </w:r>
            <w:r w:rsidR="00214A11" w:rsidRPr="00F85DCF">
              <w:rPr>
                <w:sz w:val="20"/>
                <w:lang w:val="en-GB" w:eastAsia="en-AU"/>
              </w:rPr>
              <w:t>fennel</w:t>
            </w:r>
            <w:r w:rsidRPr="00F85DCF">
              <w:rPr>
                <w:sz w:val="20"/>
                <w:szCs w:val="20"/>
                <w:lang w:val="en-GB" w:eastAsia="en-AU"/>
              </w:rPr>
              <w:t xml:space="preserve">, bulb; </w:t>
            </w:r>
            <w:r w:rsidR="00214A11" w:rsidRPr="00F85DCF">
              <w:rPr>
                <w:sz w:val="20"/>
                <w:lang w:val="en-GB" w:eastAsia="en-AU"/>
              </w:rPr>
              <w:t>galangal, greater; oats; peanut</w:t>
            </w:r>
            <w:r w:rsidRPr="00F85DCF">
              <w:rPr>
                <w:sz w:val="20"/>
                <w:szCs w:val="20"/>
                <w:lang w:val="en-GB" w:eastAsia="en-AU"/>
              </w:rPr>
              <w:t xml:space="preserve"> oil, crude; </w:t>
            </w:r>
            <w:r w:rsidR="00214A11" w:rsidRPr="00F85DCF">
              <w:rPr>
                <w:sz w:val="20"/>
                <w:lang w:val="en-GB" w:eastAsia="en-AU"/>
              </w:rPr>
              <w:t>turmeric</w:t>
            </w:r>
            <w:r w:rsidRPr="00F85DCF">
              <w:rPr>
                <w:sz w:val="20"/>
                <w:szCs w:val="20"/>
                <w:lang w:val="en-GB" w:eastAsia="en-AU"/>
              </w:rPr>
              <w:t xml:space="preserve">, root and </w:t>
            </w:r>
            <w:r w:rsidR="00214A11" w:rsidRPr="00F85DCF">
              <w:rPr>
                <w:sz w:val="20"/>
                <w:lang w:val="en-GB" w:eastAsia="en-AU"/>
              </w:rPr>
              <w:t>wheat</w:t>
            </w:r>
            <w:r w:rsidRPr="00F85DCF">
              <w:rPr>
                <w:sz w:val="20"/>
                <w:szCs w:val="20"/>
                <w:lang w:val="en-GB"/>
              </w:rPr>
              <w:t>).</w:t>
            </w:r>
          </w:p>
        </w:tc>
      </w:tr>
      <w:tr w:rsidR="00CC7D9E" w:rsidRPr="00F85DCF" w14:paraId="56B8EFEC" w14:textId="77777777" w:rsidTr="000E0D6C">
        <w:tc>
          <w:tcPr>
            <w:tcW w:w="3510" w:type="dxa"/>
            <w:vAlign w:val="center"/>
          </w:tcPr>
          <w:p w14:paraId="69156A89" w14:textId="77777777" w:rsidR="00CC7D9E" w:rsidRPr="00F85DCF" w:rsidRDefault="00CC7D9E" w:rsidP="00D5197E">
            <w:pPr>
              <w:rPr>
                <w:sz w:val="20"/>
                <w:szCs w:val="20"/>
                <w:lang w:val="en-GB"/>
              </w:rPr>
            </w:pPr>
            <w:r w:rsidRPr="00F85DCF">
              <w:rPr>
                <w:sz w:val="20"/>
                <w:szCs w:val="20"/>
                <w:lang w:val="en-GB" w:eastAsia="en-AU"/>
              </w:rPr>
              <w:t>Chronic dietary exposure (NEDI) considering existing permissions only</w:t>
            </w:r>
          </w:p>
        </w:tc>
        <w:tc>
          <w:tcPr>
            <w:tcW w:w="5776" w:type="dxa"/>
            <w:vAlign w:val="center"/>
          </w:tcPr>
          <w:p w14:paraId="75A504E0" w14:textId="6B098BD0" w:rsidR="00CC7D9E" w:rsidRPr="00F85DCF" w:rsidRDefault="00CC7D9E" w:rsidP="00D5197E">
            <w:pPr>
              <w:rPr>
                <w:sz w:val="20"/>
                <w:szCs w:val="20"/>
                <w:lang w:val="en-GB"/>
              </w:rPr>
            </w:pPr>
            <w:r w:rsidRPr="00F85DCF">
              <w:rPr>
                <w:sz w:val="20"/>
                <w:szCs w:val="20"/>
                <w:lang w:val="en-GB" w:eastAsia="en-AU"/>
              </w:rPr>
              <w:t>33</w:t>
            </w:r>
            <w:r w:rsidRPr="00F85DCF">
              <w:rPr>
                <w:sz w:val="20"/>
                <w:szCs w:val="20"/>
                <w:lang w:val="en-GB"/>
              </w:rPr>
              <w:t xml:space="preserve">% of the ADI </w:t>
            </w:r>
          </w:p>
        </w:tc>
      </w:tr>
      <w:tr w:rsidR="00CC7D9E" w:rsidRPr="00F85DCF" w14:paraId="63FB6CE4" w14:textId="77777777" w:rsidTr="000E0D6C">
        <w:tc>
          <w:tcPr>
            <w:tcW w:w="3510" w:type="dxa"/>
            <w:vAlign w:val="center"/>
          </w:tcPr>
          <w:p w14:paraId="0FD915D1" w14:textId="1488337B" w:rsidR="00CC7D9E" w:rsidRPr="00F85DCF" w:rsidRDefault="00CC7D9E" w:rsidP="003E35DF">
            <w:pPr>
              <w:rPr>
                <w:sz w:val="20"/>
                <w:szCs w:val="20"/>
                <w:lang w:val="en-GB"/>
              </w:rPr>
            </w:pPr>
            <w:r w:rsidRPr="00F85DCF">
              <w:rPr>
                <w:sz w:val="20"/>
                <w:szCs w:val="20"/>
                <w:lang w:val="en-GB"/>
              </w:rPr>
              <w:t xml:space="preserve">Proposed </w:t>
            </w:r>
            <w:r w:rsidR="003E35DF" w:rsidRPr="00F85DCF">
              <w:rPr>
                <w:i/>
                <w:sz w:val="20"/>
                <w:szCs w:val="20"/>
                <w:lang w:val="en-GB"/>
              </w:rPr>
              <w:t>A</w:t>
            </w:r>
            <w:r w:rsidR="00310DF0" w:rsidRPr="00F85DCF">
              <w:rPr>
                <w:i/>
                <w:sz w:val="20"/>
                <w:szCs w:val="20"/>
                <w:lang w:val="en-GB"/>
              </w:rPr>
              <w:t xml:space="preserve">ll other foods </w:t>
            </w:r>
            <w:r w:rsidR="0003601D" w:rsidRPr="00F85DCF">
              <w:rPr>
                <w:i/>
                <w:sz w:val="20"/>
                <w:szCs w:val="20"/>
                <w:lang w:val="en-GB"/>
              </w:rPr>
              <w:t xml:space="preserve">except animal </w:t>
            </w:r>
            <w:r w:rsidR="00D767BE">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351AC0" w:rsidRPr="00F85DCF">
              <w:rPr>
                <w:sz w:val="20"/>
                <w:szCs w:val="20"/>
                <w:lang w:val="en-GB"/>
              </w:rPr>
              <w:t xml:space="preserve"> </w:t>
            </w:r>
          </w:p>
        </w:tc>
        <w:tc>
          <w:tcPr>
            <w:tcW w:w="5776" w:type="dxa"/>
            <w:vAlign w:val="center"/>
          </w:tcPr>
          <w:p w14:paraId="1626A7AE" w14:textId="77777777" w:rsidR="00CC7D9E" w:rsidRPr="00F85DCF" w:rsidRDefault="00CC7D9E" w:rsidP="00D5197E">
            <w:pPr>
              <w:rPr>
                <w:sz w:val="20"/>
                <w:szCs w:val="20"/>
                <w:lang w:val="en-GB"/>
              </w:rPr>
            </w:pPr>
            <w:r w:rsidRPr="00F85DCF">
              <w:rPr>
                <w:sz w:val="20"/>
                <w:szCs w:val="20"/>
                <w:lang w:val="en-GB"/>
              </w:rPr>
              <w:t>0.1 mg/kg</w:t>
            </w:r>
          </w:p>
        </w:tc>
      </w:tr>
      <w:tr w:rsidR="00CC7D9E" w:rsidRPr="00F85DCF" w14:paraId="4700188C" w14:textId="77777777" w:rsidTr="000E0D6C">
        <w:tc>
          <w:tcPr>
            <w:tcW w:w="3510" w:type="dxa"/>
            <w:vAlign w:val="center"/>
          </w:tcPr>
          <w:p w14:paraId="512417C5" w14:textId="1354CA1D" w:rsidR="00CC7D9E" w:rsidRPr="00F85DCF" w:rsidRDefault="00CC7D9E" w:rsidP="003E35DF">
            <w:pPr>
              <w:rPr>
                <w:sz w:val="20"/>
                <w:szCs w:val="20"/>
                <w:lang w:val="en-GB"/>
              </w:rPr>
            </w:pPr>
            <w:r w:rsidRPr="00F85DCF">
              <w:rPr>
                <w:sz w:val="20"/>
                <w:szCs w:val="20"/>
                <w:lang w:val="en-GB" w:eastAsia="en-AU"/>
              </w:rPr>
              <w:t xml:space="preserve">NEDI including </w:t>
            </w:r>
            <w:r w:rsidR="003E35DF"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5776" w:type="dxa"/>
            <w:vAlign w:val="center"/>
          </w:tcPr>
          <w:p w14:paraId="70B0BAED" w14:textId="424A6F9D" w:rsidR="00CC7D9E" w:rsidRPr="00F85DCF" w:rsidRDefault="00CC7D9E" w:rsidP="00D5197E">
            <w:pPr>
              <w:rPr>
                <w:sz w:val="20"/>
                <w:szCs w:val="20"/>
                <w:lang w:val="en-GB"/>
              </w:rPr>
            </w:pPr>
            <w:r w:rsidRPr="00F85DCF">
              <w:rPr>
                <w:sz w:val="20"/>
                <w:szCs w:val="20"/>
                <w:lang w:val="en-GB" w:eastAsia="en-AU"/>
              </w:rPr>
              <w:t>3</w:t>
            </w:r>
            <w:r w:rsidR="00E34C82" w:rsidRPr="00F85DCF">
              <w:rPr>
                <w:sz w:val="20"/>
                <w:szCs w:val="20"/>
                <w:lang w:val="en-GB" w:eastAsia="en-AU"/>
              </w:rPr>
              <w:t>5</w:t>
            </w:r>
            <w:r w:rsidRPr="00F85DCF">
              <w:rPr>
                <w:sz w:val="20"/>
                <w:szCs w:val="20"/>
                <w:lang w:val="en-GB" w:eastAsia="en-AU"/>
              </w:rPr>
              <w:t xml:space="preserve"> % of the ADI</w:t>
            </w:r>
          </w:p>
        </w:tc>
      </w:tr>
      <w:tr w:rsidR="00CC7D9E" w:rsidRPr="00F85DCF" w14:paraId="1948A315" w14:textId="77777777" w:rsidTr="000E0D6C">
        <w:tc>
          <w:tcPr>
            <w:tcW w:w="3510" w:type="dxa"/>
            <w:vAlign w:val="center"/>
          </w:tcPr>
          <w:p w14:paraId="69BA95D6" w14:textId="16246FB5" w:rsidR="00CC7D9E" w:rsidRPr="00F85DCF" w:rsidRDefault="00E46481" w:rsidP="003E35DF">
            <w:pPr>
              <w:rPr>
                <w:sz w:val="20"/>
                <w:szCs w:val="20"/>
                <w:lang w:val="en-GB" w:eastAsia="en-AU"/>
              </w:rPr>
            </w:pPr>
            <w:r w:rsidRPr="00F85DCF">
              <w:rPr>
                <w:sz w:val="20"/>
                <w:szCs w:val="20"/>
                <w:lang w:val="en-GB" w:eastAsia="en-AU"/>
              </w:rPr>
              <w:t xml:space="preserve">Percentage contribution of </w:t>
            </w:r>
            <w:r w:rsidR="003E35DF"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3365C0">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F86461" w:rsidRPr="00F85DCF">
              <w:rPr>
                <w:sz w:val="20"/>
                <w:szCs w:val="20"/>
                <w:lang w:val="en-GB" w:eastAsia="en-AU"/>
              </w:rPr>
              <w:t xml:space="preserve">chronic </w:t>
            </w:r>
            <w:r w:rsidRPr="00F85DCF">
              <w:rPr>
                <w:sz w:val="20"/>
                <w:szCs w:val="20"/>
                <w:lang w:val="en-GB" w:eastAsia="en-AU"/>
              </w:rPr>
              <w:t>exposure</w:t>
            </w:r>
          </w:p>
        </w:tc>
        <w:tc>
          <w:tcPr>
            <w:tcW w:w="5776" w:type="dxa"/>
            <w:vAlign w:val="center"/>
          </w:tcPr>
          <w:p w14:paraId="361330EC" w14:textId="7E5CCF46" w:rsidR="00CC7D9E" w:rsidRPr="00F85DCF" w:rsidRDefault="00CC7D9E" w:rsidP="003E35DF">
            <w:pPr>
              <w:rPr>
                <w:sz w:val="20"/>
                <w:szCs w:val="20"/>
                <w:lang w:val="en-GB" w:eastAsia="en-AU"/>
              </w:rPr>
            </w:pPr>
            <w:r w:rsidRPr="00F85DCF">
              <w:rPr>
                <w:sz w:val="20"/>
                <w:szCs w:val="20"/>
                <w:lang w:val="en-GB" w:eastAsia="en-AU"/>
              </w:rPr>
              <w:t xml:space="preserve">An </w:t>
            </w:r>
            <w:r w:rsidR="003E35DF"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represented </w:t>
            </w:r>
            <w:r w:rsidR="00800813" w:rsidRPr="00F85DCF">
              <w:rPr>
                <w:sz w:val="20"/>
                <w:szCs w:val="20"/>
                <w:lang w:val="en-GB" w:eastAsia="en-AU"/>
              </w:rPr>
              <w:t xml:space="preserve">a contribution of </w:t>
            </w:r>
            <w:r w:rsidRPr="00F85DCF">
              <w:rPr>
                <w:sz w:val="20"/>
                <w:szCs w:val="20"/>
                <w:lang w:val="en-GB" w:eastAsia="en-AU"/>
              </w:rPr>
              <w:t xml:space="preserve">&lt;1% of the </w:t>
            </w:r>
            <w:r w:rsidR="00C701D9" w:rsidRPr="00F85DCF">
              <w:rPr>
                <w:sz w:val="20"/>
                <w:szCs w:val="20"/>
                <w:lang w:val="en-GB" w:eastAsia="en-AU"/>
              </w:rPr>
              <w:t xml:space="preserve">estimated </w:t>
            </w:r>
            <w:r w:rsidRPr="00F85DCF">
              <w:rPr>
                <w:sz w:val="20"/>
                <w:szCs w:val="20"/>
                <w:lang w:val="en-GB" w:eastAsia="en-AU"/>
              </w:rPr>
              <w:t xml:space="preserve">total </w:t>
            </w:r>
            <w:r w:rsidR="00800813" w:rsidRPr="00F85DCF">
              <w:rPr>
                <w:sz w:val="20"/>
                <w:szCs w:val="20"/>
                <w:lang w:val="en-GB" w:eastAsia="en-AU"/>
              </w:rPr>
              <w:t xml:space="preserve">dietary </w:t>
            </w:r>
            <w:r w:rsidRPr="00F85DCF">
              <w:rPr>
                <w:sz w:val="20"/>
                <w:szCs w:val="20"/>
                <w:lang w:val="en-GB" w:eastAsia="en-AU"/>
              </w:rPr>
              <w:t xml:space="preserve">exposure. Increasing the </w:t>
            </w:r>
            <w:r w:rsidR="003E35DF" w:rsidRPr="00F85DCF">
              <w:rPr>
                <w:i/>
                <w:sz w:val="20"/>
                <w:szCs w:val="20"/>
                <w:lang w:val="en-GB" w:eastAsia="en-AU"/>
              </w:rPr>
              <w:t>A</w:t>
            </w:r>
            <w:r w:rsidR="00310DF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to 0.1 mg/kg is still within the target and represents </w:t>
            </w:r>
            <w:r w:rsidR="00C701D9" w:rsidRPr="00F85DCF">
              <w:rPr>
                <w:sz w:val="20"/>
                <w:szCs w:val="20"/>
                <w:lang w:val="en-GB" w:eastAsia="en-AU"/>
              </w:rPr>
              <w:t xml:space="preserve">a contribution of </w:t>
            </w:r>
            <w:r w:rsidRPr="00F85DCF">
              <w:rPr>
                <w:sz w:val="20"/>
                <w:szCs w:val="20"/>
                <w:lang w:val="en-GB" w:eastAsia="en-AU"/>
              </w:rPr>
              <w:t xml:space="preserve">10% </w:t>
            </w:r>
            <w:r w:rsidR="00C701D9" w:rsidRPr="00F85DCF">
              <w:rPr>
                <w:sz w:val="20"/>
                <w:szCs w:val="20"/>
                <w:lang w:val="en-GB" w:eastAsia="en-AU"/>
              </w:rPr>
              <w:t>to</w:t>
            </w:r>
            <w:r w:rsidRPr="00F85DCF" w:rsidDel="00C701D9">
              <w:rPr>
                <w:sz w:val="20"/>
                <w:szCs w:val="20"/>
                <w:lang w:val="en-GB" w:eastAsia="en-AU"/>
              </w:rPr>
              <w:t xml:space="preserve"> </w:t>
            </w:r>
            <w:r w:rsidRPr="00F85DCF">
              <w:rPr>
                <w:sz w:val="20"/>
                <w:szCs w:val="20"/>
                <w:lang w:val="en-GB" w:eastAsia="en-AU"/>
              </w:rPr>
              <w:t>total dietary exposure. Although well below the 20% target, increasing the MRL</w:t>
            </w:r>
            <w:r w:rsidR="001E2605" w:rsidRPr="00F85DCF">
              <w:rPr>
                <w:sz w:val="20"/>
                <w:szCs w:val="20"/>
                <w:lang w:val="en-GB" w:eastAsia="en-AU"/>
              </w:rPr>
              <w:t xml:space="preserve"> beyond 0.1 mg/kg</w:t>
            </w:r>
            <w:r w:rsidRPr="00F85DCF">
              <w:rPr>
                <w:sz w:val="20"/>
                <w:szCs w:val="20"/>
                <w:lang w:val="en-GB" w:eastAsia="en-AU"/>
              </w:rPr>
              <w:t xml:space="preserve"> </w:t>
            </w:r>
            <w:r w:rsidR="00207D70" w:rsidRPr="00F85DCF">
              <w:rPr>
                <w:sz w:val="20"/>
                <w:szCs w:val="20"/>
                <w:lang w:val="en-GB" w:eastAsia="en-AU"/>
              </w:rPr>
              <w:t>i</w:t>
            </w:r>
            <w:r w:rsidRPr="00F85DCF">
              <w:rPr>
                <w:sz w:val="20"/>
                <w:szCs w:val="20"/>
                <w:lang w:val="en-GB" w:eastAsia="en-AU"/>
              </w:rPr>
              <w:t>s considered inappropriate as it may facilitate off-label use.</w:t>
            </w:r>
          </w:p>
        </w:tc>
      </w:tr>
      <w:tr w:rsidR="00BB6615" w:rsidRPr="00F85DCF" w14:paraId="116F8AEE" w14:textId="77777777" w:rsidTr="000E0D6C">
        <w:tc>
          <w:tcPr>
            <w:tcW w:w="3510" w:type="dxa"/>
            <w:vAlign w:val="center"/>
          </w:tcPr>
          <w:p w14:paraId="35007A0B" w14:textId="0BA667A3" w:rsidR="00BB6615" w:rsidRPr="00F85DCF" w:rsidRDefault="00BB6615" w:rsidP="00D5197E">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5776" w:type="dxa"/>
            <w:vAlign w:val="center"/>
          </w:tcPr>
          <w:p w14:paraId="6E56C279" w14:textId="72F5C107" w:rsidR="00BB6615" w:rsidRPr="00F85DCF" w:rsidRDefault="00BB6615" w:rsidP="00D5197E">
            <w:pPr>
              <w:rPr>
                <w:sz w:val="20"/>
                <w:szCs w:val="20"/>
                <w:lang w:val="en-GB"/>
              </w:rPr>
            </w:pPr>
            <w:r w:rsidRPr="00F85DCF">
              <w:rPr>
                <w:sz w:val="20"/>
                <w:szCs w:val="20"/>
                <w:lang w:val="en-GB" w:eastAsia="en-AU"/>
              </w:rPr>
              <w:t xml:space="preserve">An acute dietary exposure assessment </w:t>
            </w:r>
            <w:r w:rsidR="00207D70" w:rsidRPr="00F85DCF">
              <w:rPr>
                <w:sz w:val="20"/>
                <w:szCs w:val="20"/>
                <w:lang w:val="en-GB" w:eastAsia="en-AU"/>
              </w:rPr>
              <w:t>is</w:t>
            </w:r>
            <w:r w:rsidRPr="00F85DCF">
              <w:rPr>
                <w:sz w:val="20"/>
                <w:szCs w:val="20"/>
                <w:lang w:val="en-GB" w:eastAsia="en-AU"/>
              </w:rPr>
              <w:t xml:space="preserve"> considered unnecessary for </w:t>
            </w:r>
            <w:r w:rsidR="00C16857" w:rsidRPr="00F85DCF">
              <w:rPr>
                <w:sz w:val="20"/>
                <w:szCs w:val="20"/>
                <w:lang w:val="en-GB"/>
              </w:rPr>
              <w:t>Azoxystrobin</w:t>
            </w:r>
            <w:r w:rsidRPr="00F85DCF">
              <w:rPr>
                <w:sz w:val="20"/>
                <w:szCs w:val="20"/>
                <w:lang w:val="en-GB"/>
              </w:rPr>
              <w:t xml:space="preserve"> because </w:t>
            </w:r>
            <w:r w:rsidR="00C16857" w:rsidRPr="00F85DCF">
              <w:rPr>
                <w:sz w:val="20"/>
                <w:szCs w:val="20"/>
                <w:lang w:val="en-GB"/>
              </w:rPr>
              <w:t>the OCS has not established an</w:t>
            </w:r>
            <w:r w:rsidRPr="00F85DCF">
              <w:rPr>
                <w:sz w:val="20"/>
                <w:szCs w:val="20"/>
                <w:lang w:val="en-GB"/>
              </w:rPr>
              <w:t xml:space="preserve"> acute reference dose </w:t>
            </w:r>
            <w:r w:rsidR="00C16857" w:rsidRPr="00F85DCF">
              <w:rPr>
                <w:sz w:val="20"/>
                <w:szCs w:val="20"/>
                <w:lang w:val="en-GB"/>
              </w:rPr>
              <w:t>and JMPR consider an ARfD unnecessary.</w:t>
            </w:r>
            <w:r w:rsidR="00C16857" w:rsidRPr="00F85DCF" w:rsidDel="00C16857">
              <w:rPr>
                <w:sz w:val="20"/>
                <w:szCs w:val="20"/>
                <w:lang w:val="en-GB" w:eastAsia="en-AU"/>
              </w:rPr>
              <w:t xml:space="preserve"> </w:t>
            </w:r>
          </w:p>
        </w:tc>
      </w:tr>
      <w:tr w:rsidR="00BB6615" w:rsidRPr="00F85DCF" w14:paraId="53C98D4E" w14:textId="77777777" w:rsidTr="000E0D6C">
        <w:tc>
          <w:tcPr>
            <w:tcW w:w="3510" w:type="dxa"/>
            <w:vAlign w:val="center"/>
          </w:tcPr>
          <w:p w14:paraId="12A50BD6" w14:textId="77777777" w:rsidR="00BB6615" w:rsidRPr="00F85DCF" w:rsidRDefault="00BB6615" w:rsidP="00D5197E">
            <w:pPr>
              <w:rPr>
                <w:sz w:val="20"/>
                <w:szCs w:val="20"/>
                <w:lang w:val="en-GB" w:eastAsia="en-AU"/>
              </w:rPr>
            </w:pPr>
            <w:r w:rsidRPr="00F85DCF">
              <w:rPr>
                <w:sz w:val="20"/>
                <w:szCs w:val="20"/>
                <w:lang w:val="en-GB" w:eastAsia="en-AU"/>
              </w:rPr>
              <w:t>Conclusion</w:t>
            </w:r>
          </w:p>
        </w:tc>
        <w:tc>
          <w:tcPr>
            <w:tcW w:w="5776" w:type="dxa"/>
            <w:vAlign w:val="center"/>
          </w:tcPr>
          <w:p w14:paraId="60C3D4DA" w14:textId="6E9AEE35" w:rsidR="00BB6615" w:rsidRPr="00F85DCF" w:rsidRDefault="00BB6615" w:rsidP="003E35DF">
            <w:pPr>
              <w:rPr>
                <w:sz w:val="20"/>
                <w:szCs w:val="20"/>
                <w:lang w:val="en-GB" w:eastAsia="en-AU"/>
              </w:rPr>
            </w:pPr>
            <w:r w:rsidRPr="00F85DCF">
              <w:rPr>
                <w:sz w:val="20"/>
                <w:szCs w:val="20"/>
                <w:lang w:val="en-GB"/>
              </w:rPr>
              <w:t xml:space="preserve">After considering the principles set out above an </w:t>
            </w:r>
            <w:r w:rsidR="003E35DF" w:rsidRPr="00F85DCF">
              <w:rPr>
                <w:b/>
                <w:i/>
                <w:sz w:val="20"/>
                <w:szCs w:val="20"/>
                <w:lang w:val="en-GB"/>
              </w:rPr>
              <w:t>A</w:t>
            </w:r>
            <w:r w:rsidR="00310DF0" w:rsidRPr="00F85DCF">
              <w:rPr>
                <w:b/>
                <w:i/>
                <w:sz w:val="20"/>
                <w:szCs w:val="20"/>
                <w:lang w:val="en-GB"/>
              </w:rPr>
              <w:t xml:space="preserve">ll other foods </w:t>
            </w:r>
            <w:r w:rsidR="0003601D" w:rsidRPr="00F85DCF">
              <w:rPr>
                <w:b/>
                <w:i/>
                <w:sz w:val="20"/>
                <w:szCs w:val="20"/>
                <w:lang w:val="en-GB"/>
              </w:rPr>
              <w:t xml:space="preserve">except animal </w:t>
            </w:r>
            <w:r w:rsidR="00D767BE">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0.1 </w:t>
            </w:r>
            <w:r w:rsidRPr="00F85DCF">
              <w:rPr>
                <w:b/>
                <w:sz w:val="20"/>
                <w:szCs w:val="20"/>
                <w:lang w:val="en-GB"/>
              </w:rPr>
              <w:t xml:space="preserve">mg/kg </w:t>
            </w:r>
            <w:r w:rsidRPr="00F85DCF">
              <w:rPr>
                <w:sz w:val="20"/>
                <w:szCs w:val="20"/>
                <w:lang w:val="en-GB"/>
              </w:rPr>
              <w:t xml:space="preserve">for </w:t>
            </w:r>
            <w:r w:rsidRPr="00F85DCF">
              <w:rPr>
                <w:sz w:val="20"/>
                <w:szCs w:val="20"/>
                <w:lang w:val="en-GB" w:eastAsia="en-AU"/>
              </w:rPr>
              <w:t>Azoxystrobin</w:t>
            </w:r>
            <w:r w:rsidRPr="00F85DCF">
              <w:rPr>
                <w:sz w:val="20"/>
                <w:szCs w:val="20"/>
                <w:lang w:val="en-GB"/>
              </w:rPr>
              <w:t xml:space="preserve"> is acceptable because it has been shown to be practical, adequately manages the risk of off-label use and does not increase the </w:t>
            </w:r>
            <w:r w:rsidR="00F86461" w:rsidRPr="00F85DCF">
              <w:rPr>
                <w:sz w:val="20"/>
                <w:szCs w:val="20"/>
                <w:lang w:val="en-GB"/>
              </w:rPr>
              <w:t xml:space="preserve">level of concern about </w:t>
            </w:r>
            <w:r w:rsidRPr="00F85DCF">
              <w:rPr>
                <w:sz w:val="20"/>
                <w:szCs w:val="20"/>
                <w:lang w:val="en-GB"/>
              </w:rPr>
              <w:t>existing risk to public health</w:t>
            </w:r>
            <w:r w:rsidR="00080F58" w:rsidRPr="00F85DCF">
              <w:rPr>
                <w:sz w:val="20"/>
                <w:szCs w:val="20"/>
                <w:lang w:val="en-GB"/>
              </w:rPr>
              <w:t>.</w:t>
            </w:r>
          </w:p>
        </w:tc>
      </w:tr>
    </w:tbl>
    <w:p w14:paraId="48803722" w14:textId="02747309" w:rsidR="00E46481" w:rsidRPr="00F85DCF" w:rsidRDefault="00E46481">
      <w:pPr>
        <w:rPr>
          <w:lang w:val="en-GB" w:eastAsia="en-AU"/>
        </w:rPr>
      </w:pPr>
      <w:r w:rsidRPr="00F85DCF">
        <w:rPr>
          <w:lang w:val="en-GB" w:eastAsia="en-AU"/>
        </w:rPr>
        <w:br w:type="page"/>
      </w:r>
    </w:p>
    <w:p w14:paraId="190F567B" w14:textId="77777777" w:rsidR="00F6750E" w:rsidRPr="00F85DCF" w:rsidRDefault="00F6750E" w:rsidP="000E0D6C">
      <w:pPr>
        <w:pStyle w:val="Heading3"/>
      </w:pPr>
      <w:r w:rsidRPr="00F85DCF">
        <w:lastRenderedPageBreak/>
        <w:t>Bifenthrin</w:t>
      </w:r>
    </w:p>
    <w:tbl>
      <w:tblPr>
        <w:tblStyle w:val="TableGrid"/>
        <w:tblW w:w="9072" w:type="dxa"/>
        <w:tblLook w:val="04A0" w:firstRow="1" w:lastRow="0" w:firstColumn="1" w:lastColumn="0" w:noHBand="0" w:noVBand="1"/>
      </w:tblPr>
      <w:tblGrid>
        <w:gridCol w:w="3275"/>
        <w:gridCol w:w="5797"/>
      </w:tblGrid>
      <w:tr w:rsidR="00852720" w:rsidRPr="00F85DCF" w14:paraId="270B3015" w14:textId="77777777" w:rsidTr="000E0D6C">
        <w:trPr>
          <w:tblHeader/>
        </w:trPr>
        <w:tc>
          <w:tcPr>
            <w:tcW w:w="3545" w:type="dxa"/>
            <w:vAlign w:val="center"/>
          </w:tcPr>
          <w:p w14:paraId="79E37BAD" w14:textId="380331DE" w:rsidR="00852720" w:rsidRPr="00F85DCF" w:rsidRDefault="006D5974" w:rsidP="00D5197E">
            <w:pPr>
              <w:rPr>
                <w:b/>
                <w:sz w:val="20"/>
                <w:szCs w:val="20"/>
                <w:lang w:val="en-GB"/>
              </w:rPr>
            </w:pPr>
            <w:r w:rsidRPr="006D5974">
              <w:rPr>
                <w:b/>
                <w:sz w:val="20"/>
                <w:szCs w:val="20"/>
                <w:lang w:val="en-GB"/>
              </w:rPr>
              <w:t>Considerations</w:t>
            </w:r>
          </w:p>
        </w:tc>
        <w:tc>
          <w:tcPr>
            <w:tcW w:w="6520" w:type="dxa"/>
            <w:vAlign w:val="center"/>
          </w:tcPr>
          <w:p w14:paraId="270C89B2" w14:textId="77777777" w:rsidR="00852720" w:rsidRPr="00F85DCF" w:rsidRDefault="00852720" w:rsidP="00D5197E">
            <w:pPr>
              <w:rPr>
                <w:b/>
                <w:sz w:val="20"/>
                <w:szCs w:val="20"/>
                <w:lang w:val="en-GB" w:eastAsia="en-AU"/>
              </w:rPr>
            </w:pPr>
            <w:r w:rsidRPr="00F85DCF">
              <w:rPr>
                <w:b/>
                <w:sz w:val="20"/>
                <w:szCs w:val="20"/>
                <w:lang w:val="en-GB" w:eastAsia="en-AU"/>
              </w:rPr>
              <w:t>Comments</w:t>
            </w:r>
          </w:p>
        </w:tc>
      </w:tr>
      <w:tr w:rsidR="00852720" w:rsidRPr="00F85DCF" w14:paraId="7C9AD2FB" w14:textId="77777777" w:rsidTr="000E0D6C">
        <w:tc>
          <w:tcPr>
            <w:tcW w:w="3545" w:type="dxa"/>
            <w:vAlign w:val="center"/>
          </w:tcPr>
          <w:p w14:paraId="734054DE" w14:textId="213056FA" w:rsidR="00852720" w:rsidRPr="00F85DCF" w:rsidRDefault="002A26A0" w:rsidP="00D5197E">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0604AE2E" w14:textId="77777777" w:rsidR="00852720" w:rsidRPr="00F85DCF" w:rsidRDefault="00852720" w:rsidP="00D5197E">
            <w:pPr>
              <w:rPr>
                <w:sz w:val="20"/>
                <w:szCs w:val="20"/>
                <w:lang w:val="en-GB"/>
              </w:rPr>
            </w:pPr>
            <w:r w:rsidRPr="00F85DCF">
              <w:rPr>
                <w:sz w:val="20"/>
                <w:szCs w:val="20"/>
                <w:lang w:val="en-GB" w:eastAsia="en-AU"/>
              </w:rPr>
              <w:t>0.01 mg/kg</w:t>
            </w:r>
          </w:p>
        </w:tc>
      </w:tr>
      <w:tr w:rsidR="00852720" w:rsidRPr="00F85DCF" w14:paraId="0E70925A" w14:textId="77777777" w:rsidTr="000E0D6C">
        <w:tc>
          <w:tcPr>
            <w:tcW w:w="3545" w:type="dxa"/>
            <w:vAlign w:val="center"/>
          </w:tcPr>
          <w:p w14:paraId="732FACEA" w14:textId="77777777" w:rsidR="00852720" w:rsidRPr="00F85DCF" w:rsidRDefault="00852720" w:rsidP="00D5197E">
            <w:pPr>
              <w:rPr>
                <w:sz w:val="20"/>
                <w:szCs w:val="20"/>
                <w:lang w:val="en-GB"/>
              </w:rPr>
            </w:pPr>
            <w:r w:rsidRPr="00F85DCF">
              <w:rPr>
                <w:sz w:val="20"/>
                <w:szCs w:val="20"/>
                <w:lang w:val="en-GB"/>
              </w:rPr>
              <w:t>Lowest plant commodity MRL</w:t>
            </w:r>
          </w:p>
        </w:tc>
        <w:tc>
          <w:tcPr>
            <w:tcW w:w="6520" w:type="dxa"/>
            <w:vAlign w:val="center"/>
          </w:tcPr>
          <w:p w14:paraId="07098499" w14:textId="2CBAF6B7" w:rsidR="00852720" w:rsidRPr="00F85DCF" w:rsidRDefault="00852720" w:rsidP="00D5197E">
            <w:pPr>
              <w:rPr>
                <w:sz w:val="20"/>
                <w:szCs w:val="20"/>
                <w:lang w:val="en-GB" w:eastAsia="en-AU"/>
              </w:rPr>
            </w:pPr>
            <w:r w:rsidRPr="00F85DCF">
              <w:rPr>
                <w:sz w:val="20"/>
                <w:szCs w:val="20"/>
                <w:lang w:val="en-GB" w:eastAsia="en-AU"/>
              </w:rPr>
              <w:t xml:space="preserve">There are three </w:t>
            </w:r>
            <w:r w:rsidR="004877EF" w:rsidRPr="00F85DCF">
              <w:rPr>
                <w:sz w:val="20"/>
                <w:szCs w:val="20"/>
                <w:lang w:val="en-GB" w:eastAsia="en-AU"/>
              </w:rPr>
              <w:t xml:space="preserve">current </w:t>
            </w:r>
            <w:r w:rsidRPr="00F85DCF">
              <w:rPr>
                <w:sz w:val="20"/>
                <w:szCs w:val="20"/>
                <w:lang w:val="en-GB" w:eastAsia="en-AU"/>
              </w:rPr>
              <w:t xml:space="preserve">MRLs established at or around the </w:t>
            </w:r>
            <w:r w:rsidR="006E6B82" w:rsidRPr="00F85DCF">
              <w:rPr>
                <w:sz w:val="20"/>
                <w:szCs w:val="20"/>
                <w:lang w:val="en-GB" w:eastAsia="en-AU"/>
              </w:rPr>
              <w:t xml:space="preserve">limit </w:t>
            </w:r>
            <w:r w:rsidRPr="00F85DCF">
              <w:rPr>
                <w:sz w:val="20"/>
                <w:szCs w:val="20"/>
                <w:lang w:val="en-GB" w:eastAsia="en-AU"/>
              </w:rPr>
              <w:t>of determination</w:t>
            </w:r>
            <w:r w:rsidR="004877EF" w:rsidRPr="00F85DCF">
              <w:rPr>
                <w:sz w:val="20"/>
                <w:szCs w:val="20"/>
                <w:lang w:val="en-GB" w:eastAsia="en-AU"/>
              </w:rPr>
              <w:t>:</w:t>
            </w:r>
          </w:p>
          <w:p w14:paraId="1330912A" w14:textId="76A76ADA" w:rsidR="00852720" w:rsidRPr="00F85DCF" w:rsidRDefault="00852720" w:rsidP="00D5197E">
            <w:pPr>
              <w:pStyle w:val="ListParagraph"/>
              <w:numPr>
                <w:ilvl w:val="0"/>
                <w:numId w:val="15"/>
              </w:numPr>
              <w:rPr>
                <w:sz w:val="20"/>
                <w:szCs w:val="20"/>
                <w:lang w:val="en-GB" w:eastAsia="en-AU"/>
              </w:rPr>
            </w:pPr>
            <w:r w:rsidRPr="00F85DCF">
              <w:rPr>
                <w:sz w:val="20"/>
                <w:szCs w:val="20"/>
                <w:lang w:val="en-GB" w:eastAsia="en-AU"/>
              </w:rPr>
              <w:t xml:space="preserve">*0.01 mg/kg - </w:t>
            </w:r>
            <w:r w:rsidR="00D40940" w:rsidRPr="00F85DCF">
              <w:rPr>
                <w:sz w:val="20"/>
                <w:szCs w:val="20"/>
                <w:lang w:val="en-GB" w:eastAsia="en-AU"/>
              </w:rPr>
              <w:t>f</w:t>
            </w:r>
            <w:r w:rsidRPr="00F85DCF">
              <w:rPr>
                <w:sz w:val="20"/>
                <w:szCs w:val="20"/>
                <w:lang w:val="en-GB" w:eastAsia="en-AU"/>
              </w:rPr>
              <w:t xml:space="preserve">ield peas (dry); </w:t>
            </w:r>
            <w:r w:rsidR="00D40940" w:rsidRPr="00F85DCF">
              <w:rPr>
                <w:sz w:val="20"/>
                <w:szCs w:val="20"/>
                <w:lang w:val="en-GB" w:eastAsia="en-AU"/>
              </w:rPr>
              <w:t>g</w:t>
            </w:r>
            <w:r w:rsidRPr="00F85DCF">
              <w:rPr>
                <w:sz w:val="20"/>
                <w:szCs w:val="20"/>
                <w:lang w:val="en-GB" w:eastAsia="en-AU"/>
              </w:rPr>
              <w:t xml:space="preserve">inger, root; </w:t>
            </w:r>
            <w:r w:rsidR="00D40940" w:rsidRPr="00F85DCF">
              <w:rPr>
                <w:sz w:val="20"/>
                <w:szCs w:val="20"/>
                <w:lang w:val="en-GB"/>
              </w:rPr>
              <w:t>g</w:t>
            </w:r>
            <w:r w:rsidRPr="00F85DCF">
              <w:rPr>
                <w:sz w:val="20"/>
                <w:szCs w:val="20"/>
                <w:lang w:val="en-GB" w:eastAsia="en-AU"/>
              </w:rPr>
              <w:t xml:space="preserve">rapes; </w:t>
            </w:r>
            <w:r w:rsidR="00D40940" w:rsidRPr="00F85DCF">
              <w:rPr>
                <w:sz w:val="20"/>
                <w:szCs w:val="20"/>
                <w:lang w:val="en-GB" w:eastAsia="en-AU"/>
              </w:rPr>
              <w:t>p</w:t>
            </w:r>
            <w:r w:rsidRPr="00F85DCF">
              <w:rPr>
                <w:sz w:val="20"/>
                <w:szCs w:val="20"/>
                <w:lang w:val="en-GB" w:eastAsia="en-AU"/>
              </w:rPr>
              <w:t xml:space="preserve">eas (pods and succulent, immature seeds); </w:t>
            </w:r>
            <w:r w:rsidR="00D40940" w:rsidRPr="00F85DCF">
              <w:rPr>
                <w:sz w:val="20"/>
                <w:szCs w:val="20"/>
                <w:lang w:val="en-GB" w:eastAsia="en-AU"/>
              </w:rPr>
              <w:t>p</w:t>
            </w:r>
            <w:r w:rsidRPr="00F85DCF">
              <w:rPr>
                <w:sz w:val="20"/>
                <w:szCs w:val="20"/>
                <w:lang w:val="en-GB" w:eastAsia="en-AU"/>
              </w:rPr>
              <w:t xml:space="preserve">ineapple; </w:t>
            </w:r>
            <w:r w:rsidR="00D40940" w:rsidRPr="00F85DCF">
              <w:rPr>
                <w:sz w:val="20"/>
                <w:szCs w:val="20"/>
                <w:lang w:val="en-GB" w:eastAsia="en-AU"/>
              </w:rPr>
              <w:t>s</w:t>
            </w:r>
            <w:r w:rsidRPr="00F85DCF">
              <w:rPr>
                <w:sz w:val="20"/>
                <w:szCs w:val="20"/>
                <w:lang w:val="en-GB" w:eastAsia="en-AU"/>
              </w:rPr>
              <w:t>ugarcane.</w:t>
            </w:r>
          </w:p>
          <w:p w14:paraId="493DB8D9" w14:textId="62A6F600" w:rsidR="00852720" w:rsidRPr="00F85DCF" w:rsidRDefault="00852720" w:rsidP="00D5197E">
            <w:pPr>
              <w:pStyle w:val="ListParagraph"/>
              <w:numPr>
                <w:ilvl w:val="0"/>
                <w:numId w:val="15"/>
              </w:numPr>
              <w:rPr>
                <w:sz w:val="20"/>
                <w:szCs w:val="20"/>
                <w:lang w:val="en-GB" w:eastAsia="en-AU"/>
              </w:rPr>
            </w:pPr>
            <w:r w:rsidRPr="00F85DCF">
              <w:rPr>
                <w:sz w:val="20"/>
                <w:szCs w:val="20"/>
                <w:lang w:val="en-GB" w:eastAsia="en-AU"/>
              </w:rPr>
              <w:t xml:space="preserve">*0.02 mg/kg - </w:t>
            </w:r>
            <w:r w:rsidR="00D40940" w:rsidRPr="00F85DCF">
              <w:rPr>
                <w:sz w:val="20"/>
                <w:szCs w:val="20"/>
                <w:lang w:val="en-GB" w:eastAsia="en-AU"/>
              </w:rPr>
              <w:t>c</w:t>
            </w:r>
            <w:r w:rsidRPr="00F85DCF">
              <w:rPr>
                <w:sz w:val="20"/>
                <w:szCs w:val="20"/>
                <w:lang w:val="en-GB" w:eastAsia="en-AU"/>
              </w:rPr>
              <w:t xml:space="preserve">ereal grains; </w:t>
            </w:r>
            <w:r w:rsidR="00D40940" w:rsidRPr="00F85DCF">
              <w:rPr>
                <w:sz w:val="20"/>
                <w:szCs w:val="20"/>
                <w:lang w:val="en-GB" w:eastAsia="en-AU"/>
              </w:rPr>
              <w:t>p</w:t>
            </w:r>
            <w:r w:rsidRPr="00F85DCF">
              <w:rPr>
                <w:sz w:val="20"/>
                <w:szCs w:val="20"/>
                <w:lang w:val="en-GB" w:eastAsia="en-AU"/>
              </w:rPr>
              <w:t xml:space="preserve">oppy seed; </w:t>
            </w:r>
            <w:r w:rsidR="00D40940" w:rsidRPr="00F85DCF">
              <w:rPr>
                <w:sz w:val="20"/>
                <w:szCs w:val="20"/>
                <w:lang w:val="en-GB" w:eastAsia="en-AU"/>
              </w:rPr>
              <w:t>p</w:t>
            </w:r>
            <w:r w:rsidRPr="00F85DCF">
              <w:rPr>
                <w:sz w:val="20"/>
                <w:szCs w:val="20"/>
                <w:lang w:val="en-GB" w:eastAsia="en-AU"/>
              </w:rPr>
              <w:t xml:space="preserve">ulses [except field pea (dry), </w:t>
            </w:r>
            <w:r w:rsidR="00D40940" w:rsidRPr="00F85DCF">
              <w:rPr>
                <w:sz w:val="20"/>
                <w:szCs w:val="20"/>
                <w:lang w:val="en-GB" w:eastAsia="en-AU"/>
              </w:rPr>
              <w:t>l</w:t>
            </w:r>
            <w:r w:rsidRPr="00F85DCF">
              <w:rPr>
                <w:sz w:val="20"/>
                <w:szCs w:val="20"/>
                <w:lang w:val="en-GB" w:eastAsia="en-AU"/>
              </w:rPr>
              <w:t xml:space="preserve">upin (dry)]; </w:t>
            </w:r>
            <w:r w:rsidR="00D40940" w:rsidRPr="00F85DCF">
              <w:rPr>
                <w:sz w:val="20"/>
                <w:szCs w:val="20"/>
                <w:lang w:val="en-GB" w:eastAsia="en-AU"/>
              </w:rPr>
              <w:t>r</w:t>
            </w:r>
            <w:r w:rsidRPr="00F85DCF">
              <w:rPr>
                <w:sz w:val="20"/>
                <w:szCs w:val="20"/>
                <w:lang w:val="en-GB" w:eastAsia="en-AU"/>
              </w:rPr>
              <w:t>ape seed (canola)</w:t>
            </w:r>
          </w:p>
          <w:p w14:paraId="5FE92656" w14:textId="1BEAA34C" w:rsidR="00852720" w:rsidRPr="00F85DCF" w:rsidRDefault="00852720" w:rsidP="00D5197E">
            <w:pPr>
              <w:pStyle w:val="ListParagraph"/>
              <w:numPr>
                <w:ilvl w:val="0"/>
                <w:numId w:val="15"/>
              </w:numPr>
              <w:rPr>
                <w:sz w:val="20"/>
                <w:szCs w:val="20"/>
                <w:lang w:val="en-GB"/>
              </w:rPr>
            </w:pPr>
            <w:r w:rsidRPr="00F85DCF">
              <w:rPr>
                <w:sz w:val="20"/>
                <w:szCs w:val="20"/>
                <w:lang w:val="en-GB" w:eastAsia="en-AU"/>
              </w:rPr>
              <w:t xml:space="preserve">*0.05 mg/kg - </w:t>
            </w:r>
            <w:r w:rsidR="00D40940" w:rsidRPr="00F85DCF">
              <w:rPr>
                <w:sz w:val="20"/>
                <w:szCs w:val="20"/>
                <w:lang w:val="en-GB" w:eastAsia="en-AU"/>
              </w:rPr>
              <w:t>a</w:t>
            </w:r>
            <w:r w:rsidRPr="00F85DCF">
              <w:rPr>
                <w:sz w:val="20"/>
                <w:szCs w:val="20"/>
                <w:lang w:val="en-GB" w:eastAsia="en-AU"/>
              </w:rPr>
              <w:t xml:space="preserve">pple; </w:t>
            </w:r>
            <w:r w:rsidR="00D40940" w:rsidRPr="00F85DCF">
              <w:rPr>
                <w:sz w:val="20"/>
                <w:szCs w:val="20"/>
                <w:lang w:val="en-GB" w:eastAsia="en-AU"/>
              </w:rPr>
              <w:t>c</w:t>
            </w:r>
            <w:r w:rsidRPr="00F85DCF">
              <w:rPr>
                <w:sz w:val="20"/>
                <w:szCs w:val="20"/>
                <w:lang w:val="en-GB" w:eastAsia="en-AU"/>
              </w:rPr>
              <w:t xml:space="preserve">itrus fruits; </w:t>
            </w:r>
            <w:r w:rsidR="00D40940" w:rsidRPr="00F85DCF">
              <w:rPr>
                <w:sz w:val="20"/>
                <w:szCs w:val="20"/>
                <w:lang w:val="en-GB" w:eastAsia="en-AU"/>
              </w:rPr>
              <w:t>s</w:t>
            </w:r>
            <w:r w:rsidRPr="00F85DCF">
              <w:rPr>
                <w:sz w:val="20"/>
                <w:szCs w:val="20"/>
                <w:lang w:val="en-GB" w:eastAsia="en-AU"/>
              </w:rPr>
              <w:t>weet potato</w:t>
            </w:r>
          </w:p>
        </w:tc>
      </w:tr>
      <w:tr w:rsidR="00852720" w:rsidRPr="00F85DCF" w14:paraId="2DB57D5F" w14:textId="77777777" w:rsidTr="000E0D6C">
        <w:tc>
          <w:tcPr>
            <w:tcW w:w="3545" w:type="dxa"/>
            <w:vAlign w:val="center"/>
          </w:tcPr>
          <w:p w14:paraId="393960C2" w14:textId="146E1D39" w:rsidR="00852720" w:rsidRPr="00F85DCF" w:rsidRDefault="00EB72A5" w:rsidP="00D5197E">
            <w:pPr>
              <w:rPr>
                <w:sz w:val="20"/>
                <w:szCs w:val="20"/>
                <w:lang w:val="en-GB"/>
              </w:rPr>
            </w:pPr>
            <w:r w:rsidRPr="00F85DCF">
              <w:rPr>
                <w:sz w:val="20"/>
                <w:szCs w:val="20"/>
                <w:lang w:val="en-GB" w:eastAsia="en-AU"/>
              </w:rPr>
              <w:t xml:space="preserve">Magnitude of existing </w:t>
            </w:r>
            <w:r w:rsidR="00351AC0"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1A3CE8A3" w14:textId="4E28CEDC" w:rsidR="00852720" w:rsidRPr="00F85DCF" w:rsidRDefault="00852720" w:rsidP="00D5197E">
            <w:pPr>
              <w:rPr>
                <w:sz w:val="20"/>
                <w:szCs w:val="20"/>
                <w:lang w:val="en-GB"/>
              </w:rPr>
            </w:pPr>
            <w:r w:rsidRPr="00F85DCF">
              <w:rPr>
                <w:sz w:val="20"/>
                <w:szCs w:val="20"/>
                <w:lang w:val="en-GB"/>
              </w:rPr>
              <w:t>The range of existing MRLs</w:t>
            </w:r>
            <w:r w:rsidR="00991BA4" w:rsidRPr="00F85DCF">
              <w:rPr>
                <w:sz w:val="20"/>
                <w:szCs w:val="20"/>
                <w:lang w:val="en-GB"/>
              </w:rPr>
              <w:t xml:space="preserve"> </w:t>
            </w:r>
            <w:r w:rsidR="00207D70" w:rsidRPr="00F85DCF">
              <w:rPr>
                <w:sz w:val="20"/>
                <w:szCs w:val="20"/>
                <w:lang w:val="en-GB"/>
              </w:rPr>
              <w:t xml:space="preserve">is </w:t>
            </w:r>
            <w:r w:rsidRPr="00F85DCF">
              <w:rPr>
                <w:sz w:val="20"/>
                <w:szCs w:val="20"/>
                <w:lang w:val="en-GB" w:eastAsia="en-AU"/>
              </w:rPr>
              <w:t xml:space="preserve">0.01 </w:t>
            </w:r>
            <w:r w:rsidRPr="00F85DCF">
              <w:rPr>
                <w:sz w:val="20"/>
                <w:szCs w:val="20"/>
                <w:lang w:val="en-GB"/>
              </w:rPr>
              <w:t xml:space="preserve">mg/kg (see above) to </w:t>
            </w:r>
            <w:r w:rsidRPr="00F85DCF">
              <w:rPr>
                <w:sz w:val="20"/>
                <w:szCs w:val="20"/>
                <w:lang w:val="en-GB" w:eastAsia="en-AU"/>
              </w:rPr>
              <w:t xml:space="preserve">T10 </w:t>
            </w:r>
            <w:r w:rsidRPr="00F85DCF">
              <w:rPr>
                <w:sz w:val="20"/>
                <w:szCs w:val="20"/>
                <w:lang w:val="en-GB"/>
              </w:rPr>
              <w:t>mg/kg (</w:t>
            </w:r>
            <w:r w:rsidRPr="00F85DCF">
              <w:rPr>
                <w:sz w:val="20"/>
                <w:szCs w:val="20"/>
                <w:lang w:val="en-GB" w:eastAsia="en-AU"/>
              </w:rPr>
              <w:t>10 commodities at this MRL</w:t>
            </w:r>
            <w:r w:rsidRPr="00F85DCF">
              <w:rPr>
                <w:sz w:val="20"/>
                <w:szCs w:val="20"/>
                <w:lang w:val="en-GB"/>
              </w:rPr>
              <w:t xml:space="preserve">). The highest permanent MRL is 5 mg/kg for </w:t>
            </w:r>
            <w:r w:rsidR="00D40940" w:rsidRPr="00F85DCF">
              <w:rPr>
                <w:sz w:val="20"/>
                <w:szCs w:val="20"/>
                <w:lang w:val="en-GB"/>
              </w:rPr>
              <w:t>t</w:t>
            </w:r>
            <w:r w:rsidR="00991BA4" w:rsidRPr="00F85DCF">
              <w:rPr>
                <w:sz w:val="20"/>
                <w:szCs w:val="20"/>
                <w:lang w:val="en-GB"/>
              </w:rPr>
              <w:t>ea, green, black.</w:t>
            </w:r>
          </w:p>
        </w:tc>
      </w:tr>
      <w:tr w:rsidR="00852720" w:rsidRPr="00F85DCF" w14:paraId="18AC0706" w14:textId="77777777" w:rsidTr="000E0D6C">
        <w:tc>
          <w:tcPr>
            <w:tcW w:w="3545" w:type="dxa"/>
            <w:vAlign w:val="center"/>
          </w:tcPr>
          <w:p w14:paraId="26977C48" w14:textId="56857BDA" w:rsidR="00852720" w:rsidRPr="00F85DCF" w:rsidRDefault="00852720" w:rsidP="00A533A6">
            <w:pPr>
              <w:rPr>
                <w:sz w:val="20"/>
                <w:szCs w:val="20"/>
                <w:lang w:val="en-GB" w:eastAsia="en-AU"/>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 xml:space="preserve">MRL that is not the </w:t>
            </w:r>
            <w:r w:rsidR="000025E0" w:rsidRPr="00F85DCF">
              <w:rPr>
                <w:sz w:val="20"/>
                <w:szCs w:val="20"/>
                <w:lang w:val="en-GB" w:eastAsia="en-AU"/>
              </w:rPr>
              <w:t>L</w:t>
            </w:r>
            <w:r w:rsidR="00A533A6" w:rsidRPr="00F85DCF">
              <w:rPr>
                <w:sz w:val="20"/>
                <w:szCs w:val="20"/>
                <w:lang w:val="en-GB" w:eastAsia="en-AU"/>
              </w:rPr>
              <w:t>imit</w:t>
            </w:r>
            <w:r w:rsidR="000025E0" w:rsidRPr="00F85DCF">
              <w:rPr>
                <w:sz w:val="20"/>
                <w:szCs w:val="20"/>
                <w:lang w:val="en-GB" w:eastAsia="en-AU"/>
              </w:rPr>
              <w:t xml:space="preserve"> of Determination</w:t>
            </w:r>
          </w:p>
        </w:tc>
        <w:tc>
          <w:tcPr>
            <w:tcW w:w="6520" w:type="dxa"/>
            <w:vAlign w:val="center"/>
          </w:tcPr>
          <w:p w14:paraId="1C8796AC" w14:textId="5B475203" w:rsidR="00852720" w:rsidRPr="00F85DCF" w:rsidRDefault="00852720" w:rsidP="00D5197E">
            <w:pPr>
              <w:rPr>
                <w:sz w:val="20"/>
                <w:szCs w:val="20"/>
                <w:lang w:val="en-GB"/>
              </w:rPr>
            </w:pPr>
            <w:r w:rsidRPr="00F85DCF">
              <w:rPr>
                <w:sz w:val="20"/>
                <w:szCs w:val="20"/>
                <w:lang w:val="en-GB" w:eastAsia="en-AU"/>
              </w:rPr>
              <w:t xml:space="preserve">0.1 </w:t>
            </w:r>
            <w:r w:rsidRPr="00F85DCF">
              <w:rPr>
                <w:sz w:val="20"/>
                <w:szCs w:val="20"/>
                <w:lang w:val="en-GB"/>
              </w:rPr>
              <w:t>mg/kg (</w:t>
            </w:r>
            <w:r w:rsidR="00D40940" w:rsidRPr="00F85DCF">
              <w:rPr>
                <w:sz w:val="20"/>
                <w:szCs w:val="20"/>
                <w:lang w:val="en-GB" w:eastAsia="en-AU"/>
              </w:rPr>
              <w:t>a</w:t>
            </w:r>
            <w:r w:rsidRPr="00F85DCF">
              <w:rPr>
                <w:sz w:val="20"/>
                <w:szCs w:val="20"/>
                <w:lang w:val="en-GB" w:eastAsia="en-AU"/>
              </w:rPr>
              <w:t xml:space="preserve">vocado; </w:t>
            </w:r>
            <w:r w:rsidR="00D40940" w:rsidRPr="00F85DCF">
              <w:rPr>
                <w:sz w:val="20"/>
                <w:szCs w:val="20"/>
                <w:lang w:val="en-GB" w:eastAsia="en-AU"/>
              </w:rPr>
              <w:t>b</w:t>
            </w:r>
            <w:r w:rsidRPr="00F85DCF">
              <w:rPr>
                <w:sz w:val="20"/>
                <w:szCs w:val="20"/>
                <w:lang w:val="en-GB" w:eastAsia="en-AU"/>
              </w:rPr>
              <w:t xml:space="preserve">anana; </w:t>
            </w:r>
            <w:r w:rsidR="00D40940" w:rsidRPr="00F85DCF">
              <w:rPr>
                <w:sz w:val="20"/>
                <w:szCs w:val="20"/>
                <w:lang w:val="en-GB" w:eastAsia="en-AU"/>
              </w:rPr>
              <w:t>c</w:t>
            </w:r>
            <w:r w:rsidRPr="00F85DCF">
              <w:rPr>
                <w:sz w:val="20"/>
                <w:szCs w:val="20"/>
                <w:lang w:val="en-GB" w:eastAsia="en-AU"/>
              </w:rPr>
              <w:t xml:space="preserve">otton seed; </w:t>
            </w:r>
            <w:r w:rsidR="00D40940" w:rsidRPr="00F85DCF">
              <w:rPr>
                <w:sz w:val="20"/>
                <w:szCs w:val="20"/>
                <w:lang w:val="en-GB" w:eastAsia="en-AU"/>
              </w:rPr>
              <w:t>f</w:t>
            </w:r>
            <w:r w:rsidRPr="00F85DCF">
              <w:rPr>
                <w:sz w:val="20"/>
                <w:szCs w:val="20"/>
                <w:lang w:val="en-GB" w:eastAsia="en-AU"/>
              </w:rPr>
              <w:t>ruiting vegetables, cucurbits [except cucumber]</w:t>
            </w:r>
            <w:r w:rsidRPr="00F85DCF">
              <w:rPr>
                <w:sz w:val="20"/>
                <w:szCs w:val="20"/>
                <w:lang w:val="en-GB"/>
              </w:rPr>
              <w:t>)</w:t>
            </w:r>
          </w:p>
        </w:tc>
      </w:tr>
      <w:tr w:rsidR="00852720" w:rsidRPr="00F85DCF" w14:paraId="29EE3C2A" w14:textId="77777777" w:rsidTr="000E0D6C">
        <w:tc>
          <w:tcPr>
            <w:tcW w:w="3545" w:type="dxa"/>
            <w:vAlign w:val="center"/>
          </w:tcPr>
          <w:p w14:paraId="1A96300C" w14:textId="586D5906" w:rsidR="00852720" w:rsidRPr="00F85DCF" w:rsidRDefault="00852720" w:rsidP="00D5197E">
            <w:pPr>
              <w:rPr>
                <w:sz w:val="20"/>
                <w:szCs w:val="20"/>
                <w:lang w:val="en-GB" w:eastAsia="en-AU"/>
              </w:rPr>
            </w:pPr>
            <w:r w:rsidRPr="00F85DCF">
              <w:rPr>
                <w:sz w:val="20"/>
                <w:szCs w:val="20"/>
                <w:lang w:val="en-GB" w:eastAsia="en-AU"/>
              </w:rPr>
              <w:t xml:space="preserve">Most relevant reference point to </w:t>
            </w:r>
            <w:r w:rsidR="00171C76"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0EBDFF0D" w14:textId="59ED3B87" w:rsidR="00852720" w:rsidRPr="00F85DCF" w:rsidRDefault="00852720" w:rsidP="00A533A6">
            <w:pPr>
              <w:rPr>
                <w:sz w:val="20"/>
                <w:szCs w:val="20"/>
                <w:lang w:val="en-GB"/>
              </w:rPr>
            </w:pPr>
            <w:r w:rsidRPr="00F85DCF">
              <w:rPr>
                <w:sz w:val="20"/>
                <w:szCs w:val="20"/>
                <w:lang w:val="en-GB" w:eastAsia="en-AU"/>
              </w:rPr>
              <w:t xml:space="preserve">0.05 </w:t>
            </w:r>
            <w:r w:rsidRPr="00F85DCF">
              <w:rPr>
                <w:sz w:val="20"/>
                <w:szCs w:val="20"/>
                <w:lang w:val="en-GB"/>
              </w:rPr>
              <w:t>mg/kg (</w:t>
            </w:r>
            <w:r w:rsidR="00D40940" w:rsidRPr="00F85DCF">
              <w:rPr>
                <w:sz w:val="20"/>
                <w:szCs w:val="20"/>
                <w:lang w:val="en-GB" w:eastAsia="en-AU"/>
              </w:rPr>
              <w:t>a</w:t>
            </w:r>
            <w:r w:rsidRPr="00F85DCF">
              <w:rPr>
                <w:sz w:val="20"/>
                <w:szCs w:val="20"/>
                <w:lang w:val="en-GB" w:eastAsia="en-AU"/>
              </w:rPr>
              <w:t xml:space="preserve">pple; </w:t>
            </w:r>
            <w:r w:rsidR="00D40940" w:rsidRPr="00F85DCF">
              <w:rPr>
                <w:sz w:val="20"/>
                <w:szCs w:val="20"/>
                <w:lang w:val="en-GB" w:eastAsia="en-AU"/>
              </w:rPr>
              <w:t>c</w:t>
            </w:r>
            <w:r w:rsidRPr="00F85DCF">
              <w:rPr>
                <w:sz w:val="20"/>
                <w:szCs w:val="20"/>
                <w:lang w:val="en-GB" w:eastAsia="en-AU"/>
              </w:rPr>
              <w:t xml:space="preserve">itrus fruits; </w:t>
            </w:r>
            <w:r w:rsidR="00D40940" w:rsidRPr="00F85DCF">
              <w:rPr>
                <w:sz w:val="20"/>
                <w:szCs w:val="20"/>
                <w:lang w:val="en-GB" w:eastAsia="en-AU"/>
              </w:rPr>
              <w:t>s</w:t>
            </w:r>
            <w:r w:rsidRPr="00F85DCF">
              <w:rPr>
                <w:sz w:val="20"/>
                <w:szCs w:val="20"/>
                <w:lang w:val="en-GB" w:eastAsia="en-AU"/>
              </w:rPr>
              <w:t>weet potato</w:t>
            </w:r>
            <w:r w:rsidRPr="00F85DCF">
              <w:rPr>
                <w:sz w:val="20"/>
                <w:szCs w:val="20"/>
                <w:lang w:val="en-GB"/>
              </w:rPr>
              <w:t xml:space="preserve">). This is the highest of three MRLs set at the </w:t>
            </w:r>
            <w:r w:rsidR="000025E0" w:rsidRPr="00F85DCF">
              <w:rPr>
                <w:sz w:val="20"/>
                <w:szCs w:val="20"/>
                <w:lang w:val="en-GB"/>
              </w:rPr>
              <w:t>L</w:t>
            </w:r>
            <w:r w:rsidR="00A533A6" w:rsidRPr="00F85DCF">
              <w:rPr>
                <w:sz w:val="20"/>
                <w:szCs w:val="20"/>
                <w:lang w:val="en-GB"/>
              </w:rPr>
              <w:t>imit</w:t>
            </w:r>
            <w:r w:rsidR="000025E0" w:rsidRPr="00F85DCF">
              <w:rPr>
                <w:sz w:val="20"/>
                <w:szCs w:val="20"/>
                <w:lang w:val="en-GB"/>
              </w:rPr>
              <w:t xml:space="preserve"> of Determination</w:t>
            </w:r>
            <w:r w:rsidRPr="00F85DCF">
              <w:rPr>
                <w:sz w:val="20"/>
                <w:szCs w:val="20"/>
                <w:lang w:val="en-GB"/>
              </w:rPr>
              <w:t>.</w:t>
            </w:r>
          </w:p>
        </w:tc>
      </w:tr>
      <w:tr w:rsidR="00852720" w:rsidRPr="00F85DCF" w14:paraId="4C2EFE51" w14:textId="77777777" w:rsidTr="000E0D6C">
        <w:tc>
          <w:tcPr>
            <w:tcW w:w="3545" w:type="dxa"/>
            <w:vAlign w:val="center"/>
          </w:tcPr>
          <w:p w14:paraId="3386D1B4" w14:textId="77777777" w:rsidR="00852720" w:rsidRPr="00F85DCF" w:rsidRDefault="00852720" w:rsidP="00D5197E">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5627B3F1" w14:textId="62D583C8" w:rsidR="00852720" w:rsidRPr="00F85DCF" w:rsidRDefault="00852720" w:rsidP="00D5197E">
            <w:pPr>
              <w:rPr>
                <w:sz w:val="20"/>
                <w:szCs w:val="20"/>
                <w:lang w:val="en-GB"/>
              </w:rPr>
            </w:pPr>
            <w:r w:rsidRPr="00F85DCF">
              <w:rPr>
                <w:sz w:val="20"/>
                <w:szCs w:val="20"/>
                <w:lang w:val="en-GB" w:eastAsia="en-AU"/>
              </w:rPr>
              <w:t>43</w:t>
            </w:r>
            <w:r w:rsidRPr="00F85DCF">
              <w:rPr>
                <w:sz w:val="20"/>
                <w:szCs w:val="20"/>
                <w:lang w:val="en-GB"/>
              </w:rPr>
              <w:t>% of the ADI</w:t>
            </w:r>
          </w:p>
        </w:tc>
      </w:tr>
      <w:tr w:rsidR="00852720" w:rsidRPr="00F85DCF" w14:paraId="62F60359" w14:textId="77777777" w:rsidTr="000E0D6C">
        <w:tc>
          <w:tcPr>
            <w:tcW w:w="3545" w:type="dxa"/>
            <w:vAlign w:val="center"/>
          </w:tcPr>
          <w:p w14:paraId="41DF3421" w14:textId="697B6273" w:rsidR="00852720" w:rsidRPr="00F85DCF" w:rsidRDefault="00852720" w:rsidP="004455FA">
            <w:pPr>
              <w:rPr>
                <w:sz w:val="20"/>
                <w:szCs w:val="20"/>
                <w:lang w:val="en-GB"/>
              </w:rPr>
            </w:pPr>
            <w:r w:rsidRPr="00F85DCF">
              <w:rPr>
                <w:sz w:val="20"/>
                <w:szCs w:val="20"/>
                <w:lang w:val="en-GB"/>
              </w:rPr>
              <w:t xml:space="preserve">Proposed </w:t>
            </w:r>
            <w:r w:rsidR="004455FA" w:rsidRPr="00F85DCF">
              <w:rPr>
                <w:i/>
                <w:sz w:val="20"/>
                <w:szCs w:val="20"/>
                <w:lang w:val="en-GB"/>
              </w:rPr>
              <w:t>A</w:t>
            </w:r>
            <w:r w:rsidR="002E1CAC" w:rsidRPr="00F85DCF">
              <w:rPr>
                <w:i/>
                <w:sz w:val="20"/>
                <w:szCs w:val="20"/>
                <w:lang w:val="en-GB"/>
              </w:rPr>
              <w:t xml:space="preserve">ll other foods </w:t>
            </w:r>
            <w:r w:rsidR="0003601D" w:rsidRPr="00F85DCF">
              <w:rPr>
                <w:i/>
                <w:sz w:val="20"/>
                <w:szCs w:val="20"/>
                <w:lang w:val="en-GB"/>
              </w:rPr>
              <w:t xml:space="preserve">except animal </w:t>
            </w:r>
            <w:r w:rsidR="00D767BE">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2ADFB380" w14:textId="5ACE08FA" w:rsidR="00852720" w:rsidRPr="00F85DCF" w:rsidRDefault="00852720" w:rsidP="00D5197E">
            <w:pPr>
              <w:rPr>
                <w:sz w:val="20"/>
                <w:szCs w:val="20"/>
                <w:lang w:val="en-GB"/>
              </w:rPr>
            </w:pPr>
            <w:r w:rsidRPr="00F85DCF">
              <w:rPr>
                <w:sz w:val="20"/>
                <w:szCs w:val="20"/>
                <w:lang w:val="en-GB" w:eastAsia="en-AU"/>
              </w:rPr>
              <w:t>0.</w:t>
            </w:r>
            <w:r w:rsidR="00F6391B" w:rsidRPr="00F85DCF">
              <w:rPr>
                <w:sz w:val="20"/>
                <w:szCs w:val="20"/>
                <w:lang w:val="en-GB" w:eastAsia="en-AU"/>
              </w:rPr>
              <w:t xml:space="preserve">03 </w:t>
            </w:r>
            <w:r w:rsidRPr="00F85DCF">
              <w:rPr>
                <w:sz w:val="20"/>
                <w:szCs w:val="20"/>
                <w:lang w:val="en-GB" w:eastAsia="en-AU"/>
              </w:rPr>
              <w:t xml:space="preserve">mg/kg </w:t>
            </w:r>
          </w:p>
        </w:tc>
      </w:tr>
      <w:tr w:rsidR="00852720" w:rsidRPr="00F85DCF" w14:paraId="274317FC" w14:textId="77777777" w:rsidTr="000E0D6C">
        <w:tc>
          <w:tcPr>
            <w:tcW w:w="3545" w:type="dxa"/>
            <w:vAlign w:val="center"/>
          </w:tcPr>
          <w:p w14:paraId="178F34EC" w14:textId="29EB8487" w:rsidR="00852720" w:rsidRPr="00F85DCF" w:rsidRDefault="00852720" w:rsidP="004455FA">
            <w:pPr>
              <w:rPr>
                <w:sz w:val="20"/>
                <w:szCs w:val="20"/>
                <w:lang w:val="en-GB"/>
              </w:rPr>
            </w:pPr>
            <w:r w:rsidRPr="00F85DCF">
              <w:rPr>
                <w:sz w:val="20"/>
                <w:szCs w:val="20"/>
                <w:lang w:val="en-GB" w:eastAsia="en-AU"/>
              </w:rPr>
              <w:t xml:space="preserve">NEDI including </w:t>
            </w:r>
            <w:r w:rsidR="004455FA" w:rsidRPr="00F85DCF">
              <w:rPr>
                <w:i/>
                <w:sz w:val="20"/>
                <w:szCs w:val="20"/>
                <w:lang w:val="en-GB" w:eastAsia="en-AU"/>
              </w:rPr>
              <w:t>A</w:t>
            </w:r>
            <w:r w:rsidR="002E1CAC"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6BEE125B" w14:textId="5B196C48" w:rsidR="00852720" w:rsidRPr="00F85DCF" w:rsidRDefault="00852720" w:rsidP="00D5197E">
            <w:pPr>
              <w:rPr>
                <w:sz w:val="20"/>
                <w:szCs w:val="20"/>
                <w:lang w:val="en-GB"/>
              </w:rPr>
            </w:pPr>
            <w:r w:rsidRPr="00F85DCF">
              <w:rPr>
                <w:sz w:val="20"/>
                <w:szCs w:val="20"/>
                <w:lang w:val="en-GB" w:eastAsia="en-AU"/>
              </w:rPr>
              <w:t>5</w:t>
            </w:r>
            <w:r w:rsidR="00E34C82" w:rsidRPr="00F85DCF">
              <w:rPr>
                <w:sz w:val="20"/>
                <w:szCs w:val="20"/>
                <w:lang w:val="en-GB" w:eastAsia="en-AU"/>
              </w:rPr>
              <w:t>1</w:t>
            </w:r>
            <w:r w:rsidRPr="00F85DCF">
              <w:rPr>
                <w:sz w:val="20"/>
                <w:szCs w:val="20"/>
                <w:lang w:val="en-GB" w:eastAsia="en-AU"/>
              </w:rPr>
              <w:t>% of the ADI</w:t>
            </w:r>
          </w:p>
        </w:tc>
      </w:tr>
      <w:tr w:rsidR="00852720" w:rsidRPr="00F85DCF" w14:paraId="701F9AE1" w14:textId="77777777" w:rsidTr="000E0D6C">
        <w:tc>
          <w:tcPr>
            <w:tcW w:w="3545" w:type="dxa"/>
            <w:vAlign w:val="center"/>
          </w:tcPr>
          <w:p w14:paraId="53FBD9D0" w14:textId="41C0C42A" w:rsidR="00852720" w:rsidRPr="00F85DCF" w:rsidRDefault="00E46481" w:rsidP="004455FA">
            <w:pPr>
              <w:rPr>
                <w:sz w:val="20"/>
                <w:szCs w:val="20"/>
                <w:lang w:val="en-GB" w:eastAsia="en-AU"/>
              </w:rPr>
            </w:pPr>
            <w:r w:rsidRPr="00F85DCF">
              <w:rPr>
                <w:sz w:val="20"/>
                <w:szCs w:val="20"/>
                <w:lang w:val="en-GB" w:eastAsia="en-AU"/>
              </w:rPr>
              <w:t xml:space="preserve">Percentage contribution of </w:t>
            </w:r>
            <w:r w:rsidR="004455FA" w:rsidRPr="00F85DCF">
              <w:rPr>
                <w:i/>
                <w:sz w:val="20"/>
                <w:szCs w:val="20"/>
                <w:lang w:val="en-GB" w:eastAsia="en-AU"/>
              </w:rPr>
              <w:t>A</w:t>
            </w:r>
            <w:r w:rsidR="002E1CAC"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171C76"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4DAFE637" w14:textId="76F9C566" w:rsidR="00D7195E" w:rsidRPr="00F85DCF" w:rsidRDefault="00852720" w:rsidP="004455FA">
            <w:pPr>
              <w:rPr>
                <w:sz w:val="20"/>
                <w:szCs w:val="20"/>
                <w:lang w:val="en-GB" w:eastAsia="en-AU"/>
              </w:rPr>
            </w:pPr>
            <w:r w:rsidRPr="00F85DCF">
              <w:rPr>
                <w:sz w:val="20"/>
                <w:szCs w:val="20"/>
                <w:lang w:val="en-GB" w:eastAsia="en-AU"/>
              </w:rPr>
              <w:t xml:space="preserve">An </w:t>
            </w:r>
            <w:r w:rsidR="004455FA" w:rsidRPr="00F85DCF">
              <w:rPr>
                <w:i/>
                <w:sz w:val="20"/>
                <w:szCs w:val="20"/>
                <w:lang w:val="en-GB" w:eastAsia="en-AU"/>
              </w:rPr>
              <w:t>A</w:t>
            </w:r>
            <w:r w:rsidR="002E1CAC"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w:t>
            </w:r>
            <w:r w:rsidR="00A86443" w:rsidRPr="00F85DCF">
              <w:rPr>
                <w:sz w:val="20"/>
                <w:szCs w:val="20"/>
                <w:lang w:val="en-GB" w:eastAsia="en-AU"/>
              </w:rPr>
              <w:t xml:space="preserve">represents a contribution of </w:t>
            </w:r>
            <w:r w:rsidRPr="00F85DCF">
              <w:rPr>
                <w:sz w:val="20"/>
                <w:szCs w:val="20"/>
                <w:lang w:val="en-GB" w:eastAsia="en-AU"/>
              </w:rPr>
              <w:t xml:space="preserve">8% </w:t>
            </w:r>
            <w:r w:rsidR="00A86443" w:rsidRPr="00F85DCF">
              <w:rPr>
                <w:sz w:val="20"/>
                <w:szCs w:val="20"/>
                <w:lang w:val="en-GB" w:eastAsia="en-AU"/>
              </w:rPr>
              <w:t xml:space="preserve">to </w:t>
            </w:r>
            <w:r w:rsidRPr="00F85DCF">
              <w:rPr>
                <w:sz w:val="20"/>
                <w:szCs w:val="20"/>
                <w:lang w:val="en-GB" w:eastAsia="en-AU"/>
              </w:rPr>
              <w:t xml:space="preserve">total exposure. </w:t>
            </w:r>
            <w:r w:rsidR="001E2605" w:rsidRPr="00F85DCF">
              <w:rPr>
                <w:sz w:val="20"/>
                <w:szCs w:val="20"/>
                <w:lang w:val="en-GB" w:eastAsia="en-AU"/>
              </w:rPr>
              <w:t xml:space="preserve">Setting </w:t>
            </w:r>
            <w:r w:rsidRPr="00F85DCF">
              <w:rPr>
                <w:sz w:val="20"/>
                <w:szCs w:val="20"/>
                <w:lang w:val="en-GB" w:eastAsia="en-AU"/>
              </w:rPr>
              <w:t xml:space="preserve">the </w:t>
            </w:r>
            <w:r w:rsidR="004455FA" w:rsidRPr="00F85DCF">
              <w:rPr>
                <w:i/>
                <w:sz w:val="20"/>
                <w:szCs w:val="20"/>
                <w:lang w:val="en-GB" w:eastAsia="en-AU"/>
              </w:rPr>
              <w:t>A</w:t>
            </w:r>
            <w:r w:rsidR="002E1CAC"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to 0.03 mg/</w:t>
            </w:r>
            <w:r w:rsidR="00991BA4" w:rsidRPr="00F85DCF">
              <w:rPr>
                <w:sz w:val="20"/>
                <w:szCs w:val="20"/>
                <w:lang w:val="en-GB" w:eastAsia="en-AU"/>
              </w:rPr>
              <w:t xml:space="preserve">kg is still within the target. </w:t>
            </w:r>
            <w:r w:rsidRPr="00F85DCF">
              <w:rPr>
                <w:sz w:val="20"/>
                <w:szCs w:val="20"/>
                <w:lang w:val="en-GB" w:eastAsia="en-AU"/>
              </w:rPr>
              <w:t>Although 0.05</w:t>
            </w:r>
            <w:r w:rsidR="007C2013" w:rsidRPr="00F85DCF">
              <w:rPr>
                <w:sz w:val="20"/>
                <w:szCs w:val="20"/>
                <w:lang w:val="en-GB" w:eastAsia="en-AU"/>
              </w:rPr>
              <w:t xml:space="preserve"> </w:t>
            </w:r>
            <w:r w:rsidRPr="00F85DCF">
              <w:rPr>
                <w:sz w:val="20"/>
                <w:szCs w:val="20"/>
                <w:lang w:val="en-GB" w:eastAsia="en-AU"/>
              </w:rPr>
              <w:t xml:space="preserve">mg/kg is at the </w:t>
            </w:r>
            <w:r w:rsidR="000025E0" w:rsidRPr="00F85DCF">
              <w:rPr>
                <w:sz w:val="20"/>
                <w:szCs w:val="20"/>
                <w:lang w:val="en-GB" w:eastAsia="en-AU"/>
              </w:rPr>
              <w:t>L</w:t>
            </w:r>
            <w:r w:rsidR="00A533A6" w:rsidRPr="00F85DCF">
              <w:rPr>
                <w:sz w:val="20"/>
                <w:szCs w:val="20"/>
                <w:lang w:val="en-GB" w:eastAsia="en-AU"/>
              </w:rPr>
              <w:t>imit</w:t>
            </w:r>
            <w:r w:rsidR="000025E0" w:rsidRPr="00F85DCF">
              <w:rPr>
                <w:sz w:val="20"/>
                <w:szCs w:val="20"/>
                <w:lang w:val="en-GB" w:eastAsia="en-AU"/>
              </w:rPr>
              <w:t xml:space="preserve"> of Determination</w:t>
            </w:r>
            <w:r w:rsidRPr="00F85DCF">
              <w:rPr>
                <w:sz w:val="20"/>
                <w:szCs w:val="20"/>
                <w:lang w:val="en-GB" w:eastAsia="en-AU"/>
              </w:rPr>
              <w:t xml:space="preserve"> for some commodities, setting the </w:t>
            </w:r>
            <w:r w:rsidR="004455FA" w:rsidRPr="00F85DCF">
              <w:rPr>
                <w:i/>
                <w:sz w:val="20"/>
                <w:szCs w:val="20"/>
                <w:lang w:val="en-GB" w:eastAsia="en-AU"/>
              </w:rPr>
              <w:t>Al</w:t>
            </w:r>
            <w:r w:rsidR="0003601D" w:rsidRPr="00F85DCF">
              <w:rPr>
                <w:i/>
                <w:sz w:val="20"/>
                <w:szCs w:val="20"/>
                <w:lang w:val="en-GB" w:eastAsia="en-AU"/>
              </w:rPr>
              <w:t xml:space="preserve">l other </w:t>
            </w:r>
            <w:r w:rsidR="002E1CAC" w:rsidRPr="00F85DCF">
              <w:rPr>
                <w:i/>
                <w:sz w:val="20"/>
                <w:szCs w:val="20"/>
                <w:lang w:val="en-GB" w:eastAsia="en-AU"/>
              </w:rPr>
              <w:t xml:space="preserve">foods </w:t>
            </w:r>
            <w:r w:rsidR="0003601D" w:rsidRPr="00F85DCF">
              <w:rPr>
                <w:i/>
                <w:sz w:val="20"/>
                <w:szCs w:val="20"/>
                <w:lang w:val="en-GB" w:eastAsia="en-AU"/>
              </w:rPr>
              <w:t xml:space="preserve">except animal </w:t>
            </w:r>
            <w:r w:rsidR="002623F4">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at this level </w:t>
            </w:r>
            <w:r w:rsidR="007C2013" w:rsidRPr="00F85DCF">
              <w:rPr>
                <w:sz w:val="20"/>
                <w:szCs w:val="20"/>
                <w:lang w:val="en-GB" w:eastAsia="en-AU"/>
              </w:rPr>
              <w:t>results in estimated dietary exposure</w:t>
            </w:r>
            <w:r w:rsidR="00551115" w:rsidRPr="00F85DCF">
              <w:rPr>
                <w:sz w:val="20"/>
                <w:szCs w:val="20"/>
                <w:lang w:val="en-GB" w:eastAsia="en-AU"/>
              </w:rPr>
              <w:t xml:space="preserve"> slightly</w:t>
            </w:r>
            <w:r w:rsidR="007C2013" w:rsidRPr="00F85DCF">
              <w:rPr>
                <w:sz w:val="20"/>
                <w:szCs w:val="20"/>
                <w:lang w:val="en-GB" w:eastAsia="en-AU"/>
              </w:rPr>
              <w:t xml:space="preserve"> </w:t>
            </w:r>
            <w:r w:rsidRPr="00F85DCF">
              <w:rPr>
                <w:sz w:val="20"/>
                <w:szCs w:val="20"/>
                <w:lang w:val="en-GB" w:eastAsia="en-AU"/>
              </w:rPr>
              <w:t xml:space="preserve">above the 20% </w:t>
            </w:r>
            <w:r w:rsidR="007C2013" w:rsidRPr="00F85DCF">
              <w:rPr>
                <w:sz w:val="20"/>
                <w:szCs w:val="20"/>
                <w:lang w:val="en-GB" w:eastAsia="en-AU"/>
              </w:rPr>
              <w:t xml:space="preserve">total dietary exposure </w:t>
            </w:r>
            <w:r w:rsidRPr="00F85DCF">
              <w:rPr>
                <w:sz w:val="20"/>
                <w:szCs w:val="20"/>
                <w:lang w:val="en-GB" w:eastAsia="en-AU"/>
              </w:rPr>
              <w:t>target</w:t>
            </w:r>
            <w:r w:rsidR="00551115" w:rsidRPr="00F85DCF">
              <w:rPr>
                <w:sz w:val="20"/>
                <w:szCs w:val="20"/>
                <w:lang w:val="en-GB" w:eastAsia="en-AU"/>
              </w:rPr>
              <w:t xml:space="preserve">. </w:t>
            </w:r>
            <w:r w:rsidR="00C152C3" w:rsidRPr="00F85DCF">
              <w:rPr>
                <w:sz w:val="20"/>
                <w:szCs w:val="20"/>
                <w:lang w:val="en-GB" w:eastAsia="en-AU"/>
              </w:rPr>
              <w:t>Additionally, i</w:t>
            </w:r>
            <w:r w:rsidR="00551115" w:rsidRPr="00F85DCF">
              <w:rPr>
                <w:sz w:val="20"/>
                <w:szCs w:val="20"/>
                <w:lang w:val="en-GB" w:eastAsia="en-AU"/>
              </w:rPr>
              <w:t xml:space="preserve">ncreasing the MRL beyond 0.03 mg/kg </w:t>
            </w:r>
            <w:r w:rsidR="00D7430E" w:rsidRPr="00F85DCF">
              <w:rPr>
                <w:sz w:val="20"/>
                <w:szCs w:val="20"/>
                <w:lang w:val="en-GB" w:eastAsia="en-AU"/>
              </w:rPr>
              <w:t>is</w:t>
            </w:r>
            <w:r w:rsidR="00551115" w:rsidRPr="00F85DCF">
              <w:rPr>
                <w:sz w:val="20"/>
                <w:szCs w:val="20"/>
                <w:lang w:val="en-GB" w:eastAsia="en-AU"/>
              </w:rPr>
              <w:t xml:space="preserve"> considered inappropriate as it may facilitate off-label use</w:t>
            </w:r>
            <w:r w:rsidRPr="00F85DCF">
              <w:rPr>
                <w:sz w:val="20"/>
                <w:szCs w:val="20"/>
                <w:lang w:val="en-GB" w:eastAsia="en-AU"/>
              </w:rPr>
              <w:t>.</w:t>
            </w:r>
          </w:p>
        </w:tc>
      </w:tr>
      <w:tr w:rsidR="00171C76" w:rsidRPr="00F85DCF" w14:paraId="113CD8CF" w14:textId="77777777" w:rsidTr="000E0D6C">
        <w:tc>
          <w:tcPr>
            <w:tcW w:w="3545" w:type="dxa"/>
            <w:vMerge w:val="restart"/>
            <w:vAlign w:val="center"/>
          </w:tcPr>
          <w:p w14:paraId="51A2083B" w14:textId="77777777" w:rsidR="00171C76" w:rsidRPr="00F85DCF" w:rsidRDefault="00171C76" w:rsidP="00D5197E">
            <w:pPr>
              <w:rPr>
                <w:sz w:val="20"/>
                <w:szCs w:val="20"/>
                <w:lang w:val="en-GB" w:eastAsia="en-AU"/>
              </w:rPr>
            </w:pPr>
            <w:r w:rsidRPr="00F85DCF">
              <w:rPr>
                <w:sz w:val="20"/>
                <w:szCs w:val="20"/>
                <w:lang w:val="en-GB" w:eastAsia="en-AU"/>
              </w:rPr>
              <w:t>Acute dietary exposure assessment</w:t>
            </w:r>
            <w:r w:rsidRPr="00F85DCF">
              <w:rPr>
                <w:sz w:val="20"/>
                <w:lang w:val="en-GB"/>
              </w:rPr>
              <w:t xml:space="preserve"> (NESTI)</w:t>
            </w:r>
          </w:p>
          <w:p w14:paraId="6E92E9E3" w14:textId="355B3565" w:rsidR="00171C76" w:rsidRPr="00F85DCF" w:rsidRDefault="00171C76" w:rsidP="00D5197E">
            <w:pPr>
              <w:rPr>
                <w:sz w:val="20"/>
                <w:szCs w:val="20"/>
                <w:lang w:val="en-GB" w:eastAsia="en-AU"/>
              </w:rPr>
            </w:pPr>
          </w:p>
        </w:tc>
        <w:tc>
          <w:tcPr>
            <w:tcW w:w="6520" w:type="dxa"/>
            <w:vAlign w:val="center"/>
          </w:tcPr>
          <w:p w14:paraId="152395F7" w14:textId="32A574CF" w:rsidR="00171C76" w:rsidRPr="00F85DCF" w:rsidRDefault="00171C76" w:rsidP="00D5197E">
            <w:pPr>
              <w:rPr>
                <w:sz w:val="20"/>
                <w:szCs w:val="20"/>
                <w:lang w:val="en-GB"/>
              </w:rPr>
            </w:pPr>
            <w:r w:rsidRPr="00F85DCF">
              <w:rPr>
                <w:sz w:val="20"/>
                <w:szCs w:val="20"/>
                <w:lang w:val="en-GB" w:eastAsia="en-AU"/>
              </w:rPr>
              <w:t xml:space="preserve">Children 2-6 years of age (worse case - pineapples), 10% of the ARfD </w:t>
            </w:r>
          </w:p>
        </w:tc>
      </w:tr>
      <w:tr w:rsidR="00171C76" w:rsidRPr="00F85DCF" w14:paraId="38DAC9EF" w14:textId="77777777" w:rsidTr="000E0D6C">
        <w:tc>
          <w:tcPr>
            <w:tcW w:w="3545" w:type="dxa"/>
            <w:vMerge/>
            <w:vAlign w:val="center"/>
          </w:tcPr>
          <w:p w14:paraId="35976377" w14:textId="4E94A542" w:rsidR="00171C76" w:rsidRPr="00F85DCF" w:rsidRDefault="00171C76" w:rsidP="00D5197E">
            <w:pPr>
              <w:rPr>
                <w:sz w:val="20"/>
                <w:szCs w:val="20"/>
                <w:lang w:val="en-GB" w:eastAsia="en-AU"/>
              </w:rPr>
            </w:pPr>
          </w:p>
        </w:tc>
        <w:tc>
          <w:tcPr>
            <w:tcW w:w="6520" w:type="dxa"/>
            <w:vAlign w:val="center"/>
          </w:tcPr>
          <w:p w14:paraId="0BCFAADE" w14:textId="306E173C" w:rsidR="00171C76" w:rsidRPr="00F85DCF" w:rsidRDefault="00171C76" w:rsidP="00D5197E">
            <w:pPr>
              <w:rPr>
                <w:sz w:val="20"/>
                <w:szCs w:val="20"/>
                <w:lang w:val="en-GB"/>
              </w:rPr>
            </w:pPr>
            <w:r w:rsidRPr="00F85DCF">
              <w:rPr>
                <w:sz w:val="20"/>
                <w:szCs w:val="20"/>
                <w:lang w:val="en-GB" w:eastAsia="en-AU"/>
              </w:rPr>
              <w:t xml:space="preserve">Population aged 2 years and above (worse case </w:t>
            </w:r>
            <w:r w:rsidR="002C1789" w:rsidRPr="00F85DCF">
              <w:rPr>
                <w:sz w:val="20"/>
                <w:szCs w:val="20"/>
                <w:lang w:val="en-GB" w:eastAsia="en-AU"/>
              </w:rPr>
              <w:t xml:space="preserve">- </w:t>
            </w:r>
            <w:r w:rsidRPr="00F85DCF">
              <w:rPr>
                <w:sz w:val="20"/>
                <w:szCs w:val="20"/>
                <w:lang w:val="en-GB" w:eastAsia="en-AU"/>
              </w:rPr>
              <w:t>watermelon), 6% of the ARfD</w:t>
            </w:r>
          </w:p>
        </w:tc>
      </w:tr>
      <w:tr w:rsidR="00171C76" w:rsidRPr="00F85DCF" w14:paraId="62E7CB19" w14:textId="77777777" w:rsidTr="000E0D6C">
        <w:tc>
          <w:tcPr>
            <w:tcW w:w="3545" w:type="dxa"/>
            <w:vAlign w:val="center"/>
          </w:tcPr>
          <w:p w14:paraId="07858DD9" w14:textId="77777777" w:rsidR="00171C76" w:rsidRPr="00F85DCF" w:rsidRDefault="00171C76" w:rsidP="00D5197E">
            <w:pPr>
              <w:rPr>
                <w:sz w:val="20"/>
                <w:szCs w:val="20"/>
                <w:lang w:val="en-GB" w:eastAsia="en-AU"/>
              </w:rPr>
            </w:pPr>
            <w:r w:rsidRPr="00F85DCF">
              <w:rPr>
                <w:sz w:val="20"/>
                <w:szCs w:val="20"/>
                <w:lang w:val="en-GB" w:eastAsia="en-AU"/>
              </w:rPr>
              <w:t>Conclusion</w:t>
            </w:r>
          </w:p>
        </w:tc>
        <w:tc>
          <w:tcPr>
            <w:tcW w:w="6520" w:type="dxa"/>
            <w:vAlign w:val="center"/>
          </w:tcPr>
          <w:p w14:paraId="299F64B9" w14:textId="77303791" w:rsidR="00171C76" w:rsidRPr="00F85DCF" w:rsidRDefault="00171C76" w:rsidP="004455FA">
            <w:pPr>
              <w:rPr>
                <w:sz w:val="20"/>
                <w:szCs w:val="20"/>
                <w:lang w:val="en-GB" w:eastAsia="en-AU"/>
              </w:rPr>
            </w:pPr>
            <w:r w:rsidRPr="00F85DCF">
              <w:rPr>
                <w:sz w:val="20"/>
                <w:szCs w:val="20"/>
                <w:lang w:val="en-GB"/>
              </w:rPr>
              <w:t xml:space="preserve">After considering the principles set out above an </w:t>
            </w:r>
            <w:r w:rsidR="004455FA" w:rsidRPr="00F85DCF">
              <w:rPr>
                <w:b/>
                <w:i/>
                <w:sz w:val="20"/>
                <w:szCs w:val="20"/>
                <w:lang w:val="en-GB"/>
              </w:rPr>
              <w:t>A</w:t>
            </w:r>
            <w:r w:rsidR="002E1CAC" w:rsidRPr="00F85DCF">
              <w:rPr>
                <w:b/>
                <w:i/>
                <w:sz w:val="20"/>
                <w:szCs w:val="20"/>
                <w:lang w:val="en-GB"/>
              </w:rPr>
              <w:t xml:space="preserve">ll other foods </w:t>
            </w:r>
            <w:r w:rsidR="0003601D" w:rsidRPr="00F85DCF">
              <w:rPr>
                <w:b/>
                <w:i/>
                <w:sz w:val="20"/>
                <w:szCs w:val="20"/>
                <w:lang w:val="en-GB"/>
              </w:rPr>
              <w:t xml:space="preserve">except animal </w:t>
            </w:r>
            <w:r w:rsidR="00D767BE">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0.03 </w:t>
            </w:r>
            <w:r w:rsidRPr="00F85DCF">
              <w:rPr>
                <w:b/>
                <w:sz w:val="20"/>
                <w:szCs w:val="20"/>
                <w:lang w:val="en-GB"/>
              </w:rPr>
              <w:t>mg/kg</w:t>
            </w:r>
            <w:r w:rsidRPr="00F85DCF">
              <w:rPr>
                <w:sz w:val="20"/>
                <w:szCs w:val="20"/>
                <w:lang w:val="en-GB"/>
              </w:rPr>
              <w:t xml:space="preserve"> for </w:t>
            </w:r>
            <w:r w:rsidRPr="00F85DCF">
              <w:rPr>
                <w:sz w:val="20"/>
                <w:szCs w:val="20"/>
                <w:lang w:val="en-GB" w:eastAsia="en-AU"/>
              </w:rPr>
              <w:t>Bifenthrin</w:t>
            </w:r>
            <w:r w:rsidRPr="00F85DCF">
              <w:rPr>
                <w:sz w:val="20"/>
                <w:szCs w:val="20"/>
                <w:lang w:val="en-GB"/>
              </w:rPr>
              <w:t xml:space="preserve"> is acceptable because it has been shown to be practical, adequately manages the risk of off-label use and does not increase the level of concern about risk to public health</w:t>
            </w:r>
            <w:r w:rsidR="00080F58" w:rsidRPr="00F85DCF">
              <w:rPr>
                <w:sz w:val="20"/>
                <w:szCs w:val="20"/>
                <w:lang w:val="en-GB"/>
              </w:rPr>
              <w:t>.</w:t>
            </w:r>
          </w:p>
        </w:tc>
      </w:tr>
    </w:tbl>
    <w:p w14:paraId="5A9BF6F6" w14:textId="1D98D0E5" w:rsidR="00D7195E" w:rsidRPr="00F85DCF" w:rsidRDefault="00D7195E" w:rsidP="00D7195E">
      <w:pPr>
        <w:rPr>
          <w:rFonts w:eastAsiaTheme="majorEastAsia" w:cstheme="majorBidi"/>
          <w:sz w:val="20"/>
          <w:szCs w:val="20"/>
          <w:lang w:val="en-GB" w:eastAsia="en-AU"/>
        </w:rPr>
      </w:pPr>
      <w:r w:rsidRPr="00F85DCF">
        <w:rPr>
          <w:sz w:val="20"/>
          <w:szCs w:val="20"/>
          <w:lang w:val="en-GB"/>
        </w:rPr>
        <w:br w:type="page"/>
      </w:r>
    </w:p>
    <w:p w14:paraId="426EE318" w14:textId="146DF2F9" w:rsidR="00F6750E" w:rsidRPr="00F85DCF" w:rsidRDefault="008D02AD" w:rsidP="000E0D6C">
      <w:pPr>
        <w:pStyle w:val="Heading3"/>
      </w:pPr>
      <w:r w:rsidRPr="00F85DCF">
        <w:lastRenderedPageBreak/>
        <w:t>Captan</w:t>
      </w:r>
    </w:p>
    <w:tbl>
      <w:tblPr>
        <w:tblStyle w:val="TableGrid"/>
        <w:tblW w:w="9072" w:type="dxa"/>
        <w:tblLook w:val="04A0" w:firstRow="1" w:lastRow="0" w:firstColumn="1" w:lastColumn="0" w:noHBand="0" w:noVBand="1"/>
      </w:tblPr>
      <w:tblGrid>
        <w:gridCol w:w="3277"/>
        <w:gridCol w:w="5795"/>
      </w:tblGrid>
      <w:tr w:rsidR="005C396C" w:rsidRPr="00F85DCF" w14:paraId="0ECC8C02" w14:textId="77777777" w:rsidTr="000E0D6C">
        <w:tc>
          <w:tcPr>
            <w:tcW w:w="3545" w:type="dxa"/>
            <w:vAlign w:val="center"/>
          </w:tcPr>
          <w:p w14:paraId="7FFC436E" w14:textId="63D08B92" w:rsidR="005C396C" w:rsidRPr="00F85DCF" w:rsidRDefault="006D5974" w:rsidP="00351AC0">
            <w:pPr>
              <w:rPr>
                <w:b/>
                <w:sz w:val="20"/>
                <w:szCs w:val="20"/>
                <w:lang w:val="en-GB"/>
              </w:rPr>
            </w:pPr>
            <w:r w:rsidRPr="006D5974">
              <w:rPr>
                <w:b/>
                <w:sz w:val="20"/>
                <w:szCs w:val="20"/>
                <w:lang w:val="en-GB"/>
              </w:rPr>
              <w:t>Considerations</w:t>
            </w:r>
          </w:p>
        </w:tc>
        <w:tc>
          <w:tcPr>
            <w:tcW w:w="6520" w:type="dxa"/>
            <w:vAlign w:val="center"/>
          </w:tcPr>
          <w:p w14:paraId="0BB3E107" w14:textId="77777777" w:rsidR="005C396C" w:rsidRPr="00F85DCF" w:rsidRDefault="005C396C" w:rsidP="00351AC0">
            <w:pPr>
              <w:rPr>
                <w:b/>
                <w:sz w:val="20"/>
                <w:szCs w:val="20"/>
                <w:lang w:val="en-GB" w:eastAsia="en-AU"/>
              </w:rPr>
            </w:pPr>
            <w:r w:rsidRPr="00F85DCF">
              <w:rPr>
                <w:b/>
                <w:sz w:val="20"/>
                <w:szCs w:val="20"/>
                <w:lang w:val="en-GB" w:eastAsia="en-AU"/>
              </w:rPr>
              <w:t>Comments</w:t>
            </w:r>
          </w:p>
        </w:tc>
      </w:tr>
      <w:tr w:rsidR="005C396C" w:rsidRPr="00F85DCF" w14:paraId="3C953D40" w14:textId="77777777" w:rsidTr="000E0D6C">
        <w:tc>
          <w:tcPr>
            <w:tcW w:w="3545" w:type="dxa"/>
            <w:vAlign w:val="center"/>
          </w:tcPr>
          <w:p w14:paraId="5823E09F" w14:textId="6F6269D0" w:rsidR="005C396C" w:rsidRPr="00F85DCF" w:rsidRDefault="004710D5" w:rsidP="00351AC0">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736D20EE" w14:textId="41720364" w:rsidR="005C396C" w:rsidRPr="00F85DCF" w:rsidRDefault="006B4041" w:rsidP="00351AC0">
            <w:pPr>
              <w:rPr>
                <w:sz w:val="20"/>
                <w:szCs w:val="20"/>
                <w:lang w:val="en-GB" w:eastAsia="en-AU"/>
              </w:rPr>
            </w:pPr>
            <w:r w:rsidRPr="00F85DCF">
              <w:rPr>
                <w:sz w:val="20"/>
                <w:szCs w:val="20"/>
                <w:lang w:val="en-GB" w:eastAsia="en-AU"/>
              </w:rPr>
              <w:t xml:space="preserve">0.01 </w:t>
            </w:r>
            <w:r w:rsidR="005C396C" w:rsidRPr="00F85DCF">
              <w:rPr>
                <w:sz w:val="20"/>
                <w:szCs w:val="20"/>
                <w:lang w:val="en-GB" w:eastAsia="en-AU"/>
              </w:rPr>
              <w:t>mg/kg for grain products and 0.05 mg/kg for horticulture products</w:t>
            </w:r>
          </w:p>
        </w:tc>
      </w:tr>
      <w:tr w:rsidR="005C396C" w:rsidRPr="00F85DCF" w14:paraId="0C67A24F" w14:textId="77777777" w:rsidTr="000E0D6C">
        <w:tc>
          <w:tcPr>
            <w:tcW w:w="3545" w:type="dxa"/>
            <w:vAlign w:val="center"/>
          </w:tcPr>
          <w:p w14:paraId="5DC70C77" w14:textId="77777777" w:rsidR="005C396C" w:rsidRPr="00F85DCF" w:rsidRDefault="005C396C" w:rsidP="00351AC0">
            <w:pPr>
              <w:rPr>
                <w:sz w:val="20"/>
                <w:szCs w:val="20"/>
                <w:lang w:val="en-GB"/>
              </w:rPr>
            </w:pPr>
            <w:r w:rsidRPr="00F85DCF">
              <w:rPr>
                <w:sz w:val="20"/>
                <w:szCs w:val="20"/>
                <w:lang w:val="en-GB"/>
              </w:rPr>
              <w:t>Lowest plant commodity MRL</w:t>
            </w:r>
          </w:p>
        </w:tc>
        <w:tc>
          <w:tcPr>
            <w:tcW w:w="6520" w:type="dxa"/>
            <w:vAlign w:val="center"/>
          </w:tcPr>
          <w:p w14:paraId="38360B98" w14:textId="77777777" w:rsidR="005C396C" w:rsidRPr="00F85DCF" w:rsidRDefault="005C396C" w:rsidP="00351AC0">
            <w:pPr>
              <w:rPr>
                <w:sz w:val="20"/>
                <w:szCs w:val="20"/>
                <w:lang w:val="en-GB"/>
              </w:rPr>
            </w:pPr>
            <w:r w:rsidRPr="00F85DCF">
              <w:rPr>
                <w:sz w:val="20"/>
                <w:szCs w:val="20"/>
                <w:lang w:val="en-GB" w:eastAsia="en-AU"/>
              </w:rPr>
              <w:t>0.1 mg/kg (chick pea, dry)</w:t>
            </w:r>
          </w:p>
        </w:tc>
      </w:tr>
      <w:tr w:rsidR="005C396C" w:rsidRPr="00F85DCF" w14:paraId="764A67F9" w14:textId="77777777" w:rsidTr="000E0D6C">
        <w:tc>
          <w:tcPr>
            <w:tcW w:w="3545" w:type="dxa"/>
            <w:vAlign w:val="center"/>
          </w:tcPr>
          <w:p w14:paraId="36CDB45F" w14:textId="004D27CC" w:rsidR="005C396C" w:rsidRPr="00F85DCF" w:rsidRDefault="00EB72A5" w:rsidP="00351AC0">
            <w:pPr>
              <w:rPr>
                <w:sz w:val="20"/>
                <w:szCs w:val="20"/>
                <w:lang w:val="en-GB"/>
              </w:rPr>
            </w:pPr>
            <w:r w:rsidRPr="00F85DCF">
              <w:rPr>
                <w:sz w:val="20"/>
                <w:szCs w:val="20"/>
                <w:lang w:val="en-GB" w:eastAsia="en-AU"/>
              </w:rPr>
              <w:t xml:space="preserve">Magnitude of existing </w:t>
            </w:r>
            <w:r w:rsidR="00351AC0"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2A9020E3" w14:textId="056FF837" w:rsidR="005C396C" w:rsidRPr="00F85DCF" w:rsidRDefault="005C396C" w:rsidP="00351AC0">
            <w:pPr>
              <w:rPr>
                <w:sz w:val="20"/>
                <w:szCs w:val="20"/>
                <w:lang w:val="en-GB"/>
              </w:rPr>
            </w:pPr>
            <w:r w:rsidRPr="00F85DCF">
              <w:rPr>
                <w:sz w:val="20"/>
                <w:szCs w:val="20"/>
                <w:lang w:val="en-GB"/>
              </w:rPr>
              <w:t>The range of existing MRLs</w:t>
            </w:r>
            <w:r w:rsidR="00E80B6A" w:rsidRPr="00F85DCF">
              <w:rPr>
                <w:sz w:val="20"/>
                <w:szCs w:val="20"/>
                <w:lang w:val="en-GB"/>
              </w:rPr>
              <w:t>,</w:t>
            </w:r>
            <w:r w:rsidRPr="00F85DCF">
              <w:rPr>
                <w:sz w:val="20"/>
                <w:szCs w:val="20"/>
                <w:lang w:val="en-GB"/>
              </w:rPr>
              <w:t xml:space="preserve"> excluding animal </w:t>
            </w:r>
            <w:r w:rsidR="00C2286E">
              <w:rPr>
                <w:sz w:val="20"/>
                <w:szCs w:val="20"/>
                <w:lang w:val="en-GB"/>
              </w:rPr>
              <w:t xml:space="preserve">food </w:t>
            </w:r>
            <w:r w:rsidRPr="00F85DCF">
              <w:rPr>
                <w:sz w:val="20"/>
                <w:szCs w:val="20"/>
                <w:lang w:val="en-GB"/>
              </w:rPr>
              <w:t xml:space="preserve">commodities, </w:t>
            </w:r>
            <w:r w:rsidR="00D7430E" w:rsidRPr="00F85DCF">
              <w:rPr>
                <w:sz w:val="20"/>
                <w:szCs w:val="20"/>
                <w:lang w:val="en-GB"/>
              </w:rPr>
              <w:t>is</w:t>
            </w:r>
            <w:r w:rsidRPr="00F85DCF">
              <w:rPr>
                <w:sz w:val="20"/>
                <w:szCs w:val="20"/>
                <w:lang w:val="en-GB"/>
              </w:rPr>
              <w:t xml:space="preserve"> </w:t>
            </w:r>
            <w:r w:rsidR="005D7ECC" w:rsidRPr="00F85DCF">
              <w:rPr>
                <w:sz w:val="20"/>
                <w:szCs w:val="20"/>
                <w:lang w:val="en-GB" w:eastAsia="en-AU"/>
              </w:rPr>
              <w:t>0.1 </w:t>
            </w:r>
            <w:r w:rsidRPr="00F85DCF">
              <w:rPr>
                <w:sz w:val="20"/>
                <w:szCs w:val="20"/>
                <w:lang w:val="en-GB"/>
              </w:rPr>
              <w:t>mg/kg (</w:t>
            </w:r>
            <w:r w:rsidRPr="00F85DCF">
              <w:rPr>
                <w:sz w:val="20"/>
                <w:szCs w:val="20"/>
                <w:lang w:val="en-GB" w:eastAsia="en-AU"/>
              </w:rPr>
              <w:t>chick pea, dry</w:t>
            </w:r>
            <w:r w:rsidR="005525C9" w:rsidRPr="00F85DCF">
              <w:rPr>
                <w:sz w:val="20"/>
                <w:szCs w:val="20"/>
                <w:lang w:val="en-GB" w:eastAsia="en-AU"/>
              </w:rPr>
              <w:t xml:space="preserve">; </w:t>
            </w:r>
            <w:r w:rsidR="00944DDC" w:rsidRPr="00F85DCF">
              <w:rPr>
                <w:sz w:val="20"/>
                <w:szCs w:val="20"/>
                <w:lang w:val="en-GB"/>
              </w:rPr>
              <w:t>l</w:t>
            </w:r>
            <w:r w:rsidR="005525C9" w:rsidRPr="00F85DCF">
              <w:rPr>
                <w:sz w:val="20"/>
                <w:szCs w:val="20"/>
                <w:lang w:val="en-GB"/>
              </w:rPr>
              <w:t>entil (dry)</w:t>
            </w:r>
            <w:r w:rsidRPr="00F85DCF">
              <w:rPr>
                <w:sz w:val="20"/>
                <w:szCs w:val="20"/>
                <w:lang w:val="en-GB"/>
              </w:rPr>
              <w:t xml:space="preserve">) to </w:t>
            </w:r>
            <w:r w:rsidRPr="00F85DCF">
              <w:rPr>
                <w:sz w:val="20"/>
                <w:szCs w:val="20"/>
                <w:lang w:val="en-GB" w:eastAsia="en-AU"/>
              </w:rPr>
              <w:t xml:space="preserve">30 </w:t>
            </w:r>
            <w:r w:rsidRPr="00F85DCF">
              <w:rPr>
                <w:sz w:val="20"/>
                <w:szCs w:val="20"/>
                <w:lang w:val="en-GB"/>
              </w:rPr>
              <w:t>mg/kg (</w:t>
            </w:r>
            <w:r w:rsidR="00944DDC" w:rsidRPr="00F85DCF">
              <w:rPr>
                <w:sz w:val="20"/>
                <w:szCs w:val="20"/>
                <w:lang w:val="en-GB" w:eastAsia="en-AU"/>
              </w:rPr>
              <w:t>b</w:t>
            </w:r>
            <w:r w:rsidRPr="00F85DCF">
              <w:rPr>
                <w:sz w:val="20"/>
                <w:szCs w:val="20"/>
                <w:lang w:val="en-GB" w:eastAsia="en-AU"/>
              </w:rPr>
              <w:t>erries and other small fruits [except grapes, strawberries and blueberries])</w:t>
            </w:r>
            <w:r w:rsidR="00991BA4" w:rsidRPr="00F85DCF">
              <w:rPr>
                <w:sz w:val="20"/>
                <w:szCs w:val="20"/>
                <w:lang w:val="en-GB"/>
              </w:rPr>
              <w:t>).</w:t>
            </w:r>
          </w:p>
        </w:tc>
      </w:tr>
      <w:tr w:rsidR="005C396C" w:rsidRPr="00F85DCF" w14:paraId="43C346B3" w14:textId="77777777" w:rsidTr="000E0D6C">
        <w:tc>
          <w:tcPr>
            <w:tcW w:w="3545" w:type="dxa"/>
            <w:vAlign w:val="center"/>
          </w:tcPr>
          <w:p w14:paraId="1F83AE8D" w14:textId="2D8249E0" w:rsidR="005C396C" w:rsidRPr="00F85DCF" w:rsidRDefault="005C396C" w:rsidP="00351AC0">
            <w:pPr>
              <w:rPr>
                <w:sz w:val="20"/>
                <w:szCs w:val="20"/>
                <w:lang w:val="en-GB" w:eastAsia="en-AU"/>
              </w:rPr>
            </w:pPr>
            <w:r w:rsidRPr="00F85DCF">
              <w:rPr>
                <w:sz w:val="20"/>
                <w:szCs w:val="20"/>
                <w:lang w:val="en-GB" w:eastAsia="en-AU"/>
              </w:rPr>
              <w:t xml:space="preserve">Lowest </w:t>
            </w:r>
            <w:r w:rsidR="00351AC0" w:rsidRPr="00F85DCF">
              <w:rPr>
                <w:sz w:val="20"/>
                <w:szCs w:val="20"/>
                <w:lang w:val="en-GB" w:eastAsia="en-AU"/>
              </w:rPr>
              <w:t xml:space="preserve">plant commodity </w:t>
            </w:r>
            <w:r w:rsidRPr="00F85DCF">
              <w:rPr>
                <w:sz w:val="20"/>
                <w:szCs w:val="20"/>
                <w:lang w:val="en-GB" w:eastAsia="en-AU"/>
              </w:rPr>
              <w:t>MRL</w:t>
            </w:r>
            <w:r w:rsidRPr="00F85DCF">
              <w:rPr>
                <w:sz w:val="20"/>
                <w:szCs w:val="20"/>
                <w:lang w:val="en-GB"/>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19CC0AB3" w14:textId="77777777" w:rsidR="005C396C" w:rsidRPr="00F85DCF" w:rsidRDefault="005C396C" w:rsidP="00351AC0">
            <w:pPr>
              <w:rPr>
                <w:sz w:val="20"/>
                <w:szCs w:val="20"/>
                <w:lang w:val="en-GB"/>
              </w:rPr>
            </w:pPr>
            <w:r w:rsidRPr="00F85DCF">
              <w:rPr>
                <w:sz w:val="20"/>
                <w:szCs w:val="20"/>
                <w:lang w:val="en-GB" w:eastAsia="en-AU"/>
              </w:rPr>
              <w:t xml:space="preserve">0.1 </w:t>
            </w:r>
            <w:r w:rsidRPr="00F85DCF">
              <w:rPr>
                <w:sz w:val="20"/>
                <w:szCs w:val="20"/>
                <w:lang w:val="en-GB"/>
              </w:rPr>
              <w:t>mg/kg (</w:t>
            </w:r>
            <w:r w:rsidRPr="00F85DCF">
              <w:rPr>
                <w:sz w:val="20"/>
                <w:szCs w:val="20"/>
                <w:lang w:val="en-GB" w:eastAsia="en-AU"/>
              </w:rPr>
              <w:t>chick pea, dry</w:t>
            </w:r>
            <w:r w:rsidRPr="00F85DCF">
              <w:rPr>
                <w:sz w:val="20"/>
                <w:szCs w:val="20"/>
                <w:lang w:val="en-GB"/>
              </w:rPr>
              <w:t>)</w:t>
            </w:r>
          </w:p>
        </w:tc>
      </w:tr>
      <w:tr w:rsidR="005C396C" w:rsidRPr="00F85DCF" w14:paraId="40170FD6" w14:textId="77777777" w:rsidTr="000E0D6C">
        <w:tc>
          <w:tcPr>
            <w:tcW w:w="3545" w:type="dxa"/>
            <w:vAlign w:val="center"/>
          </w:tcPr>
          <w:p w14:paraId="357C1A6B" w14:textId="66E9AEBB" w:rsidR="005C396C" w:rsidRPr="00F85DCF" w:rsidRDefault="005C396C" w:rsidP="00351AC0">
            <w:pPr>
              <w:rPr>
                <w:sz w:val="20"/>
                <w:szCs w:val="20"/>
                <w:lang w:val="en-GB" w:eastAsia="en-AU"/>
              </w:rPr>
            </w:pPr>
            <w:r w:rsidRPr="00F85DCF">
              <w:rPr>
                <w:sz w:val="20"/>
                <w:szCs w:val="20"/>
                <w:lang w:val="en-GB" w:eastAsia="en-AU"/>
              </w:rPr>
              <w:t xml:space="preserve">Most relevant reference point to </w:t>
            </w:r>
            <w:r w:rsidR="005D7ECC"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750E4918" w14:textId="77777777" w:rsidR="005C396C" w:rsidRPr="00F85DCF" w:rsidRDefault="005C396C" w:rsidP="00351AC0">
            <w:pPr>
              <w:rPr>
                <w:sz w:val="20"/>
                <w:szCs w:val="20"/>
                <w:lang w:val="en-GB"/>
              </w:rPr>
            </w:pPr>
            <w:r w:rsidRPr="00F85DCF">
              <w:rPr>
                <w:sz w:val="20"/>
                <w:szCs w:val="20"/>
                <w:lang w:val="en-GB" w:eastAsia="en-AU"/>
              </w:rPr>
              <w:t xml:space="preserve">0.1 </w:t>
            </w:r>
            <w:r w:rsidRPr="00F85DCF">
              <w:rPr>
                <w:sz w:val="20"/>
                <w:szCs w:val="20"/>
                <w:lang w:val="en-GB"/>
              </w:rPr>
              <w:t>mg/kg</w:t>
            </w:r>
          </w:p>
        </w:tc>
      </w:tr>
      <w:tr w:rsidR="005C396C" w:rsidRPr="00F85DCF" w14:paraId="61C0B4FA" w14:textId="77777777" w:rsidTr="000E0D6C">
        <w:tc>
          <w:tcPr>
            <w:tcW w:w="3545" w:type="dxa"/>
            <w:vAlign w:val="center"/>
          </w:tcPr>
          <w:p w14:paraId="4FC750CB" w14:textId="77777777" w:rsidR="005C396C" w:rsidRPr="00F85DCF" w:rsidRDefault="005C396C" w:rsidP="00351AC0">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2C736399" w14:textId="41E186A1" w:rsidR="005C396C" w:rsidRPr="00F85DCF" w:rsidRDefault="005C396C" w:rsidP="00351AC0">
            <w:pPr>
              <w:rPr>
                <w:sz w:val="20"/>
                <w:szCs w:val="20"/>
                <w:lang w:val="en-GB"/>
              </w:rPr>
            </w:pPr>
            <w:r w:rsidRPr="00F85DCF">
              <w:rPr>
                <w:sz w:val="20"/>
                <w:szCs w:val="20"/>
                <w:lang w:val="en-GB" w:eastAsia="en-AU"/>
              </w:rPr>
              <w:t>31</w:t>
            </w:r>
            <w:r w:rsidRPr="00F85DCF">
              <w:rPr>
                <w:sz w:val="20"/>
                <w:szCs w:val="20"/>
                <w:lang w:val="en-GB"/>
              </w:rPr>
              <w:t>% of the ADI</w:t>
            </w:r>
          </w:p>
        </w:tc>
      </w:tr>
      <w:tr w:rsidR="005C396C" w:rsidRPr="00F85DCF" w14:paraId="3729DA29" w14:textId="77777777" w:rsidTr="000E0D6C">
        <w:tc>
          <w:tcPr>
            <w:tcW w:w="3545" w:type="dxa"/>
            <w:vAlign w:val="center"/>
          </w:tcPr>
          <w:p w14:paraId="38EBD734" w14:textId="0579C397" w:rsidR="005C396C" w:rsidRPr="00F85DCF" w:rsidRDefault="005C396C" w:rsidP="001B2A42">
            <w:pPr>
              <w:rPr>
                <w:sz w:val="20"/>
                <w:szCs w:val="20"/>
                <w:lang w:val="en-GB"/>
              </w:rPr>
            </w:pPr>
            <w:r w:rsidRPr="00F85DCF">
              <w:rPr>
                <w:sz w:val="20"/>
                <w:szCs w:val="20"/>
                <w:lang w:val="en-GB"/>
              </w:rPr>
              <w:t xml:space="preserve">Proposed </w:t>
            </w:r>
            <w:r w:rsidR="001B2A42" w:rsidRPr="00F85DCF">
              <w:rPr>
                <w:i/>
                <w:sz w:val="20"/>
                <w:szCs w:val="20"/>
                <w:lang w:val="en-GB"/>
              </w:rPr>
              <w:t>A</w:t>
            </w:r>
            <w:r w:rsidR="00593BC0" w:rsidRPr="00F85DCF">
              <w:rPr>
                <w:i/>
                <w:sz w:val="20"/>
                <w:szCs w:val="20"/>
                <w:lang w:val="en-GB"/>
              </w:rPr>
              <w:t xml:space="preserve">ll other foods except animal </w:t>
            </w:r>
            <w:r w:rsidR="00D767BE">
              <w:rPr>
                <w:i/>
                <w:sz w:val="20"/>
                <w:szCs w:val="20"/>
                <w:lang w:val="en-GB"/>
              </w:rPr>
              <w:t xml:space="preserve">food </w:t>
            </w:r>
            <w:r w:rsidR="00593BC0" w:rsidRPr="00F85DCF">
              <w:rPr>
                <w:i/>
                <w:sz w:val="20"/>
                <w:szCs w:val="20"/>
                <w:lang w:val="en-GB"/>
              </w:rPr>
              <w:t>commodities</w:t>
            </w:r>
            <w:r w:rsidRPr="00F85DCF">
              <w:rPr>
                <w:sz w:val="20"/>
                <w:szCs w:val="20"/>
                <w:lang w:val="en-GB"/>
              </w:rPr>
              <w:t xml:space="preserve"> MRL</w:t>
            </w:r>
          </w:p>
        </w:tc>
        <w:tc>
          <w:tcPr>
            <w:tcW w:w="6520" w:type="dxa"/>
            <w:vAlign w:val="center"/>
          </w:tcPr>
          <w:p w14:paraId="4AABAD72" w14:textId="77777777" w:rsidR="005C396C" w:rsidRPr="00F85DCF" w:rsidRDefault="005C396C" w:rsidP="00351AC0">
            <w:pPr>
              <w:rPr>
                <w:sz w:val="20"/>
                <w:szCs w:val="20"/>
                <w:lang w:val="en-GB"/>
              </w:rPr>
            </w:pPr>
            <w:r w:rsidRPr="00F85DCF">
              <w:rPr>
                <w:sz w:val="20"/>
                <w:szCs w:val="20"/>
                <w:lang w:val="en-GB"/>
              </w:rPr>
              <w:t>0.1 mg/kg</w:t>
            </w:r>
          </w:p>
        </w:tc>
      </w:tr>
      <w:tr w:rsidR="005C396C" w:rsidRPr="00F85DCF" w14:paraId="2B2A9A0A" w14:textId="77777777" w:rsidTr="000E0D6C">
        <w:tc>
          <w:tcPr>
            <w:tcW w:w="3545" w:type="dxa"/>
            <w:vAlign w:val="center"/>
          </w:tcPr>
          <w:p w14:paraId="624C1A5C" w14:textId="342B3BFD" w:rsidR="005C396C" w:rsidRPr="00F85DCF" w:rsidRDefault="005C396C" w:rsidP="001B2A42">
            <w:pPr>
              <w:rPr>
                <w:sz w:val="20"/>
                <w:szCs w:val="20"/>
                <w:lang w:val="en-GB"/>
              </w:rPr>
            </w:pPr>
            <w:r w:rsidRPr="00F85DCF">
              <w:rPr>
                <w:sz w:val="20"/>
                <w:szCs w:val="20"/>
                <w:lang w:val="en-GB" w:eastAsia="en-AU"/>
              </w:rPr>
              <w:t xml:space="preserve">NEDI including </w:t>
            </w:r>
            <w:r w:rsidR="001B2A42" w:rsidRPr="00F85DCF">
              <w:rPr>
                <w:i/>
                <w:sz w:val="20"/>
                <w:szCs w:val="20"/>
                <w:lang w:val="en-GB" w:eastAsia="en-AU"/>
              </w:rPr>
              <w:t>A</w:t>
            </w:r>
            <w:r w:rsidR="00593BC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1C9C16FD" w14:textId="13ED1D3A" w:rsidR="005C396C" w:rsidRPr="00F85DCF" w:rsidRDefault="00263633" w:rsidP="00351AC0">
            <w:pPr>
              <w:rPr>
                <w:sz w:val="20"/>
                <w:szCs w:val="20"/>
                <w:lang w:val="en-GB"/>
              </w:rPr>
            </w:pPr>
            <w:r w:rsidRPr="00F85DCF">
              <w:rPr>
                <w:sz w:val="20"/>
                <w:szCs w:val="20"/>
                <w:lang w:val="en-GB" w:eastAsia="en-AU"/>
              </w:rPr>
              <w:t>34</w:t>
            </w:r>
            <w:r w:rsidR="005C396C" w:rsidRPr="00F85DCF">
              <w:rPr>
                <w:sz w:val="20"/>
                <w:szCs w:val="20"/>
                <w:lang w:val="en-GB" w:eastAsia="en-AU"/>
              </w:rPr>
              <w:t xml:space="preserve">% of the ADI </w:t>
            </w:r>
          </w:p>
        </w:tc>
      </w:tr>
      <w:tr w:rsidR="005C396C" w:rsidRPr="00F85DCF" w14:paraId="72A2F8E2" w14:textId="77777777" w:rsidTr="000E0D6C">
        <w:tc>
          <w:tcPr>
            <w:tcW w:w="3545" w:type="dxa"/>
            <w:vAlign w:val="center"/>
          </w:tcPr>
          <w:p w14:paraId="1C6438F8" w14:textId="3FFB2145" w:rsidR="005C396C" w:rsidRPr="00F85DCF" w:rsidRDefault="00E46481" w:rsidP="001B2A42">
            <w:pPr>
              <w:rPr>
                <w:sz w:val="20"/>
                <w:szCs w:val="20"/>
                <w:lang w:val="en-GB" w:eastAsia="en-AU"/>
              </w:rPr>
            </w:pPr>
            <w:r w:rsidRPr="00F85DCF">
              <w:rPr>
                <w:sz w:val="20"/>
                <w:szCs w:val="20"/>
                <w:lang w:val="en-GB" w:eastAsia="en-AU"/>
              </w:rPr>
              <w:t xml:space="preserve">Percentage contribution of </w:t>
            </w:r>
            <w:r w:rsidR="001B2A42" w:rsidRPr="00F85DCF">
              <w:rPr>
                <w:i/>
                <w:sz w:val="20"/>
                <w:szCs w:val="20"/>
                <w:lang w:val="en-GB" w:eastAsia="en-AU"/>
              </w:rPr>
              <w:t>A</w:t>
            </w:r>
            <w:r w:rsidR="00593BC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5D7ECC"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4BEA3292" w14:textId="0EEFCF74" w:rsidR="005C396C" w:rsidRPr="00F85DCF" w:rsidRDefault="005C396C" w:rsidP="008C02AA">
            <w:pPr>
              <w:rPr>
                <w:sz w:val="20"/>
                <w:szCs w:val="20"/>
                <w:lang w:val="en-GB" w:eastAsia="en-AU"/>
              </w:rPr>
            </w:pPr>
            <w:r w:rsidRPr="00F85DCF">
              <w:rPr>
                <w:sz w:val="20"/>
                <w:szCs w:val="20"/>
                <w:lang w:val="en-GB" w:eastAsia="en-AU"/>
              </w:rPr>
              <w:t xml:space="preserve">An </w:t>
            </w:r>
            <w:r w:rsidR="008C02AA" w:rsidRPr="00F85DCF">
              <w:rPr>
                <w:i/>
                <w:sz w:val="20"/>
                <w:szCs w:val="20"/>
                <w:lang w:val="en-GB" w:eastAsia="en-AU"/>
              </w:rPr>
              <w:t>A</w:t>
            </w:r>
            <w:r w:rsidR="00593BC0" w:rsidRPr="00F85DCF">
              <w:rPr>
                <w:i/>
                <w:sz w:val="20"/>
                <w:szCs w:val="20"/>
                <w:lang w:val="en-GB" w:eastAsia="en-AU"/>
              </w:rPr>
              <w:t xml:space="preserve">ll other foods except animal </w:t>
            </w:r>
            <w:r w:rsidR="00D767BE">
              <w:rPr>
                <w:i/>
                <w:sz w:val="20"/>
                <w:szCs w:val="20"/>
                <w:lang w:val="en-GB" w:eastAsia="en-AU"/>
              </w:rPr>
              <w:t xml:space="preserve">food </w:t>
            </w:r>
            <w:r w:rsidR="00593BC0" w:rsidRPr="00F85DCF">
              <w:rPr>
                <w:i/>
                <w:sz w:val="20"/>
                <w:szCs w:val="20"/>
                <w:lang w:val="en-GB" w:eastAsia="en-AU"/>
              </w:rPr>
              <w:t>commodities</w:t>
            </w:r>
            <w:r w:rsidRPr="00F85DCF">
              <w:rPr>
                <w:sz w:val="20"/>
                <w:szCs w:val="20"/>
                <w:lang w:val="en-GB" w:eastAsia="en-AU"/>
              </w:rPr>
              <w:t xml:space="preserve"> MRL of 0.2 mg/kg could have been used as this represent</w:t>
            </w:r>
            <w:r w:rsidR="00D7430E" w:rsidRPr="00F85DCF">
              <w:rPr>
                <w:sz w:val="20"/>
                <w:szCs w:val="20"/>
                <w:lang w:val="en-GB" w:eastAsia="en-AU"/>
              </w:rPr>
              <w:t>s</w:t>
            </w:r>
            <w:r w:rsidRPr="00F85DCF">
              <w:rPr>
                <w:sz w:val="20"/>
                <w:szCs w:val="20"/>
                <w:lang w:val="en-GB" w:eastAsia="en-AU"/>
              </w:rPr>
              <w:t xml:space="preserve"> 22% </w:t>
            </w:r>
            <w:r w:rsidR="005D7ECC" w:rsidRPr="00F85DCF">
              <w:rPr>
                <w:sz w:val="20"/>
                <w:szCs w:val="20"/>
                <w:lang w:val="en-GB" w:eastAsia="en-AU"/>
              </w:rPr>
              <w:t>contribution to</w:t>
            </w:r>
            <w:r w:rsidRPr="00F85DCF">
              <w:rPr>
                <w:sz w:val="20"/>
                <w:szCs w:val="20"/>
                <w:lang w:val="en-GB" w:eastAsia="en-AU"/>
              </w:rPr>
              <w:t xml:space="preserve"> total dietary exposure. However, this level may encourage off-label </w:t>
            </w:r>
            <w:r w:rsidR="0093587D" w:rsidRPr="00F85DCF">
              <w:rPr>
                <w:sz w:val="20"/>
                <w:szCs w:val="20"/>
                <w:lang w:val="en-GB" w:eastAsia="en-AU"/>
              </w:rPr>
              <w:t>use and therefore an MRL of 0.1 </w:t>
            </w:r>
            <w:r w:rsidRPr="00F85DCF">
              <w:rPr>
                <w:sz w:val="20"/>
                <w:szCs w:val="20"/>
                <w:lang w:val="en-GB" w:eastAsia="en-AU"/>
              </w:rPr>
              <w:t xml:space="preserve">mg/kg is proposed. An </w:t>
            </w:r>
            <w:r w:rsidR="001B2A42" w:rsidRPr="00F85DCF">
              <w:rPr>
                <w:i/>
                <w:sz w:val="20"/>
                <w:szCs w:val="20"/>
                <w:lang w:val="en-GB" w:eastAsia="en-AU"/>
              </w:rPr>
              <w:t>A</w:t>
            </w:r>
            <w:r w:rsidR="00593BC0" w:rsidRPr="00F85DCF">
              <w:rPr>
                <w:i/>
                <w:sz w:val="20"/>
                <w:szCs w:val="20"/>
                <w:lang w:val="en-GB" w:eastAsia="en-AU"/>
              </w:rPr>
              <w:t xml:space="preserve">ll other foods </w:t>
            </w:r>
            <w:r w:rsidR="0003601D" w:rsidRPr="00F85DCF">
              <w:rPr>
                <w:i/>
                <w:sz w:val="20"/>
                <w:szCs w:val="20"/>
                <w:lang w:val="en-GB" w:eastAsia="en-AU"/>
              </w:rPr>
              <w:t xml:space="preserve">except animal </w:t>
            </w:r>
            <w:r w:rsidR="00D767BE">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w:t>
            </w:r>
            <w:r w:rsidR="0093587D" w:rsidRPr="00F85DCF">
              <w:rPr>
                <w:sz w:val="20"/>
                <w:szCs w:val="20"/>
                <w:lang w:val="en-GB" w:eastAsia="en-AU"/>
              </w:rPr>
              <w:t xml:space="preserve">represents </w:t>
            </w:r>
            <w:r w:rsidR="005D7ECC" w:rsidRPr="00F85DCF">
              <w:rPr>
                <w:sz w:val="20"/>
                <w:szCs w:val="20"/>
                <w:lang w:val="en-GB" w:eastAsia="en-AU"/>
              </w:rPr>
              <w:t xml:space="preserve">a contribution of </w:t>
            </w:r>
            <w:r w:rsidRPr="00F85DCF">
              <w:rPr>
                <w:sz w:val="20"/>
                <w:szCs w:val="20"/>
                <w:lang w:val="en-GB" w:eastAsia="en-AU"/>
              </w:rPr>
              <w:t xml:space="preserve">13% </w:t>
            </w:r>
            <w:r w:rsidR="005D7ECC" w:rsidRPr="00F85DCF">
              <w:rPr>
                <w:sz w:val="20"/>
                <w:szCs w:val="20"/>
                <w:lang w:val="en-GB" w:eastAsia="en-AU"/>
              </w:rPr>
              <w:t>to</w:t>
            </w:r>
            <w:r w:rsidRPr="00F85DCF">
              <w:rPr>
                <w:sz w:val="20"/>
                <w:szCs w:val="20"/>
                <w:lang w:val="en-GB" w:eastAsia="en-AU"/>
              </w:rPr>
              <w:t xml:space="preserve"> total dietary exposure and is considered acceptable. </w:t>
            </w:r>
          </w:p>
        </w:tc>
      </w:tr>
      <w:tr w:rsidR="005D7ECC" w:rsidRPr="00F85DCF" w14:paraId="0F970981" w14:textId="77777777" w:rsidTr="000E0D6C">
        <w:tc>
          <w:tcPr>
            <w:tcW w:w="3545" w:type="dxa"/>
            <w:vMerge w:val="restart"/>
            <w:vAlign w:val="center"/>
          </w:tcPr>
          <w:p w14:paraId="7BE20E38" w14:textId="77777777" w:rsidR="005D7ECC" w:rsidRPr="00F85DCF" w:rsidRDefault="005D7ECC" w:rsidP="00351AC0">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p w14:paraId="1DD61104" w14:textId="4616494B" w:rsidR="005D7ECC" w:rsidRPr="00F85DCF" w:rsidRDefault="005D7ECC" w:rsidP="00351AC0">
            <w:pPr>
              <w:rPr>
                <w:sz w:val="20"/>
                <w:szCs w:val="20"/>
                <w:lang w:val="en-GB" w:eastAsia="en-AU"/>
              </w:rPr>
            </w:pPr>
          </w:p>
        </w:tc>
        <w:tc>
          <w:tcPr>
            <w:tcW w:w="6520" w:type="dxa"/>
            <w:vAlign w:val="center"/>
          </w:tcPr>
          <w:p w14:paraId="38577E5A" w14:textId="23BA910D" w:rsidR="005D7ECC" w:rsidRPr="00F85DCF" w:rsidRDefault="005D7ECC" w:rsidP="00351AC0">
            <w:pPr>
              <w:rPr>
                <w:sz w:val="20"/>
                <w:szCs w:val="20"/>
                <w:lang w:val="en-GB"/>
              </w:rPr>
            </w:pPr>
            <w:r w:rsidRPr="00F85DCF">
              <w:rPr>
                <w:sz w:val="20"/>
                <w:szCs w:val="20"/>
                <w:lang w:val="en-GB" w:eastAsia="en-AU"/>
              </w:rPr>
              <w:t xml:space="preserve">Children 2-6 years of age (worse case - pineapples), 10% of the ARfD. </w:t>
            </w:r>
          </w:p>
        </w:tc>
      </w:tr>
      <w:tr w:rsidR="005D7ECC" w:rsidRPr="00F85DCF" w14:paraId="2E9DB0C4" w14:textId="77777777" w:rsidTr="000E0D6C">
        <w:tc>
          <w:tcPr>
            <w:tcW w:w="3545" w:type="dxa"/>
            <w:vMerge/>
            <w:vAlign w:val="center"/>
          </w:tcPr>
          <w:p w14:paraId="7CFA83DF" w14:textId="73C2626F" w:rsidR="005D7ECC" w:rsidRPr="00F85DCF" w:rsidRDefault="005D7ECC" w:rsidP="00351AC0">
            <w:pPr>
              <w:rPr>
                <w:sz w:val="20"/>
                <w:szCs w:val="20"/>
                <w:lang w:val="en-GB" w:eastAsia="en-AU"/>
              </w:rPr>
            </w:pPr>
          </w:p>
        </w:tc>
        <w:tc>
          <w:tcPr>
            <w:tcW w:w="6520" w:type="dxa"/>
            <w:vAlign w:val="center"/>
          </w:tcPr>
          <w:p w14:paraId="31A1FE18" w14:textId="3209C42A" w:rsidR="005D7ECC" w:rsidRPr="00F85DCF" w:rsidRDefault="005D7ECC" w:rsidP="00351AC0">
            <w:pPr>
              <w:rPr>
                <w:sz w:val="20"/>
                <w:szCs w:val="20"/>
                <w:lang w:val="en-GB"/>
              </w:rPr>
            </w:pPr>
            <w:r w:rsidRPr="00F85DCF">
              <w:rPr>
                <w:sz w:val="20"/>
                <w:szCs w:val="20"/>
                <w:lang w:val="en-GB" w:eastAsia="en-AU"/>
              </w:rPr>
              <w:t>Population aged 2 years and above (worse case –</w:t>
            </w:r>
            <w:r w:rsidR="00944DDC" w:rsidRPr="00F85DCF">
              <w:rPr>
                <w:sz w:val="20"/>
                <w:szCs w:val="20"/>
                <w:lang w:val="en-GB" w:eastAsia="en-AU"/>
              </w:rPr>
              <w:t xml:space="preserve"> </w:t>
            </w:r>
            <w:r w:rsidRPr="00F85DCF">
              <w:rPr>
                <w:sz w:val="20"/>
                <w:szCs w:val="20"/>
                <w:lang w:val="en-GB" w:eastAsia="en-AU"/>
              </w:rPr>
              <w:t>watermelon), 6% of the ARfD.</w:t>
            </w:r>
          </w:p>
        </w:tc>
      </w:tr>
      <w:tr w:rsidR="005D7ECC" w:rsidRPr="00F85DCF" w14:paraId="78390213" w14:textId="77777777" w:rsidTr="000E0D6C">
        <w:tc>
          <w:tcPr>
            <w:tcW w:w="3545" w:type="dxa"/>
            <w:vAlign w:val="center"/>
          </w:tcPr>
          <w:p w14:paraId="7132DAE1" w14:textId="77777777" w:rsidR="005D7ECC" w:rsidRPr="00F85DCF" w:rsidRDefault="005D7ECC" w:rsidP="00351AC0">
            <w:pPr>
              <w:rPr>
                <w:sz w:val="20"/>
                <w:szCs w:val="20"/>
                <w:lang w:val="en-GB" w:eastAsia="en-AU"/>
              </w:rPr>
            </w:pPr>
            <w:r w:rsidRPr="00F85DCF">
              <w:rPr>
                <w:sz w:val="20"/>
                <w:szCs w:val="20"/>
                <w:lang w:val="en-GB" w:eastAsia="en-AU"/>
              </w:rPr>
              <w:t>Conclusion</w:t>
            </w:r>
          </w:p>
        </w:tc>
        <w:tc>
          <w:tcPr>
            <w:tcW w:w="6520" w:type="dxa"/>
            <w:vAlign w:val="center"/>
          </w:tcPr>
          <w:p w14:paraId="4703CF6A" w14:textId="1D83B61E" w:rsidR="005D7ECC" w:rsidRPr="00F85DCF" w:rsidRDefault="005D7ECC" w:rsidP="001B2A42">
            <w:pPr>
              <w:rPr>
                <w:sz w:val="20"/>
                <w:szCs w:val="20"/>
                <w:lang w:val="en-GB" w:eastAsia="en-AU"/>
              </w:rPr>
            </w:pPr>
            <w:r w:rsidRPr="00F85DCF">
              <w:rPr>
                <w:sz w:val="20"/>
                <w:szCs w:val="20"/>
                <w:lang w:val="en-GB"/>
              </w:rPr>
              <w:t xml:space="preserve">After considering the principles set out above an </w:t>
            </w:r>
            <w:r w:rsidR="001B2A42" w:rsidRPr="00F85DCF">
              <w:rPr>
                <w:b/>
                <w:i/>
                <w:sz w:val="20"/>
                <w:szCs w:val="20"/>
                <w:lang w:val="en-GB"/>
              </w:rPr>
              <w:t>A</w:t>
            </w:r>
            <w:r w:rsidR="00593BC0" w:rsidRPr="00F85DCF">
              <w:rPr>
                <w:b/>
                <w:i/>
                <w:sz w:val="20"/>
                <w:szCs w:val="20"/>
                <w:lang w:val="en-GB"/>
              </w:rPr>
              <w:t xml:space="preserve">ll other foods </w:t>
            </w:r>
            <w:r w:rsidR="0003601D" w:rsidRPr="00F85DCF">
              <w:rPr>
                <w:b/>
                <w:i/>
                <w:sz w:val="20"/>
                <w:szCs w:val="20"/>
                <w:lang w:val="en-GB"/>
              </w:rPr>
              <w:t xml:space="preserve">except animal </w:t>
            </w:r>
            <w:r w:rsidR="00D767BE">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0.1 </w:t>
            </w:r>
            <w:r w:rsidRPr="00F85DCF">
              <w:rPr>
                <w:b/>
                <w:sz w:val="20"/>
                <w:szCs w:val="20"/>
                <w:lang w:val="en-GB"/>
              </w:rPr>
              <w:t>mg/kg</w:t>
            </w:r>
            <w:r w:rsidRPr="00F85DCF">
              <w:rPr>
                <w:sz w:val="20"/>
                <w:szCs w:val="20"/>
                <w:lang w:val="en-GB"/>
              </w:rPr>
              <w:t xml:space="preserve"> for </w:t>
            </w:r>
            <w:r w:rsidRPr="00F85DCF">
              <w:rPr>
                <w:sz w:val="20"/>
                <w:szCs w:val="20"/>
                <w:lang w:val="en-GB" w:eastAsia="en-AU"/>
              </w:rPr>
              <w:t>Captan</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0D1B1015" w14:textId="3D4815DB" w:rsidR="00CA752F" w:rsidRPr="00F85DCF" w:rsidRDefault="00CA752F">
      <w:pPr>
        <w:rPr>
          <w:sz w:val="20"/>
          <w:szCs w:val="20"/>
          <w:lang w:val="en-GB"/>
        </w:rPr>
      </w:pPr>
      <w:r w:rsidRPr="00F85DCF">
        <w:rPr>
          <w:sz w:val="20"/>
          <w:szCs w:val="20"/>
          <w:lang w:val="en-GB"/>
        </w:rPr>
        <w:br w:type="page"/>
      </w:r>
    </w:p>
    <w:p w14:paraId="330AF28D" w14:textId="77777777" w:rsidR="00F6750E" w:rsidRPr="00F85DCF" w:rsidRDefault="00F6750E" w:rsidP="000E0D6C">
      <w:pPr>
        <w:pStyle w:val="Heading3"/>
      </w:pPr>
      <w:r w:rsidRPr="00F85DCF">
        <w:lastRenderedPageBreak/>
        <w:t>Cyfluthrin</w:t>
      </w:r>
    </w:p>
    <w:tbl>
      <w:tblPr>
        <w:tblStyle w:val="TableGrid"/>
        <w:tblW w:w="9072" w:type="dxa"/>
        <w:tblLook w:val="04A0" w:firstRow="1" w:lastRow="0" w:firstColumn="1" w:lastColumn="0" w:noHBand="0" w:noVBand="1"/>
      </w:tblPr>
      <w:tblGrid>
        <w:gridCol w:w="3276"/>
        <w:gridCol w:w="5796"/>
      </w:tblGrid>
      <w:tr w:rsidR="00B421E2" w:rsidRPr="00F85DCF" w14:paraId="6B15A99E" w14:textId="77777777" w:rsidTr="000E0D6C">
        <w:tc>
          <w:tcPr>
            <w:tcW w:w="3545" w:type="dxa"/>
            <w:vAlign w:val="center"/>
          </w:tcPr>
          <w:p w14:paraId="38C975C7" w14:textId="6E26ADEF" w:rsidR="00B421E2" w:rsidRPr="00F85DCF" w:rsidRDefault="006D5974" w:rsidP="00351AC0">
            <w:pPr>
              <w:rPr>
                <w:b/>
                <w:sz w:val="20"/>
                <w:szCs w:val="20"/>
                <w:lang w:val="en-GB"/>
              </w:rPr>
            </w:pPr>
            <w:r w:rsidRPr="006D5974">
              <w:rPr>
                <w:b/>
                <w:sz w:val="20"/>
                <w:szCs w:val="20"/>
                <w:lang w:val="en-GB"/>
              </w:rPr>
              <w:t>Considerations</w:t>
            </w:r>
          </w:p>
        </w:tc>
        <w:tc>
          <w:tcPr>
            <w:tcW w:w="6520" w:type="dxa"/>
            <w:vAlign w:val="center"/>
          </w:tcPr>
          <w:p w14:paraId="23B82950" w14:textId="77777777" w:rsidR="00B421E2" w:rsidRPr="00F85DCF" w:rsidRDefault="00B421E2" w:rsidP="00351AC0">
            <w:pPr>
              <w:rPr>
                <w:b/>
                <w:sz w:val="20"/>
                <w:szCs w:val="20"/>
                <w:lang w:val="en-GB" w:eastAsia="en-AU"/>
              </w:rPr>
            </w:pPr>
            <w:r w:rsidRPr="00F85DCF">
              <w:rPr>
                <w:b/>
                <w:sz w:val="20"/>
                <w:szCs w:val="20"/>
                <w:lang w:val="en-GB" w:eastAsia="en-AU"/>
              </w:rPr>
              <w:t>Comments</w:t>
            </w:r>
          </w:p>
        </w:tc>
      </w:tr>
      <w:tr w:rsidR="00B421E2" w:rsidRPr="00F85DCF" w14:paraId="770EEDA2" w14:textId="77777777" w:rsidTr="000E0D6C">
        <w:tc>
          <w:tcPr>
            <w:tcW w:w="3545" w:type="dxa"/>
            <w:vAlign w:val="center"/>
          </w:tcPr>
          <w:p w14:paraId="3918FE25" w14:textId="7A58E3C6" w:rsidR="00B421E2" w:rsidRPr="00F85DCF" w:rsidRDefault="004710D5" w:rsidP="00351AC0">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0EDAB2ED" w14:textId="77777777" w:rsidR="00B421E2" w:rsidRPr="00F85DCF" w:rsidRDefault="00B421E2" w:rsidP="00351AC0">
            <w:pPr>
              <w:rPr>
                <w:sz w:val="20"/>
                <w:szCs w:val="20"/>
                <w:lang w:val="en-GB" w:eastAsia="en-AU"/>
              </w:rPr>
            </w:pPr>
            <w:r w:rsidRPr="00F85DCF">
              <w:rPr>
                <w:sz w:val="20"/>
                <w:szCs w:val="20"/>
                <w:lang w:val="en-GB" w:eastAsia="en-AU"/>
              </w:rPr>
              <w:t>0.01 mg/kg</w:t>
            </w:r>
          </w:p>
        </w:tc>
      </w:tr>
      <w:tr w:rsidR="00B421E2" w:rsidRPr="00F85DCF" w14:paraId="460C4D75" w14:textId="77777777" w:rsidTr="000E0D6C">
        <w:tc>
          <w:tcPr>
            <w:tcW w:w="3545" w:type="dxa"/>
            <w:vAlign w:val="center"/>
          </w:tcPr>
          <w:p w14:paraId="15CC38EB" w14:textId="77777777" w:rsidR="00B421E2" w:rsidRPr="00F85DCF" w:rsidRDefault="00B421E2" w:rsidP="00351AC0">
            <w:pPr>
              <w:rPr>
                <w:sz w:val="20"/>
                <w:szCs w:val="20"/>
                <w:lang w:val="en-GB"/>
              </w:rPr>
            </w:pPr>
            <w:r w:rsidRPr="00F85DCF">
              <w:rPr>
                <w:sz w:val="20"/>
                <w:szCs w:val="20"/>
                <w:lang w:val="en-GB"/>
              </w:rPr>
              <w:t>Lowest plant commodity MRL</w:t>
            </w:r>
          </w:p>
        </w:tc>
        <w:tc>
          <w:tcPr>
            <w:tcW w:w="6520" w:type="dxa"/>
            <w:vAlign w:val="center"/>
          </w:tcPr>
          <w:p w14:paraId="56B05727" w14:textId="7827882F" w:rsidR="00B421E2" w:rsidRPr="00F85DCF" w:rsidRDefault="00B421E2" w:rsidP="00351AC0">
            <w:pPr>
              <w:rPr>
                <w:sz w:val="20"/>
                <w:szCs w:val="20"/>
                <w:lang w:val="en-GB"/>
              </w:rPr>
            </w:pPr>
            <w:r w:rsidRPr="00F85DCF">
              <w:rPr>
                <w:sz w:val="20"/>
                <w:szCs w:val="20"/>
                <w:lang w:val="en-GB" w:eastAsia="en-AU"/>
              </w:rPr>
              <w:t>0.01 mg/kg (</w:t>
            </w:r>
            <w:r w:rsidR="00944DDC" w:rsidRPr="00F85DCF">
              <w:rPr>
                <w:sz w:val="20"/>
                <w:szCs w:val="20"/>
                <w:lang w:val="en-GB" w:eastAsia="en-AU"/>
              </w:rPr>
              <w:t>c</w:t>
            </w:r>
            <w:r w:rsidRPr="00F85DCF">
              <w:rPr>
                <w:sz w:val="20"/>
                <w:szCs w:val="20"/>
                <w:lang w:val="en-GB" w:eastAsia="en-AU"/>
              </w:rPr>
              <w:t>otton seed)</w:t>
            </w:r>
          </w:p>
        </w:tc>
      </w:tr>
      <w:tr w:rsidR="00B421E2" w:rsidRPr="00F85DCF" w14:paraId="4B0E495F" w14:textId="77777777" w:rsidTr="000E0D6C">
        <w:tc>
          <w:tcPr>
            <w:tcW w:w="3545" w:type="dxa"/>
            <w:vAlign w:val="center"/>
          </w:tcPr>
          <w:p w14:paraId="7E7BF8C9" w14:textId="181645DC" w:rsidR="00B421E2" w:rsidRPr="00F85DCF" w:rsidRDefault="00EB72A5" w:rsidP="00351AC0">
            <w:pPr>
              <w:rPr>
                <w:sz w:val="20"/>
                <w:szCs w:val="20"/>
                <w:lang w:val="en-GB"/>
              </w:rPr>
            </w:pPr>
            <w:r w:rsidRPr="00F85DCF">
              <w:rPr>
                <w:sz w:val="20"/>
                <w:szCs w:val="20"/>
                <w:lang w:val="en-GB" w:eastAsia="en-AU"/>
              </w:rPr>
              <w:t>Magnitude of existing</w:t>
            </w:r>
            <w:r w:rsidR="00351AC0" w:rsidRPr="00F85DCF">
              <w:rPr>
                <w:lang w:val="en-GB"/>
              </w:rPr>
              <w:t xml:space="preserve"> </w:t>
            </w:r>
            <w:r w:rsidR="00351AC0" w:rsidRPr="00F85DCF">
              <w:rPr>
                <w:sz w:val="20"/>
                <w:szCs w:val="20"/>
                <w:lang w:val="en-GB" w:eastAsia="en-AU"/>
              </w:rPr>
              <w:t>plant commodity</w:t>
            </w:r>
            <w:r w:rsidRPr="00F85DCF">
              <w:rPr>
                <w:sz w:val="20"/>
                <w:szCs w:val="20"/>
                <w:lang w:val="en-GB" w:eastAsia="en-AU"/>
              </w:rPr>
              <w:t xml:space="preserve"> MRLs</w:t>
            </w:r>
          </w:p>
        </w:tc>
        <w:tc>
          <w:tcPr>
            <w:tcW w:w="6520" w:type="dxa"/>
            <w:vAlign w:val="center"/>
          </w:tcPr>
          <w:p w14:paraId="3C60078C" w14:textId="12DF5F8F" w:rsidR="00B421E2" w:rsidRPr="00F85DCF" w:rsidRDefault="00B421E2" w:rsidP="00351AC0">
            <w:pPr>
              <w:rPr>
                <w:sz w:val="20"/>
                <w:szCs w:val="20"/>
                <w:lang w:val="en-GB"/>
              </w:rPr>
            </w:pPr>
            <w:r w:rsidRPr="00F85DCF">
              <w:rPr>
                <w:sz w:val="20"/>
                <w:szCs w:val="20"/>
                <w:lang w:val="en-GB"/>
              </w:rPr>
              <w:t>The range of existing MRLs</w:t>
            </w:r>
            <w:r w:rsidR="00D5197E" w:rsidRPr="00F85DCF">
              <w:rPr>
                <w:sz w:val="20"/>
                <w:szCs w:val="20"/>
                <w:lang w:val="en-GB"/>
              </w:rPr>
              <w:t xml:space="preserve"> </w:t>
            </w:r>
            <w:r w:rsidR="00207D70" w:rsidRPr="00F85DCF">
              <w:rPr>
                <w:sz w:val="20"/>
                <w:szCs w:val="20"/>
                <w:lang w:val="en-GB"/>
              </w:rPr>
              <w:t xml:space="preserve">is </w:t>
            </w:r>
            <w:r w:rsidRPr="00F85DCF">
              <w:rPr>
                <w:sz w:val="20"/>
                <w:szCs w:val="20"/>
                <w:lang w:val="en-GB" w:eastAsia="en-AU"/>
              </w:rPr>
              <w:t xml:space="preserve">0.01 </w:t>
            </w:r>
            <w:r w:rsidRPr="00F85DCF">
              <w:rPr>
                <w:sz w:val="20"/>
                <w:szCs w:val="20"/>
                <w:lang w:val="en-GB"/>
              </w:rPr>
              <w:t>mg/kg (</w:t>
            </w:r>
            <w:r w:rsidR="00944DDC" w:rsidRPr="00F85DCF">
              <w:rPr>
                <w:sz w:val="20"/>
                <w:szCs w:val="20"/>
                <w:lang w:val="en-GB" w:eastAsia="en-AU"/>
              </w:rPr>
              <w:t>c</w:t>
            </w:r>
            <w:r w:rsidRPr="00F85DCF">
              <w:rPr>
                <w:sz w:val="20"/>
                <w:szCs w:val="20"/>
                <w:lang w:val="en-GB" w:eastAsia="en-AU"/>
              </w:rPr>
              <w:t>otton seed</w:t>
            </w:r>
            <w:r w:rsidRPr="00F85DCF">
              <w:rPr>
                <w:sz w:val="20"/>
                <w:szCs w:val="20"/>
                <w:lang w:val="en-GB"/>
              </w:rPr>
              <w:t>) to 5 mg/kg (</w:t>
            </w:r>
            <w:r w:rsidR="00944DDC" w:rsidRPr="00F85DCF">
              <w:rPr>
                <w:sz w:val="20"/>
                <w:szCs w:val="20"/>
                <w:lang w:val="en-GB" w:eastAsia="en-AU"/>
              </w:rPr>
              <w:t>w</w:t>
            </w:r>
            <w:r w:rsidRPr="00F85DCF">
              <w:rPr>
                <w:sz w:val="20"/>
                <w:szCs w:val="20"/>
                <w:lang w:val="en-GB" w:eastAsia="en-AU"/>
              </w:rPr>
              <w:t>heat bran, unprocessed</w:t>
            </w:r>
            <w:r w:rsidR="00D5197E" w:rsidRPr="00F85DCF">
              <w:rPr>
                <w:sz w:val="20"/>
                <w:szCs w:val="20"/>
                <w:lang w:val="en-GB"/>
              </w:rPr>
              <w:t>).</w:t>
            </w:r>
          </w:p>
        </w:tc>
      </w:tr>
      <w:tr w:rsidR="00B421E2" w:rsidRPr="00F85DCF" w14:paraId="75EC95BE" w14:textId="77777777" w:rsidTr="000E0D6C">
        <w:tc>
          <w:tcPr>
            <w:tcW w:w="3545" w:type="dxa"/>
            <w:vAlign w:val="center"/>
          </w:tcPr>
          <w:p w14:paraId="7E218E3C" w14:textId="3F27151F" w:rsidR="00B421E2" w:rsidRPr="00F85DCF" w:rsidRDefault="00B421E2" w:rsidP="00351AC0">
            <w:pPr>
              <w:rPr>
                <w:sz w:val="20"/>
                <w:szCs w:val="20"/>
                <w:lang w:val="en-GB" w:eastAsia="en-AU"/>
              </w:rPr>
            </w:pPr>
            <w:r w:rsidRPr="00F85DCF">
              <w:rPr>
                <w:sz w:val="20"/>
                <w:szCs w:val="20"/>
                <w:lang w:val="en-GB" w:eastAsia="en-AU"/>
              </w:rPr>
              <w:t xml:space="preserve">Lowest </w:t>
            </w:r>
            <w:r w:rsidR="000F1D24"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685A93FF" w14:textId="0C9E27FC" w:rsidR="00B421E2" w:rsidRPr="00F85DCF" w:rsidRDefault="00B421E2" w:rsidP="00351AC0">
            <w:pPr>
              <w:rPr>
                <w:sz w:val="20"/>
                <w:szCs w:val="20"/>
                <w:lang w:val="en-GB"/>
              </w:rPr>
            </w:pPr>
            <w:r w:rsidRPr="00F85DCF">
              <w:rPr>
                <w:sz w:val="20"/>
                <w:szCs w:val="20"/>
                <w:lang w:val="en-GB" w:eastAsia="en-AU"/>
              </w:rPr>
              <w:t xml:space="preserve">0.01 </w:t>
            </w:r>
            <w:r w:rsidRPr="00F85DCF">
              <w:rPr>
                <w:sz w:val="20"/>
                <w:szCs w:val="20"/>
                <w:lang w:val="en-GB"/>
              </w:rPr>
              <w:t>mg/kg (</w:t>
            </w:r>
            <w:r w:rsidR="00944DDC" w:rsidRPr="00F85DCF">
              <w:rPr>
                <w:sz w:val="20"/>
                <w:szCs w:val="20"/>
                <w:lang w:val="en-GB" w:eastAsia="en-AU"/>
              </w:rPr>
              <w:t>c</w:t>
            </w:r>
            <w:r w:rsidRPr="00F85DCF">
              <w:rPr>
                <w:sz w:val="20"/>
                <w:szCs w:val="20"/>
                <w:lang w:val="en-GB" w:eastAsia="en-AU"/>
              </w:rPr>
              <w:t>otton seed</w:t>
            </w:r>
            <w:r w:rsidRPr="00F85DCF">
              <w:rPr>
                <w:sz w:val="20"/>
                <w:szCs w:val="20"/>
                <w:lang w:val="en-GB"/>
              </w:rPr>
              <w:t>)</w:t>
            </w:r>
          </w:p>
        </w:tc>
      </w:tr>
      <w:tr w:rsidR="00B421E2" w:rsidRPr="00F85DCF" w14:paraId="471F72E7" w14:textId="77777777" w:rsidTr="000E0D6C">
        <w:tc>
          <w:tcPr>
            <w:tcW w:w="3545" w:type="dxa"/>
            <w:vAlign w:val="center"/>
          </w:tcPr>
          <w:p w14:paraId="1039A0BF" w14:textId="6B78D104" w:rsidR="00B421E2" w:rsidRPr="00F85DCF" w:rsidRDefault="00B421E2" w:rsidP="00351AC0">
            <w:pPr>
              <w:rPr>
                <w:sz w:val="20"/>
                <w:szCs w:val="20"/>
                <w:lang w:val="en-GB" w:eastAsia="en-AU"/>
              </w:rPr>
            </w:pPr>
            <w:r w:rsidRPr="00F85DCF">
              <w:rPr>
                <w:sz w:val="20"/>
                <w:szCs w:val="20"/>
                <w:lang w:val="en-GB" w:eastAsia="en-AU"/>
              </w:rPr>
              <w:t xml:space="preserve">Most relevant reference point to </w:t>
            </w:r>
            <w:r w:rsidR="008F25B9"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0DD8897F" w14:textId="77777777" w:rsidR="00B421E2" w:rsidRPr="00F85DCF" w:rsidRDefault="00B421E2" w:rsidP="00351AC0">
            <w:pPr>
              <w:rPr>
                <w:sz w:val="20"/>
                <w:szCs w:val="20"/>
                <w:lang w:val="en-GB"/>
              </w:rPr>
            </w:pPr>
            <w:r w:rsidRPr="00F85DCF">
              <w:rPr>
                <w:sz w:val="20"/>
                <w:szCs w:val="20"/>
                <w:lang w:val="en-GB" w:eastAsia="en-AU"/>
              </w:rPr>
              <w:t xml:space="preserve">0.05 </w:t>
            </w:r>
            <w:r w:rsidRPr="00F85DCF">
              <w:rPr>
                <w:sz w:val="20"/>
                <w:szCs w:val="20"/>
                <w:lang w:val="en-GB"/>
              </w:rPr>
              <w:t>mg/kg (</w:t>
            </w:r>
            <w:r w:rsidRPr="00F85DCF">
              <w:rPr>
                <w:sz w:val="20"/>
                <w:szCs w:val="20"/>
                <w:lang w:val="en-GB" w:eastAsia="en-AU"/>
              </w:rPr>
              <w:t>rape seed, pecans, macadamia nuts</w:t>
            </w:r>
            <w:r w:rsidRPr="00F85DCF">
              <w:rPr>
                <w:sz w:val="20"/>
                <w:szCs w:val="20"/>
                <w:lang w:val="en-GB"/>
              </w:rPr>
              <w:t>)</w:t>
            </w:r>
          </w:p>
        </w:tc>
      </w:tr>
      <w:tr w:rsidR="00B421E2" w:rsidRPr="00F85DCF" w14:paraId="581F118F" w14:textId="77777777" w:rsidTr="000E0D6C">
        <w:tc>
          <w:tcPr>
            <w:tcW w:w="3545" w:type="dxa"/>
            <w:vAlign w:val="center"/>
          </w:tcPr>
          <w:p w14:paraId="1C87D060" w14:textId="77777777" w:rsidR="00B421E2" w:rsidRPr="00F85DCF" w:rsidRDefault="00B421E2" w:rsidP="00351AC0">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2151BF27" w14:textId="5AA3E777" w:rsidR="00B421E2" w:rsidRPr="00F85DCF" w:rsidRDefault="00B421E2" w:rsidP="00351AC0">
            <w:pPr>
              <w:rPr>
                <w:sz w:val="20"/>
                <w:szCs w:val="20"/>
                <w:lang w:val="en-GB"/>
              </w:rPr>
            </w:pPr>
            <w:r w:rsidRPr="00F85DCF">
              <w:rPr>
                <w:sz w:val="20"/>
                <w:szCs w:val="20"/>
                <w:lang w:val="en-GB" w:eastAsia="en-AU"/>
              </w:rPr>
              <w:t>22% of the ADI.</w:t>
            </w:r>
          </w:p>
        </w:tc>
      </w:tr>
      <w:tr w:rsidR="00B421E2" w:rsidRPr="00F85DCF" w14:paraId="2821CB50" w14:textId="77777777" w:rsidTr="000E0D6C">
        <w:tc>
          <w:tcPr>
            <w:tcW w:w="3545" w:type="dxa"/>
            <w:vAlign w:val="center"/>
          </w:tcPr>
          <w:p w14:paraId="3AF18559" w14:textId="47682F97" w:rsidR="00B421E2" w:rsidRPr="00F85DCF" w:rsidRDefault="00B421E2" w:rsidP="0066411D">
            <w:pPr>
              <w:rPr>
                <w:sz w:val="20"/>
                <w:szCs w:val="20"/>
                <w:lang w:val="en-GB"/>
              </w:rPr>
            </w:pPr>
            <w:r w:rsidRPr="00F85DCF">
              <w:rPr>
                <w:sz w:val="20"/>
                <w:szCs w:val="20"/>
                <w:lang w:val="en-GB"/>
              </w:rPr>
              <w:t xml:space="preserve">Proposed </w:t>
            </w:r>
            <w:r w:rsidR="00DE2445" w:rsidRPr="00F85DCF">
              <w:rPr>
                <w:i/>
                <w:sz w:val="20"/>
                <w:szCs w:val="20"/>
                <w:lang w:val="en-GB"/>
              </w:rPr>
              <w:t>A</w:t>
            </w:r>
            <w:r w:rsidR="0066411D">
              <w:rPr>
                <w:i/>
                <w:sz w:val="20"/>
                <w:szCs w:val="20"/>
                <w:lang w:val="en-GB"/>
              </w:rPr>
              <w:t xml:space="preserve">ll other foods </w:t>
            </w:r>
            <w:r w:rsidR="0003601D" w:rsidRPr="00F85DCF">
              <w:rPr>
                <w:i/>
                <w:sz w:val="20"/>
                <w:szCs w:val="20"/>
                <w:lang w:val="en-GB"/>
              </w:rPr>
              <w:t xml:space="preserve">except animal </w:t>
            </w:r>
            <w:r w:rsidR="0066411D">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5E957E79" w14:textId="77777777" w:rsidR="00B421E2" w:rsidRPr="00F85DCF" w:rsidRDefault="00B421E2" w:rsidP="00351AC0">
            <w:pPr>
              <w:rPr>
                <w:sz w:val="20"/>
                <w:szCs w:val="20"/>
                <w:lang w:val="en-GB"/>
              </w:rPr>
            </w:pPr>
            <w:r w:rsidRPr="00F85DCF">
              <w:rPr>
                <w:sz w:val="20"/>
                <w:szCs w:val="20"/>
                <w:lang w:val="en-GB"/>
              </w:rPr>
              <w:t>0.05 mg/kg</w:t>
            </w:r>
          </w:p>
        </w:tc>
      </w:tr>
      <w:tr w:rsidR="00B421E2" w:rsidRPr="00F85DCF" w14:paraId="352E4D69" w14:textId="77777777" w:rsidTr="000E0D6C">
        <w:tc>
          <w:tcPr>
            <w:tcW w:w="3545" w:type="dxa"/>
            <w:vAlign w:val="center"/>
          </w:tcPr>
          <w:p w14:paraId="298DC18A" w14:textId="3DB17517" w:rsidR="00B421E2" w:rsidRPr="00F85DCF" w:rsidRDefault="00B421E2" w:rsidP="00DE2445">
            <w:pPr>
              <w:rPr>
                <w:sz w:val="20"/>
                <w:szCs w:val="20"/>
                <w:lang w:val="en-GB"/>
              </w:rPr>
            </w:pPr>
            <w:r w:rsidRPr="00F85DCF">
              <w:rPr>
                <w:sz w:val="20"/>
                <w:szCs w:val="20"/>
                <w:lang w:val="en-GB" w:eastAsia="en-AU"/>
              </w:rPr>
              <w:t xml:space="preserve">NEDI including </w:t>
            </w:r>
            <w:r w:rsidR="00DE2445" w:rsidRPr="00F85DCF">
              <w:rPr>
                <w:i/>
                <w:sz w:val="20"/>
                <w:szCs w:val="20"/>
                <w:lang w:val="en-GB" w:eastAsia="en-AU"/>
              </w:rPr>
              <w:t>A</w:t>
            </w:r>
            <w:r w:rsidR="00CA0F75"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3E46977C" w14:textId="4543F796" w:rsidR="00B421E2" w:rsidRPr="00F85DCF" w:rsidRDefault="00263633" w:rsidP="00351AC0">
            <w:pPr>
              <w:rPr>
                <w:sz w:val="20"/>
                <w:szCs w:val="20"/>
                <w:lang w:val="en-GB"/>
              </w:rPr>
            </w:pPr>
            <w:r w:rsidRPr="00F85DCF">
              <w:rPr>
                <w:sz w:val="20"/>
                <w:szCs w:val="20"/>
                <w:lang w:val="en-GB" w:eastAsia="en-AU"/>
              </w:rPr>
              <w:t>26</w:t>
            </w:r>
            <w:r w:rsidR="00B421E2" w:rsidRPr="00F85DCF">
              <w:rPr>
                <w:sz w:val="20"/>
                <w:szCs w:val="20"/>
                <w:lang w:val="en-GB" w:eastAsia="en-AU"/>
              </w:rPr>
              <w:t>% of the ADI</w:t>
            </w:r>
          </w:p>
        </w:tc>
      </w:tr>
      <w:tr w:rsidR="00B421E2" w:rsidRPr="00F85DCF" w14:paraId="2EE9BE91" w14:textId="77777777" w:rsidTr="000E0D6C">
        <w:tc>
          <w:tcPr>
            <w:tcW w:w="3545" w:type="dxa"/>
            <w:vAlign w:val="center"/>
          </w:tcPr>
          <w:p w14:paraId="4C5C750F" w14:textId="00917412" w:rsidR="00B421E2" w:rsidRPr="00F85DCF" w:rsidRDefault="00E46481" w:rsidP="0066411D">
            <w:pPr>
              <w:rPr>
                <w:sz w:val="20"/>
                <w:szCs w:val="20"/>
                <w:lang w:val="en-GB" w:eastAsia="en-AU"/>
              </w:rPr>
            </w:pPr>
            <w:r w:rsidRPr="00F85DCF">
              <w:rPr>
                <w:sz w:val="20"/>
                <w:szCs w:val="20"/>
                <w:lang w:val="en-GB" w:eastAsia="en-AU"/>
              </w:rPr>
              <w:t xml:space="preserve">Percentage contribution of </w:t>
            </w:r>
            <w:r w:rsidR="00DE2445" w:rsidRPr="00F85DCF">
              <w:rPr>
                <w:i/>
                <w:sz w:val="20"/>
                <w:szCs w:val="20"/>
                <w:lang w:val="en-GB" w:eastAsia="en-AU"/>
              </w:rPr>
              <w:t>A</w:t>
            </w:r>
            <w:r w:rsidR="0066411D">
              <w:rPr>
                <w:i/>
                <w:sz w:val="20"/>
                <w:szCs w:val="20"/>
                <w:lang w:val="en-GB" w:eastAsia="en-AU"/>
              </w:rPr>
              <w:t xml:space="preserve">ll other foods </w:t>
            </w:r>
            <w:r w:rsidR="0003601D" w:rsidRPr="00F85DCF">
              <w:rPr>
                <w:i/>
                <w:sz w:val="20"/>
                <w:szCs w:val="20"/>
                <w:lang w:val="en-GB" w:eastAsia="en-AU"/>
              </w:rPr>
              <w:t>except animal</w:t>
            </w:r>
            <w:r w:rsidR="0066411D">
              <w:rPr>
                <w:i/>
                <w:sz w:val="20"/>
                <w:szCs w:val="20"/>
                <w:lang w:val="en-GB" w:eastAsia="en-AU"/>
              </w:rPr>
              <w:t xml:space="preserve"> food</w:t>
            </w:r>
            <w:r w:rsidR="0003601D" w:rsidRPr="00F85DCF">
              <w:rPr>
                <w:i/>
                <w:sz w:val="20"/>
                <w:szCs w:val="20"/>
                <w:lang w:val="en-GB" w:eastAsia="en-AU"/>
              </w:rPr>
              <w:t xml:space="preserve"> commodities</w:t>
            </w:r>
            <w:r w:rsidRPr="00F85DCF">
              <w:rPr>
                <w:sz w:val="20"/>
                <w:szCs w:val="20"/>
                <w:lang w:val="en-GB" w:eastAsia="en-AU"/>
              </w:rPr>
              <w:t xml:space="preserve"> to total </w:t>
            </w:r>
            <w:r w:rsidR="008F25B9"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120397F8" w14:textId="15ACECEA" w:rsidR="00B421E2" w:rsidRPr="00F85DCF" w:rsidRDefault="00B421E2" w:rsidP="00DE2445">
            <w:pPr>
              <w:rPr>
                <w:sz w:val="20"/>
                <w:szCs w:val="20"/>
                <w:lang w:val="en-GB" w:eastAsia="en-AU"/>
              </w:rPr>
            </w:pPr>
            <w:r w:rsidRPr="00F85DCF">
              <w:rPr>
                <w:sz w:val="20"/>
                <w:szCs w:val="20"/>
                <w:lang w:val="en-GB" w:eastAsia="en-AU"/>
              </w:rPr>
              <w:t xml:space="preserve">An </w:t>
            </w:r>
            <w:r w:rsidR="00DE2445" w:rsidRPr="00F85DCF">
              <w:rPr>
                <w:i/>
                <w:sz w:val="20"/>
                <w:szCs w:val="20"/>
                <w:lang w:val="en-GB" w:eastAsia="en-AU"/>
              </w:rPr>
              <w:t>A</w:t>
            </w:r>
            <w:r w:rsidR="009F45C7"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w:t>
            </w:r>
            <w:r w:rsidRPr="00F85DCF" w:rsidDel="00A256EC">
              <w:rPr>
                <w:sz w:val="20"/>
                <w:szCs w:val="20"/>
                <w:lang w:val="en-GB" w:eastAsia="en-AU"/>
              </w:rPr>
              <w:t xml:space="preserve">05 mg/kg </w:t>
            </w:r>
            <w:r w:rsidRPr="00F85DCF">
              <w:rPr>
                <w:sz w:val="20"/>
                <w:szCs w:val="20"/>
                <w:lang w:val="en-GB" w:eastAsia="en-AU"/>
              </w:rPr>
              <w:t xml:space="preserve">represents </w:t>
            </w:r>
            <w:r w:rsidR="00044AC7" w:rsidRPr="00F85DCF">
              <w:rPr>
                <w:sz w:val="20"/>
                <w:szCs w:val="20"/>
                <w:lang w:val="en-GB" w:eastAsia="en-AU"/>
              </w:rPr>
              <w:t xml:space="preserve">a contribution of </w:t>
            </w:r>
            <w:r w:rsidRPr="00F85DCF">
              <w:rPr>
                <w:sz w:val="20"/>
                <w:szCs w:val="20"/>
                <w:lang w:val="en-GB" w:eastAsia="en-AU"/>
              </w:rPr>
              <w:t xml:space="preserve">18% </w:t>
            </w:r>
            <w:r w:rsidR="00044AC7" w:rsidRPr="00F85DCF">
              <w:rPr>
                <w:sz w:val="20"/>
                <w:szCs w:val="20"/>
                <w:lang w:val="en-GB" w:eastAsia="en-AU"/>
              </w:rPr>
              <w:t>to</w:t>
            </w:r>
            <w:r w:rsidRPr="00F85DCF">
              <w:rPr>
                <w:sz w:val="20"/>
                <w:szCs w:val="20"/>
                <w:lang w:val="en-GB" w:eastAsia="en-AU"/>
              </w:rPr>
              <w:t xml:space="preserve"> total dietary exposure and is within the target </w:t>
            </w:r>
            <w:r w:rsidR="00A256EC" w:rsidRPr="00F85DCF">
              <w:rPr>
                <w:sz w:val="20"/>
                <w:szCs w:val="20"/>
                <w:lang w:val="en-GB" w:eastAsia="en-AU"/>
              </w:rPr>
              <w:t>of 20% of total exposure.</w:t>
            </w:r>
          </w:p>
        </w:tc>
      </w:tr>
      <w:tr w:rsidR="008F25B9" w:rsidRPr="00F85DCF" w14:paraId="0AE34C38" w14:textId="77777777" w:rsidTr="000E0D6C">
        <w:tc>
          <w:tcPr>
            <w:tcW w:w="3545" w:type="dxa"/>
            <w:vMerge w:val="restart"/>
            <w:vAlign w:val="center"/>
          </w:tcPr>
          <w:p w14:paraId="32BFD5ED" w14:textId="680E3170" w:rsidR="008F25B9" w:rsidRPr="00F85DCF" w:rsidRDefault="008F25B9" w:rsidP="00351AC0">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047EADEF" w14:textId="5CF39CB1" w:rsidR="008F25B9" w:rsidRPr="00F85DCF" w:rsidRDefault="008F25B9" w:rsidP="00351AC0">
            <w:pPr>
              <w:rPr>
                <w:sz w:val="20"/>
                <w:szCs w:val="20"/>
                <w:lang w:val="en-GB"/>
              </w:rPr>
            </w:pPr>
            <w:r w:rsidRPr="00F85DCF">
              <w:rPr>
                <w:sz w:val="20"/>
                <w:szCs w:val="20"/>
                <w:lang w:val="en-GB" w:eastAsia="en-AU"/>
              </w:rPr>
              <w:t>Children 2-6 years of age (worse case - pineapples), 13% of the ARfD.</w:t>
            </w:r>
          </w:p>
        </w:tc>
      </w:tr>
      <w:tr w:rsidR="008F25B9" w:rsidRPr="00F85DCF" w14:paraId="23115A97" w14:textId="77777777" w:rsidTr="000E0D6C">
        <w:tc>
          <w:tcPr>
            <w:tcW w:w="3545" w:type="dxa"/>
            <w:vMerge/>
            <w:vAlign w:val="center"/>
          </w:tcPr>
          <w:p w14:paraId="25DC9588" w14:textId="74F96A23" w:rsidR="008F25B9" w:rsidRPr="00F85DCF" w:rsidRDefault="008F25B9" w:rsidP="00351AC0">
            <w:pPr>
              <w:rPr>
                <w:sz w:val="20"/>
                <w:szCs w:val="20"/>
                <w:lang w:val="en-GB" w:eastAsia="en-AU"/>
              </w:rPr>
            </w:pPr>
          </w:p>
        </w:tc>
        <w:tc>
          <w:tcPr>
            <w:tcW w:w="6520" w:type="dxa"/>
            <w:vAlign w:val="center"/>
          </w:tcPr>
          <w:p w14:paraId="1A615548" w14:textId="6C588178" w:rsidR="008F25B9" w:rsidRPr="00F85DCF" w:rsidRDefault="008F25B9" w:rsidP="00351AC0">
            <w:pPr>
              <w:rPr>
                <w:sz w:val="20"/>
                <w:szCs w:val="20"/>
                <w:lang w:val="en-GB"/>
              </w:rPr>
            </w:pPr>
            <w:r w:rsidRPr="00F85DCF">
              <w:rPr>
                <w:sz w:val="20"/>
                <w:szCs w:val="20"/>
                <w:lang w:val="en-GB" w:eastAsia="en-AU"/>
              </w:rPr>
              <w:t>Population aged 2 years and above (worse case –</w:t>
            </w:r>
            <w:r w:rsidR="00C826DF" w:rsidRPr="00F85DCF">
              <w:rPr>
                <w:sz w:val="20"/>
                <w:szCs w:val="20"/>
                <w:lang w:val="en-GB" w:eastAsia="en-AU"/>
              </w:rPr>
              <w:t xml:space="preserve"> </w:t>
            </w:r>
            <w:r w:rsidRPr="00F85DCF">
              <w:rPr>
                <w:sz w:val="20"/>
                <w:szCs w:val="20"/>
                <w:lang w:val="en-GB" w:eastAsia="en-AU"/>
              </w:rPr>
              <w:t>watermelon), 8% of the ARfD.</w:t>
            </w:r>
          </w:p>
        </w:tc>
      </w:tr>
      <w:tr w:rsidR="008F25B9" w:rsidRPr="00F85DCF" w14:paraId="591EF6AC" w14:textId="77777777" w:rsidTr="000E0D6C">
        <w:tc>
          <w:tcPr>
            <w:tcW w:w="3545" w:type="dxa"/>
            <w:vAlign w:val="center"/>
          </w:tcPr>
          <w:p w14:paraId="5840805D" w14:textId="77777777" w:rsidR="008F25B9" w:rsidRPr="00F85DCF" w:rsidRDefault="008F25B9" w:rsidP="00351AC0">
            <w:pPr>
              <w:rPr>
                <w:sz w:val="20"/>
                <w:szCs w:val="20"/>
                <w:lang w:val="en-GB" w:eastAsia="en-AU"/>
              </w:rPr>
            </w:pPr>
            <w:r w:rsidRPr="00F85DCF">
              <w:rPr>
                <w:sz w:val="20"/>
                <w:szCs w:val="20"/>
                <w:lang w:val="en-GB" w:eastAsia="en-AU"/>
              </w:rPr>
              <w:t>Conclusion</w:t>
            </w:r>
          </w:p>
        </w:tc>
        <w:tc>
          <w:tcPr>
            <w:tcW w:w="6520" w:type="dxa"/>
            <w:vAlign w:val="center"/>
          </w:tcPr>
          <w:p w14:paraId="3D8958C3" w14:textId="39F17F92" w:rsidR="008F25B9" w:rsidRPr="00F85DCF" w:rsidRDefault="008F25B9" w:rsidP="00DE2445">
            <w:pPr>
              <w:rPr>
                <w:sz w:val="20"/>
                <w:szCs w:val="20"/>
                <w:lang w:val="en-GB" w:eastAsia="en-AU"/>
              </w:rPr>
            </w:pPr>
            <w:r w:rsidRPr="00F85DCF">
              <w:rPr>
                <w:sz w:val="20"/>
                <w:szCs w:val="20"/>
                <w:lang w:val="en-GB"/>
              </w:rPr>
              <w:t xml:space="preserve">After considering the principles set out above an </w:t>
            </w:r>
            <w:r w:rsidR="00DE2445" w:rsidRPr="00F85DCF">
              <w:rPr>
                <w:b/>
                <w:i/>
                <w:sz w:val="20"/>
                <w:szCs w:val="20"/>
                <w:lang w:val="en-GB"/>
              </w:rPr>
              <w:t>A</w:t>
            </w:r>
            <w:r w:rsidR="009F45C7" w:rsidRPr="00F85DCF">
              <w:rPr>
                <w:b/>
                <w:i/>
                <w:sz w:val="20"/>
                <w:szCs w:val="20"/>
                <w:lang w:val="en-GB"/>
              </w:rPr>
              <w:t xml:space="preserve">ll other foods </w:t>
            </w:r>
            <w:r w:rsidR="0003601D" w:rsidRPr="00F85DCF">
              <w:rPr>
                <w:b/>
                <w:i/>
                <w:sz w:val="20"/>
                <w:szCs w:val="20"/>
                <w:lang w:val="en-GB"/>
              </w:rPr>
              <w:t xml:space="preserve">except animal </w:t>
            </w:r>
            <w:r w:rsidR="0066411D">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0.05 mg/kg</w:t>
            </w:r>
            <w:r w:rsidRPr="00F85DCF">
              <w:rPr>
                <w:sz w:val="20"/>
                <w:szCs w:val="20"/>
                <w:lang w:val="en-GB"/>
              </w:rPr>
              <w:t xml:space="preserve"> for </w:t>
            </w:r>
            <w:r w:rsidRPr="00F85DCF">
              <w:rPr>
                <w:sz w:val="20"/>
                <w:szCs w:val="20"/>
                <w:lang w:val="en-GB" w:eastAsia="en-AU"/>
              </w:rPr>
              <w:t xml:space="preserve">Cyfluthrin </w:t>
            </w:r>
            <w:r w:rsidRPr="00F85DCF">
              <w:rPr>
                <w:sz w:val="20"/>
                <w:szCs w:val="20"/>
                <w:lang w:val="en-GB"/>
              </w:rPr>
              <w:t xml:space="preserve">is acceptable because it has been shown to be practical, adequately manages the risk of off-label use and does not increase the level of concern </w:t>
            </w:r>
            <w:r w:rsidR="005A4649" w:rsidRPr="00F85DCF">
              <w:rPr>
                <w:sz w:val="20"/>
                <w:szCs w:val="20"/>
                <w:lang w:val="en-GB"/>
              </w:rPr>
              <w:t>about</w:t>
            </w:r>
            <w:r w:rsidRPr="00F85DCF">
              <w:rPr>
                <w:sz w:val="20"/>
                <w:szCs w:val="20"/>
                <w:lang w:val="en-GB"/>
              </w:rPr>
              <w:t xml:space="preserve"> risk to public health</w:t>
            </w:r>
            <w:r w:rsidR="00DE2445" w:rsidRPr="00F85DCF">
              <w:rPr>
                <w:sz w:val="20"/>
                <w:szCs w:val="20"/>
                <w:lang w:val="en-GB"/>
              </w:rPr>
              <w:t>.</w:t>
            </w:r>
          </w:p>
        </w:tc>
      </w:tr>
    </w:tbl>
    <w:p w14:paraId="0F30F0C4" w14:textId="77777777" w:rsidR="00D87CDC" w:rsidRPr="00F85DCF" w:rsidRDefault="00D87CDC">
      <w:pPr>
        <w:rPr>
          <w:rFonts w:eastAsiaTheme="majorEastAsia" w:cstheme="majorBidi"/>
          <w:b/>
          <w:bCs/>
          <w:szCs w:val="24"/>
          <w:lang w:val="en-GB" w:eastAsia="en-AU"/>
        </w:rPr>
      </w:pPr>
      <w:r w:rsidRPr="00F85DCF">
        <w:rPr>
          <w:lang w:val="en-GB"/>
        </w:rPr>
        <w:br w:type="page"/>
      </w:r>
    </w:p>
    <w:p w14:paraId="35872408" w14:textId="5A7A4935" w:rsidR="00F6750E" w:rsidRPr="00F85DCF" w:rsidRDefault="00F6750E" w:rsidP="005C01CC">
      <w:pPr>
        <w:pStyle w:val="Heading3"/>
      </w:pPr>
      <w:r w:rsidRPr="00F85DCF">
        <w:lastRenderedPageBreak/>
        <w:t>Deltamethrin</w:t>
      </w:r>
    </w:p>
    <w:tbl>
      <w:tblPr>
        <w:tblStyle w:val="TableGrid"/>
        <w:tblW w:w="9072" w:type="dxa"/>
        <w:tblLook w:val="04A0" w:firstRow="1" w:lastRow="0" w:firstColumn="1" w:lastColumn="0" w:noHBand="0" w:noVBand="1"/>
      </w:tblPr>
      <w:tblGrid>
        <w:gridCol w:w="3277"/>
        <w:gridCol w:w="5795"/>
      </w:tblGrid>
      <w:tr w:rsidR="00834FF8" w:rsidRPr="00F85DCF" w14:paraId="393FF4FA" w14:textId="77777777" w:rsidTr="005C01CC">
        <w:tc>
          <w:tcPr>
            <w:tcW w:w="3545" w:type="dxa"/>
            <w:vAlign w:val="center"/>
          </w:tcPr>
          <w:p w14:paraId="2C98CCEF" w14:textId="059AB170" w:rsidR="00834FF8" w:rsidRPr="00F85DCF" w:rsidRDefault="006D5974" w:rsidP="000F1D24">
            <w:pPr>
              <w:rPr>
                <w:b/>
                <w:sz w:val="20"/>
                <w:szCs w:val="20"/>
                <w:lang w:val="en-GB"/>
              </w:rPr>
            </w:pPr>
            <w:r w:rsidRPr="006D5974">
              <w:rPr>
                <w:b/>
                <w:sz w:val="20"/>
                <w:szCs w:val="20"/>
                <w:lang w:val="en-GB"/>
              </w:rPr>
              <w:t>Considerations</w:t>
            </w:r>
          </w:p>
        </w:tc>
        <w:tc>
          <w:tcPr>
            <w:tcW w:w="6520" w:type="dxa"/>
            <w:vAlign w:val="center"/>
          </w:tcPr>
          <w:p w14:paraId="7CFAB6B3" w14:textId="77777777" w:rsidR="00834FF8" w:rsidRPr="00F85DCF" w:rsidRDefault="00834FF8" w:rsidP="000F1D24">
            <w:pPr>
              <w:rPr>
                <w:b/>
                <w:sz w:val="20"/>
                <w:szCs w:val="20"/>
                <w:lang w:val="en-GB" w:eastAsia="en-AU"/>
              </w:rPr>
            </w:pPr>
            <w:r w:rsidRPr="00F85DCF">
              <w:rPr>
                <w:b/>
                <w:sz w:val="20"/>
                <w:szCs w:val="20"/>
                <w:lang w:val="en-GB" w:eastAsia="en-AU"/>
              </w:rPr>
              <w:t>Comments</w:t>
            </w:r>
          </w:p>
        </w:tc>
      </w:tr>
      <w:tr w:rsidR="00834FF8" w:rsidRPr="00F85DCF" w14:paraId="13B21DC9" w14:textId="77777777" w:rsidTr="005C01CC">
        <w:tc>
          <w:tcPr>
            <w:tcW w:w="3545" w:type="dxa"/>
            <w:vAlign w:val="center"/>
          </w:tcPr>
          <w:p w14:paraId="65A5EFB6" w14:textId="49AAE559" w:rsidR="00834FF8" w:rsidRPr="00F85DCF" w:rsidRDefault="004710D5" w:rsidP="000F1D24">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29EA119B" w14:textId="77777777" w:rsidR="00834FF8" w:rsidRPr="00F85DCF" w:rsidRDefault="00834FF8" w:rsidP="000F1D24">
            <w:pPr>
              <w:rPr>
                <w:sz w:val="20"/>
                <w:szCs w:val="20"/>
                <w:lang w:val="en-GB"/>
              </w:rPr>
            </w:pPr>
            <w:r w:rsidRPr="00F85DCF">
              <w:rPr>
                <w:sz w:val="20"/>
                <w:szCs w:val="20"/>
                <w:lang w:val="en-GB" w:eastAsia="en-AU"/>
              </w:rPr>
              <w:t>0.01 mg/kg (0.005 mg/kg in the fat)</w:t>
            </w:r>
          </w:p>
        </w:tc>
      </w:tr>
      <w:tr w:rsidR="00834FF8" w:rsidRPr="00F85DCF" w14:paraId="392E202E" w14:textId="77777777" w:rsidTr="005C01CC">
        <w:tc>
          <w:tcPr>
            <w:tcW w:w="3545" w:type="dxa"/>
            <w:vAlign w:val="center"/>
          </w:tcPr>
          <w:p w14:paraId="39C74ABA" w14:textId="77777777" w:rsidR="00834FF8" w:rsidRPr="00F85DCF" w:rsidRDefault="00834FF8" w:rsidP="000F1D24">
            <w:pPr>
              <w:rPr>
                <w:sz w:val="20"/>
                <w:szCs w:val="20"/>
                <w:lang w:val="en-GB"/>
              </w:rPr>
            </w:pPr>
            <w:r w:rsidRPr="00F85DCF">
              <w:rPr>
                <w:sz w:val="20"/>
                <w:szCs w:val="20"/>
                <w:lang w:val="en-GB"/>
              </w:rPr>
              <w:t>Lowest plant commodity MRL</w:t>
            </w:r>
          </w:p>
        </w:tc>
        <w:tc>
          <w:tcPr>
            <w:tcW w:w="6520" w:type="dxa"/>
            <w:vAlign w:val="center"/>
          </w:tcPr>
          <w:p w14:paraId="2D8A9976" w14:textId="142E6139" w:rsidR="00834FF8" w:rsidRPr="00F85DCF" w:rsidRDefault="00A10C05" w:rsidP="000F1D24">
            <w:pPr>
              <w:rPr>
                <w:sz w:val="20"/>
                <w:szCs w:val="20"/>
                <w:lang w:val="en-GB"/>
              </w:rPr>
            </w:pPr>
            <w:r w:rsidRPr="00F85DCF">
              <w:rPr>
                <w:sz w:val="20"/>
                <w:szCs w:val="20"/>
                <w:lang w:val="en-GB" w:eastAsia="en-AU"/>
              </w:rPr>
              <w:t>*</w:t>
            </w:r>
            <w:r w:rsidR="00834FF8" w:rsidRPr="00F85DCF">
              <w:rPr>
                <w:sz w:val="20"/>
                <w:szCs w:val="20"/>
                <w:lang w:val="en-GB" w:eastAsia="en-AU"/>
              </w:rPr>
              <w:t>0.05 mg/kg (</w:t>
            </w:r>
            <w:r w:rsidR="00384E76" w:rsidRPr="00F85DCF">
              <w:rPr>
                <w:sz w:val="20"/>
                <w:lang w:val="en-GB" w:eastAsia="en-AU"/>
              </w:rPr>
              <w:t>b</w:t>
            </w:r>
            <w:r w:rsidR="00834FF8" w:rsidRPr="00F85DCF">
              <w:rPr>
                <w:sz w:val="20"/>
                <w:lang w:val="en-GB" w:eastAsia="en-AU"/>
              </w:rPr>
              <w:t>rassica</w:t>
            </w:r>
            <w:r w:rsidR="00834FF8" w:rsidRPr="00F85DCF">
              <w:rPr>
                <w:sz w:val="20"/>
                <w:szCs w:val="20"/>
                <w:lang w:val="en-GB" w:eastAsia="en-AU"/>
              </w:rPr>
              <w:t xml:space="preserve"> (cole or cabbage) vegetables, </w:t>
            </w:r>
            <w:r w:rsidR="00384E76" w:rsidRPr="00F85DCF">
              <w:rPr>
                <w:sz w:val="20"/>
                <w:lang w:val="en-GB" w:eastAsia="en-AU"/>
              </w:rPr>
              <w:t>h</w:t>
            </w:r>
            <w:r w:rsidR="00834FF8" w:rsidRPr="00F85DCF">
              <w:rPr>
                <w:sz w:val="20"/>
                <w:lang w:val="en-GB" w:eastAsia="en-AU"/>
              </w:rPr>
              <w:t>ead</w:t>
            </w:r>
            <w:r w:rsidR="00834FF8" w:rsidRPr="00F85DCF">
              <w:rPr>
                <w:sz w:val="20"/>
                <w:szCs w:val="20"/>
                <w:lang w:val="en-GB" w:eastAsia="en-AU"/>
              </w:rPr>
              <w:t xml:space="preserve"> cabbages, </w:t>
            </w:r>
            <w:r w:rsidR="00384E76" w:rsidRPr="00F85DCF">
              <w:rPr>
                <w:sz w:val="20"/>
                <w:lang w:val="en-GB" w:eastAsia="en-AU"/>
              </w:rPr>
              <w:t>f</w:t>
            </w:r>
            <w:r w:rsidR="00834FF8" w:rsidRPr="00F85DCF">
              <w:rPr>
                <w:sz w:val="20"/>
                <w:lang w:val="en-GB" w:eastAsia="en-AU"/>
              </w:rPr>
              <w:t>lowerhead</w:t>
            </w:r>
            <w:r w:rsidR="00834FF8" w:rsidRPr="00F85DCF">
              <w:rPr>
                <w:sz w:val="20"/>
                <w:szCs w:val="20"/>
                <w:lang w:val="en-GB" w:eastAsia="en-AU"/>
              </w:rPr>
              <w:t xml:space="preserve"> brassica)</w:t>
            </w:r>
            <w:r w:rsidRPr="00F85DCF">
              <w:rPr>
                <w:sz w:val="20"/>
                <w:szCs w:val="20"/>
                <w:lang w:val="en-GB" w:eastAsia="en-AU"/>
              </w:rPr>
              <w:t xml:space="preserve"> (*indicates MRL set at or about the LOQ)</w:t>
            </w:r>
          </w:p>
        </w:tc>
      </w:tr>
      <w:tr w:rsidR="00834FF8" w:rsidRPr="00F85DCF" w14:paraId="422CC405" w14:textId="77777777" w:rsidTr="005C01CC">
        <w:tc>
          <w:tcPr>
            <w:tcW w:w="3545" w:type="dxa"/>
            <w:vAlign w:val="center"/>
          </w:tcPr>
          <w:p w14:paraId="31172761" w14:textId="69FD6C7D" w:rsidR="00834FF8" w:rsidRPr="00F85DCF" w:rsidRDefault="00EB72A5" w:rsidP="000F1D24">
            <w:pPr>
              <w:rPr>
                <w:sz w:val="20"/>
                <w:szCs w:val="20"/>
                <w:lang w:val="en-GB"/>
              </w:rPr>
            </w:pPr>
            <w:r w:rsidRPr="00F85DCF">
              <w:rPr>
                <w:sz w:val="20"/>
                <w:szCs w:val="20"/>
                <w:lang w:val="en-GB" w:eastAsia="en-AU"/>
              </w:rPr>
              <w:t xml:space="preserve">Magnitude of existing </w:t>
            </w:r>
            <w:r w:rsidR="000F1D24"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2613017C" w14:textId="1E319C73" w:rsidR="00834FF8" w:rsidRPr="00F85DCF" w:rsidRDefault="00834FF8" w:rsidP="00CA7859">
            <w:pPr>
              <w:rPr>
                <w:sz w:val="20"/>
                <w:szCs w:val="20"/>
                <w:lang w:val="en-GB"/>
              </w:rPr>
            </w:pPr>
            <w:r w:rsidRPr="00F85DCF">
              <w:rPr>
                <w:sz w:val="20"/>
                <w:szCs w:val="20"/>
                <w:lang w:val="en-GB"/>
              </w:rPr>
              <w:t xml:space="preserve">The range of existing MRLs </w:t>
            </w:r>
            <w:r w:rsidR="00207D70" w:rsidRPr="00F85DCF">
              <w:rPr>
                <w:sz w:val="20"/>
                <w:szCs w:val="20"/>
                <w:lang w:val="en-GB"/>
              </w:rPr>
              <w:t xml:space="preserve">is </w:t>
            </w:r>
            <w:r w:rsidRPr="00F85DCF">
              <w:rPr>
                <w:sz w:val="20"/>
                <w:szCs w:val="20"/>
                <w:lang w:val="en-GB"/>
              </w:rPr>
              <w:t>*</w:t>
            </w:r>
            <w:r w:rsidR="00A90BB6" w:rsidRPr="00F85DCF">
              <w:rPr>
                <w:sz w:val="20"/>
                <w:szCs w:val="20"/>
                <w:lang w:val="en-GB" w:eastAsia="en-AU"/>
              </w:rPr>
              <w:t>0.05 </w:t>
            </w:r>
            <w:r w:rsidRPr="00F85DCF">
              <w:rPr>
                <w:sz w:val="20"/>
                <w:szCs w:val="20"/>
                <w:lang w:val="en-GB"/>
              </w:rPr>
              <w:t>mg/kg (</w:t>
            </w:r>
            <w:r w:rsidR="009A6EC9" w:rsidRPr="00F85DCF">
              <w:rPr>
                <w:sz w:val="20"/>
                <w:szCs w:val="20"/>
                <w:lang w:val="en-GB" w:eastAsia="en-AU"/>
              </w:rPr>
              <w:t>b</w:t>
            </w:r>
            <w:r w:rsidRPr="00F85DCF">
              <w:rPr>
                <w:sz w:val="20"/>
                <w:szCs w:val="20"/>
                <w:lang w:val="en-GB" w:eastAsia="en-AU"/>
              </w:rPr>
              <w:t xml:space="preserve">rassica (cole or cabbage) vegetables, </w:t>
            </w:r>
            <w:r w:rsidR="009A6EC9" w:rsidRPr="00F85DCF">
              <w:rPr>
                <w:sz w:val="20"/>
                <w:szCs w:val="20"/>
                <w:lang w:val="en-GB" w:eastAsia="en-AU"/>
              </w:rPr>
              <w:t>h</w:t>
            </w:r>
            <w:r w:rsidRPr="00F85DCF">
              <w:rPr>
                <w:sz w:val="20"/>
                <w:szCs w:val="20"/>
                <w:lang w:val="en-GB" w:eastAsia="en-AU"/>
              </w:rPr>
              <w:t xml:space="preserve">ead cabbages, </w:t>
            </w:r>
            <w:r w:rsidR="009A6EC9" w:rsidRPr="00F85DCF">
              <w:rPr>
                <w:sz w:val="20"/>
                <w:szCs w:val="20"/>
                <w:lang w:val="en-GB" w:eastAsia="en-AU"/>
              </w:rPr>
              <w:t>f</w:t>
            </w:r>
            <w:r w:rsidRPr="00F85DCF">
              <w:rPr>
                <w:sz w:val="20"/>
                <w:szCs w:val="20"/>
                <w:lang w:val="en-GB" w:eastAsia="en-AU"/>
              </w:rPr>
              <w:t>lowerhead brassica</w:t>
            </w:r>
            <w:r w:rsidRPr="00F85DCF">
              <w:rPr>
                <w:sz w:val="20"/>
                <w:szCs w:val="20"/>
                <w:lang w:val="en-GB"/>
              </w:rPr>
              <w:t xml:space="preserve">) to </w:t>
            </w:r>
            <w:r w:rsidRPr="00F85DCF">
              <w:rPr>
                <w:sz w:val="20"/>
                <w:szCs w:val="20"/>
                <w:lang w:val="en-GB" w:eastAsia="en-AU"/>
              </w:rPr>
              <w:t xml:space="preserve">5 </w:t>
            </w:r>
            <w:r w:rsidRPr="00F85DCF">
              <w:rPr>
                <w:sz w:val="20"/>
                <w:szCs w:val="20"/>
                <w:lang w:val="en-GB"/>
              </w:rPr>
              <w:t>mg/kg (</w:t>
            </w:r>
            <w:r w:rsidR="009A6EC9" w:rsidRPr="00F85DCF">
              <w:rPr>
                <w:sz w:val="20"/>
                <w:szCs w:val="20"/>
                <w:lang w:val="en-GB" w:eastAsia="en-AU"/>
              </w:rPr>
              <w:t>t</w:t>
            </w:r>
            <w:r w:rsidRPr="00F85DCF">
              <w:rPr>
                <w:sz w:val="20"/>
                <w:szCs w:val="20"/>
                <w:lang w:val="en-GB" w:eastAsia="en-AU"/>
              </w:rPr>
              <w:t xml:space="preserve">ea, green, black; </w:t>
            </w:r>
            <w:r w:rsidR="009A6EC9" w:rsidRPr="00F85DCF">
              <w:rPr>
                <w:sz w:val="20"/>
                <w:szCs w:val="20"/>
                <w:lang w:val="en-GB" w:eastAsia="en-AU"/>
              </w:rPr>
              <w:t>w</w:t>
            </w:r>
            <w:r w:rsidRPr="00F85DCF">
              <w:rPr>
                <w:sz w:val="20"/>
                <w:szCs w:val="20"/>
                <w:lang w:val="en-GB" w:eastAsia="en-AU"/>
              </w:rPr>
              <w:t xml:space="preserve">heat bran, unprocessed; and </w:t>
            </w:r>
            <w:r w:rsidR="009A6EC9" w:rsidRPr="00F85DCF">
              <w:rPr>
                <w:sz w:val="20"/>
                <w:szCs w:val="20"/>
                <w:lang w:val="en-GB" w:eastAsia="en-AU"/>
              </w:rPr>
              <w:t>w</w:t>
            </w:r>
            <w:r w:rsidRPr="00F85DCF">
              <w:rPr>
                <w:sz w:val="20"/>
                <w:szCs w:val="20"/>
                <w:lang w:val="en-GB" w:eastAsia="en-AU"/>
              </w:rPr>
              <w:t>heat germ</w:t>
            </w:r>
            <w:r w:rsidRPr="00F85DCF">
              <w:rPr>
                <w:sz w:val="20"/>
                <w:szCs w:val="20"/>
                <w:lang w:val="en-GB"/>
              </w:rPr>
              <w:t>). Where * ind</w:t>
            </w:r>
            <w:r w:rsidR="000F1D24" w:rsidRPr="00F85DCF">
              <w:rPr>
                <w:sz w:val="20"/>
                <w:szCs w:val="20"/>
                <w:lang w:val="en-GB"/>
              </w:rPr>
              <w:t>icates MRL set at or about LOQ.</w:t>
            </w:r>
          </w:p>
        </w:tc>
      </w:tr>
      <w:tr w:rsidR="00834FF8" w:rsidRPr="00F85DCF" w14:paraId="7622A9BE" w14:textId="77777777" w:rsidTr="005C01CC">
        <w:tc>
          <w:tcPr>
            <w:tcW w:w="3545" w:type="dxa"/>
            <w:vAlign w:val="center"/>
          </w:tcPr>
          <w:p w14:paraId="4A68C2B7" w14:textId="3C2D5974" w:rsidR="00834FF8" w:rsidRPr="00F85DCF" w:rsidRDefault="00834FF8" w:rsidP="000F1D24">
            <w:pPr>
              <w:rPr>
                <w:sz w:val="20"/>
                <w:szCs w:val="20"/>
                <w:lang w:val="en-GB" w:eastAsia="en-AU"/>
              </w:rPr>
            </w:pPr>
            <w:r w:rsidRPr="00F85DCF">
              <w:rPr>
                <w:sz w:val="20"/>
                <w:szCs w:val="20"/>
                <w:lang w:val="en-GB" w:eastAsia="en-AU"/>
              </w:rPr>
              <w:t xml:space="preserve">Lowest </w:t>
            </w:r>
            <w:r w:rsidR="000F1D24"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3002CA96" w14:textId="78159126" w:rsidR="00834FF8" w:rsidRPr="00F85DCF" w:rsidRDefault="00834FF8" w:rsidP="000F1D24">
            <w:pPr>
              <w:rPr>
                <w:sz w:val="20"/>
                <w:szCs w:val="20"/>
                <w:lang w:val="en-GB"/>
              </w:rPr>
            </w:pPr>
            <w:r w:rsidRPr="00F85DCF">
              <w:rPr>
                <w:sz w:val="20"/>
                <w:szCs w:val="20"/>
                <w:lang w:val="en-GB" w:eastAsia="en-AU"/>
              </w:rPr>
              <w:t xml:space="preserve">0.1 </w:t>
            </w:r>
            <w:r w:rsidRPr="00F85DCF">
              <w:rPr>
                <w:sz w:val="20"/>
                <w:szCs w:val="20"/>
                <w:lang w:val="en-GB"/>
              </w:rPr>
              <w:t>mg/kg (</w:t>
            </w:r>
            <w:r w:rsidR="00384E76" w:rsidRPr="00F85DCF">
              <w:rPr>
                <w:sz w:val="20"/>
                <w:lang w:val="en-GB" w:eastAsia="en-AU"/>
              </w:rPr>
              <w:t>f</w:t>
            </w:r>
            <w:r w:rsidRPr="00F85DCF">
              <w:rPr>
                <w:sz w:val="20"/>
                <w:lang w:val="en-GB" w:eastAsia="en-AU"/>
              </w:rPr>
              <w:t>ruiting</w:t>
            </w:r>
            <w:r w:rsidRPr="00F85DCF">
              <w:rPr>
                <w:sz w:val="20"/>
                <w:szCs w:val="20"/>
                <w:lang w:val="en-GB" w:eastAsia="en-AU"/>
              </w:rPr>
              <w:t xml:space="preserve"> vegetables, other than </w:t>
            </w:r>
            <w:r w:rsidR="00384E76" w:rsidRPr="00F85DCF">
              <w:rPr>
                <w:sz w:val="20"/>
                <w:lang w:val="en-GB" w:eastAsia="en-AU"/>
              </w:rPr>
              <w:t>c</w:t>
            </w:r>
            <w:r w:rsidRPr="00F85DCF">
              <w:rPr>
                <w:sz w:val="20"/>
                <w:lang w:val="en-GB" w:eastAsia="en-AU"/>
              </w:rPr>
              <w:t xml:space="preserve">ucurbits; </w:t>
            </w:r>
            <w:r w:rsidR="00384E76" w:rsidRPr="00F85DCF">
              <w:rPr>
                <w:sz w:val="20"/>
                <w:lang w:val="en-GB" w:eastAsia="en-AU"/>
              </w:rPr>
              <w:t>l</w:t>
            </w:r>
            <w:r w:rsidRPr="00F85DCF">
              <w:rPr>
                <w:sz w:val="20"/>
                <w:lang w:val="en-GB" w:eastAsia="en-AU"/>
              </w:rPr>
              <w:t>egume</w:t>
            </w:r>
            <w:r w:rsidRPr="00F85DCF">
              <w:rPr>
                <w:sz w:val="20"/>
                <w:szCs w:val="20"/>
                <w:lang w:val="en-GB" w:eastAsia="en-AU"/>
              </w:rPr>
              <w:t xml:space="preserve"> vegetables; </w:t>
            </w:r>
            <w:r w:rsidR="00384E76" w:rsidRPr="00F85DCF">
              <w:rPr>
                <w:sz w:val="20"/>
                <w:lang w:val="en-GB" w:eastAsia="en-AU"/>
              </w:rPr>
              <w:t>o</w:t>
            </w:r>
            <w:r w:rsidRPr="00F85DCF">
              <w:rPr>
                <w:sz w:val="20"/>
                <w:lang w:val="en-GB" w:eastAsia="en-AU"/>
              </w:rPr>
              <w:t xml:space="preserve">ilseed; </w:t>
            </w:r>
            <w:r w:rsidR="00384E76" w:rsidRPr="00F85DCF">
              <w:rPr>
                <w:sz w:val="20"/>
                <w:lang w:val="en-GB" w:eastAsia="en-AU"/>
              </w:rPr>
              <w:t>p</w:t>
            </w:r>
            <w:r w:rsidRPr="00F85DCF">
              <w:rPr>
                <w:sz w:val="20"/>
                <w:lang w:val="en-GB" w:eastAsia="en-AU"/>
              </w:rPr>
              <w:t>ulses</w:t>
            </w:r>
            <w:r w:rsidRPr="00F85DCF">
              <w:rPr>
                <w:sz w:val="20"/>
                <w:szCs w:val="20"/>
                <w:lang w:val="en-GB" w:eastAsia="en-AU"/>
              </w:rPr>
              <w:t xml:space="preserve">; and </w:t>
            </w:r>
            <w:r w:rsidR="00384E76" w:rsidRPr="00F85DCF">
              <w:rPr>
                <w:sz w:val="20"/>
                <w:lang w:val="en-GB" w:eastAsia="en-AU"/>
              </w:rPr>
              <w:t>s</w:t>
            </w:r>
            <w:r w:rsidRPr="00F85DCF">
              <w:rPr>
                <w:sz w:val="20"/>
                <w:lang w:val="en-GB" w:eastAsia="en-AU"/>
              </w:rPr>
              <w:t>weet</w:t>
            </w:r>
            <w:r w:rsidRPr="00F85DCF">
              <w:rPr>
                <w:sz w:val="20"/>
                <w:szCs w:val="20"/>
                <w:lang w:val="en-GB" w:eastAsia="en-AU"/>
              </w:rPr>
              <w:t xml:space="preserve"> corn (kernels)</w:t>
            </w:r>
            <w:r w:rsidRPr="00F85DCF">
              <w:rPr>
                <w:sz w:val="20"/>
                <w:szCs w:val="20"/>
                <w:lang w:val="en-GB"/>
              </w:rPr>
              <w:t>)</w:t>
            </w:r>
          </w:p>
        </w:tc>
      </w:tr>
      <w:tr w:rsidR="00834FF8" w:rsidRPr="00F85DCF" w14:paraId="5D479132" w14:textId="77777777" w:rsidTr="005C01CC">
        <w:tc>
          <w:tcPr>
            <w:tcW w:w="3545" w:type="dxa"/>
            <w:vAlign w:val="center"/>
          </w:tcPr>
          <w:p w14:paraId="2AD6C247" w14:textId="783D7C7D" w:rsidR="00834FF8" w:rsidRPr="00F85DCF" w:rsidRDefault="00834FF8" w:rsidP="000F1D24">
            <w:pPr>
              <w:rPr>
                <w:sz w:val="20"/>
                <w:szCs w:val="20"/>
                <w:lang w:val="en-GB" w:eastAsia="en-AU"/>
              </w:rPr>
            </w:pPr>
            <w:r w:rsidRPr="00F85DCF">
              <w:rPr>
                <w:sz w:val="20"/>
                <w:szCs w:val="20"/>
                <w:lang w:val="en-GB" w:eastAsia="en-AU"/>
              </w:rPr>
              <w:t>Most relevant reference point to minimi</w:t>
            </w:r>
            <w:r w:rsidR="00A90BB6" w:rsidRPr="00F85DCF">
              <w:rPr>
                <w:sz w:val="20"/>
                <w:szCs w:val="20"/>
                <w:lang w:val="en-GB" w:eastAsia="en-AU"/>
              </w:rPr>
              <w:t>s</w:t>
            </w:r>
            <w:r w:rsidRPr="00F85DCF">
              <w:rPr>
                <w:sz w:val="20"/>
                <w:szCs w:val="20"/>
                <w:lang w:val="en-GB" w:eastAsia="en-AU"/>
              </w:rPr>
              <w:t>e off-label use</w:t>
            </w:r>
          </w:p>
        </w:tc>
        <w:tc>
          <w:tcPr>
            <w:tcW w:w="6520" w:type="dxa"/>
            <w:vAlign w:val="center"/>
          </w:tcPr>
          <w:p w14:paraId="0BE7F8FC" w14:textId="264D294A" w:rsidR="00834FF8" w:rsidRPr="00F85DCF" w:rsidRDefault="00834FF8" w:rsidP="000F1D24">
            <w:pPr>
              <w:rPr>
                <w:sz w:val="20"/>
                <w:szCs w:val="20"/>
                <w:lang w:val="en-GB"/>
              </w:rPr>
            </w:pPr>
            <w:r w:rsidRPr="00F85DCF">
              <w:rPr>
                <w:sz w:val="20"/>
                <w:szCs w:val="20"/>
                <w:lang w:val="en-GB" w:eastAsia="en-AU"/>
              </w:rPr>
              <w:t xml:space="preserve">0.1 </w:t>
            </w:r>
            <w:r w:rsidRPr="00F85DCF">
              <w:rPr>
                <w:sz w:val="20"/>
                <w:szCs w:val="20"/>
                <w:lang w:val="en-GB"/>
              </w:rPr>
              <w:t xml:space="preserve">mg/kg </w:t>
            </w:r>
          </w:p>
        </w:tc>
      </w:tr>
      <w:tr w:rsidR="00834FF8" w:rsidRPr="00F85DCF" w14:paraId="19E6CC9A" w14:textId="77777777" w:rsidTr="005C01CC">
        <w:tc>
          <w:tcPr>
            <w:tcW w:w="3545" w:type="dxa"/>
            <w:vAlign w:val="center"/>
          </w:tcPr>
          <w:p w14:paraId="1D9A071A" w14:textId="77777777" w:rsidR="00834FF8" w:rsidRPr="00F85DCF" w:rsidRDefault="00834FF8" w:rsidP="000F1D24">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390F456A" w14:textId="60A41947" w:rsidR="00834FF8" w:rsidRPr="00F85DCF" w:rsidRDefault="00834FF8" w:rsidP="000F1D24">
            <w:pPr>
              <w:rPr>
                <w:sz w:val="20"/>
                <w:szCs w:val="20"/>
                <w:lang w:val="en-GB"/>
              </w:rPr>
            </w:pPr>
            <w:r w:rsidRPr="00F85DCF">
              <w:rPr>
                <w:sz w:val="20"/>
                <w:szCs w:val="20"/>
                <w:lang w:val="en-GB" w:eastAsia="en-AU"/>
              </w:rPr>
              <w:t>69</w:t>
            </w:r>
            <w:r w:rsidRPr="00F85DCF">
              <w:rPr>
                <w:sz w:val="20"/>
                <w:szCs w:val="20"/>
                <w:lang w:val="en-GB"/>
              </w:rPr>
              <w:t>% of the ADI</w:t>
            </w:r>
            <w:r w:rsidR="002202EF" w:rsidRPr="00F85DCF">
              <w:rPr>
                <w:sz w:val="20"/>
                <w:szCs w:val="20"/>
                <w:lang w:val="en-GB"/>
              </w:rPr>
              <w:t>.</w:t>
            </w:r>
          </w:p>
        </w:tc>
      </w:tr>
      <w:tr w:rsidR="00834FF8" w:rsidRPr="00F85DCF" w14:paraId="737CA44F" w14:textId="77777777" w:rsidTr="005C01CC">
        <w:tc>
          <w:tcPr>
            <w:tcW w:w="3545" w:type="dxa"/>
            <w:vAlign w:val="center"/>
          </w:tcPr>
          <w:p w14:paraId="4643E24C" w14:textId="2EA5BAE7" w:rsidR="00834FF8" w:rsidRPr="00F85DCF" w:rsidRDefault="00834FF8" w:rsidP="00C13F7F">
            <w:pPr>
              <w:rPr>
                <w:sz w:val="20"/>
                <w:szCs w:val="20"/>
                <w:lang w:val="en-GB"/>
              </w:rPr>
            </w:pPr>
            <w:r w:rsidRPr="00F85DCF">
              <w:rPr>
                <w:sz w:val="20"/>
                <w:szCs w:val="20"/>
                <w:lang w:val="en-GB"/>
              </w:rPr>
              <w:t xml:space="preserve">Proposed </w:t>
            </w:r>
            <w:r w:rsidR="00C13F7F" w:rsidRPr="00F85DCF">
              <w:rPr>
                <w:i/>
                <w:sz w:val="20"/>
                <w:szCs w:val="20"/>
                <w:lang w:val="en-GB"/>
              </w:rPr>
              <w:t>A</w:t>
            </w:r>
            <w:r w:rsidR="00932F20" w:rsidRPr="00F85DCF">
              <w:rPr>
                <w:i/>
                <w:sz w:val="20"/>
                <w:szCs w:val="20"/>
                <w:lang w:val="en-GB"/>
              </w:rPr>
              <w:t xml:space="preserve">ll other foods </w:t>
            </w:r>
            <w:r w:rsidR="0003601D" w:rsidRPr="00F85DCF">
              <w:rPr>
                <w:i/>
                <w:sz w:val="20"/>
                <w:szCs w:val="20"/>
                <w:lang w:val="en-GB"/>
              </w:rPr>
              <w:t xml:space="preserve">except animal </w:t>
            </w:r>
            <w:r w:rsidR="0066411D">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0C07E7" w:rsidRPr="00F85DCF">
              <w:rPr>
                <w:sz w:val="20"/>
                <w:szCs w:val="20"/>
                <w:lang w:val="en-GB"/>
              </w:rPr>
              <w:t xml:space="preserve"> </w:t>
            </w:r>
          </w:p>
        </w:tc>
        <w:tc>
          <w:tcPr>
            <w:tcW w:w="6520" w:type="dxa"/>
            <w:vAlign w:val="center"/>
          </w:tcPr>
          <w:p w14:paraId="354D59D9" w14:textId="7BD441A9" w:rsidR="00834FF8" w:rsidRPr="00F85DCF" w:rsidRDefault="00834FF8" w:rsidP="000F1D24">
            <w:pPr>
              <w:rPr>
                <w:sz w:val="20"/>
                <w:szCs w:val="20"/>
                <w:lang w:val="en-GB"/>
              </w:rPr>
            </w:pPr>
            <w:r w:rsidRPr="00F85DCF">
              <w:rPr>
                <w:sz w:val="20"/>
                <w:szCs w:val="20"/>
                <w:lang w:val="en-GB"/>
              </w:rPr>
              <w:t>0.</w:t>
            </w:r>
            <w:r w:rsidR="003A5CDE" w:rsidRPr="00F85DCF">
              <w:rPr>
                <w:sz w:val="20"/>
                <w:szCs w:val="20"/>
                <w:lang w:val="en-GB"/>
              </w:rPr>
              <w:t xml:space="preserve">05 </w:t>
            </w:r>
            <w:r w:rsidRPr="00F85DCF">
              <w:rPr>
                <w:sz w:val="20"/>
                <w:szCs w:val="20"/>
                <w:lang w:val="en-GB"/>
              </w:rPr>
              <w:t>mg/kg</w:t>
            </w:r>
            <w:r w:rsidR="00F82803" w:rsidRPr="00F85DCF">
              <w:rPr>
                <w:sz w:val="20"/>
                <w:szCs w:val="20"/>
                <w:lang w:val="en-GB"/>
              </w:rPr>
              <w:t xml:space="preserve"> </w:t>
            </w:r>
          </w:p>
        </w:tc>
      </w:tr>
      <w:tr w:rsidR="00834FF8" w:rsidRPr="00F85DCF" w14:paraId="76211F1F" w14:textId="77777777" w:rsidTr="005C01CC">
        <w:tc>
          <w:tcPr>
            <w:tcW w:w="3545" w:type="dxa"/>
            <w:vAlign w:val="center"/>
          </w:tcPr>
          <w:p w14:paraId="5D75C82F" w14:textId="54D37A4A" w:rsidR="00834FF8" w:rsidRPr="00F85DCF" w:rsidRDefault="00834FF8" w:rsidP="00C13F7F">
            <w:pPr>
              <w:rPr>
                <w:sz w:val="20"/>
                <w:szCs w:val="20"/>
                <w:lang w:val="en-GB"/>
              </w:rPr>
            </w:pPr>
            <w:r w:rsidRPr="00F85DCF">
              <w:rPr>
                <w:sz w:val="20"/>
                <w:szCs w:val="20"/>
                <w:lang w:val="en-GB" w:eastAsia="en-AU"/>
              </w:rPr>
              <w:t xml:space="preserve">NEDI including </w:t>
            </w:r>
            <w:r w:rsidR="00C13F7F" w:rsidRPr="00F85DCF">
              <w:rPr>
                <w:i/>
                <w:sz w:val="20"/>
                <w:szCs w:val="20"/>
                <w:lang w:val="en-GB" w:eastAsia="en-AU"/>
              </w:rPr>
              <w:t>A</w:t>
            </w:r>
            <w:r w:rsidR="00932F20" w:rsidRPr="00F85DCF">
              <w:rPr>
                <w:i/>
                <w:sz w:val="20"/>
                <w:szCs w:val="20"/>
                <w:lang w:val="en-GB" w:eastAsia="en-AU"/>
              </w:rPr>
              <w:t xml:space="preserve">ll other foods </w:t>
            </w:r>
            <w:r w:rsidR="0003601D" w:rsidRPr="00F85DCF">
              <w:rPr>
                <w:i/>
                <w:sz w:val="20"/>
                <w:szCs w:val="20"/>
                <w:lang w:val="en-GB" w:eastAsia="en-AU"/>
              </w:rPr>
              <w:t xml:space="preserve">except animal </w:t>
            </w:r>
            <w:r w:rsidR="00870DA7">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0A8D9F33" w14:textId="5E5B121A" w:rsidR="00834FF8" w:rsidRPr="00F85DCF" w:rsidRDefault="003A5CDE" w:rsidP="000F1D24">
            <w:pPr>
              <w:rPr>
                <w:sz w:val="20"/>
                <w:szCs w:val="20"/>
                <w:lang w:val="en-GB"/>
              </w:rPr>
            </w:pPr>
            <w:r w:rsidRPr="00F85DCF">
              <w:rPr>
                <w:sz w:val="20"/>
                <w:szCs w:val="20"/>
                <w:lang w:val="en-GB" w:eastAsia="en-AU"/>
              </w:rPr>
              <w:t>86</w:t>
            </w:r>
            <w:r w:rsidR="00834FF8" w:rsidRPr="00F85DCF">
              <w:rPr>
                <w:sz w:val="20"/>
                <w:szCs w:val="20"/>
                <w:lang w:val="en-GB" w:eastAsia="en-AU"/>
              </w:rPr>
              <w:t xml:space="preserve">% of the ADI. </w:t>
            </w:r>
          </w:p>
        </w:tc>
      </w:tr>
      <w:tr w:rsidR="00834FF8" w:rsidRPr="00F85DCF" w14:paraId="0526A5B9" w14:textId="77777777" w:rsidTr="005C01CC">
        <w:tc>
          <w:tcPr>
            <w:tcW w:w="3545" w:type="dxa"/>
            <w:vAlign w:val="center"/>
          </w:tcPr>
          <w:p w14:paraId="6FB3DFEB" w14:textId="41150F9E" w:rsidR="00834FF8" w:rsidRPr="00F85DCF" w:rsidRDefault="00E46481" w:rsidP="00C13F7F">
            <w:pPr>
              <w:rPr>
                <w:sz w:val="20"/>
                <w:szCs w:val="20"/>
                <w:lang w:val="en-GB" w:eastAsia="en-AU"/>
              </w:rPr>
            </w:pPr>
            <w:r w:rsidRPr="00F85DCF">
              <w:rPr>
                <w:sz w:val="20"/>
                <w:szCs w:val="20"/>
                <w:lang w:val="en-GB" w:eastAsia="en-AU"/>
              </w:rPr>
              <w:t xml:space="preserve">Percentage contribution of </w:t>
            </w:r>
            <w:r w:rsidR="00C13F7F" w:rsidRPr="00F85DCF">
              <w:rPr>
                <w:i/>
                <w:sz w:val="20"/>
                <w:lang w:val="en-GB" w:eastAsia="en-AU"/>
              </w:rPr>
              <w:t>A</w:t>
            </w:r>
            <w:r w:rsidR="00932F20" w:rsidRPr="00F85DCF">
              <w:rPr>
                <w:i/>
                <w:sz w:val="20"/>
                <w:lang w:val="en-GB" w:eastAsia="en-AU"/>
              </w:rPr>
              <w:t xml:space="preserve">ll other foods </w:t>
            </w:r>
            <w:r w:rsidR="0003601D" w:rsidRPr="00F85DCF">
              <w:rPr>
                <w:i/>
                <w:sz w:val="20"/>
                <w:lang w:val="en-GB" w:eastAsia="en-AU"/>
              </w:rPr>
              <w:t xml:space="preserve">except animal </w:t>
            </w:r>
            <w:r w:rsidR="0066411D">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A90BB6"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62A23DB8" w14:textId="5007450B" w:rsidR="00834FF8" w:rsidRPr="00F85DCF" w:rsidRDefault="002202EF" w:rsidP="00870DA7">
            <w:pPr>
              <w:rPr>
                <w:sz w:val="20"/>
                <w:szCs w:val="20"/>
                <w:lang w:val="en-GB" w:eastAsia="en-AU"/>
              </w:rPr>
            </w:pPr>
            <w:r w:rsidRPr="00F85DCF">
              <w:rPr>
                <w:sz w:val="20"/>
                <w:szCs w:val="20"/>
                <w:lang w:val="en-GB" w:eastAsia="en-AU"/>
              </w:rPr>
              <w:t xml:space="preserve">An </w:t>
            </w:r>
            <w:r w:rsidR="00C13F7F" w:rsidRPr="00F85DCF">
              <w:rPr>
                <w:i/>
                <w:sz w:val="20"/>
                <w:szCs w:val="20"/>
                <w:lang w:val="en-GB" w:eastAsia="en-AU"/>
              </w:rPr>
              <w:t>A</w:t>
            </w:r>
            <w:r w:rsidR="00932F20"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w:t>
            </w:r>
            <w:r w:rsidR="00834FF8" w:rsidRPr="00F85DCF">
              <w:rPr>
                <w:sz w:val="20"/>
                <w:szCs w:val="20"/>
                <w:lang w:val="en-GB" w:eastAsia="en-AU"/>
              </w:rPr>
              <w:t xml:space="preserve">MRL </w:t>
            </w:r>
            <w:r w:rsidRPr="00F85DCF">
              <w:rPr>
                <w:sz w:val="20"/>
                <w:szCs w:val="20"/>
                <w:lang w:val="en-GB" w:eastAsia="en-AU"/>
              </w:rPr>
              <w:t>set at</w:t>
            </w:r>
            <w:r w:rsidR="00834FF8" w:rsidRPr="00F85DCF">
              <w:rPr>
                <w:sz w:val="20"/>
                <w:szCs w:val="20"/>
                <w:lang w:val="en-GB" w:eastAsia="en-AU"/>
              </w:rPr>
              <w:t xml:space="preserve"> 0.05 mg/kg </w:t>
            </w:r>
            <w:r w:rsidR="003A5CDE" w:rsidRPr="00F85DCF">
              <w:rPr>
                <w:sz w:val="20"/>
                <w:szCs w:val="20"/>
                <w:lang w:val="en-GB" w:eastAsia="en-AU"/>
              </w:rPr>
              <w:t>contributes</w:t>
            </w:r>
            <w:r w:rsidR="00D7195E" w:rsidRPr="00F85DCF">
              <w:rPr>
                <w:sz w:val="20"/>
                <w:szCs w:val="20"/>
                <w:lang w:val="en-GB" w:eastAsia="en-AU"/>
              </w:rPr>
              <w:t xml:space="preserve"> 19% </w:t>
            </w:r>
            <w:r w:rsidR="00A90BB6" w:rsidRPr="00F85DCF">
              <w:rPr>
                <w:sz w:val="20"/>
                <w:szCs w:val="20"/>
                <w:lang w:val="en-GB" w:eastAsia="en-AU"/>
              </w:rPr>
              <w:t>to</w:t>
            </w:r>
            <w:r w:rsidR="00D7195E" w:rsidRPr="00F85DCF">
              <w:rPr>
                <w:sz w:val="20"/>
                <w:szCs w:val="20"/>
                <w:lang w:val="en-GB" w:eastAsia="en-AU"/>
              </w:rPr>
              <w:t xml:space="preserve"> total </w:t>
            </w:r>
            <w:r w:rsidR="00834FF8" w:rsidRPr="00F85DCF">
              <w:rPr>
                <w:sz w:val="20"/>
                <w:szCs w:val="20"/>
                <w:lang w:val="en-GB" w:eastAsia="en-AU"/>
              </w:rPr>
              <w:t>dietary exposure</w:t>
            </w:r>
            <w:r w:rsidR="00D7195E" w:rsidRPr="00F85DCF">
              <w:rPr>
                <w:sz w:val="20"/>
                <w:szCs w:val="20"/>
                <w:lang w:val="en-GB" w:eastAsia="en-AU"/>
              </w:rPr>
              <w:t>.</w:t>
            </w:r>
          </w:p>
        </w:tc>
      </w:tr>
      <w:tr w:rsidR="00A90BB6" w:rsidRPr="00F85DCF" w14:paraId="2E5B966F" w14:textId="77777777" w:rsidTr="005C01CC">
        <w:tc>
          <w:tcPr>
            <w:tcW w:w="3545" w:type="dxa"/>
            <w:vMerge w:val="restart"/>
            <w:vAlign w:val="center"/>
          </w:tcPr>
          <w:p w14:paraId="0DB7E08F" w14:textId="0CAF4042" w:rsidR="00A90BB6" w:rsidRPr="00F85DCF" w:rsidRDefault="00A90BB6" w:rsidP="000F1D24">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622E8971" w14:textId="0379389B" w:rsidR="00A90BB6" w:rsidRPr="00F85DCF" w:rsidRDefault="00A90BB6" w:rsidP="000F1D24">
            <w:pPr>
              <w:rPr>
                <w:sz w:val="20"/>
                <w:szCs w:val="20"/>
                <w:lang w:val="en-GB"/>
              </w:rPr>
            </w:pPr>
            <w:r w:rsidRPr="00F85DCF">
              <w:rPr>
                <w:sz w:val="20"/>
                <w:szCs w:val="20"/>
                <w:lang w:val="en-GB" w:eastAsia="en-AU"/>
              </w:rPr>
              <w:t xml:space="preserve">Children 2-6 years of age (worse case - pineapples), &lt;1% of the ARfD. </w:t>
            </w:r>
          </w:p>
        </w:tc>
      </w:tr>
      <w:tr w:rsidR="00A90BB6" w:rsidRPr="00F85DCF" w14:paraId="3B0EDDA7" w14:textId="77777777" w:rsidTr="005C01CC">
        <w:tc>
          <w:tcPr>
            <w:tcW w:w="3545" w:type="dxa"/>
            <w:vMerge/>
            <w:vAlign w:val="center"/>
          </w:tcPr>
          <w:p w14:paraId="552F8E6D" w14:textId="0DC8DFB4" w:rsidR="00A90BB6" w:rsidRPr="00F85DCF" w:rsidRDefault="00A90BB6" w:rsidP="000F1D24">
            <w:pPr>
              <w:rPr>
                <w:sz w:val="20"/>
                <w:szCs w:val="20"/>
                <w:lang w:val="en-GB" w:eastAsia="en-AU"/>
              </w:rPr>
            </w:pPr>
          </w:p>
        </w:tc>
        <w:tc>
          <w:tcPr>
            <w:tcW w:w="6520" w:type="dxa"/>
            <w:vAlign w:val="center"/>
          </w:tcPr>
          <w:p w14:paraId="1C77CD62" w14:textId="3307F0FD" w:rsidR="00A90BB6" w:rsidRPr="00F85DCF" w:rsidRDefault="00A90BB6" w:rsidP="000F1D24">
            <w:pPr>
              <w:rPr>
                <w:sz w:val="20"/>
                <w:szCs w:val="20"/>
                <w:lang w:val="en-GB"/>
              </w:rPr>
            </w:pPr>
            <w:r w:rsidRPr="00F85DCF">
              <w:rPr>
                <w:sz w:val="20"/>
                <w:szCs w:val="20"/>
                <w:lang w:val="en-GB" w:eastAsia="en-AU"/>
              </w:rPr>
              <w:t>Population aged 2 years and above (worse case –watermelon), &lt;1% of the ARfD.</w:t>
            </w:r>
          </w:p>
        </w:tc>
      </w:tr>
      <w:tr w:rsidR="00A90BB6" w:rsidRPr="00F85DCF" w14:paraId="69E6EB68" w14:textId="77777777" w:rsidTr="005C01CC">
        <w:tc>
          <w:tcPr>
            <w:tcW w:w="3545" w:type="dxa"/>
            <w:vAlign w:val="center"/>
          </w:tcPr>
          <w:p w14:paraId="36B05092" w14:textId="77777777" w:rsidR="00A90BB6" w:rsidRPr="00F85DCF" w:rsidRDefault="00A90BB6" w:rsidP="000F1D24">
            <w:pPr>
              <w:rPr>
                <w:sz w:val="20"/>
                <w:szCs w:val="20"/>
                <w:lang w:val="en-GB" w:eastAsia="en-AU"/>
              </w:rPr>
            </w:pPr>
            <w:r w:rsidRPr="00F85DCF">
              <w:rPr>
                <w:sz w:val="20"/>
                <w:szCs w:val="20"/>
                <w:lang w:val="en-GB" w:eastAsia="en-AU"/>
              </w:rPr>
              <w:t>Conclusion</w:t>
            </w:r>
          </w:p>
        </w:tc>
        <w:tc>
          <w:tcPr>
            <w:tcW w:w="6520" w:type="dxa"/>
            <w:vAlign w:val="center"/>
          </w:tcPr>
          <w:p w14:paraId="250FCAE1" w14:textId="1AA668EF" w:rsidR="00A90BB6" w:rsidRPr="00F85DCF" w:rsidRDefault="00A90BB6" w:rsidP="00C13F7F">
            <w:pPr>
              <w:rPr>
                <w:sz w:val="20"/>
                <w:szCs w:val="20"/>
                <w:lang w:val="en-GB" w:eastAsia="en-AU"/>
              </w:rPr>
            </w:pPr>
            <w:r w:rsidRPr="00F85DCF">
              <w:rPr>
                <w:sz w:val="20"/>
                <w:szCs w:val="20"/>
                <w:lang w:val="en-GB"/>
              </w:rPr>
              <w:t xml:space="preserve">After considering the principles set out above an </w:t>
            </w:r>
            <w:r w:rsidR="00C13F7F" w:rsidRPr="00F85DCF">
              <w:rPr>
                <w:b/>
                <w:i/>
                <w:sz w:val="20"/>
                <w:szCs w:val="20"/>
                <w:lang w:val="en-GB"/>
              </w:rPr>
              <w:t>A</w:t>
            </w:r>
            <w:r w:rsidR="00932F20" w:rsidRPr="00F85DCF">
              <w:rPr>
                <w:b/>
                <w:i/>
                <w:sz w:val="20"/>
                <w:szCs w:val="20"/>
                <w:lang w:val="en-GB"/>
              </w:rPr>
              <w:t xml:space="preserve">ll other foods </w:t>
            </w:r>
            <w:r w:rsidR="0003601D" w:rsidRPr="00F85DCF">
              <w:rPr>
                <w:b/>
                <w:i/>
                <w:sz w:val="20"/>
                <w:szCs w:val="20"/>
                <w:lang w:val="en-GB"/>
              </w:rPr>
              <w:t xml:space="preserve">except animal </w:t>
            </w:r>
            <w:r w:rsidR="0066411D">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0.05 </w:t>
            </w:r>
            <w:r w:rsidRPr="00F85DCF">
              <w:rPr>
                <w:b/>
                <w:sz w:val="20"/>
                <w:szCs w:val="20"/>
                <w:lang w:val="en-GB"/>
              </w:rPr>
              <w:t>mg/kg</w:t>
            </w:r>
            <w:r w:rsidRPr="00F85DCF">
              <w:rPr>
                <w:sz w:val="20"/>
                <w:szCs w:val="20"/>
                <w:lang w:val="en-GB"/>
              </w:rPr>
              <w:t xml:space="preserve"> for </w:t>
            </w:r>
            <w:r w:rsidRPr="00F85DCF">
              <w:rPr>
                <w:sz w:val="20"/>
                <w:szCs w:val="20"/>
                <w:lang w:val="en-GB" w:eastAsia="en-AU"/>
              </w:rPr>
              <w:t>Deltamethrin</w:t>
            </w:r>
            <w:r w:rsidRPr="00F85DCF">
              <w:rPr>
                <w:sz w:val="20"/>
                <w:szCs w:val="20"/>
                <w:lang w:val="en-GB"/>
              </w:rPr>
              <w:t xml:space="preserve"> is acceptable because it has been shown to be practical, adequately manages the risk of off-label use and does not increase the level of concern </w:t>
            </w:r>
            <w:r w:rsidR="005A4649" w:rsidRPr="00F85DCF">
              <w:rPr>
                <w:sz w:val="20"/>
                <w:szCs w:val="20"/>
                <w:lang w:val="en-GB"/>
              </w:rPr>
              <w:t>about</w:t>
            </w:r>
            <w:r w:rsidRPr="00F85DCF">
              <w:rPr>
                <w:sz w:val="20"/>
                <w:szCs w:val="20"/>
                <w:lang w:val="en-GB"/>
              </w:rPr>
              <w:t xml:space="preserve"> risk to public health</w:t>
            </w:r>
          </w:p>
        </w:tc>
      </w:tr>
    </w:tbl>
    <w:p w14:paraId="7FBCD868" w14:textId="77777777" w:rsidR="00D87CDC" w:rsidRPr="00F85DCF" w:rsidRDefault="00D87CDC" w:rsidP="00D87CDC">
      <w:pPr>
        <w:rPr>
          <w:rFonts w:eastAsiaTheme="majorEastAsia" w:cstheme="majorBidi"/>
          <w:szCs w:val="24"/>
          <w:lang w:val="en-GB" w:eastAsia="en-AU"/>
        </w:rPr>
      </w:pPr>
      <w:r w:rsidRPr="00F85DCF">
        <w:rPr>
          <w:lang w:val="en-GB"/>
        </w:rPr>
        <w:br w:type="page"/>
      </w:r>
    </w:p>
    <w:p w14:paraId="1C7E1BBA" w14:textId="3679F51B" w:rsidR="00F6750E" w:rsidRPr="00F85DCF" w:rsidRDefault="00F6750E" w:rsidP="005C01CC">
      <w:pPr>
        <w:pStyle w:val="Heading3"/>
      </w:pPr>
      <w:r w:rsidRPr="00F85DCF">
        <w:lastRenderedPageBreak/>
        <w:t>Fenhexamid</w:t>
      </w:r>
    </w:p>
    <w:tbl>
      <w:tblPr>
        <w:tblStyle w:val="TableGrid"/>
        <w:tblW w:w="9072" w:type="dxa"/>
        <w:tblLook w:val="04A0" w:firstRow="1" w:lastRow="0" w:firstColumn="1" w:lastColumn="0" w:noHBand="0" w:noVBand="1"/>
      </w:tblPr>
      <w:tblGrid>
        <w:gridCol w:w="3277"/>
        <w:gridCol w:w="5795"/>
      </w:tblGrid>
      <w:tr w:rsidR="00EA438B" w:rsidRPr="00F85DCF" w14:paraId="59A5E602" w14:textId="77777777" w:rsidTr="005C01CC">
        <w:tc>
          <w:tcPr>
            <w:tcW w:w="3545" w:type="dxa"/>
            <w:vAlign w:val="center"/>
          </w:tcPr>
          <w:p w14:paraId="4F9FF626" w14:textId="4E7CD785" w:rsidR="00EA438B"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46B2EFCA" w14:textId="77777777" w:rsidR="00EA438B" w:rsidRPr="00F85DCF" w:rsidRDefault="00EA438B" w:rsidP="00CA7859">
            <w:pPr>
              <w:rPr>
                <w:b/>
                <w:sz w:val="20"/>
                <w:szCs w:val="20"/>
                <w:lang w:val="en-GB" w:eastAsia="en-AU"/>
              </w:rPr>
            </w:pPr>
            <w:r w:rsidRPr="00F85DCF">
              <w:rPr>
                <w:b/>
                <w:sz w:val="20"/>
                <w:szCs w:val="20"/>
                <w:lang w:val="en-GB" w:eastAsia="en-AU"/>
              </w:rPr>
              <w:t>Comments</w:t>
            </w:r>
          </w:p>
        </w:tc>
      </w:tr>
      <w:tr w:rsidR="00EA438B" w:rsidRPr="00F85DCF" w14:paraId="730B6DA9" w14:textId="77777777" w:rsidTr="005C01CC">
        <w:tc>
          <w:tcPr>
            <w:tcW w:w="3545" w:type="dxa"/>
            <w:vAlign w:val="center"/>
          </w:tcPr>
          <w:p w14:paraId="4C75BB75" w14:textId="32CD93FA" w:rsidR="00EA438B"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5BA56473" w14:textId="77777777" w:rsidR="00EA438B" w:rsidRPr="00F85DCF" w:rsidRDefault="00EA438B" w:rsidP="00CA7859">
            <w:pPr>
              <w:rPr>
                <w:sz w:val="20"/>
                <w:szCs w:val="20"/>
                <w:lang w:val="en-GB"/>
              </w:rPr>
            </w:pPr>
            <w:r w:rsidRPr="00F85DCF">
              <w:rPr>
                <w:sz w:val="20"/>
                <w:szCs w:val="20"/>
                <w:lang w:val="en-GB" w:eastAsia="en-AU"/>
              </w:rPr>
              <w:t>0.01 mg/kg</w:t>
            </w:r>
          </w:p>
        </w:tc>
      </w:tr>
      <w:tr w:rsidR="00EA438B" w:rsidRPr="00F85DCF" w14:paraId="4402D8A8" w14:textId="77777777" w:rsidTr="005C01CC">
        <w:tc>
          <w:tcPr>
            <w:tcW w:w="3545" w:type="dxa"/>
            <w:vAlign w:val="center"/>
          </w:tcPr>
          <w:p w14:paraId="46E3BFE4" w14:textId="77777777" w:rsidR="00EA438B" w:rsidRPr="00F85DCF" w:rsidRDefault="00EA438B" w:rsidP="00CA7859">
            <w:pPr>
              <w:rPr>
                <w:sz w:val="20"/>
                <w:szCs w:val="20"/>
                <w:lang w:val="en-GB"/>
              </w:rPr>
            </w:pPr>
            <w:r w:rsidRPr="00F85DCF">
              <w:rPr>
                <w:sz w:val="20"/>
                <w:szCs w:val="20"/>
                <w:lang w:val="en-GB"/>
              </w:rPr>
              <w:t>Lowest plant commodity MRL</w:t>
            </w:r>
          </w:p>
        </w:tc>
        <w:tc>
          <w:tcPr>
            <w:tcW w:w="6520" w:type="dxa"/>
            <w:vAlign w:val="center"/>
          </w:tcPr>
          <w:p w14:paraId="2A456A11" w14:textId="20647986" w:rsidR="00EA438B" w:rsidRPr="00F85DCF" w:rsidRDefault="00EA438B" w:rsidP="00CA7859">
            <w:pPr>
              <w:rPr>
                <w:sz w:val="20"/>
                <w:szCs w:val="20"/>
                <w:lang w:val="en-GB"/>
              </w:rPr>
            </w:pPr>
            <w:r w:rsidRPr="00F85DCF">
              <w:rPr>
                <w:sz w:val="20"/>
                <w:szCs w:val="20"/>
                <w:lang w:val="en-GB" w:eastAsia="en-AU"/>
              </w:rPr>
              <w:t>1.5 mg/kg (</w:t>
            </w:r>
            <w:r w:rsidR="00E60C94" w:rsidRPr="00F85DCF">
              <w:rPr>
                <w:sz w:val="20"/>
                <w:lang w:val="en-GB" w:eastAsia="en-AU"/>
              </w:rPr>
              <w:t>p</w:t>
            </w:r>
            <w:r w:rsidRPr="00F85DCF">
              <w:rPr>
                <w:sz w:val="20"/>
                <w:lang w:val="en-GB" w:eastAsia="en-AU"/>
              </w:rPr>
              <w:t>lums</w:t>
            </w:r>
            <w:r w:rsidRPr="00F85DCF">
              <w:rPr>
                <w:sz w:val="20"/>
                <w:szCs w:val="20"/>
                <w:lang w:val="en-GB" w:eastAsia="en-AU"/>
              </w:rPr>
              <w:t xml:space="preserve"> (including prunes)</w:t>
            </w:r>
            <w:r w:rsidRPr="00F85DCF">
              <w:rPr>
                <w:sz w:val="20"/>
                <w:szCs w:val="20"/>
                <w:lang w:val="en-GB"/>
              </w:rPr>
              <w:t>)</w:t>
            </w:r>
          </w:p>
        </w:tc>
      </w:tr>
      <w:tr w:rsidR="00EA438B" w:rsidRPr="00F85DCF" w14:paraId="33441CE3" w14:textId="77777777" w:rsidTr="005C01CC">
        <w:tc>
          <w:tcPr>
            <w:tcW w:w="3545" w:type="dxa"/>
            <w:vAlign w:val="center"/>
          </w:tcPr>
          <w:p w14:paraId="4200E06E" w14:textId="3CF7AD7A" w:rsidR="00EA438B" w:rsidRPr="00F85DCF" w:rsidRDefault="00EB72A5" w:rsidP="00CA7859">
            <w:pPr>
              <w:rPr>
                <w:sz w:val="20"/>
                <w:szCs w:val="20"/>
                <w:lang w:val="en-GB"/>
              </w:rPr>
            </w:pPr>
            <w:r w:rsidRPr="00F85DCF">
              <w:rPr>
                <w:sz w:val="20"/>
                <w:szCs w:val="20"/>
                <w:lang w:val="en-GB" w:eastAsia="en-AU"/>
              </w:rPr>
              <w:t xml:space="preserve">Magnitude of existing </w:t>
            </w:r>
            <w:r w:rsidR="00CA7859"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65C0DF51" w14:textId="1D7D454F" w:rsidR="00EA438B" w:rsidRPr="00F85DCF" w:rsidRDefault="00EA438B" w:rsidP="00CA7859">
            <w:pPr>
              <w:rPr>
                <w:sz w:val="20"/>
                <w:szCs w:val="20"/>
                <w:lang w:val="en-GB"/>
              </w:rPr>
            </w:pPr>
            <w:r w:rsidRPr="00F85DCF">
              <w:rPr>
                <w:sz w:val="20"/>
                <w:szCs w:val="20"/>
                <w:lang w:val="en-GB"/>
              </w:rPr>
              <w:t xml:space="preserve">The range of existing MRLs </w:t>
            </w:r>
            <w:r w:rsidR="00207D70" w:rsidRPr="00F85DCF">
              <w:rPr>
                <w:sz w:val="20"/>
                <w:szCs w:val="20"/>
                <w:lang w:val="en-GB"/>
              </w:rPr>
              <w:t xml:space="preserve">is </w:t>
            </w:r>
            <w:r w:rsidR="00A07A9D" w:rsidRPr="00F85DCF">
              <w:rPr>
                <w:sz w:val="20"/>
                <w:szCs w:val="20"/>
                <w:lang w:val="en-GB" w:eastAsia="en-AU"/>
              </w:rPr>
              <w:t>1.5 </w:t>
            </w:r>
            <w:r w:rsidRPr="00F85DCF">
              <w:rPr>
                <w:sz w:val="20"/>
                <w:szCs w:val="20"/>
                <w:lang w:val="en-GB"/>
              </w:rPr>
              <w:t>mg/kg (</w:t>
            </w:r>
            <w:r w:rsidR="00E60C94" w:rsidRPr="00F85DCF">
              <w:rPr>
                <w:sz w:val="20"/>
                <w:lang w:val="en-GB" w:eastAsia="en-AU"/>
              </w:rPr>
              <w:t>p</w:t>
            </w:r>
            <w:r w:rsidRPr="00F85DCF">
              <w:rPr>
                <w:sz w:val="20"/>
                <w:lang w:val="en-GB" w:eastAsia="en-AU"/>
              </w:rPr>
              <w:t>lums</w:t>
            </w:r>
            <w:r w:rsidRPr="00F85DCF">
              <w:rPr>
                <w:sz w:val="20"/>
                <w:szCs w:val="20"/>
                <w:lang w:val="en-GB" w:eastAsia="en-AU"/>
              </w:rPr>
              <w:t xml:space="preserve"> (including prunes)</w:t>
            </w:r>
            <w:r w:rsidRPr="00F85DCF">
              <w:rPr>
                <w:sz w:val="20"/>
                <w:szCs w:val="20"/>
                <w:lang w:val="en-GB"/>
              </w:rPr>
              <w:t>) to 50 mg/kg (</w:t>
            </w:r>
            <w:r w:rsidR="00E60C94" w:rsidRPr="00F85DCF">
              <w:rPr>
                <w:sz w:val="20"/>
                <w:lang w:val="en-GB" w:eastAsia="en-AU"/>
              </w:rPr>
              <w:t>l</w:t>
            </w:r>
            <w:r w:rsidRPr="00F85DCF">
              <w:rPr>
                <w:sz w:val="20"/>
                <w:lang w:val="en-GB" w:eastAsia="en-AU"/>
              </w:rPr>
              <w:t>ettuce</w:t>
            </w:r>
            <w:r w:rsidRPr="00F85DCF">
              <w:rPr>
                <w:sz w:val="20"/>
                <w:szCs w:val="20"/>
                <w:lang w:val="en-GB" w:eastAsia="en-AU"/>
              </w:rPr>
              <w:t xml:space="preserve">, head, </w:t>
            </w:r>
            <w:r w:rsidR="00E60C94" w:rsidRPr="00F85DCF">
              <w:rPr>
                <w:sz w:val="20"/>
                <w:lang w:val="en-GB" w:eastAsia="en-AU"/>
              </w:rPr>
              <w:t>l</w:t>
            </w:r>
            <w:r w:rsidRPr="00F85DCF">
              <w:rPr>
                <w:sz w:val="20"/>
                <w:lang w:val="en-GB" w:eastAsia="en-AU"/>
              </w:rPr>
              <w:t>ettuce</w:t>
            </w:r>
            <w:r w:rsidRPr="00F85DCF">
              <w:rPr>
                <w:sz w:val="20"/>
                <w:szCs w:val="20"/>
                <w:lang w:val="en-GB" w:eastAsia="en-AU"/>
              </w:rPr>
              <w:t>, leaf</w:t>
            </w:r>
            <w:r w:rsidR="00CA7859" w:rsidRPr="00F85DCF">
              <w:rPr>
                <w:sz w:val="20"/>
                <w:szCs w:val="20"/>
                <w:lang w:val="en-GB"/>
              </w:rPr>
              <w:t>).</w:t>
            </w:r>
          </w:p>
        </w:tc>
      </w:tr>
      <w:tr w:rsidR="00EA438B" w:rsidRPr="00F85DCF" w14:paraId="4AA20A62" w14:textId="77777777" w:rsidTr="005C01CC">
        <w:tc>
          <w:tcPr>
            <w:tcW w:w="3545" w:type="dxa"/>
            <w:vAlign w:val="center"/>
          </w:tcPr>
          <w:p w14:paraId="571510F9" w14:textId="13B2B9AF" w:rsidR="00EA438B" w:rsidRPr="00F85DCF" w:rsidRDefault="00EA438B"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MRL</w:t>
            </w:r>
            <w:r w:rsidR="00973D04" w:rsidRPr="00F85DCF">
              <w:rPr>
                <w:sz w:val="20"/>
                <w:szCs w:val="20"/>
                <w:lang w:val="en-GB"/>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5E38F87F" w14:textId="55C19EC8" w:rsidR="00EA438B" w:rsidRPr="00F85DCF" w:rsidRDefault="00EA438B" w:rsidP="00CA7859">
            <w:pPr>
              <w:rPr>
                <w:sz w:val="20"/>
                <w:szCs w:val="20"/>
                <w:lang w:val="en-GB"/>
              </w:rPr>
            </w:pPr>
            <w:r w:rsidRPr="00F85DCF">
              <w:rPr>
                <w:sz w:val="20"/>
                <w:szCs w:val="20"/>
                <w:lang w:val="en-GB" w:eastAsia="en-AU"/>
              </w:rPr>
              <w:t xml:space="preserve">1.5 </w:t>
            </w:r>
            <w:r w:rsidRPr="00F85DCF">
              <w:rPr>
                <w:sz w:val="20"/>
                <w:szCs w:val="20"/>
                <w:lang w:val="en-GB"/>
              </w:rPr>
              <w:t>mg/kg (</w:t>
            </w:r>
            <w:r w:rsidR="00E60C94" w:rsidRPr="00F85DCF">
              <w:rPr>
                <w:sz w:val="20"/>
                <w:lang w:val="en-GB" w:eastAsia="en-AU"/>
              </w:rPr>
              <w:t>p</w:t>
            </w:r>
            <w:r w:rsidRPr="00F85DCF">
              <w:rPr>
                <w:sz w:val="20"/>
                <w:lang w:val="en-GB" w:eastAsia="en-AU"/>
              </w:rPr>
              <w:t>lums</w:t>
            </w:r>
            <w:r w:rsidRPr="00F85DCF">
              <w:rPr>
                <w:sz w:val="20"/>
                <w:szCs w:val="20"/>
                <w:lang w:val="en-GB" w:eastAsia="en-AU"/>
              </w:rPr>
              <w:t xml:space="preserve"> (including prunes)</w:t>
            </w:r>
          </w:p>
        </w:tc>
      </w:tr>
      <w:tr w:rsidR="00EA438B" w:rsidRPr="00F85DCF" w14:paraId="69F909E3" w14:textId="77777777" w:rsidTr="005C01CC">
        <w:tc>
          <w:tcPr>
            <w:tcW w:w="3545" w:type="dxa"/>
            <w:vAlign w:val="center"/>
          </w:tcPr>
          <w:p w14:paraId="4575412B" w14:textId="37A58BEE" w:rsidR="00EA438B" w:rsidRPr="00F85DCF" w:rsidRDefault="00EA438B" w:rsidP="00CA7859">
            <w:pPr>
              <w:rPr>
                <w:sz w:val="20"/>
                <w:szCs w:val="20"/>
                <w:lang w:val="en-GB" w:eastAsia="en-AU"/>
              </w:rPr>
            </w:pPr>
            <w:r w:rsidRPr="00F85DCF">
              <w:rPr>
                <w:sz w:val="20"/>
                <w:szCs w:val="20"/>
                <w:lang w:val="en-GB" w:eastAsia="en-AU"/>
              </w:rPr>
              <w:t xml:space="preserve">Most relevant reference point to </w:t>
            </w:r>
            <w:r w:rsidR="00A86443"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3E51FA38" w14:textId="4F2250C5" w:rsidR="00EA438B" w:rsidRPr="00F85DCF" w:rsidRDefault="00EA438B" w:rsidP="00CA7859">
            <w:pPr>
              <w:rPr>
                <w:sz w:val="20"/>
                <w:szCs w:val="20"/>
                <w:lang w:val="en-GB"/>
              </w:rPr>
            </w:pPr>
            <w:r w:rsidRPr="00F85DCF">
              <w:rPr>
                <w:sz w:val="20"/>
                <w:szCs w:val="20"/>
                <w:lang w:val="en-GB" w:eastAsia="en-AU"/>
              </w:rPr>
              <w:t xml:space="preserve">1.5 </w:t>
            </w:r>
            <w:r w:rsidRPr="00F85DCF">
              <w:rPr>
                <w:sz w:val="20"/>
                <w:szCs w:val="20"/>
                <w:lang w:val="en-GB"/>
              </w:rPr>
              <w:t xml:space="preserve">mg/kg </w:t>
            </w:r>
          </w:p>
        </w:tc>
      </w:tr>
      <w:tr w:rsidR="00EA438B" w:rsidRPr="00F85DCF" w14:paraId="7261F37C" w14:textId="77777777" w:rsidTr="005C01CC">
        <w:tc>
          <w:tcPr>
            <w:tcW w:w="3545" w:type="dxa"/>
            <w:vAlign w:val="center"/>
          </w:tcPr>
          <w:p w14:paraId="11FD379D" w14:textId="77777777" w:rsidR="00EA438B" w:rsidRPr="00F85DCF" w:rsidRDefault="00EA438B"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3A4B35F6" w14:textId="1E88749E" w:rsidR="00EA438B" w:rsidRPr="00F85DCF" w:rsidRDefault="00EA438B" w:rsidP="00CA7859">
            <w:pPr>
              <w:rPr>
                <w:sz w:val="20"/>
                <w:szCs w:val="20"/>
                <w:lang w:val="en-GB"/>
              </w:rPr>
            </w:pPr>
            <w:r w:rsidRPr="00F85DCF">
              <w:rPr>
                <w:sz w:val="20"/>
                <w:szCs w:val="20"/>
                <w:lang w:val="en-GB" w:eastAsia="en-AU"/>
              </w:rPr>
              <w:t>9</w:t>
            </w:r>
            <w:r w:rsidRPr="00F85DCF">
              <w:rPr>
                <w:sz w:val="20"/>
                <w:szCs w:val="20"/>
                <w:lang w:val="en-GB"/>
              </w:rPr>
              <w:t>% of the ADI</w:t>
            </w:r>
            <w:r w:rsidR="002202EF" w:rsidRPr="00F85DCF">
              <w:rPr>
                <w:sz w:val="20"/>
                <w:szCs w:val="20"/>
                <w:lang w:val="en-GB"/>
              </w:rPr>
              <w:t>.</w:t>
            </w:r>
          </w:p>
        </w:tc>
      </w:tr>
      <w:tr w:rsidR="00EA438B" w:rsidRPr="00F85DCF" w14:paraId="5BEA9FBB" w14:textId="77777777" w:rsidTr="005C01CC">
        <w:tc>
          <w:tcPr>
            <w:tcW w:w="3545" w:type="dxa"/>
            <w:vAlign w:val="center"/>
          </w:tcPr>
          <w:p w14:paraId="32C6C313" w14:textId="00C7BE7A" w:rsidR="00EA438B" w:rsidRPr="00F85DCF" w:rsidRDefault="00EA438B" w:rsidP="00C13F7F">
            <w:pPr>
              <w:rPr>
                <w:sz w:val="20"/>
                <w:szCs w:val="20"/>
                <w:lang w:val="en-GB"/>
              </w:rPr>
            </w:pPr>
            <w:r w:rsidRPr="00F85DCF">
              <w:rPr>
                <w:sz w:val="20"/>
                <w:szCs w:val="20"/>
                <w:lang w:val="en-GB"/>
              </w:rPr>
              <w:t xml:space="preserve">Proposed </w:t>
            </w:r>
            <w:r w:rsidR="00C13F7F" w:rsidRPr="00F85DCF">
              <w:rPr>
                <w:i/>
                <w:sz w:val="20"/>
                <w:szCs w:val="20"/>
                <w:lang w:val="en-GB"/>
              </w:rPr>
              <w:t>A</w:t>
            </w:r>
            <w:r w:rsidR="0020746F" w:rsidRPr="00F85DCF">
              <w:rPr>
                <w:i/>
                <w:sz w:val="20"/>
                <w:szCs w:val="20"/>
                <w:lang w:val="en-GB"/>
              </w:rPr>
              <w:t xml:space="preserve">ll other foods except animal </w:t>
            </w:r>
            <w:r w:rsidR="0066411D">
              <w:rPr>
                <w:i/>
                <w:sz w:val="20"/>
                <w:szCs w:val="20"/>
                <w:lang w:val="en-GB"/>
              </w:rPr>
              <w:t xml:space="preserve">food </w:t>
            </w:r>
            <w:r w:rsidR="0020746F" w:rsidRPr="00F85DCF">
              <w:rPr>
                <w:i/>
                <w:sz w:val="20"/>
                <w:szCs w:val="20"/>
                <w:lang w:val="en-GB"/>
              </w:rPr>
              <w:t>commodities</w:t>
            </w:r>
            <w:r w:rsidRPr="00F85DCF">
              <w:rPr>
                <w:sz w:val="20"/>
                <w:szCs w:val="20"/>
                <w:lang w:val="en-GB"/>
              </w:rPr>
              <w:t xml:space="preserve"> MRL</w:t>
            </w:r>
            <w:r w:rsidR="000C07E7" w:rsidRPr="00F85DCF">
              <w:rPr>
                <w:sz w:val="20"/>
                <w:szCs w:val="20"/>
                <w:lang w:val="en-GB"/>
              </w:rPr>
              <w:t xml:space="preserve"> </w:t>
            </w:r>
          </w:p>
        </w:tc>
        <w:tc>
          <w:tcPr>
            <w:tcW w:w="6520" w:type="dxa"/>
            <w:vAlign w:val="center"/>
          </w:tcPr>
          <w:p w14:paraId="0E368074" w14:textId="03095EAE" w:rsidR="00EA438B" w:rsidRPr="00F85DCF" w:rsidRDefault="00EA438B" w:rsidP="00CA7859">
            <w:pPr>
              <w:rPr>
                <w:sz w:val="20"/>
                <w:szCs w:val="20"/>
                <w:lang w:val="en-GB"/>
              </w:rPr>
            </w:pPr>
            <w:r w:rsidRPr="00F85DCF">
              <w:rPr>
                <w:sz w:val="20"/>
                <w:szCs w:val="20"/>
                <w:lang w:val="en-GB"/>
              </w:rPr>
              <w:t>0.1 mg/kg</w:t>
            </w:r>
            <w:r w:rsidR="00973D04" w:rsidRPr="00F85DCF">
              <w:rPr>
                <w:sz w:val="20"/>
                <w:szCs w:val="20"/>
                <w:lang w:val="en-GB"/>
              </w:rPr>
              <w:t xml:space="preserve"> </w:t>
            </w:r>
          </w:p>
        </w:tc>
      </w:tr>
      <w:tr w:rsidR="00EA438B" w:rsidRPr="00F85DCF" w14:paraId="4A535987" w14:textId="77777777" w:rsidTr="005C01CC">
        <w:tc>
          <w:tcPr>
            <w:tcW w:w="3545" w:type="dxa"/>
            <w:vAlign w:val="center"/>
          </w:tcPr>
          <w:p w14:paraId="5E9C9981" w14:textId="0BFDF845" w:rsidR="00EA438B" w:rsidRPr="00F85DCF" w:rsidRDefault="00EA438B" w:rsidP="00C13F7F">
            <w:pPr>
              <w:rPr>
                <w:sz w:val="20"/>
                <w:szCs w:val="20"/>
                <w:lang w:val="en-GB"/>
              </w:rPr>
            </w:pPr>
            <w:r w:rsidRPr="00F85DCF">
              <w:rPr>
                <w:sz w:val="20"/>
                <w:szCs w:val="20"/>
                <w:lang w:val="en-GB" w:eastAsia="en-AU"/>
              </w:rPr>
              <w:t xml:space="preserve">NEDI including </w:t>
            </w:r>
            <w:r w:rsidR="00C13F7F"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38B9C8A6" w14:textId="1A03CDCA" w:rsidR="00EA438B" w:rsidRPr="00F85DCF" w:rsidRDefault="00EA438B" w:rsidP="00CA7859">
            <w:pPr>
              <w:rPr>
                <w:sz w:val="20"/>
                <w:szCs w:val="20"/>
                <w:lang w:val="en-GB"/>
              </w:rPr>
            </w:pPr>
            <w:r w:rsidRPr="00F85DCF">
              <w:rPr>
                <w:sz w:val="20"/>
                <w:szCs w:val="20"/>
                <w:lang w:val="en-GB" w:eastAsia="en-AU"/>
              </w:rPr>
              <w:t>11% of the ADI.</w:t>
            </w:r>
          </w:p>
        </w:tc>
      </w:tr>
      <w:tr w:rsidR="00EA438B" w:rsidRPr="00F85DCF" w14:paraId="13B20702" w14:textId="77777777" w:rsidTr="005C01CC">
        <w:tc>
          <w:tcPr>
            <w:tcW w:w="3545" w:type="dxa"/>
            <w:vAlign w:val="center"/>
          </w:tcPr>
          <w:p w14:paraId="7A9E65FC" w14:textId="7AACD350" w:rsidR="00EA438B" w:rsidRPr="00F85DCF" w:rsidRDefault="00E46481" w:rsidP="00C13F7F">
            <w:pPr>
              <w:rPr>
                <w:sz w:val="20"/>
                <w:szCs w:val="20"/>
                <w:lang w:val="en-GB" w:eastAsia="en-AU"/>
              </w:rPr>
            </w:pPr>
            <w:r w:rsidRPr="00F85DCF">
              <w:rPr>
                <w:sz w:val="20"/>
                <w:szCs w:val="20"/>
                <w:lang w:val="en-GB" w:eastAsia="en-AU"/>
              </w:rPr>
              <w:t xml:space="preserve">Percentage contribution of </w:t>
            </w:r>
            <w:r w:rsidR="00C13F7F" w:rsidRPr="00F85DCF">
              <w:rPr>
                <w:i/>
                <w:sz w:val="20"/>
                <w:lang w:val="en-GB" w:eastAsia="en-AU"/>
              </w:rPr>
              <w:t>A</w:t>
            </w:r>
            <w:r w:rsidR="0020746F" w:rsidRPr="00F85DCF">
              <w:rPr>
                <w:i/>
                <w:sz w:val="20"/>
                <w:lang w:val="en-GB" w:eastAsia="en-AU"/>
              </w:rPr>
              <w:t xml:space="preserve">ll other foods </w:t>
            </w:r>
            <w:r w:rsidR="0003601D" w:rsidRPr="00F85DCF">
              <w:rPr>
                <w:i/>
                <w:sz w:val="20"/>
                <w:lang w:val="en-GB" w:eastAsia="en-AU"/>
              </w:rPr>
              <w:t xml:space="preserve">except animal </w:t>
            </w:r>
            <w:r w:rsidR="0066411D">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A86443"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29BB5B80" w14:textId="1EA5A07E" w:rsidR="00EA438B" w:rsidRPr="00F85DCF" w:rsidRDefault="00EA438B" w:rsidP="00C13F7F">
            <w:pPr>
              <w:rPr>
                <w:sz w:val="20"/>
                <w:szCs w:val="20"/>
                <w:lang w:val="en-GB" w:eastAsia="en-AU"/>
              </w:rPr>
            </w:pPr>
            <w:r w:rsidRPr="00F85DCF">
              <w:rPr>
                <w:sz w:val="20"/>
                <w:szCs w:val="20"/>
                <w:lang w:val="en-GB" w:eastAsia="en-AU"/>
              </w:rPr>
              <w:t xml:space="preserve">An </w:t>
            </w:r>
            <w:r w:rsidR="00C13F7F"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1.5 mg/kg could have been used as this </w:t>
            </w:r>
            <w:r w:rsidR="00207D70" w:rsidRPr="00F85DCF">
              <w:rPr>
                <w:sz w:val="20"/>
                <w:szCs w:val="20"/>
                <w:lang w:val="en-GB" w:eastAsia="en-AU"/>
              </w:rPr>
              <w:t xml:space="preserve">is </w:t>
            </w:r>
            <w:r w:rsidRPr="00F85DCF">
              <w:rPr>
                <w:sz w:val="20"/>
                <w:szCs w:val="20"/>
                <w:lang w:val="en-GB" w:eastAsia="en-AU"/>
              </w:rPr>
              <w:t>the lowest currently existing MRL for plant commodities. However, this represent</w:t>
            </w:r>
            <w:r w:rsidR="00207D70" w:rsidRPr="00F85DCF">
              <w:rPr>
                <w:sz w:val="20"/>
                <w:szCs w:val="20"/>
                <w:lang w:val="en-GB" w:eastAsia="en-AU"/>
              </w:rPr>
              <w:t>s</w:t>
            </w:r>
            <w:r w:rsidRPr="00F85DCF">
              <w:rPr>
                <w:sz w:val="20"/>
                <w:szCs w:val="20"/>
                <w:lang w:val="en-GB" w:eastAsia="en-AU"/>
              </w:rPr>
              <w:t xml:space="preserve"> </w:t>
            </w:r>
            <w:r w:rsidR="00A86443" w:rsidRPr="00F85DCF">
              <w:rPr>
                <w:sz w:val="20"/>
                <w:szCs w:val="20"/>
                <w:lang w:val="en-GB" w:eastAsia="en-AU"/>
              </w:rPr>
              <w:t xml:space="preserve">a contribution of </w:t>
            </w:r>
            <w:r w:rsidRPr="00F85DCF">
              <w:rPr>
                <w:sz w:val="20"/>
                <w:szCs w:val="20"/>
                <w:lang w:val="en-GB" w:eastAsia="en-AU"/>
              </w:rPr>
              <w:t xml:space="preserve">76% </w:t>
            </w:r>
            <w:r w:rsidR="00A86443" w:rsidRPr="00F85DCF">
              <w:rPr>
                <w:sz w:val="20"/>
                <w:szCs w:val="20"/>
                <w:lang w:val="en-GB" w:eastAsia="en-AU"/>
              </w:rPr>
              <w:t>to</w:t>
            </w:r>
            <w:r w:rsidRPr="00F85DCF">
              <w:rPr>
                <w:sz w:val="20"/>
                <w:szCs w:val="20"/>
                <w:lang w:val="en-GB" w:eastAsia="en-AU"/>
              </w:rPr>
              <w:t xml:space="preserve"> total </w:t>
            </w:r>
            <w:r w:rsidR="000A318F" w:rsidRPr="00F85DCF">
              <w:rPr>
                <w:sz w:val="20"/>
                <w:szCs w:val="20"/>
                <w:lang w:val="en-GB" w:eastAsia="en-AU"/>
              </w:rPr>
              <w:t xml:space="preserve">dietary </w:t>
            </w:r>
            <w:r w:rsidRPr="00F85DCF">
              <w:rPr>
                <w:sz w:val="20"/>
                <w:szCs w:val="20"/>
                <w:lang w:val="en-GB" w:eastAsia="en-AU"/>
              </w:rPr>
              <w:t>exposure</w:t>
            </w:r>
            <w:r w:rsidR="000A318F" w:rsidRPr="00F85DCF">
              <w:rPr>
                <w:sz w:val="20"/>
                <w:szCs w:val="20"/>
                <w:lang w:val="en-GB" w:eastAsia="en-AU"/>
              </w:rPr>
              <w:t xml:space="preserve"> </w:t>
            </w:r>
            <w:r w:rsidR="00A86443" w:rsidRPr="00F85DCF">
              <w:rPr>
                <w:sz w:val="20"/>
                <w:szCs w:val="20"/>
                <w:lang w:val="en-GB" w:eastAsia="en-AU"/>
              </w:rPr>
              <w:t xml:space="preserve">which is </w:t>
            </w:r>
            <w:r w:rsidR="00C230D8" w:rsidRPr="00F85DCF">
              <w:rPr>
                <w:sz w:val="20"/>
                <w:szCs w:val="20"/>
                <w:lang w:val="en-GB" w:eastAsia="en-AU"/>
              </w:rPr>
              <w:t xml:space="preserve">well </w:t>
            </w:r>
            <w:r w:rsidR="00A86443" w:rsidRPr="00F85DCF">
              <w:rPr>
                <w:sz w:val="20"/>
                <w:szCs w:val="20"/>
                <w:lang w:val="en-GB" w:eastAsia="en-AU"/>
              </w:rPr>
              <w:t>above the</w:t>
            </w:r>
            <w:r w:rsidR="00D7195E" w:rsidRPr="00F85DCF">
              <w:rPr>
                <w:sz w:val="20"/>
                <w:szCs w:val="20"/>
                <w:lang w:val="en-GB" w:eastAsia="en-AU"/>
              </w:rPr>
              <w:t xml:space="preserve"> 20% </w:t>
            </w:r>
            <w:r w:rsidR="00A86443" w:rsidRPr="00F85DCF">
              <w:rPr>
                <w:sz w:val="20"/>
                <w:szCs w:val="20"/>
                <w:lang w:val="en-GB" w:eastAsia="en-AU"/>
              </w:rPr>
              <w:t>target</w:t>
            </w:r>
            <w:r w:rsidRPr="00F85DCF">
              <w:rPr>
                <w:sz w:val="20"/>
                <w:szCs w:val="20"/>
                <w:lang w:val="en-GB" w:eastAsia="en-AU"/>
              </w:rPr>
              <w:t xml:space="preserve">. Establishing the </w:t>
            </w:r>
            <w:r w:rsidR="00C13F7F"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w:t>
            </w:r>
            <w:r w:rsidR="000A318F" w:rsidRPr="00F85DCF">
              <w:rPr>
                <w:sz w:val="20"/>
                <w:szCs w:val="20"/>
                <w:lang w:val="en-GB" w:eastAsia="en-AU"/>
              </w:rPr>
              <w:t xml:space="preserve">MRL at 0.1 mg/kg </w:t>
            </w:r>
            <w:r w:rsidR="00C230D8" w:rsidRPr="00F85DCF">
              <w:rPr>
                <w:sz w:val="20"/>
                <w:szCs w:val="20"/>
                <w:lang w:val="en-GB" w:eastAsia="en-AU"/>
              </w:rPr>
              <w:t xml:space="preserve">represents </w:t>
            </w:r>
            <w:r w:rsidR="00A86443" w:rsidRPr="00F85DCF">
              <w:rPr>
                <w:sz w:val="20"/>
                <w:szCs w:val="20"/>
                <w:lang w:val="en-GB" w:eastAsia="en-AU"/>
              </w:rPr>
              <w:t xml:space="preserve">a contribution of </w:t>
            </w:r>
            <w:r w:rsidRPr="00F85DCF">
              <w:rPr>
                <w:sz w:val="20"/>
                <w:szCs w:val="20"/>
                <w:lang w:val="en-GB" w:eastAsia="en-AU"/>
              </w:rPr>
              <w:t xml:space="preserve">17% </w:t>
            </w:r>
            <w:r w:rsidR="00A86443" w:rsidRPr="00F85DCF">
              <w:rPr>
                <w:sz w:val="20"/>
                <w:szCs w:val="20"/>
                <w:lang w:val="en-GB" w:eastAsia="en-AU"/>
              </w:rPr>
              <w:t>to</w:t>
            </w:r>
            <w:r w:rsidRPr="00F85DCF">
              <w:rPr>
                <w:sz w:val="20"/>
                <w:szCs w:val="20"/>
                <w:lang w:val="en-GB" w:eastAsia="en-AU"/>
              </w:rPr>
              <w:t xml:space="preserve"> total dietary exposure and </w:t>
            </w:r>
            <w:r w:rsidR="00A86443" w:rsidRPr="00F85DCF">
              <w:rPr>
                <w:sz w:val="20"/>
                <w:szCs w:val="20"/>
                <w:lang w:val="en-GB" w:eastAsia="en-AU"/>
              </w:rPr>
              <w:t xml:space="preserve">is </w:t>
            </w:r>
            <w:r w:rsidRPr="00F85DCF">
              <w:rPr>
                <w:sz w:val="20"/>
                <w:szCs w:val="20"/>
                <w:lang w:val="en-GB" w:eastAsia="en-AU"/>
              </w:rPr>
              <w:t xml:space="preserve">considered acceptable. </w:t>
            </w:r>
          </w:p>
        </w:tc>
      </w:tr>
      <w:tr w:rsidR="00A07A9D" w:rsidRPr="00F85DCF" w14:paraId="34A0CB5E" w14:textId="77777777" w:rsidTr="005C01CC">
        <w:tc>
          <w:tcPr>
            <w:tcW w:w="3545" w:type="dxa"/>
            <w:vAlign w:val="center"/>
          </w:tcPr>
          <w:p w14:paraId="4A38EEB2" w14:textId="467BC7AE" w:rsidR="00A07A9D" w:rsidRPr="00F85DCF" w:rsidRDefault="00A07A9D" w:rsidP="00CA7859">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0529EE1F" w14:textId="76C4B890" w:rsidR="00A07A9D" w:rsidRPr="00F85DCF" w:rsidRDefault="00A07A9D" w:rsidP="00CA7859">
            <w:pPr>
              <w:rPr>
                <w:sz w:val="20"/>
                <w:szCs w:val="20"/>
                <w:lang w:val="en-GB"/>
              </w:rPr>
            </w:pPr>
            <w:r w:rsidRPr="00F85DCF">
              <w:rPr>
                <w:sz w:val="20"/>
                <w:szCs w:val="20"/>
                <w:lang w:val="en-GB" w:eastAsia="en-AU"/>
              </w:rPr>
              <w:t>An acute dietary exposu</w:t>
            </w:r>
            <w:r w:rsidR="00A86443" w:rsidRPr="00F85DCF">
              <w:rPr>
                <w:sz w:val="20"/>
                <w:szCs w:val="20"/>
                <w:lang w:val="en-GB" w:eastAsia="en-AU"/>
              </w:rPr>
              <w:t xml:space="preserve">re assessment </w:t>
            </w:r>
            <w:r w:rsidR="00207D70" w:rsidRPr="00F85DCF">
              <w:rPr>
                <w:sz w:val="20"/>
                <w:szCs w:val="20"/>
                <w:lang w:val="en-GB" w:eastAsia="en-AU"/>
              </w:rPr>
              <w:t xml:space="preserve">is </w:t>
            </w:r>
            <w:r w:rsidR="00A86443" w:rsidRPr="00F85DCF">
              <w:rPr>
                <w:sz w:val="20"/>
                <w:szCs w:val="20"/>
                <w:lang w:val="en-GB" w:eastAsia="en-AU"/>
              </w:rPr>
              <w:t>considered un</w:t>
            </w:r>
            <w:r w:rsidRPr="00F85DCF">
              <w:rPr>
                <w:sz w:val="20"/>
                <w:szCs w:val="20"/>
                <w:lang w:val="en-GB" w:eastAsia="en-AU"/>
              </w:rPr>
              <w:t xml:space="preserve">necessary for </w:t>
            </w:r>
            <w:r w:rsidRPr="00F85DCF">
              <w:rPr>
                <w:sz w:val="20"/>
                <w:lang w:val="en-GB"/>
              </w:rPr>
              <w:t>Fenhexamid</w:t>
            </w:r>
            <w:r w:rsidRPr="00F85DCF">
              <w:rPr>
                <w:sz w:val="20"/>
                <w:szCs w:val="20"/>
                <w:lang w:val="en-GB"/>
              </w:rPr>
              <w:t xml:space="preserve"> because </w:t>
            </w:r>
            <w:r w:rsidR="00C16857" w:rsidRPr="00F85DCF">
              <w:rPr>
                <w:sz w:val="20"/>
                <w:szCs w:val="20"/>
                <w:lang w:val="en-GB"/>
              </w:rPr>
              <w:t>the OCS has not established an</w:t>
            </w:r>
            <w:r w:rsidRPr="00F85DCF">
              <w:rPr>
                <w:sz w:val="20"/>
                <w:szCs w:val="20"/>
                <w:lang w:val="en-GB"/>
              </w:rPr>
              <w:t xml:space="preserve"> acute reference dose </w:t>
            </w:r>
            <w:r w:rsidR="00C16857" w:rsidRPr="00F85DCF">
              <w:rPr>
                <w:sz w:val="20"/>
                <w:szCs w:val="20"/>
                <w:lang w:val="en-GB"/>
              </w:rPr>
              <w:t>and JMPR consider an ARfD unnecessary.</w:t>
            </w:r>
            <w:r w:rsidR="00C16857" w:rsidRPr="00F85DCF" w:rsidDel="00C16857">
              <w:rPr>
                <w:sz w:val="20"/>
                <w:szCs w:val="20"/>
                <w:lang w:val="en-GB" w:eastAsia="en-AU"/>
              </w:rPr>
              <w:t xml:space="preserve"> </w:t>
            </w:r>
          </w:p>
        </w:tc>
      </w:tr>
      <w:tr w:rsidR="00A07A9D" w:rsidRPr="00F85DCF" w14:paraId="5C9C5C18" w14:textId="77777777" w:rsidTr="005C01CC">
        <w:tc>
          <w:tcPr>
            <w:tcW w:w="3545" w:type="dxa"/>
            <w:vAlign w:val="center"/>
          </w:tcPr>
          <w:p w14:paraId="2FC39279" w14:textId="77777777" w:rsidR="00A07A9D" w:rsidRPr="00F85DCF" w:rsidRDefault="00A07A9D" w:rsidP="00CA7859">
            <w:pPr>
              <w:rPr>
                <w:sz w:val="20"/>
                <w:szCs w:val="20"/>
                <w:lang w:val="en-GB" w:eastAsia="en-AU"/>
              </w:rPr>
            </w:pPr>
            <w:r w:rsidRPr="00F85DCF">
              <w:rPr>
                <w:sz w:val="20"/>
                <w:szCs w:val="20"/>
                <w:lang w:val="en-GB" w:eastAsia="en-AU"/>
              </w:rPr>
              <w:t>Conclusion</w:t>
            </w:r>
          </w:p>
        </w:tc>
        <w:tc>
          <w:tcPr>
            <w:tcW w:w="6520" w:type="dxa"/>
            <w:vAlign w:val="center"/>
          </w:tcPr>
          <w:p w14:paraId="7CD6EF04" w14:textId="7D0F60C9" w:rsidR="00A07A9D" w:rsidRPr="00F85DCF" w:rsidRDefault="00A07A9D" w:rsidP="00C13F7F">
            <w:pPr>
              <w:rPr>
                <w:sz w:val="20"/>
                <w:szCs w:val="20"/>
                <w:lang w:val="en-GB" w:eastAsia="en-AU"/>
              </w:rPr>
            </w:pPr>
            <w:r w:rsidRPr="00F85DCF">
              <w:rPr>
                <w:sz w:val="20"/>
                <w:szCs w:val="20"/>
                <w:lang w:val="en-GB"/>
              </w:rPr>
              <w:t xml:space="preserve">After considering the principles set out above an </w:t>
            </w:r>
            <w:r w:rsidR="00C13F7F" w:rsidRPr="00F85DCF">
              <w:rPr>
                <w:b/>
                <w:i/>
                <w:sz w:val="20"/>
                <w:szCs w:val="20"/>
                <w:lang w:val="en-GB"/>
              </w:rPr>
              <w:t>A</w:t>
            </w:r>
            <w:r w:rsidR="0020746F" w:rsidRPr="00F85DCF">
              <w:rPr>
                <w:b/>
                <w:i/>
                <w:sz w:val="20"/>
                <w:szCs w:val="20"/>
                <w:lang w:val="en-GB"/>
              </w:rPr>
              <w:t xml:space="preserve">ll other foods </w:t>
            </w:r>
            <w:r w:rsidR="0003601D" w:rsidRPr="00F85DCF">
              <w:rPr>
                <w:b/>
                <w:i/>
                <w:sz w:val="20"/>
                <w:szCs w:val="20"/>
                <w:lang w:val="en-GB"/>
              </w:rPr>
              <w:t xml:space="preserve">except animal </w:t>
            </w:r>
            <w:r w:rsidR="0066411D">
              <w:rPr>
                <w:b/>
                <w:i/>
                <w:sz w:val="20"/>
                <w:szCs w:val="20"/>
                <w:lang w:val="en-GB"/>
              </w:rPr>
              <w:t xml:space="preserve">food </w:t>
            </w:r>
            <w:r w:rsidR="0003601D" w:rsidRPr="00F85DCF">
              <w:rPr>
                <w:b/>
                <w:i/>
                <w:sz w:val="20"/>
                <w:szCs w:val="20"/>
                <w:lang w:val="en-GB"/>
              </w:rPr>
              <w:t>commodities</w:t>
            </w:r>
            <w:r w:rsidRPr="00F85DCF">
              <w:rPr>
                <w:b/>
                <w:i/>
                <w:sz w:val="20"/>
                <w:szCs w:val="20"/>
                <w:lang w:val="en-GB"/>
              </w:rPr>
              <w:t xml:space="preserve"> </w:t>
            </w:r>
            <w:r w:rsidRPr="00F85DCF">
              <w:rPr>
                <w:b/>
                <w:sz w:val="20"/>
                <w:szCs w:val="20"/>
                <w:lang w:val="en-GB"/>
              </w:rPr>
              <w:t>MRL of 0.1 mg/kg</w:t>
            </w:r>
            <w:r w:rsidRPr="00F85DCF">
              <w:rPr>
                <w:sz w:val="20"/>
                <w:szCs w:val="20"/>
                <w:lang w:val="en-GB"/>
              </w:rPr>
              <w:t xml:space="preserve"> for </w:t>
            </w:r>
            <w:r w:rsidRPr="00F85DCF">
              <w:rPr>
                <w:sz w:val="20"/>
                <w:szCs w:val="20"/>
                <w:lang w:val="en-GB" w:eastAsia="en-AU"/>
              </w:rPr>
              <w:t>Fenhexamid</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36B98E1D" w14:textId="77777777" w:rsidR="00D87CDC" w:rsidRPr="00F85DCF" w:rsidRDefault="00D87CDC">
      <w:pPr>
        <w:rPr>
          <w:rFonts w:eastAsiaTheme="majorEastAsia" w:cstheme="majorBidi"/>
          <w:b/>
          <w:bCs/>
          <w:szCs w:val="24"/>
          <w:lang w:val="en-GB" w:eastAsia="en-AU"/>
        </w:rPr>
      </w:pPr>
      <w:r w:rsidRPr="00F85DCF">
        <w:rPr>
          <w:lang w:val="en-GB"/>
        </w:rPr>
        <w:br w:type="page"/>
      </w:r>
    </w:p>
    <w:p w14:paraId="2CFA79BA" w14:textId="593DE651" w:rsidR="00F6750E" w:rsidRPr="00F85DCF" w:rsidRDefault="00F6750E" w:rsidP="005C01CC">
      <w:pPr>
        <w:pStyle w:val="Heading3"/>
      </w:pPr>
      <w:r w:rsidRPr="00F85DCF">
        <w:lastRenderedPageBreak/>
        <w:t>Fludioxonil</w:t>
      </w:r>
    </w:p>
    <w:tbl>
      <w:tblPr>
        <w:tblStyle w:val="TableGrid"/>
        <w:tblW w:w="9072" w:type="dxa"/>
        <w:tblLook w:val="04A0" w:firstRow="1" w:lastRow="0" w:firstColumn="1" w:lastColumn="0" w:noHBand="0" w:noVBand="1"/>
      </w:tblPr>
      <w:tblGrid>
        <w:gridCol w:w="3275"/>
        <w:gridCol w:w="5797"/>
      </w:tblGrid>
      <w:tr w:rsidR="00157AD4" w:rsidRPr="00F85DCF" w14:paraId="6931CA2B" w14:textId="77777777" w:rsidTr="005C01CC">
        <w:tc>
          <w:tcPr>
            <w:tcW w:w="3545" w:type="dxa"/>
            <w:vAlign w:val="center"/>
          </w:tcPr>
          <w:p w14:paraId="2405C224" w14:textId="23D07D3A" w:rsidR="00157AD4"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0BF5A118" w14:textId="77777777" w:rsidR="00157AD4" w:rsidRPr="00F85DCF" w:rsidRDefault="00157AD4" w:rsidP="00CA7859">
            <w:pPr>
              <w:rPr>
                <w:b/>
                <w:sz w:val="20"/>
                <w:szCs w:val="20"/>
                <w:lang w:val="en-GB" w:eastAsia="en-AU"/>
              </w:rPr>
            </w:pPr>
            <w:r w:rsidRPr="00F85DCF">
              <w:rPr>
                <w:b/>
                <w:sz w:val="20"/>
                <w:szCs w:val="20"/>
                <w:lang w:val="en-GB" w:eastAsia="en-AU"/>
              </w:rPr>
              <w:t>Comments</w:t>
            </w:r>
          </w:p>
        </w:tc>
      </w:tr>
      <w:tr w:rsidR="00157AD4" w:rsidRPr="00F85DCF" w14:paraId="206B4C37" w14:textId="77777777" w:rsidTr="005C01CC">
        <w:tc>
          <w:tcPr>
            <w:tcW w:w="3545" w:type="dxa"/>
            <w:vAlign w:val="center"/>
          </w:tcPr>
          <w:p w14:paraId="3625B328" w14:textId="4A8A3C93" w:rsidR="00157AD4"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5F56CFB5" w14:textId="77777777" w:rsidR="00157AD4" w:rsidRPr="00F85DCF" w:rsidRDefault="00157AD4" w:rsidP="00CA7859">
            <w:pPr>
              <w:rPr>
                <w:sz w:val="20"/>
                <w:szCs w:val="20"/>
                <w:lang w:val="en-GB"/>
              </w:rPr>
            </w:pPr>
            <w:r w:rsidRPr="00F85DCF">
              <w:rPr>
                <w:sz w:val="20"/>
                <w:szCs w:val="20"/>
                <w:lang w:val="en-GB" w:eastAsia="en-AU"/>
              </w:rPr>
              <w:t>0.01 mg/kg</w:t>
            </w:r>
          </w:p>
        </w:tc>
      </w:tr>
      <w:tr w:rsidR="00157AD4" w:rsidRPr="00F85DCF" w14:paraId="084CE7B6" w14:textId="77777777" w:rsidTr="005C01CC">
        <w:tc>
          <w:tcPr>
            <w:tcW w:w="3545" w:type="dxa"/>
            <w:vAlign w:val="center"/>
          </w:tcPr>
          <w:p w14:paraId="05B2031A" w14:textId="77777777" w:rsidR="00157AD4" w:rsidRPr="00F85DCF" w:rsidRDefault="00157AD4" w:rsidP="00CA7859">
            <w:pPr>
              <w:rPr>
                <w:sz w:val="20"/>
                <w:szCs w:val="20"/>
                <w:lang w:val="en-GB"/>
              </w:rPr>
            </w:pPr>
            <w:r w:rsidRPr="00F85DCF">
              <w:rPr>
                <w:sz w:val="20"/>
                <w:szCs w:val="20"/>
                <w:lang w:val="en-GB"/>
              </w:rPr>
              <w:t>Lowest plant commodity MRL</w:t>
            </w:r>
          </w:p>
        </w:tc>
        <w:tc>
          <w:tcPr>
            <w:tcW w:w="6520" w:type="dxa"/>
            <w:vAlign w:val="center"/>
          </w:tcPr>
          <w:p w14:paraId="192DACDA" w14:textId="52EA2C28" w:rsidR="00157AD4" w:rsidRPr="00F85DCF" w:rsidRDefault="00EB11F1" w:rsidP="00CA7859">
            <w:pPr>
              <w:rPr>
                <w:sz w:val="20"/>
                <w:szCs w:val="20"/>
                <w:lang w:val="en-GB"/>
              </w:rPr>
            </w:pPr>
            <w:r w:rsidRPr="00F85DCF">
              <w:rPr>
                <w:sz w:val="20"/>
                <w:szCs w:val="20"/>
                <w:lang w:val="en-GB" w:eastAsia="en-AU"/>
              </w:rPr>
              <w:t>*</w:t>
            </w:r>
            <w:r w:rsidR="00157AD4" w:rsidRPr="00F85DCF">
              <w:rPr>
                <w:sz w:val="20"/>
                <w:szCs w:val="20"/>
                <w:lang w:val="en-GB" w:eastAsia="en-AU"/>
              </w:rPr>
              <w:t>0.01 mg/kg (</w:t>
            </w:r>
            <w:r w:rsidR="00C826DF" w:rsidRPr="00F85DCF">
              <w:rPr>
                <w:sz w:val="20"/>
                <w:lang w:val="en-GB" w:eastAsia="en-AU"/>
              </w:rPr>
              <w:t>b</w:t>
            </w:r>
            <w:r w:rsidR="00157AD4" w:rsidRPr="00F85DCF">
              <w:rPr>
                <w:sz w:val="20"/>
                <w:lang w:val="en-GB" w:eastAsia="en-AU"/>
              </w:rPr>
              <w:t xml:space="preserve">roccoli; </w:t>
            </w:r>
            <w:r w:rsidR="00C826DF" w:rsidRPr="00F85DCF">
              <w:rPr>
                <w:sz w:val="20"/>
                <w:lang w:val="en-GB" w:eastAsia="en-AU"/>
              </w:rPr>
              <w:t>p</w:t>
            </w:r>
            <w:r w:rsidR="00157AD4" w:rsidRPr="00F85DCF">
              <w:rPr>
                <w:sz w:val="20"/>
                <w:lang w:val="en-GB" w:eastAsia="en-AU"/>
              </w:rPr>
              <w:t xml:space="preserve">eanut; </w:t>
            </w:r>
            <w:r w:rsidR="00C826DF" w:rsidRPr="00F85DCF">
              <w:rPr>
                <w:sz w:val="20"/>
                <w:lang w:val="en-GB" w:eastAsia="en-AU"/>
              </w:rPr>
              <w:t>r</w:t>
            </w:r>
            <w:r w:rsidR="00157AD4" w:rsidRPr="00F85DCF">
              <w:rPr>
                <w:sz w:val="20"/>
                <w:lang w:val="en-GB" w:eastAsia="en-AU"/>
              </w:rPr>
              <w:t>ape</w:t>
            </w:r>
            <w:r w:rsidR="00157AD4" w:rsidRPr="00F85DCF">
              <w:rPr>
                <w:sz w:val="20"/>
                <w:szCs w:val="20"/>
                <w:lang w:val="en-GB" w:eastAsia="en-AU"/>
              </w:rPr>
              <w:t xml:space="preserve"> seed (canola); and </w:t>
            </w:r>
            <w:r w:rsidR="00C826DF" w:rsidRPr="00F85DCF">
              <w:rPr>
                <w:sz w:val="20"/>
                <w:lang w:val="en-GB" w:eastAsia="en-AU"/>
              </w:rPr>
              <w:t>s</w:t>
            </w:r>
            <w:r w:rsidR="00157AD4" w:rsidRPr="00F85DCF">
              <w:rPr>
                <w:sz w:val="20"/>
                <w:lang w:val="en-GB" w:eastAsia="en-AU"/>
              </w:rPr>
              <w:t>orghum</w:t>
            </w:r>
            <w:r w:rsidR="00157AD4" w:rsidRPr="00F85DCF">
              <w:rPr>
                <w:sz w:val="20"/>
                <w:szCs w:val="20"/>
                <w:lang w:val="en-GB" w:eastAsia="en-AU"/>
              </w:rPr>
              <w:t>)</w:t>
            </w:r>
            <w:r w:rsidR="008D53C3" w:rsidRPr="00F85DCF">
              <w:rPr>
                <w:sz w:val="20"/>
                <w:szCs w:val="20"/>
                <w:lang w:val="en-GB"/>
              </w:rPr>
              <w:t xml:space="preserve"> where * </w:t>
            </w:r>
            <w:r w:rsidR="008D53C3" w:rsidRPr="00F85DCF">
              <w:rPr>
                <w:sz w:val="20"/>
                <w:szCs w:val="20"/>
                <w:lang w:val="en-GB" w:eastAsia="en-AU"/>
              </w:rPr>
              <w:t>i</w:t>
            </w:r>
            <w:r w:rsidRPr="00F85DCF">
              <w:rPr>
                <w:sz w:val="20"/>
                <w:szCs w:val="20"/>
                <w:lang w:val="en-GB" w:eastAsia="en-AU"/>
              </w:rPr>
              <w:t>ndicates MRL set at or about the LOQ</w:t>
            </w:r>
            <w:r w:rsidR="008D53C3" w:rsidRPr="00F85DCF">
              <w:rPr>
                <w:sz w:val="20"/>
                <w:szCs w:val="20"/>
                <w:lang w:val="en-GB" w:eastAsia="en-AU"/>
              </w:rPr>
              <w:t>.</w:t>
            </w:r>
          </w:p>
        </w:tc>
      </w:tr>
      <w:tr w:rsidR="00157AD4" w:rsidRPr="00F85DCF" w14:paraId="7F822FF5" w14:textId="77777777" w:rsidTr="005C01CC">
        <w:tc>
          <w:tcPr>
            <w:tcW w:w="3545" w:type="dxa"/>
            <w:vAlign w:val="center"/>
          </w:tcPr>
          <w:p w14:paraId="0DCD32E6" w14:textId="017D1636" w:rsidR="00157AD4" w:rsidRPr="00F85DCF" w:rsidRDefault="00EB72A5" w:rsidP="00CA7859">
            <w:pPr>
              <w:rPr>
                <w:sz w:val="20"/>
                <w:szCs w:val="20"/>
                <w:lang w:val="en-GB"/>
              </w:rPr>
            </w:pPr>
            <w:r w:rsidRPr="00F85DCF">
              <w:rPr>
                <w:sz w:val="20"/>
                <w:szCs w:val="20"/>
                <w:lang w:val="en-GB" w:eastAsia="en-AU"/>
              </w:rPr>
              <w:t>Magnitude of existing</w:t>
            </w:r>
            <w:r w:rsidR="00CA7859" w:rsidRPr="00F85DCF">
              <w:rPr>
                <w:lang w:val="en-GB"/>
              </w:rPr>
              <w:t xml:space="preserve"> </w:t>
            </w:r>
            <w:r w:rsidR="00CA7859" w:rsidRPr="00F85DCF">
              <w:rPr>
                <w:sz w:val="20"/>
                <w:szCs w:val="20"/>
                <w:lang w:val="en-GB" w:eastAsia="en-AU"/>
              </w:rPr>
              <w:t>plant commodity</w:t>
            </w:r>
            <w:r w:rsidRPr="00F85DCF">
              <w:rPr>
                <w:sz w:val="20"/>
                <w:szCs w:val="20"/>
                <w:lang w:val="en-GB" w:eastAsia="en-AU"/>
              </w:rPr>
              <w:t xml:space="preserve"> MRLs </w:t>
            </w:r>
          </w:p>
        </w:tc>
        <w:tc>
          <w:tcPr>
            <w:tcW w:w="6520" w:type="dxa"/>
            <w:vAlign w:val="center"/>
          </w:tcPr>
          <w:p w14:paraId="1FE06B54" w14:textId="4FC22114" w:rsidR="00157AD4" w:rsidRPr="00F85DCF" w:rsidRDefault="00157AD4" w:rsidP="00CA7859">
            <w:pPr>
              <w:rPr>
                <w:sz w:val="20"/>
                <w:szCs w:val="20"/>
                <w:lang w:val="en-GB"/>
              </w:rPr>
            </w:pPr>
            <w:r w:rsidRPr="00F85DCF">
              <w:rPr>
                <w:sz w:val="20"/>
                <w:szCs w:val="20"/>
                <w:lang w:val="en-GB"/>
              </w:rPr>
              <w:t xml:space="preserve">The range of existing MRLs, excluding animal </w:t>
            </w:r>
            <w:r w:rsidR="009F601B">
              <w:rPr>
                <w:sz w:val="20"/>
                <w:szCs w:val="20"/>
                <w:lang w:val="en-GB"/>
              </w:rPr>
              <w:t xml:space="preserve">food </w:t>
            </w:r>
            <w:r w:rsidRPr="00F85DCF">
              <w:rPr>
                <w:sz w:val="20"/>
                <w:szCs w:val="20"/>
                <w:lang w:val="en-GB"/>
              </w:rPr>
              <w:t xml:space="preserve">commodities, </w:t>
            </w:r>
            <w:r w:rsidR="00207D70" w:rsidRPr="00F85DCF">
              <w:rPr>
                <w:sz w:val="20"/>
                <w:szCs w:val="20"/>
                <w:lang w:val="en-GB"/>
              </w:rPr>
              <w:t>i</w:t>
            </w:r>
            <w:r w:rsidRPr="00F85DCF">
              <w:rPr>
                <w:sz w:val="20"/>
                <w:szCs w:val="20"/>
                <w:lang w:val="en-GB"/>
              </w:rPr>
              <w:t>s *</w:t>
            </w:r>
            <w:r w:rsidR="00A86443" w:rsidRPr="00F85DCF">
              <w:rPr>
                <w:sz w:val="20"/>
                <w:szCs w:val="20"/>
                <w:lang w:val="en-GB" w:eastAsia="en-AU"/>
              </w:rPr>
              <w:t>0.01 </w:t>
            </w:r>
            <w:r w:rsidRPr="00F85DCF">
              <w:rPr>
                <w:sz w:val="20"/>
                <w:szCs w:val="20"/>
                <w:lang w:val="en-GB"/>
              </w:rPr>
              <w:t>mg/kg (</w:t>
            </w:r>
            <w:r w:rsidR="00C826DF" w:rsidRPr="00F85DCF">
              <w:rPr>
                <w:sz w:val="20"/>
                <w:lang w:val="en-GB" w:eastAsia="en-AU"/>
              </w:rPr>
              <w:t>b</w:t>
            </w:r>
            <w:r w:rsidRPr="00F85DCF">
              <w:rPr>
                <w:sz w:val="20"/>
                <w:lang w:val="en-GB" w:eastAsia="en-AU"/>
              </w:rPr>
              <w:t xml:space="preserve">roccoli; </w:t>
            </w:r>
            <w:r w:rsidR="00C826DF" w:rsidRPr="00F85DCF">
              <w:rPr>
                <w:sz w:val="20"/>
                <w:lang w:val="en-GB" w:eastAsia="en-AU"/>
              </w:rPr>
              <w:t>p</w:t>
            </w:r>
            <w:r w:rsidRPr="00F85DCF">
              <w:rPr>
                <w:sz w:val="20"/>
                <w:lang w:val="en-GB" w:eastAsia="en-AU"/>
              </w:rPr>
              <w:t xml:space="preserve">eanut; </w:t>
            </w:r>
            <w:r w:rsidR="00C826DF" w:rsidRPr="00F85DCF">
              <w:rPr>
                <w:sz w:val="20"/>
                <w:lang w:val="en-GB" w:eastAsia="en-AU"/>
              </w:rPr>
              <w:t>r</w:t>
            </w:r>
            <w:r w:rsidRPr="00F85DCF">
              <w:rPr>
                <w:sz w:val="20"/>
                <w:lang w:val="en-GB" w:eastAsia="en-AU"/>
              </w:rPr>
              <w:t>ape</w:t>
            </w:r>
            <w:r w:rsidRPr="00F85DCF">
              <w:rPr>
                <w:sz w:val="20"/>
                <w:szCs w:val="20"/>
                <w:lang w:val="en-GB" w:eastAsia="en-AU"/>
              </w:rPr>
              <w:t xml:space="preserve"> seed (canola); and </w:t>
            </w:r>
            <w:r w:rsidR="00C826DF" w:rsidRPr="00F85DCF">
              <w:rPr>
                <w:sz w:val="20"/>
                <w:lang w:val="en-GB" w:eastAsia="en-AU"/>
              </w:rPr>
              <w:t>s</w:t>
            </w:r>
            <w:r w:rsidRPr="00F85DCF">
              <w:rPr>
                <w:sz w:val="20"/>
                <w:lang w:val="en-GB" w:eastAsia="en-AU"/>
              </w:rPr>
              <w:t>orghum</w:t>
            </w:r>
            <w:r w:rsidRPr="00F85DCF">
              <w:rPr>
                <w:sz w:val="20"/>
                <w:szCs w:val="20"/>
                <w:lang w:val="en-GB"/>
              </w:rPr>
              <w:t>) to 15 mg/kg (</w:t>
            </w:r>
            <w:r w:rsidRPr="00F85DCF">
              <w:rPr>
                <w:sz w:val="20"/>
                <w:szCs w:val="20"/>
                <w:lang w:val="en-GB" w:eastAsia="en-AU"/>
              </w:rPr>
              <w:t>kiwifruit</w:t>
            </w:r>
            <w:r w:rsidR="004E223F" w:rsidRPr="00F85DCF">
              <w:rPr>
                <w:sz w:val="20"/>
                <w:szCs w:val="20"/>
                <w:lang w:val="en-GB"/>
              </w:rPr>
              <w:t xml:space="preserve">), where </w:t>
            </w:r>
            <w:r w:rsidRPr="00F85DCF">
              <w:rPr>
                <w:sz w:val="20"/>
                <w:szCs w:val="20"/>
                <w:lang w:val="en-GB"/>
              </w:rPr>
              <w:t xml:space="preserve">* indicates MRL set at </w:t>
            </w:r>
            <w:r w:rsidR="00C54189" w:rsidRPr="00F85DCF">
              <w:rPr>
                <w:sz w:val="20"/>
                <w:szCs w:val="20"/>
                <w:lang w:val="en-GB"/>
              </w:rPr>
              <w:t xml:space="preserve">the </w:t>
            </w:r>
            <w:r w:rsidR="004710D5" w:rsidRPr="00F85DCF">
              <w:rPr>
                <w:sz w:val="20"/>
                <w:szCs w:val="20"/>
                <w:lang w:val="en-GB"/>
              </w:rPr>
              <w:t>Limit</w:t>
            </w:r>
            <w:r w:rsidR="000025E0" w:rsidRPr="00F85DCF">
              <w:rPr>
                <w:sz w:val="20"/>
                <w:szCs w:val="20"/>
                <w:lang w:val="en-GB"/>
              </w:rPr>
              <w:t xml:space="preserve"> of Determination</w:t>
            </w:r>
            <w:r w:rsidR="00C54189" w:rsidRPr="00F85DCF">
              <w:rPr>
                <w:sz w:val="20"/>
                <w:szCs w:val="20"/>
                <w:lang w:val="en-GB"/>
              </w:rPr>
              <w:t>.</w:t>
            </w:r>
          </w:p>
        </w:tc>
      </w:tr>
      <w:tr w:rsidR="00157AD4" w:rsidRPr="00F85DCF" w14:paraId="67D47B49" w14:textId="77777777" w:rsidTr="005C01CC">
        <w:tc>
          <w:tcPr>
            <w:tcW w:w="3545" w:type="dxa"/>
            <w:vAlign w:val="center"/>
          </w:tcPr>
          <w:p w14:paraId="4076BDEB" w14:textId="5F7D8BFE" w:rsidR="00157AD4" w:rsidRPr="00F85DCF" w:rsidRDefault="00157AD4"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MRL</w:t>
            </w:r>
            <w:r w:rsidR="00B95277" w:rsidRPr="00F85DCF">
              <w:rPr>
                <w:sz w:val="20"/>
                <w:szCs w:val="20"/>
                <w:lang w:val="en-GB" w:eastAsia="en-AU"/>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2660BA36" w14:textId="642ED61B" w:rsidR="00157AD4" w:rsidRPr="00F85DCF" w:rsidRDefault="00157AD4" w:rsidP="00CA7859">
            <w:pPr>
              <w:rPr>
                <w:sz w:val="20"/>
                <w:szCs w:val="20"/>
                <w:lang w:val="en-GB"/>
              </w:rPr>
            </w:pPr>
            <w:r w:rsidRPr="00F85DCF">
              <w:rPr>
                <w:sz w:val="20"/>
                <w:szCs w:val="20"/>
                <w:lang w:val="en-GB"/>
              </w:rPr>
              <w:t>0.01 mg/kg (</w:t>
            </w:r>
            <w:r w:rsidR="00C826DF" w:rsidRPr="00F85DCF">
              <w:rPr>
                <w:sz w:val="20"/>
                <w:lang w:val="en-GB" w:eastAsia="en-AU"/>
              </w:rPr>
              <w:t>p</w:t>
            </w:r>
            <w:r w:rsidRPr="00F85DCF">
              <w:rPr>
                <w:sz w:val="20"/>
                <w:lang w:val="en-GB" w:eastAsia="en-AU"/>
              </w:rPr>
              <w:t xml:space="preserve">eanut; </w:t>
            </w:r>
            <w:r w:rsidR="00C826DF" w:rsidRPr="00F85DCF">
              <w:rPr>
                <w:sz w:val="20"/>
                <w:lang w:val="en-GB" w:eastAsia="en-AU"/>
              </w:rPr>
              <w:t>r</w:t>
            </w:r>
            <w:r w:rsidRPr="00F85DCF">
              <w:rPr>
                <w:sz w:val="20"/>
                <w:lang w:val="en-GB" w:eastAsia="en-AU"/>
              </w:rPr>
              <w:t>ape</w:t>
            </w:r>
            <w:r w:rsidRPr="00F85DCF">
              <w:rPr>
                <w:sz w:val="20"/>
                <w:szCs w:val="20"/>
                <w:lang w:val="en-GB" w:eastAsia="en-AU"/>
              </w:rPr>
              <w:t xml:space="preserve"> seed (canola); and </w:t>
            </w:r>
            <w:r w:rsidR="00C826DF" w:rsidRPr="00F85DCF">
              <w:rPr>
                <w:sz w:val="20"/>
                <w:lang w:val="en-GB" w:eastAsia="en-AU"/>
              </w:rPr>
              <w:t>s</w:t>
            </w:r>
            <w:r w:rsidRPr="00F85DCF">
              <w:rPr>
                <w:sz w:val="20"/>
                <w:lang w:val="en-GB" w:eastAsia="en-AU"/>
              </w:rPr>
              <w:t>orghum</w:t>
            </w:r>
            <w:r w:rsidRPr="00F85DCF">
              <w:rPr>
                <w:sz w:val="20"/>
                <w:szCs w:val="20"/>
                <w:lang w:val="en-GB"/>
              </w:rPr>
              <w:t>)</w:t>
            </w:r>
          </w:p>
        </w:tc>
      </w:tr>
      <w:tr w:rsidR="00157AD4" w:rsidRPr="00F85DCF" w14:paraId="51F80EC8" w14:textId="77777777" w:rsidTr="005C01CC">
        <w:tc>
          <w:tcPr>
            <w:tcW w:w="3545" w:type="dxa"/>
            <w:vAlign w:val="center"/>
          </w:tcPr>
          <w:p w14:paraId="5D8A9F45" w14:textId="7CACCF59" w:rsidR="00157AD4" w:rsidRPr="00F85DCF" w:rsidRDefault="00157AD4" w:rsidP="00CA7859">
            <w:pPr>
              <w:rPr>
                <w:sz w:val="20"/>
                <w:szCs w:val="20"/>
                <w:lang w:val="en-GB" w:eastAsia="en-AU"/>
              </w:rPr>
            </w:pPr>
            <w:r w:rsidRPr="00F85DCF">
              <w:rPr>
                <w:sz w:val="20"/>
                <w:szCs w:val="20"/>
                <w:lang w:val="en-GB" w:eastAsia="en-AU"/>
              </w:rPr>
              <w:t xml:space="preserve">Most relevant reference point to </w:t>
            </w:r>
            <w:r w:rsidR="00FE3CE1"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2A0D0EA8" w14:textId="73C8ADBB" w:rsidR="00157AD4" w:rsidRPr="00F85DCF" w:rsidRDefault="00157AD4" w:rsidP="00CA7859">
            <w:pPr>
              <w:rPr>
                <w:sz w:val="20"/>
                <w:szCs w:val="20"/>
                <w:lang w:val="en-GB"/>
              </w:rPr>
            </w:pPr>
            <w:r w:rsidRPr="00F85DCF">
              <w:rPr>
                <w:sz w:val="20"/>
                <w:szCs w:val="20"/>
                <w:lang w:val="en-GB" w:eastAsia="en-AU"/>
              </w:rPr>
              <w:t xml:space="preserve">0.01 </w:t>
            </w:r>
            <w:r w:rsidRPr="00F85DCF">
              <w:rPr>
                <w:sz w:val="20"/>
                <w:szCs w:val="20"/>
                <w:lang w:val="en-GB"/>
              </w:rPr>
              <w:t>mg/kg</w:t>
            </w:r>
          </w:p>
        </w:tc>
      </w:tr>
      <w:tr w:rsidR="00157AD4" w:rsidRPr="00F85DCF" w14:paraId="1A561DD7" w14:textId="77777777" w:rsidTr="005C01CC">
        <w:tc>
          <w:tcPr>
            <w:tcW w:w="3545" w:type="dxa"/>
            <w:vAlign w:val="center"/>
          </w:tcPr>
          <w:p w14:paraId="345C00FF" w14:textId="77777777" w:rsidR="00157AD4" w:rsidRPr="00F85DCF" w:rsidRDefault="00157AD4"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489F1785" w14:textId="35A604A6" w:rsidR="00157AD4" w:rsidRPr="00F85DCF" w:rsidRDefault="00157AD4" w:rsidP="00CA7859">
            <w:pPr>
              <w:rPr>
                <w:sz w:val="20"/>
                <w:szCs w:val="20"/>
                <w:lang w:val="en-GB"/>
              </w:rPr>
            </w:pPr>
            <w:r w:rsidRPr="00F85DCF">
              <w:rPr>
                <w:sz w:val="20"/>
                <w:szCs w:val="20"/>
                <w:lang w:val="en-GB" w:eastAsia="en-AU"/>
              </w:rPr>
              <w:t>30</w:t>
            </w:r>
            <w:r w:rsidRPr="00F85DCF">
              <w:rPr>
                <w:sz w:val="20"/>
                <w:szCs w:val="20"/>
                <w:lang w:val="en-GB"/>
              </w:rPr>
              <w:t>% of the ADI</w:t>
            </w:r>
            <w:r w:rsidR="00FA1780" w:rsidRPr="00F85DCF">
              <w:rPr>
                <w:sz w:val="20"/>
                <w:szCs w:val="20"/>
                <w:lang w:val="en-GB"/>
              </w:rPr>
              <w:t>.</w:t>
            </w:r>
          </w:p>
        </w:tc>
      </w:tr>
      <w:tr w:rsidR="00157AD4" w:rsidRPr="00F85DCF" w14:paraId="1520ECFD" w14:textId="77777777" w:rsidTr="005C01CC">
        <w:tc>
          <w:tcPr>
            <w:tcW w:w="3545" w:type="dxa"/>
            <w:vAlign w:val="center"/>
          </w:tcPr>
          <w:p w14:paraId="74C37062" w14:textId="22D804F1" w:rsidR="00157AD4" w:rsidRPr="00F85DCF" w:rsidRDefault="00157AD4" w:rsidP="00F6066C">
            <w:pPr>
              <w:rPr>
                <w:sz w:val="20"/>
                <w:szCs w:val="20"/>
                <w:lang w:val="en-GB"/>
              </w:rPr>
            </w:pPr>
            <w:r w:rsidRPr="00F85DCF">
              <w:rPr>
                <w:sz w:val="20"/>
                <w:szCs w:val="20"/>
                <w:lang w:val="en-GB"/>
              </w:rPr>
              <w:t xml:space="preserve">Proposed </w:t>
            </w:r>
            <w:r w:rsidR="00F6066C" w:rsidRPr="00F85DCF">
              <w:rPr>
                <w:i/>
                <w:sz w:val="20"/>
                <w:szCs w:val="20"/>
                <w:lang w:val="en-GB"/>
              </w:rPr>
              <w:t>A</w:t>
            </w:r>
            <w:r w:rsidR="0020746F" w:rsidRPr="00F85DCF">
              <w:rPr>
                <w:i/>
                <w:sz w:val="20"/>
                <w:szCs w:val="20"/>
                <w:lang w:val="en-GB"/>
              </w:rPr>
              <w:t xml:space="preserve">ll other foods </w:t>
            </w:r>
            <w:r w:rsidR="0003601D" w:rsidRPr="00F85DCF">
              <w:rPr>
                <w:i/>
                <w:sz w:val="20"/>
                <w:szCs w:val="20"/>
                <w:lang w:val="en-GB"/>
              </w:rPr>
              <w:t xml:space="preserve">except animal </w:t>
            </w:r>
            <w:r w:rsidR="0066411D">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0C07E7" w:rsidRPr="00F85DCF">
              <w:rPr>
                <w:sz w:val="20"/>
                <w:szCs w:val="20"/>
                <w:lang w:val="en-GB"/>
              </w:rPr>
              <w:t xml:space="preserve"> </w:t>
            </w:r>
          </w:p>
        </w:tc>
        <w:tc>
          <w:tcPr>
            <w:tcW w:w="6520" w:type="dxa"/>
            <w:vAlign w:val="center"/>
          </w:tcPr>
          <w:p w14:paraId="08BB510C" w14:textId="382FBE4C" w:rsidR="00157AD4" w:rsidRPr="00F85DCF" w:rsidRDefault="00157AD4" w:rsidP="00CA7859">
            <w:pPr>
              <w:rPr>
                <w:sz w:val="20"/>
                <w:szCs w:val="20"/>
                <w:lang w:val="en-GB"/>
              </w:rPr>
            </w:pPr>
            <w:r w:rsidRPr="00F85DCF">
              <w:rPr>
                <w:sz w:val="20"/>
                <w:szCs w:val="20"/>
                <w:lang w:val="en-GB"/>
              </w:rPr>
              <w:t>0.02 mg/kg</w:t>
            </w:r>
            <w:r w:rsidR="00B95277" w:rsidRPr="00F85DCF">
              <w:rPr>
                <w:sz w:val="20"/>
                <w:szCs w:val="20"/>
                <w:lang w:val="en-GB"/>
              </w:rPr>
              <w:t xml:space="preserve"> </w:t>
            </w:r>
          </w:p>
        </w:tc>
      </w:tr>
      <w:tr w:rsidR="00157AD4" w:rsidRPr="00F85DCF" w14:paraId="05CF8975" w14:textId="77777777" w:rsidTr="005C01CC">
        <w:tc>
          <w:tcPr>
            <w:tcW w:w="3545" w:type="dxa"/>
            <w:vAlign w:val="center"/>
          </w:tcPr>
          <w:p w14:paraId="42817226" w14:textId="7BD59844" w:rsidR="00157AD4" w:rsidRPr="00F85DCF" w:rsidRDefault="00157AD4" w:rsidP="00F6066C">
            <w:pPr>
              <w:rPr>
                <w:sz w:val="20"/>
                <w:szCs w:val="20"/>
                <w:lang w:val="en-GB"/>
              </w:rPr>
            </w:pPr>
            <w:r w:rsidRPr="00F85DCF">
              <w:rPr>
                <w:sz w:val="20"/>
                <w:szCs w:val="20"/>
                <w:lang w:val="en-GB" w:eastAsia="en-AU"/>
              </w:rPr>
              <w:t xml:space="preserve">NEDI including </w:t>
            </w:r>
            <w:r w:rsidR="00F6066C"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D5814">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7B04E4EE" w14:textId="7E9A3C44" w:rsidR="00157AD4" w:rsidRPr="00F85DCF" w:rsidRDefault="00157AD4" w:rsidP="00CA7859">
            <w:pPr>
              <w:rPr>
                <w:sz w:val="20"/>
                <w:szCs w:val="20"/>
                <w:lang w:val="en-GB"/>
              </w:rPr>
            </w:pPr>
            <w:r w:rsidRPr="00F85DCF">
              <w:rPr>
                <w:sz w:val="20"/>
                <w:szCs w:val="20"/>
                <w:lang w:val="en-GB" w:eastAsia="en-AU"/>
              </w:rPr>
              <w:t>32% of the ADI</w:t>
            </w:r>
          </w:p>
        </w:tc>
      </w:tr>
      <w:tr w:rsidR="00157AD4" w:rsidRPr="00F85DCF" w14:paraId="35810C03" w14:textId="77777777" w:rsidTr="005C01CC">
        <w:tc>
          <w:tcPr>
            <w:tcW w:w="3545" w:type="dxa"/>
            <w:vAlign w:val="center"/>
          </w:tcPr>
          <w:p w14:paraId="05D8FEE3" w14:textId="0E54140A" w:rsidR="00157AD4" w:rsidRPr="00F85DCF" w:rsidRDefault="00E46481" w:rsidP="00F6066C">
            <w:pPr>
              <w:rPr>
                <w:sz w:val="20"/>
                <w:szCs w:val="20"/>
                <w:lang w:val="en-GB" w:eastAsia="en-AU"/>
              </w:rPr>
            </w:pPr>
            <w:r w:rsidRPr="00F85DCF">
              <w:rPr>
                <w:sz w:val="20"/>
                <w:szCs w:val="20"/>
                <w:lang w:val="en-GB" w:eastAsia="en-AU"/>
              </w:rPr>
              <w:t xml:space="preserve">Percentage contribution of </w:t>
            </w:r>
            <w:r w:rsidR="00F6066C" w:rsidRPr="00F85DCF">
              <w:rPr>
                <w:i/>
                <w:sz w:val="20"/>
                <w:lang w:val="en-GB" w:eastAsia="en-AU"/>
              </w:rPr>
              <w:t>A</w:t>
            </w:r>
            <w:r w:rsidR="0020746F" w:rsidRPr="00F85DCF">
              <w:rPr>
                <w:i/>
                <w:sz w:val="20"/>
                <w:lang w:val="en-GB" w:eastAsia="en-AU"/>
              </w:rPr>
              <w:t xml:space="preserve">ll other foods except animal </w:t>
            </w:r>
            <w:r w:rsidR="0066411D">
              <w:rPr>
                <w:i/>
                <w:sz w:val="20"/>
                <w:lang w:val="en-GB" w:eastAsia="en-AU"/>
              </w:rPr>
              <w:t xml:space="preserve">food </w:t>
            </w:r>
            <w:r w:rsidR="0020746F" w:rsidRPr="00F85DCF">
              <w:rPr>
                <w:i/>
                <w:sz w:val="20"/>
                <w:lang w:val="en-GB" w:eastAsia="en-AU"/>
              </w:rPr>
              <w:t>commodities</w:t>
            </w:r>
            <w:r w:rsidRPr="00F85DCF">
              <w:rPr>
                <w:sz w:val="20"/>
                <w:szCs w:val="20"/>
                <w:lang w:val="en-GB" w:eastAsia="en-AU"/>
              </w:rPr>
              <w:t xml:space="preserve"> to total </w:t>
            </w:r>
            <w:r w:rsidR="00FE3CE1"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70B6F279" w14:textId="0C3E351A" w:rsidR="00157AD4" w:rsidRPr="00F85DCF" w:rsidRDefault="00157AD4" w:rsidP="00F6066C">
            <w:pPr>
              <w:rPr>
                <w:sz w:val="20"/>
                <w:szCs w:val="20"/>
                <w:lang w:val="en-GB" w:eastAsia="en-AU"/>
              </w:rPr>
            </w:pPr>
            <w:r w:rsidRPr="00F85DCF">
              <w:rPr>
                <w:sz w:val="20"/>
                <w:szCs w:val="20"/>
                <w:lang w:val="en-GB" w:eastAsia="en-AU"/>
              </w:rPr>
              <w:t xml:space="preserve">An </w:t>
            </w:r>
            <w:r w:rsidR="00F6066C" w:rsidRPr="00F85DCF">
              <w:rPr>
                <w:i/>
                <w:sz w:val="20"/>
                <w:szCs w:val="20"/>
                <w:lang w:val="en-GB" w:eastAsia="en-AU"/>
              </w:rPr>
              <w:t>A</w:t>
            </w:r>
            <w:r w:rsidR="0020746F" w:rsidRPr="00F85DCF">
              <w:rPr>
                <w:i/>
                <w:sz w:val="20"/>
                <w:szCs w:val="20"/>
                <w:lang w:val="en-GB" w:eastAsia="en-AU"/>
              </w:rPr>
              <w:t xml:space="preserve">ll other foods </w:t>
            </w:r>
            <w:r w:rsidR="0003601D" w:rsidRPr="00F85DCF">
              <w:rPr>
                <w:i/>
                <w:sz w:val="20"/>
                <w:szCs w:val="20"/>
                <w:lang w:val="en-GB" w:eastAsia="en-AU"/>
              </w:rPr>
              <w:t xml:space="preserve">except animal </w:t>
            </w:r>
            <w:r w:rsidR="0066411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is the lowest existing MRL and represents 3% </w:t>
            </w:r>
            <w:r w:rsidR="00A86443" w:rsidRPr="00F85DCF">
              <w:rPr>
                <w:sz w:val="20"/>
                <w:szCs w:val="20"/>
                <w:lang w:val="en-GB" w:eastAsia="en-AU"/>
              </w:rPr>
              <w:t>contribution to</w:t>
            </w:r>
            <w:r w:rsidRPr="00F85DCF">
              <w:rPr>
                <w:sz w:val="20"/>
                <w:szCs w:val="20"/>
                <w:lang w:val="en-GB" w:eastAsia="en-AU"/>
              </w:rPr>
              <w:t xml:space="preserve"> total exposure. </w:t>
            </w:r>
            <w:r w:rsidR="00FA1780" w:rsidRPr="00F85DCF">
              <w:rPr>
                <w:sz w:val="20"/>
                <w:szCs w:val="20"/>
                <w:lang w:val="en-GB" w:eastAsia="en-AU"/>
              </w:rPr>
              <w:t xml:space="preserve">However, being at the </w:t>
            </w:r>
            <w:r w:rsidR="004710D5" w:rsidRPr="00F85DCF">
              <w:rPr>
                <w:sz w:val="20"/>
                <w:szCs w:val="20"/>
                <w:lang w:val="en-GB" w:eastAsia="en-AU"/>
              </w:rPr>
              <w:t>Limit</w:t>
            </w:r>
            <w:r w:rsidR="000025E0" w:rsidRPr="00F85DCF">
              <w:rPr>
                <w:sz w:val="20"/>
                <w:szCs w:val="20"/>
                <w:lang w:val="en-GB" w:eastAsia="en-AU"/>
              </w:rPr>
              <w:t xml:space="preserve"> of Determination</w:t>
            </w:r>
            <w:r w:rsidR="00FA1780" w:rsidRPr="00F85DCF">
              <w:rPr>
                <w:sz w:val="20"/>
                <w:szCs w:val="20"/>
                <w:lang w:val="en-GB" w:eastAsia="en-AU"/>
              </w:rPr>
              <w:t xml:space="preserve"> it </w:t>
            </w:r>
            <w:r w:rsidR="00207D70" w:rsidRPr="00F85DCF">
              <w:rPr>
                <w:sz w:val="20"/>
                <w:szCs w:val="20"/>
                <w:lang w:val="en-GB" w:eastAsia="en-AU"/>
              </w:rPr>
              <w:t xml:space="preserve">is </w:t>
            </w:r>
            <w:r w:rsidR="00FA1780" w:rsidRPr="00F85DCF">
              <w:rPr>
                <w:sz w:val="20"/>
                <w:szCs w:val="20"/>
                <w:lang w:val="en-GB" w:eastAsia="en-AU"/>
              </w:rPr>
              <w:t xml:space="preserve">not considered high enough to allow for the </w:t>
            </w:r>
            <w:r w:rsidR="004F76AA" w:rsidRPr="00F85DCF">
              <w:rPr>
                <w:sz w:val="20"/>
                <w:szCs w:val="20"/>
                <w:lang w:val="en-GB" w:eastAsia="en-AU"/>
              </w:rPr>
              <w:t>inadvertent</w:t>
            </w:r>
            <w:r w:rsidR="00FA1780" w:rsidRPr="00F85DCF">
              <w:rPr>
                <w:sz w:val="20"/>
                <w:szCs w:val="20"/>
                <w:lang w:val="en-GB" w:eastAsia="en-AU"/>
              </w:rPr>
              <w:t xml:space="preserve"> presence of the </w:t>
            </w:r>
            <w:r w:rsidR="00D10BC2" w:rsidRPr="00F85DCF">
              <w:rPr>
                <w:sz w:val="20"/>
                <w:szCs w:val="20"/>
                <w:lang w:val="en-GB" w:eastAsia="en-AU"/>
              </w:rPr>
              <w:t xml:space="preserve">agvet </w:t>
            </w:r>
            <w:r w:rsidR="00FA1780" w:rsidRPr="00F85DCF">
              <w:rPr>
                <w:sz w:val="20"/>
                <w:szCs w:val="20"/>
                <w:lang w:val="en-GB" w:eastAsia="en-AU"/>
              </w:rPr>
              <w:t xml:space="preserve">chemical in a commodity. </w:t>
            </w:r>
            <w:r w:rsidRPr="00F85DCF">
              <w:rPr>
                <w:sz w:val="20"/>
                <w:szCs w:val="20"/>
                <w:lang w:val="en-GB" w:eastAsia="en-AU"/>
              </w:rPr>
              <w:t xml:space="preserve">Increasing the </w:t>
            </w:r>
            <w:r w:rsidR="00F6066C" w:rsidRPr="00F85DCF">
              <w:rPr>
                <w:i/>
                <w:sz w:val="20"/>
                <w:lang w:val="en-GB" w:eastAsia="en-AU"/>
              </w:rPr>
              <w:t>A</w:t>
            </w:r>
            <w:r w:rsidR="0020746F" w:rsidRPr="00F85DCF">
              <w:rPr>
                <w:i/>
                <w:sz w:val="20"/>
                <w:lang w:val="en-GB" w:eastAsia="en-AU"/>
              </w:rPr>
              <w:t xml:space="preserve">ll other foods </w:t>
            </w:r>
            <w:r w:rsidR="0003601D" w:rsidRPr="00F85DCF">
              <w:rPr>
                <w:i/>
                <w:sz w:val="20"/>
                <w:lang w:val="en-GB" w:eastAsia="en-AU"/>
              </w:rPr>
              <w:t xml:space="preserve">except animal </w:t>
            </w:r>
            <w:r w:rsidR="0066411D">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MRL to 0.06 mg/kg represents </w:t>
            </w:r>
            <w:r w:rsidR="00A86443" w:rsidRPr="00F85DCF">
              <w:rPr>
                <w:sz w:val="20"/>
                <w:szCs w:val="20"/>
                <w:lang w:val="en-GB" w:eastAsia="en-AU"/>
              </w:rPr>
              <w:t>a contrib</w:t>
            </w:r>
            <w:r w:rsidR="008D53C3" w:rsidRPr="00F85DCF">
              <w:rPr>
                <w:sz w:val="20"/>
                <w:szCs w:val="20"/>
                <w:lang w:val="en-GB" w:eastAsia="en-AU"/>
              </w:rPr>
              <w:t>u</w:t>
            </w:r>
            <w:r w:rsidR="00A86443" w:rsidRPr="00F85DCF">
              <w:rPr>
                <w:sz w:val="20"/>
                <w:szCs w:val="20"/>
                <w:lang w:val="en-GB" w:eastAsia="en-AU"/>
              </w:rPr>
              <w:t xml:space="preserve">tion of </w:t>
            </w:r>
            <w:r w:rsidRPr="00F85DCF">
              <w:rPr>
                <w:sz w:val="20"/>
                <w:szCs w:val="20"/>
                <w:lang w:val="en-GB" w:eastAsia="en-AU"/>
              </w:rPr>
              <w:t xml:space="preserve">17% </w:t>
            </w:r>
            <w:r w:rsidR="00A86443" w:rsidRPr="00F85DCF">
              <w:rPr>
                <w:sz w:val="20"/>
                <w:szCs w:val="20"/>
                <w:lang w:val="en-GB" w:eastAsia="en-AU"/>
              </w:rPr>
              <w:t>to</w:t>
            </w:r>
            <w:r w:rsidRPr="00F85DCF">
              <w:rPr>
                <w:sz w:val="20"/>
                <w:szCs w:val="20"/>
                <w:lang w:val="en-GB" w:eastAsia="en-AU"/>
              </w:rPr>
              <w:t xml:space="preserve"> total dietary exposure and is within the target. However, this level </w:t>
            </w:r>
            <w:r w:rsidR="00207D70" w:rsidRPr="00F85DCF">
              <w:rPr>
                <w:sz w:val="20"/>
                <w:szCs w:val="20"/>
                <w:lang w:val="en-GB" w:eastAsia="en-AU"/>
              </w:rPr>
              <w:t xml:space="preserve">is </w:t>
            </w:r>
            <w:r w:rsidRPr="00F85DCF">
              <w:rPr>
                <w:sz w:val="20"/>
                <w:szCs w:val="20"/>
                <w:lang w:val="en-GB" w:eastAsia="en-AU"/>
              </w:rPr>
              <w:t xml:space="preserve">considered unacceptable as it is considerably higher than the current lowest MRL and may encourage off-label use. An MRL of 0.02 </w:t>
            </w:r>
            <w:r w:rsidR="00A86443" w:rsidRPr="00F85DCF">
              <w:rPr>
                <w:sz w:val="20"/>
                <w:szCs w:val="20"/>
                <w:lang w:val="en-GB" w:eastAsia="en-AU"/>
              </w:rPr>
              <w:t xml:space="preserve">mg/kg </w:t>
            </w:r>
            <w:r w:rsidRPr="00F85DCF">
              <w:rPr>
                <w:sz w:val="20"/>
                <w:szCs w:val="20"/>
                <w:lang w:val="en-GB" w:eastAsia="en-AU"/>
              </w:rPr>
              <w:t xml:space="preserve">represents </w:t>
            </w:r>
            <w:r w:rsidR="00A86443" w:rsidRPr="00F85DCF">
              <w:rPr>
                <w:sz w:val="20"/>
                <w:szCs w:val="20"/>
                <w:lang w:val="en-GB" w:eastAsia="en-AU"/>
              </w:rPr>
              <w:t>a contrib</w:t>
            </w:r>
            <w:r w:rsidR="008D53C3" w:rsidRPr="00F85DCF">
              <w:rPr>
                <w:sz w:val="20"/>
                <w:szCs w:val="20"/>
                <w:lang w:val="en-GB" w:eastAsia="en-AU"/>
              </w:rPr>
              <w:t>u</w:t>
            </w:r>
            <w:r w:rsidR="00A86443" w:rsidRPr="00F85DCF">
              <w:rPr>
                <w:sz w:val="20"/>
                <w:szCs w:val="20"/>
                <w:lang w:val="en-GB" w:eastAsia="en-AU"/>
              </w:rPr>
              <w:t xml:space="preserve">tion of </w:t>
            </w:r>
            <w:r w:rsidRPr="00F85DCF">
              <w:rPr>
                <w:sz w:val="20"/>
                <w:szCs w:val="20"/>
                <w:lang w:val="en-GB" w:eastAsia="en-AU"/>
              </w:rPr>
              <w:t xml:space="preserve">6% </w:t>
            </w:r>
            <w:r w:rsidR="00A86443" w:rsidRPr="00F85DCF">
              <w:rPr>
                <w:sz w:val="20"/>
                <w:szCs w:val="20"/>
                <w:lang w:val="en-GB" w:eastAsia="en-AU"/>
              </w:rPr>
              <w:t xml:space="preserve">to </w:t>
            </w:r>
            <w:r w:rsidRPr="00F85DCF">
              <w:rPr>
                <w:sz w:val="20"/>
                <w:szCs w:val="20"/>
                <w:lang w:val="en-GB" w:eastAsia="en-AU"/>
              </w:rPr>
              <w:t xml:space="preserve">total dietary exposure and is considered acceptable. </w:t>
            </w:r>
          </w:p>
        </w:tc>
      </w:tr>
      <w:tr w:rsidR="00A86443" w:rsidRPr="00F85DCF" w14:paraId="373AE062" w14:textId="77777777" w:rsidTr="005C01CC">
        <w:tc>
          <w:tcPr>
            <w:tcW w:w="3545" w:type="dxa"/>
            <w:vAlign w:val="center"/>
          </w:tcPr>
          <w:p w14:paraId="31B79907" w14:textId="1498BEDA" w:rsidR="00A86443" w:rsidRPr="00F85DCF" w:rsidRDefault="00A86443" w:rsidP="00CA7859">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6B765F82" w14:textId="0E7E9C2F" w:rsidR="00A86443" w:rsidRPr="00F85DCF" w:rsidRDefault="00A86443" w:rsidP="00CA7859">
            <w:pPr>
              <w:rPr>
                <w:sz w:val="20"/>
                <w:szCs w:val="20"/>
                <w:lang w:val="en-GB"/>
              </w:rPr>
            </w:pPr>
            <w:r w:rsidRPr="00F85DCF">
              <w:rPr>
                <w:sz w:val="20"/>
                <w:szCs w:val="20"/>
                <w:lang w:val="en-GB" w:eastAsia="en-AU"/>
              </w:rPr>
              <w:t xml:space="preserve">An acute dietary exposure assessment </w:t>
            </w:r>
            <w:r w:rsidR="00207D70" w:rsidRPr="00F85DCF">
              <w:rPr>
                <w:sz w:val="20"/>
                <w:szCs w:val="20"/>
                <w:lang w:val="en-GB" w:eastAsia="en-AU"/>
              </w:rPr>
              <w:t xml:space="preserve">is </w:t>
            </w:r>
            <w:r w:rsidRPr="00F85DCF">
              <w:rPr>
                <w:sz w:val="20"/>
                <w:szCs w:val="20"/>
                <w:lang w:val="en-GB" w:eastAsia="en-AU"/>
              </w:rPr>
              <w:t xml:space="preserve">considered unnecessary for </w:t>
            </w:r>
            <w:r w:rsidRPr="00F85DCF">
              <w:rPr>
                <w:sz w:val="20"/>
                <w:lang w:val="en-GB"/>
              </w:rPr>
              <w:t>Fludioxonil</w:t>
            </w:r>
            <w:r w:rsidRPr="00F85DCF">
              <w:rPr>
                <w:sz w:val="20"/>
                <w:szCs w:val="20"/>
                <w:lang w:val="en-GB"/>
              </w:rPr>
              <w:t xml:space="preserve"> because </w:t>
            </w:r>
            <w:r w:rsidR="00AC21A8" w:rsidRPr="00F85DCF">
              <w:rPr>
                <w:sz w:val="20"/>
                <w:szCs w:val="20"/>
                <w:lang w:val="en-GB"/>
              </w:rPr>
              <w:t>the OCS has not established an</w:t>
            </w:r>
            <w:r w:rsidRPr="00F85DCF">
              <w:rPr>
                <w:sz w:val="20"/>
                <w:szCs w:val="20"/>
                <w:lang w:val="en-GB"/>
              </w:rPr>
              <w:t xml:space="preserve"> acute reference dose </w:t>
            </w:r>
            <w:r w:rsidR="00AC21A8" w:rsidRPr="00F85DCF">
              <w:rPr>
                <w:sz w:val="20"/>
                <w:szCs w:val="20"/>
                <w:lang w:val="en-GB"/>
              </w:rPr>
              <w:t>and JMPR consider an ARfD unnecessary</w:t>
            </w:r>
            <w:r w:rsidRPr="00F85DCF">
              <w:rPr>
                <w:sz w:val="20"/>
                <w:szCs w:val="20"/>
                <w:lang w:val="en-GB"/>
              </w:rPr>
              <w:t>.</w:t>
            </w:r>
          </w:p>
        </w:tc>
      </w:tr>
      <w:tr w:rsidR="00A86443" w:rsidRPr="00F85DCF" w14:paraId="0CAB49E4" w14:textId="77777777" w:rsidTr="005C01CC">
        <w:tc>
          <w:tcPr>
            <w:tcW w:w="3545" w:type="dxa"/>
            <w:vAlign w:val="center"/>
          </w:tcPr>
          <w:p w14:paraId="32B692E7" w14:textId="77777777" w:rsidR="00A86443" w:rsidRPr="00F85DCF" w:rsidRDefault="00A86443" w:rsidP="00CA7859">
            <w:pPr>
              <w:rPr>
                <w:sz w:val="20"/>
                <w:szCs w:val="20"/>
                <w:lang w:val="en-GB" w:eastAsia="en-AU"/>
              </w:rPr>
            </w:pPr>
            <w:r w:rsidRPr="00F85DCF">
              <w:rPr>
                <w:sz w:val="20"/>
                <w:szCs w:val="20"/>
                <w:lang w:val="en-GB" w:eastAsia="en-AU"/>
              </w:rPr>
              <w:t>Conclusion</w:t>
            </w:r>
          </w:p>
        </w:tc>
        <w:tc>
          <w:tcPr>
            <w:tcW w:w="6520" w:type="dxa"/>
            <w:vAlign w:val="center"/>
          </w:tcPr>
          <w:p w14:paraId="212E6A28" w14:textId="5453B429" w:rsidR="00A86443" w:rsidRPr="00F85DCF" w:rsidRDefault="00A86443" w:rsidP="00F6066C">
            <w:pPr>
              <w:rPr>
                <w:sz w:val="20"/>
                <w:szCs w:val="20"/>
                <w:lang w:val="en-GB" w:eastAsia="en-AU"/>
              </w:rPr>
            </w:pPr>
            <w:r w:rsidRPr="00F85DCF">
              <w:rPr>
                <w:sz w:val="20"/>
                <w:szCs w:val="20"/>
                <w:lang w:val="en-GB"/>
              </w:rPr>
              <w:t xml:space="preserve">After considering the principles set out above an MRL </w:t>
            </w:r>
            <w:r w:rsidRPr="00F85DCF">
              <w:rPr>
                <w:b/>
                <w:sz w:val="20"/>
                <w:szCs w:val="20"/>
                <w:lang w:val="en-GB"/>
              </w:rPr>
              <w:t xml:space="preserve">for </w:t>
            </w:r>
            <w:r w:rsidR="00F6066C" w:rsidRPr="00F85DCF">
              <w:rPr>
                <w:b/>
                <w:i/>
                <w:sz w:val="20"/>
                <w:szCs w:val="20"/>
                <w:lang w:val="en-GB" w:eastAsia="en-AU"/>
              </w:rPr>
              <w:t>A</w:t>
            </w:r>
            <w:r w:rsidR="0020746F" w:rsidRPr="00F85DCF">
              <w:rPr>
                <w:b/>
                <w:i/>
                <w:sz w:val="20"/>
                <w:szCs w:val="20"/>
                <w:lang w:val="en-GB" w:eastAsia="en-AU"/>
              </w:rPr>
              <w:t xml:space="preserve">ll other foods </w:t>
            </w:r>
            <w:r w:rsidR="0003601D" w:rsidRPr="00F85DCF">
              <w:rPr>
                <w:b/>
                <w:i/>
                <w:sz w:val="20"/>
                <w:szCs w:val="20"/>
                <w:lang w:val="en-GB" w:eastAsia="en-AU"/>
              </w:rPr>
              <w:t xml:space="preserve">except animal </w:t>
            </w:r>
            <w:r w:rsidR="0066411D">
              <w:rPr>
                <w:b/>
                <w:i/>
                <w:sz w:val="20"/>
                <w:szCs w:val="20"/>
                <w:lang w:val="en-GB" w:eastAsia="en-AU"/>
              </w:rPr>
              <w:t xml:space="preserve">food </w:t>
            </w:r>
            <w:r w:rsidR="0003601D" w:rsidRPr="00F85DCF">
              <w:rPr>
                <w:b/>
                <w:i/>
                <w:sz w:val="20"/>
                <w:szCs w:val="20"/>
                <w:lang w:val="en-GB" w:eastAsia="en-AU"/>
              </w:rPr>
              <w:t>commodities</w:t>
            </w:r>
            <w:r w:rsidRPr="00F85DCF">
              <w:rPr>
                <w:b/>
                <w:sz w:val="20"/>
                <w:szCs w:val="20"/>
                <w:lang w:val="en-GB" w:eastAsia="en-AU"/>
              </w:rPr>
              <w:t xml:space="preserve"> </w:t>
            </w:r>
            <w:r w:rsidRPr="00F85DCF">
              <w:rPr>
                <w:b/>
                <w:sz w:val="20"/>
                <w:szCs w:val="20"/>
                <w:lang w:val="en-GB"/>
              </w:rPr>
              <w:t xml:space="preserve">of </w:t>
            </w:r>
            <w:r w:rsidR="004E223F" w:rsidRPr="00F85DCF">
              <w:rPr>
                <w:b/>
                <w:sz w:val="20"/>
                <w:szCs w:val="20"/>
                <w:lang w:val="en-GB" w:eastAsia="en-AU"/>
              </w:rPr>
              <w:t>0.02</w:t>
            </w:r>
            <w:r w:rsidR="00FE3CE1" w:rsidRPr="00F85DCF">
              <w:rPr>
                <w:b/>
                <w:sz w:val="20"/>
                <w:szCs w:val="20"/>
                <w:lang w:val="en-GB" w:eastAsia="en-AU"/>
              </w:rPr>
              <w:t> </w:t>
            </w:r>
            <w:r w:rsidRPr="00F85DCF">
              <w:rPr>
                <w:b/>
                <w:sz w:val="20"/>
                <w:szCs w:val="20"/>
                <w:lang w:val="en-GB"/>
              </w:rPr>
              <w:t>mg/kg</w:t>
            </w:r>
            <w:r w:rsidRPr="00F85DCF">
              <w:rPr>
                <w:sz w:val="20"/>
                <w:szCs w:val="20"/>
                <w:lang w:val="en-GB"/>
              </w:rPr>
              <w:t xml:space="preserve"> for </w:t>
            </w:r>
            <w:r w:rsidRPr="00F85DCF">
              <w:rPr>
                <w:sz w:val="20"/>
                <w:szCs w:val="20"/>
                <w:lang w:val="en-GB" w:eastAsia="en-AU"/>
              </w:rPr>
              <w:t>Fludioxonil</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148167C2" w14:textId="77777777" w:rsidR="00D87CDC" w:rsidRPr="00F85DCF" w:rsidRDefault="00D87CDC" w:rsidP="00D87CDC">
      <w:pPr>
        <w:rPr>
          <w:rFonts w:eastAsiaTheme="majorEastAsia" w:cstheme="majorBidi"/>
          <w:szCs w:val="24"/>
          <w:lang w:val="en-GB" w:eastAsia="en-AU"/>
        </w:rPr>
      </w:pPr>
      <w:r w:rsidRPr="00F85DCF">
        <w:rPr>
          <w:lang w:val="en-GB"/>
        </w:rPr>
        <w:br w:type="page"/>
      </w:r>
    </w:p>
    <w:p w14:paraId="201C8F2B" w14:textId="74CDC166" w:rsidR="00F6750E" w:rsidRPr="00F85DCF" w:rsidRDefault="00F6750E" w:rsidP="005C01CC">
      <w:pPr>
        <w:pStyle w:val="Heading3"/>
      </w:pPr>
      <w:r w:rsidRPr="00F85DCF">
        <w:lastRenderedPageBreak/>
        <w:t>Glyphosate</w:t>
      </w:r>
    </w:p>
    <w:tbl>
      <w:tblPr>
        <w:tblStyle w:val="TableGrid"/>
        <w:tblW w:w="9072" w:type="dxa"/>
        <w:tblLook w:val="04A0" w:firstRow="1" w:lastRow="0" w:firstColumn="1" w:lastColumn="0" w:noHBand="0" w:noVBand="1"/>
      </w:tblPr>
      <w:tblGrid>
        <w:gridCol w:w="3274"/>
        <w:gridCol w:w="5798"/>
      </w:tblGrid>
      <w:tr w:rsidR="00E43B1C" w:rsidRPr="00F85DCF" w14:paraId="6EE18C63" w14:textId="77777777" w:rsidTr="005C01CC">
        <w:tc>
          <w:tcPr>
            <w:tcW w:w="3545" w:type="dxa"/>
            <w:vAlign w:val="center"/>
          </w:tcPr>
          <w:p w14:paraId="360CC191" w14:textId="6BB398FE" w:rsidR="00E43B1C"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226A9BA3" w14:textId="77777777" w:rsidR="00E43B1C" w:rsidRPr="00F85DCF" w:rsidRDefault="00E43B1C" w:rsidP="00CA7859">
            <w:pPr>
              <w:rPr>
                <w:b/>
                <w:sz w:val="20"/>
                <w:szCs w:val="20"/>
                <w:lang w:val="en-GB" w:eastAsia="en-AU"/>
              </w:rPr>
            </w:pPr>
            <w:r w:rsidRPr="00F85DCF">
              <w:rPr>
                <w:b/>
                <w:sz w:val="20"/>
                <w:szCs w:val="20"/>
                <w:lang w:val="en-GB" w:eastAsia="en-AU"/>
              </w:rPr>
              <w:t>Comments</w:t>
            </w:r>
          </w:p>
        </w:tc>
      </w:tr>
      <w:tr w:rsidR="00E43B1C" w:rsidRPr="00F85DCF" w14:paraId="69E88F96" w14:textId="77777777" w:rsidTr="005C01CC">
        <w:tc>
          <w:tcPr>
            <w:tcW w:w="3545" w:type="dxa"/>
            <w:vAlign w:val="center"/>
          </w:tcPr>
          <w:p w14:paraId="5DD39970" w14:textId="6D3A8424" w:rsidR="00E43B1C"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19B2580C" w14:textId="77777777" w:rsidR="00E43B1C" w:rsidRPr="00F85DCF" w:rsidRDefault="00E43B1C" w:rsidP="00CA7859">
            <w:pPr>
              <w:rPr>
                <w:sz w:val="20"/>
                <w:szCs w:val="20"/>
                <w:lang w:val="en-GB"/>
              </w:rPr>
            </w:pPr>
            <w:r w:rsidRPr="00F85DCF">
              <w:rPr>
                <w:sz w:val="20"/>
                <w:szCs w:val="20"/>
                <w:lang w:val="en-GB" w:eastAsia="en-AU"/>
              </w:rPr>
              <w:t>0.01 mg/kg</w:t>
            </w:r>
          </w:p>
        </w:tc>
      </w:tr>
      <w:tr w:rsidR="00E43B1C" w:rsidRPr="00F85DCF" w14:paraId="1B973D48" w14:textId="77777777" w:rsidTr="005C01CC">
        <w:tc>
          <w:tcPr>
            <w:tcW w:w="3545" w:type="dxa"/>
            <w:vAlign w:val="center"/>
          </w:tcPr>
          <w:p w14:paraId="1CA778CD" w14:textId="77777777" w:rsidR="00E43B1C" w:rsidRPr="00F85DCF" w:rsidRDefault="00E43B1C" w:rsidP="00CA7859">
            <w:pPr>
              <w:rPr>
                <w:sz w:val="20"/>
                <w:szCs w:val="20"/>
                <w:lang w:val="en-GB"/>
              </w:rPr>
            </w:pPr>
            <w:r w:rsidRPr="00F85DCF">
              <w:rPr>
                <w:sz w:val="20"/>
                <w:szCs w:val="20"/>
                <w:lang w:val="en-GB"/>
              </w:rPr>
              <w:t>Lowest plant commodity MRL</w:t>
            </w:r>
          </w:p>
        </w:tc>
        <w:tc>
          <w:tcPr>
            <w:tcW w:w="6520" w:type="dxa"/>
            <w:vAlign w:val="center"/>
          </w:tcPr>
          <w:p w14:paraId="5FD2230B" w14:textId="78EC3B4E" w:rsidR="00E43B1C" w:rsidRPr="00F85DCF" w:rsidRDefault="00E43B1C" w:rsidP="00CA7859">
            <w:pPr>
              <w:rPr>
                <w:sz w:val="20"/>
                <w:szCs w:val="20"/>
                <w:lang w:val="en-GB"/>
              </w:rPr>
            </w:pPr>
            <w:r w:rsidRPr="00F85DCF">
              <w:rPr>
                <w:sz w:val="20"/>
                <w:szCs w:val="20"/>
                <w:lang w:val="en-GB" w:eastAsia="en-AU"/>
              </w:rPr>
              <w:t>*0.01 mg/kg (</w:t>
            </w:r>
            <w:r w:rsidR="00E60C94" w:rsidRPr="00F85DCF">
              <w:rPr>
                <w:sz w:val="20"/>
                <w:lang w:val="en-GB" w:eastAsia="en-AU"/>
              </w:rPr>
              <w:t>s</w:t>
            </w:r>
            <w:r w:rsidRPr="00F85DCF">
              <w:rPr>
                <w:sz w:val="20"/>
                <w:lang w:val="en-GB" w:eastAsia="en-AU"/>
              </w:rPr>
              <w:t>talk</w:t>
            </w:r>
            <w:r w:rsidRPr="00F85DCF">
              <w:rPr>
                <w:sz w:val="20"/>
                <w:szCs w:val="20"/>
                <w:lang w:val="en-GB" w:eastAsia="en-AU"/>
              </w:rPr>
              <w:t xml:space="preserve"> and stem vegetables) (*denotes set at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E43B1C" w:rsidRPr="00F85DCF" w14:paraId="626D5B13" w14:textId="77777777" w:rsidTr="005C01CC">
        <w:tc>
          <w:tcPr>
            <w:tcW w:w="3545" w:type="dxa"/>
            <w:vAlign w:val="center"/>
          </w:tcPr>
          <w:p w14:paraId="465C2B7F" w14:textId="43AC4783" w:rsidR="00E43B1C" w:rsidRPr="00F85DCF" w:rsidRDefault="00EB72A5" w:rsidP="00CA7859">
            <w:pPr>
              <w:rPr>
                <w:sz w:val="20"/>
                <w:szCs w:val="20"/>
                <w:lang w:val="en-GB"/>
              </w:rPr>
            </w:pPr>
            <w:r w:rsidRPr="00F85DCF">
              <w:rPr>
                <w:sz w:val="20"/>
                <w:szCs w:val="20"/>
                <w:lang w:val="en-GB" w:eastAsia="en-AU"/>
              </w:rPr>
              <w:t>Magnitude of existing</w:t>
            </w:r>
            <w:r w:rsidR="00CA7859" w:rsidRPr="00F85DCF">
              <w:rPr>
                <w:lang w:val="en-GB"/>
              </w:rPr>
              <w:t xml:space="preserve"> </w:t>
            </w:r>
            <w:r w:rsidR="00CA7859" w:rsidRPr="00F85DCF">
              <w:rPr>
                <w:sz w:val="20"/>
                <w:szCs w:val="20"/>
                <w:lang w:val="en-GB" w:eastAsia="en-AU"/>
              </w:rPr>
              <w:t>plant commodity</w:t>
            </w:r>
            <w:r w:rsidRPr="00F85DCF">
              <w:rPr>
                <w:sz w:val="20"/>
                <w:szCs w:val="20"/>
                <w:lang w:val="en-GB" w:eastAsia="en-AU"/>
              </w:rPr>
              <w:t xml:space="preserve"> MRLs </w:t>
            </w:r>
          </w:p>
        </w:tc>
        <w:tc>
          <w:tcPr>
            <w:tcW w:w="6520" w:type="dxa"/>
            <w:vAlign w:val="center"/>
          </w:tcPr>
          <w:p w14:paraId="0DA08725" w14:textId="7478F687" w:rsidR="00E43B1C" w:rsidRPr="00F85DCF" w:rsidRDefault="00E43B1C" w:rsidP="00CA7859">
            <w:pPr>
              <w:rPr>
                <w:sz w:val="20"/>
                <w:szCs w:val="20"/>
                <w:lang w:val="en-GB"/>
              </w:rPr>
            </w:pPr>
            <w:r w:rsidRPr="00F85DCF">
              <w:rPr>
                <w:sz w:val="20"/>
                <w:szCs w:val="20"/>
                <w:lang w:val="en-GB"/>
              </w:rPr>
              <w:t xml:space="preserve">The range of existing MRLs, excluding animal </w:t>
            </w:r>
            <w:r w:rsidR="004B6510">
              <w:rPr>
                <w:sz w:val="20"/>
                <w:szCs w:val="20"/>
                <w:lang w:val="en-GB"/>
              </w:rPr>
              <w:t xml:space="preserve">food </w:t>
            </w:r>
            <w:r w:rsidRPr="00F85DCF">
              <w:rPr>
                <w:sz w:val="20"/>
                <w:szCs w:val="20"/>
                <w:lang w:val="en-GB"/>
              </w:rPr>
              <w:t xml:space="preserve">commodities, </w:t>
            </w:r>
            <w:r w:rsidR="00207D70" w:rsidRPr="00F85DCF">
              <w:rPr>
                <w:sz w:val="20"/>
                <w:szCs w:val="20"/>
                <w:lang w:val="en-GB"/>
              </w:rPr>
              <w:t xml:space="preserve">is </w:t>
            </w:r>
            <w:r w:rsidRPr="00F85DCF">
              <w:rPr>
                <w:sz w:val="20"/>
                <w:szCs w:val="20"/>
                <w:lang w:val="en-GB" w:eastAsia="en-AU"/>
              </w:rPr>
              <w:t xml:space="preserve">*0.01 </w:t>
            </w:r>
            <w:r w:rsidRPr="00F85DCF">
              <w:rPr>
                <w:sz w:val="20"/>
                <w:szCs w:val="20"/>
                <w:lang w:val="en-GB"/>
              </w:rPr>
              <w:t>mg/kg (</w:t>
            </w:r>
            <w:r w:rsidR="00E60C94" w:rsidRPr="00F85DCF">
              <w:rPr>
                <w:sz w:val="20"/>
                <w:lang w:val="en-GB" w:eastAsia="en-AU"/>
              </w:rPr>
              <w:t>s</w:t>
            </w:r>
            <w:r w:rsidRPr="00F85DCF">
              <w:rPr>
                <w:sz w:val="20"/>
                <w:lang w:val="en-GB" w:eastAsia="en-AU"/>
              </w:rPr>
              <w:t>talk</w:t>
            </w:r>
            <w:r w:rsidRPr="00F85DCF">
              <w:rPr>
                <w:sz w:val="20"/>
                <w:szCs w:val="20"/>
                <w:lang w:val="en-GB" w:eastAsia="en-AU"/>
              </w:rPr>
              <w:t xml:space="preserve"> and stem vegetables</w:t>
            </w:r>
            <w:r w:rsidRPr="00F85DCF">
              <w:rPr>
                <w:sz w:val="20"/>
                <w:szCs w:val="20"/>
                <w:lang w:val="en-GB"/>
              </w:rPr>
              <w:t>) to T20 mg/kg (</w:t>
            </w:r>
            <w:r w:rsidR="00E60C94" w:rsidRPr="00F85DCF">
              <w:rPr>
                <w:sz w:val="20"/>
                <w:lang w:val="en-GB" w:eastAsia="en-AU"/>
              </w:rPr>
              <w:t>l</w:t>
            </w:r>
            <w:r w:rsidRPr="00F85DCF">
              <w:rPr>
                <w:sz w:val="20"/>
                <w:lang w:val="en-GB" w:eastAsia="en-AU"/>
              </w:rPr>
              <w:t>emon</w:t>
            </w:r>
            <w:r w:rsidRPr="00F85DCF">
              <w:rPr>
                <w:sz w:val="20"/>
                <w:szCs w:val="20"/>
                <w:lang w:val="en-GB" w:eastAsia="en-AU"/>
              </w:rPr>
              <w:t xml:space="preserve"> myrtle; </w:t>
            </w:r>
            <w:r w:rsidR="00E60C94" w:rsidRPr="00F85DCF">
              <w:rPr>
                <w:sz w:val="20"/>
                <w:lang w:val="en-GB" w:eastAsia="en-AU"/>
              </w:rPr>
              <w:t>p</w:t>
            </w:r>
            <w:r w:rsidRPr="00F85DCF">
              <w:rPr>
                <w:sz w:val="20"/>
                <w:lang w:val="en-GB" w:eastAsia="en-AU"/>
              </w:rPr>
              <w:t>oppy</w:t>
            </w:r>
            <w:r w:rsidRPr="00F85DCF">
              <w:rPr>
                <w:sz w:val="20"/>
                <w:szCs w:val="20"/>
                <w:lang w:val="en-GB" w:eastAsia="en-AU"/>
              </w:rPr>
              <w:t xml:space="preserve"> seed; and </w:t>
            </w:r>
            <w:r w:rsidR="00E60C94" w:rsidRPr="00F85DCF">
              <w:rPr>
                <w:sz w:val="20"/>
                <w:lang w:val="en-GB" w:eastAsia="en-AU"/>
              </w:rPr>
              <w:t>s</w:t>
            </w:r>
            <w:r w:rsidRPr="00F85DCF">
              <w:rPr>
                <w:sz w:val="20"/>
                <w:lang w:val="en-GB" w:eastAsia="en-AU"/>
              </w:rPr>
              <w:t>unflower</w:t>
            </w:r>
            <w:r w:rsidRPr="00F85DCF">
              <w:rPr>
                <w:sz w:val="20"/>
                <w:szCs w:val="20"/>
                <w:lang w:val="en-GB" w:eastAsia="en-AU"/>
              </w:rPr>
              <w:t xml:space="preserve"> seed</w:t>
            </w:r>
            <w:r w:rsidR="00CA7859" w:rsidRPr="00F85DCF">
              <w:rPr>
                <w:sz w:val="20"/>
                <w:szCs w:val="20"/>
                <w:lang w:val="en-GB"/>
              </w:rPr>
              <w:t>).</w:t>
            </w:r>
          </w:p>
        </w:tc>
      </w:tr>
      <w:tr w:rsidR="00E43B1C" w:rsidRPr="00F85DCF" w14:paraId="080403A1" w14:textId="77777777" w:rsidTr="005C01CC">
        <w:tc>
          <w:tcPr>
            <w:tcW w:w="3545" w:type="dxa"/>
            <w:vAlign w:val="center"/>
          </w:tcPr>
          <w:p w14:paraId="184BD06E" w14:textId="19AC24A3" w:rsidR="00E43B1C" w:rsidRPr="00F85DCF" w:rsidRDefault="00E43B1C"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2F87CE59" w14:textId="169BE1D2" w:rsidR="00E43B1C" w:rsidRPr="00F85DCF" w:rsidRDefault="00E43B1C" w:rsidP="00CA7859">
            <w:pPr>
              <w:rPr>
                <w:sz w:val="20"/>
                <w:szCs w:val="20"/>
                <w:lang w:val="en-GB"/>
              </w:rPr>
            </w:pPr>
            <w:r w:rsidRPr="00F85DCF">
              <w:rPr>
                <w:sz w:val="20"/>
                <w:szCs w:val="20"/>
                <w:lang w:val="en-GB" w:eastAsia="en-AU"/>
              </w:rPr>
              <w:t xml:space="preserve">0.2 </w:t>
            </w:r>
            <w:r w:rsidRPr="00F85DCF">
              <w:rPr>
                <w:sz w:val="20"/>
                <w:szCs w:val="20"/>
                <w:lang w:val="en-GB"/>
              </w:rPr>
              <w:t>mg/kg (</w:t>
            </w:r>
            <w:r w:rsidR="00E60C94" w:rsidRPr="00F85DCF">
              <w:rPr>
                <w:sz w:val="20"/>
                <w:lang w:val="en-GB" w:eastAsia="en-AU"/>
              </w:rPr>
              <w:t>b</w:t>
            </w:r>
            <w:r w:rsidRPr="00F85DCF">
              <w:rPr>
                <w:sz w:val="20"/>
                <w:lang w:val="en-GB" w:eastAsia="en-AU"/>
              </w:rPr>
              <w:t xml:space="preserve">anana; </w:t>
            </w:r>
            <w:r w:rsidR="00E60C94" w:rsidRPr="00F85DCF">
              <w:rPr>
                <w:sz w:val="20"/>
                <w:lang w:val="en-GB" w:eastAsia="en-AU"/>
              </w:rPr>
              <w:t>c</w:t>
            </w:r>
            <w:r w:rsidRPr="00F85DCF">
              <w:rPr>
                <w:sz w:val="20"/>
                <w:lang w:val="en-GB" w:eastAsia="en-AU"/>
              </w:rPr>
              <w:t xml:space="preserve">ranberry; </w:t>
            </w:r>
            <w:r w:rsidR="00E60C94" w:rsidRPr="00F85DCF">
              <w:rPr>
                <w:sz w:val="20"/>
                <w:lang w:val="en-GB" w:eastAsia="en-AU"/>
              </w:rPr>
              <w:t>l</w:t>
            </w:r>
            <w:r w:rsidRPr="00F85DCF">
              <w:rPr>
                <w:sz w:val="20"/>
                <w:lang w:val="en-GB" w:eastAsia="en-AU"/>
              </w:rPr>
              <w:t xml:space="preserve">itchi; </w:t>
            </w:r>
            <w:r w:rsidR="00E60C94" w:rsidRPr="00F85DCF">
              <w:rPr>
                <w:sz w:val="20"/>
                <w:lang w:val="en-GB" w:eastAsia="en-AU"/>
              </w:rPr>
              <w:t>s</w:t>
            </w:r>
            <w:r w:rsidRPr="00F85DCF">
              <w:rPr>
                <w:sz w:val="20"/>
                <w:lang w:val="en-GB" w:eastAsia="en-AU"/>
              </w:rPr>
              <w:t>tone</w:t>
            </w:r>
            <w:r w:rsidRPr="00F85DCF">
              <w:rPr>
                <w:sz w:val="20"/>
                <w:szCs w:val="20"/>
                <w:lang w:val="en-GB" w:eastAsia="en-AU"/>
              </w:rPr>
              <w:t xml:space="preserve"> fruit; and </w:t>
            </w:r>
            <w:r w:rsidR="00E60C94" w:rsidRPr="00F85DCF">
              <w:rPr>
                <w:sz w:val="20"/>
                <w:lang w:val="en-GB" w:eastAsia="en-AU"/>
              </w:rPr>
              <w:t>t</w:t>
            </w:r>
            <w:r w:rsidRPr="00F85DCF">
              <w:rPr>
                <w:sz w:val="20"/>
                <w:lang w:val="en-GB" w:eastAsia="en-AU"/>
              </w:rPr>
              <w:t>ree</w:t>
            </w:r>
            <w:r w:rsidRPr="00F85DCF">
              <w:rPr>
                <w:sz w:val="20"/>
                <w:szCs w:val="20"/>
                <w:lang w:val="en-GB" w:eastAsia="en-AU"/>
              </w:rPr>
              <w:t xml:space="preserve"> nuts</w:t>
            </w:r>
            <w:r w:rsidRPr="00F85DCF">
              <w:rPr>
                <w:sz w:val="20"/>
                <w:szCs w:val="20"/>
                <w:lang w:val="en-GB"/>
              </w:rPr>
              <w:t>)</w:t>
            </w:r>
          </w:p>
        </w:tc>
      </w:tr>
      <w:tr w:rsidR="00E43B1C" w:rsidRPr="00F85DCF" w14:paraId="59351390" w14:textId="77777777" w:rsidTr="005C01CC">
        <w:tc>
          <w:tcPr>
            <w:tcW w:w="3545" w:type="dxa"/>
            <w:vAlign w:val="center"/>
          </w:tcPr>
          <w:p w14:paraId="1D0BDC0E" w14:textId="774387D2" w:rsidR="00E43B1C" w:rsidRPr="00F85DCF" w:rsidRDefault="00E43B1C" w:rsidP="00CA7859">
            <w:pPr>
              <w:rPr>
                <w:sz w:val="20"/>
                <w:szCs w:val="20"/>
                <w:lang w:val="en-GB" w:eastAsia="en-AU"/>
              </w:rPr>
            </w:pPr>
            <w:r w:rsidRPr="00F85DCF">
              <w:rPr>
                <w:sz w:val="20"/>
                <w:szCs w:val="20"/>
                <w:lang w:val="en-GB" w:eastAsia="en-AU"/>
              </w:rPr>
              <w:t xml:space="preserve">Most relevant reference point to </w:t>
            </w:r>
            <w:r w:rsidR="006930DF"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6B05D123" w14:textId="3501E714" w:rsidR="00E43B1C" w:rsidRPr="00F85DCF" w:rsidRDefault="00E43B1C" w:rsidP="00CA7859">
            <w:pPr>
              <w:rPr>
                <w:sz w:val="20"/>
                <w:szCs w:val="20"/>
                <w:lang w:val="en-GB"/>
              </w:rPr>
            </w:pPr>
            <w:r w:rsidRPr="00F85DCF">
              <w:rPr>
                <w:sz w:val="20"/>
                <w:szCs w:val="20"/>
                <w:lang w:val="en-GB" w:eastAsia="en-AU"/>
              </w:rPr>
              <w:t>0.2</w:t>
            </w:r>
            <w:r w:rsidRPr="00F85DCF">
              <w:rPr>
                <w:sz w:val="20"/>
                <w:szCs w:val="20"/>
                <w:lang w:val="en-GB"/>
              </w:rPr>
              <w:t>mg/kg</w:t>
            </w:r>
          </w:p>
        </w:tc>
      </w:tr>
      <w:tr w:rsidR="00E43B1C" w:rsidRPr="00F85DCF" w14:paraId="2555DD4B" w14:textId="77777777" w:rsidTr="005C01CC">
        <w:tc>
          <w:tcPr>
            <w:tcW w:w="3545" w:type="dxa"/>
            <w:vAlign w:val="center"/>
          </w:tcPr>
          <w:p w14:paraId="643C7212" w14:textId="77777777" w:rsidR="00E43B1C" w:rsidRPr="00F85DCF" w:rsidRDefault="00E43B1C"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7DF118EB" w14:textId="5D31180F" w:rsidR="00E43B1C" w:rsidRPr="00F85DCF" w:rsidRDefault="00E43B1C" w:rsidP="00CA7859">
            <w:pPr>
              <w:rPr>
                <w:sz w:val="20"/>
                <w:szCs w:val="20"/>
                <w:lang w:val="en-GB"/>
              </w:rPr>
            </w:pPr>
            <w:r w:rsidRPr="00F85DCF">
              <w:rPr>
                <w:sz w:val="20"/>
                <w:szCs w:val="20"/>
                <w:lang w:val="en-GB" w:eastAsia="en-AU"/>
              </w:rPr>
              <w:t>9</w:t>
            </w:r>
            <w:r w:rsidRPr="00F85DCF">
              <w:rPr>
                <w:sz w:val="20"/>
                <w:szCs w:val="20"/>
                <w:lang w:val="en-GB"/>
              </w:rPr>
              <w:t>% of the ADI</w:t>
            </w:r>
            <w:r w:rsidR="00FA1780" w:rsidRPr="00F85DCF">
              <w:rPr>
                <w:sz w:val="20"/>
                <w:szCs w:val="20"/>
                <w:lang w:val="en-GB"/>
              </w:rPr>
              <w:t>.</w:t>
            </w:r>
          </w:p>
        </w:tc>
      </w:tr>
      <w:tr w:rsidR="00E43B1C" w:rsidRPr="00F85DCF" w14:paraId="57B8B9E3" w14:textId="77777777" w:rsidTr="005C01CC">
        <w:tc>
          <w:tcPr>
            <w:tcW w:w="3545" w:type="dxa"/>
            <w:vAlign w:val="center"/>
          </w:tcPr>
          <w:p w14:paraId="6A174BB4" w14:textId="2AEA09DE" w:rsidR="00E43B1C" w:rsidRPr="00F85DCF" w:rsidRDefault="00E43B1C" w:rsidP="00F6066C">
            <w:pPr>
              <w:rPr>
                <w:sz w:val="20"/>
                <w:szCs w:val="20"/>
                <w:lang w:val="en-GB"/>
              </w:rPr>
            </w:pPr>
            <w:r w:rsidRPr="00F85DCF">
              <w:rPr>
                <w:sz w:val="20"/>
                <w:szCs w:val="20"/>
                <w:lang w:val="en-GB"/>
              </w:rPr>
              <w:t xml:space="preserve">Proposed </w:t>
            </w:r>
            <w:r w:rsidR="00F6066C" w:rsidRPr="00F85DCF">
              <w:rPr>
                <w:i/>
                <w:sz w:val="20"/>
                <w:szCs w:val="20"/>
                <w:lang w:val="en-GB"/>
              </w:rPr>
              <w:t>A</w:t>
            </w:r>
            <w:r w:rsidR="00280712"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1AC020D8" w14:textId="77777777" w:rsidR="00E43B1C" w:rsidRPr="00F85DCF" w:rsidRDefault="00E43B1C" w:rsidP="00CA7859">
            <w:pPr>
              <w:rPr>
                <w:sz w:val="20"/>
                <w:szCs w:val="20"/>
                <w:lang w:val="en-GB"/>
              </w:rPr>
            </w:pPr>
            <w:r w:rsidRPr="00F85DCF">
              <w:rPr>
                <w:sz w:val="20"/>
                <w:szCs w:val="20"/>
                <w:lang w:val="en-GB"/>
              </w:rPr>
              <w:t>0.2 mg/kg</w:t>
            </w:r>
          </w:p>
        </w:tc>
      </w:tr>
      <w:tr w:rsidR="00E43B1C" w:rsidRPr="00F85DCF" w14:paraId="0EC29941" w14:textId="77777777" w:rsidTr="005C01CC">
        <w:tc>
          <w:tcPr>
            <w:tcW w:w="3545" w:type="dxa"/>
            <w:vAlign w:val="center"/>
          </w:tcPr>
          <w:p w14:paraId="338F2062" w14:textId="2EFD36D8" w:rsidR="00E43B1C" w:rsidRPr="00F85DCF" w:rsidRDefault="00E43B1C" w:rsidP="00F6066C">
            <w:pPr>
              <w:rPr>
                <w:sz w:val="20"/>
                <w:szCs w:val="20"/>
                <w:lang w:val="en-GB"/>
              </w:rPr>
            </w:pPr>
            <w:r w:rsidRPr="00F85DCF">
              <w:rPr>
                <w:sz w:val="20"/>
                <w:szCs w:val="20"/>
                <w:lang w:val="en-GB" w:eastAsia="en-AU"/>
              </w:rPr>
              <w:t xml:space="preserve">NEDI including </w:t>
            </w:r>
            <w:r w:rsidR="00F6066C" w:rsidRPr="00F85DCF">
              <w:rPr>
                <w:i/>
                <w:sz w:val="20"/>
                <w:szCs w:val="20"/>
                <w:lang w:val="en-GB" w:eastAsia="en-AU"/>
              </w:rPr>
              <w:t>A</w:t>
            </w:r>
            <w:r w:rsidR="00280712"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14DA1E21" w14:textId="75081D02" w:rsidR="00E43B1C" w:rsidRPr="00F85DCF" w:rsidRDefault="00E43B1C" w:rsidP="00CA7859">
            <w:pPr>
              <w:rPr>
                <w:sz w:val="20"/>
                <w:szCs w:val="20"/>
                <w:lang w:val="en-GB"/>
              </w:rPr>
            </w:pPr>
            <w:r w:rsidRPr="00F85DCF">
              <w:rPr>
                <w:sz w:val="20"/>
                <w:szCs w:val="20"/>
                <w:lang w:val="en-GB" w:eastAsia="en-AU"/>
              </w:rPr>
              <w:t>10% of the ADI</w:t>
            </w:r>
          </w:p>
        </w:tc>
      </w:tr>
      <w:tr w:rsidR="00E43B1C" w:rsidRPr="00F85DCF" w14:paraId="02DD923D" w14:textId="77777777" w:rsidTr="005C01CC">
        <w:tc>
          <w:tcPr>
            <w:tcW w:w="3545" w:type="dxa"/>
            <w:vAlign w:val="center"/>
          </w:tcPr>
          <w:p w14:paraId="5A7E0E1B" w14:textId="77C873FE" w:rsidR="00E43B1C" w:rsidRPr="00F85DCF" w:rsidRDefault="00E46481" w:rsidP="00F6066C">
            <w:pPr>
              <w:rPr>
                <w:sz w:val="20"/>
                <w:szCs w:val="20"/>
                <w:lang w:val="en-GB" w:eastAsia="en-AU"/>
              </w:rPr>
            </w:pPr>
            <w:r w:rsidRPr="00F85DCF">
              <w:rPr>
                <w:sz w:val="20"/>
                <w:szCs w:val="20"/>
                <w:lang w:val="en-GB" w:eastAsia="en-AU"/>
              </w:rPr>
              <w:t xml:space="preserve">Percentage contribution of </w:t>
            </w:r>
            <w:r w:rsidR="00F6066C" w:rsidRPr="00F85DCF">
              <w:rPr>
                <w:i/>
                <w:sz w:val="20"/>
                <w:lang w:val="en-GB" w:eastAsia="en-AU"/>
              </w:rPr>
              <w:t>A</w:t>
            </w:r>
            <w:r w:rsidR="00280712" w:rsidRPr="00F85DCF">
              <w:rPr>
                <w:i/>
                <w:sz w:val="20"/>
                <w:lang w:val="en-GB" w:eastAsia="en-AU"/>
              </w:rPr>
              <w:t xml:space="preserve">ll other foods </w:t>
            </w:r>
            <w:r w:rsidR="0003601D" w:rsidRPr="00F85DCF">
              <w:rPr>
                <w:i/>
                <w:sz w:val="20"/>
                <w:lang w:val="en-GB" w:eastAsia="en-AU"/>
              </w:rPr>
              <w:t xml:space="preserve">except animal </w:t>
            </w:r>
            <w:r w:rsidR="006C226A">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6930DF"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30F00431" w14:textId="635E7AEC" w:rsidR="00E43B1C" w:rsidRPr="00F85DCF" w:rsidRDefault="00286C41" w:rsidP="00F6066C">
            <w:pPr>
              <w:rPr>
                <w:sz w:val="20"/>
                <w:szCs w:val="20"/>
                <w:lang w:val="en-GB" w:eastAsia="en-AU"/>
              </w:rPr>
            </w:pPr>
            <w:r w:rsidRPr="00F85DCF">
              <w:rPr>
                <w:sz w:val="20"/>
                <w:szCs w:val="20"/>
                <w:lang w:val="en-GB" w:eastAsia="en-AU"/>
              </w:rPr>
              <w:t xml:space="preserve">An </w:t>
            </w:r>
            <w:r w:rsidR="00F6066C" w:rsidRPr="00F85DCF">
              <w:rPr>
                <w:i/>
                <w:sz w:val="20"/>
                <w:szCs w:val="20"/>
                <w:lang w:val="en-GB" w:eastAsia="en-AU"/>
              </w:rPr>
              <w:t>A</w:t>
            </w:r>
            <w:r w:rsidR="00280712"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represent</w:t>
            </w:r>
            <w:r w:rsidR="00207D70" w:rsidRPr="00F85DCF">
              <w:rPr>
                <w:sz w:val="20"/>
                <w:szCs w:val="20"/>
                <w:lang w:val="en-GB" w:eastAsia="en-AU"/>
              </w:rPr>
              <w:t>s</w:t>
            </w:r>
            <w:r w:rsidRPr="00F85DCF">
              <w:rPr>
                <w:sz w:val="20"/>
                <w:szCs w:val="20"/>
                <w:lang w:val="en-GB" w:eastAsia="en-AU"/>
              </w:rPr>
              <w:t xml:space="preserve"> </w:t>
            </w:r>
            <w:r w:rsidR="00F55F43" w:rsidRPr="00F85DCF">
              <w:rPr>
                <w:sz w:val="20"/>
                <w:szCs w:val="20"/>
                <w:lang w:val="en-GB" w:eastAsia="en-AU"/>
              </w:rPr>
              <w:t xml:space="preserve">a contribution of </w:t>
            </w:r>
            <w:r w:rsidRPr="00F85DCF">
              <w:rPr>
                <w:sz w:val="20"/>
                <w:szCs w:val="20"/>
                <w:lang w:val="en-GB" w:eastAsia="en-AU"/>
              </w:rPr>
              <w:t xml:space="preserve">&lt;1% </w:t>
            </w:r>
            <w:r w:rsidR="00F55F43" w:rsidRPr="00F85DCF">
              <w:rPr>
                <w:sz w:val="20"/>
                <w:szCs w:val="20"/>
                <w:lang w:val="en-GB" w:eastAsia="en-AU"/>
              </w:rPr>
              <w:t>to</w:t>
            </w:r>
            <w:r w:rsidRPr="00F85DCF">
              <w:rPr>
                <w:sz w:val="20"/>
                <w:szCs w:val="20"/>
                <w:lang w:val="en-GB" w:eastAsia="en-AU"/>
              </w:rPr>
              <w:t xml:space="preserve"> total </w:t>
            </w:r>
            <w:r w:rsidR="00F55F43" w:rsidRPr="00F85DCF">
              <w:rPr>
                <w:sz w:val="20"/>
                <w:szCs w:val="20"/>
                <w:lang w:val="en-GB" w:eastAsia="en-AU"/>
              </w:rPr>
              <w:t xml:space="preserve">dietary </w:t>
            </w:r>
            <w:r w:rsidRPr="00F85DCF">
              <w:rPr>
                <w:sz w:val="20"/>
                <w:szCs w:val="20"/>
                <w:lang w:val="en-GB" w:eastAsia="en-AU"/>
              </w:rPr>
              <w:t>exposure.</w:t>
            </w:r>
            <w:r w:rsidR="00FA1780" w:rsidRPr="00F85DCF">
              <w:rPr>
                <w:sz w:val="20"/>
                <w:szCs w:val="20"/>
                <w:lang w:val="en-GB" w:eastAsia="en-AU"/>
              </w:rPr>
              <w:t xml:space="preserve"> However, being at the </w:t>
            </w:r>
            <w:r w:rsidR="004710D5" w:rsidRPr="00F85DCF">
              <w:rPr>
                <w:sz w:val="20"/>
                <w:szCs w:val="20"/>
                <w:lang w:val="en-GB" w:eastAsia="en-AU"/>
              </w:rPr>
              <w:t>Limit</w:t>
            </w:r>
            <w:r w:rsidR="000025E0" w:rsidRPr="00F85DCF">
              <w:rPr>
                <w:sz w:val="20"/>
                <w:szCs w:val="20"/>
                <w:lang w:val="en-GB" w:eastAsia="en-AU"/>
              </w:rPr>
              <w:t xml:space="preserve"> of Determination</w:t>
            </w:r>
            <w:r w:rsidR="00FA1780" w:rsidRPr="00F85DCF">
              <w:rPr>
                <w:sz w:val="20"/>
                <w:szCs w:val="20"/>
                <w:lang w:val="en-GB" w:eastAsia="en-AU"/>
              </w:rPr>
              <w:t xml:space="preserve"> it </w:t>
            </w:r>
            <w:r w:rsidR="00207D70" w:rsidRPr="00F85DCF">
              <w:rPr>
                <w:sz w:val="20"/>
                <w:szCs w:val="20"/>
                <w:lang w:val="en-GB" w:eastAsia="en-AU"/>
              </w:rPr>
              <w:t xml:space="preserve">is </w:t>
            </w:r>
            <w:r w:rsidR="00FA1780" w:rsidRPr="00F85DCF">
              <w:rPr>
                <w:sz w:val="20"/>
                <w:szCs w:val="20"/>
                <w:lang w:val="en-GB" w:eastAsia="en-AU"/>
              </w:rPr>
              <w:t xml:space="preserve">not considered high enough to allow for the </w:t>
            </w:r>
            <w:r w:rsidR="004F76AA" w:rsidRPr="00F85DCF">
              <w:rPr>
                <w:sz w:val="20"/>
                <w:szCs w:val="20"/>
                <w:lang w:val="en-GB" w:eastAsia="en-AU"/>
              </w:rPr>
              <w:t>inadvertent</w:t>
            </w:r>
            <w:r w:rsidR="00FA1780" w:rsidRPr="00F85DCF">
              <w:rPr>
                <w:sz w:val="20"/>
                <w:szCs w:val="20"/>
                <w:lang w:val="en-GB" w:eastAsia="en-AU"/>
              </w:rPr>
              <w:t xml:space="preserve"> presence of the </w:t>
            </w:r>
            <w:r w:rsidR="001B51FC" w:rsidRPr="00F85DCF">
              <w:rPr>
                <w:sz w:val="20"/>
                <w:szCs w:val="20"/>
                <w:lang w:val="en-GB" w:eastAsia="en-AU"/>
              </w:rPr>
              <w:t xml:space="preserve">agvet </w:t>
            </w:r>
            <w:r w:rsidR="00FA1780" w:rsidRPr="00F85DCF">
              <w:rPr>
                <w:sz w:val="20"/>
                <w:szCs w:val="20"/>
                <w:lang w:val="en-GB" w:eastAsia="en-AU"/>
              </w:rPr>
              <w:t xml:space="preserve">chemical in a commodity. </w:t>
            </w:r>
            <w:r w:rsidRPr="00F85DCF">
              <w:rPr>
                <w:sz w:val="20"/>
                <w:szCs w:val="20"/>
                <w:lang w:val="en-GB" w:eastAsia="en-AU"/>
              </w:rPr>
              <w:t xml:space="preserve">Increasing this to 0.3 mg/kg </w:t>
            </w:r>
            <w:r w:rsidR="00D7195E" w:rsidRPr="00F85DCF">
              <w:rPr>
                <w:sz w:val="20"/>
                <w:szCs w:val="20"/>
                <w:lang w:val="en-GB" w:eastAsia="en-AU"/>
              </w:rPr>
              <w:t>contribute</w:t>
            </w:r>
            <w:r w:rsidR="00207D70" w:rsidRPr="00F85DCF">
              <w:rPr>
                <w:sz w:val="20"/>
                <w:szCs w:val="20"/>
                <w:lang w:val="en-GB" w:eastAsia="en-AU"/>
              </w:rPr>
              <w:t>s</w:t>
            </w:r>
            <w:r w:rsidR="00D7195E" w:rsidRPr="00F85DCF">
              <w:rPr>
                <w:sz w:val="20"/>
                <w:szCs w:val="20"/>
                <w:lang w:val="en-GB" w:eastAsia="en-AU"/>
              </w:rPr>
              <w:t xml:space="preserve"> less than 20% to total exposure</w:t>
            </w:r>
            <w:r w:rsidR="00207D70" w:rsidRPr="00F85DCF">
              <w:rPr>
                <w:sz w:val="20"/>
                <w:szCs w:val="20"/>
                <w:lang w:val="en-GB" w:eastAsia="en-AU"/>
              </w:rPr>
              <w:t>. H</w:t>
            </w:r>
            <w:r w:rsidRPr="00F85DCF">
              <w:rPr>
                <w:sz w:val="20"/>
                <w:szCs w:val="20"/>
                <w:lang w:val="en-GB" w:eastAsia="en-AU"/>
              </w:rPr>
              <w:t xml:space="preserve">owever, this level </w:t>
            </w:r>
            <w:r w:rsidR="00207D70" w:rsidRPr="00F85DCF">
              <w:rPr>
                <w:sz w:val="20"/>
                <w:szCs w:val="20"/>
                <w:lang w:val="en-GB" w:eastAsia="en-AU"/>
              </w:rPr>
              <w:t>is</w:t>
            </w:r>
            <w:r w:rsidRPr="00F85DCF">
              <w:rPr>
                <w:sz w:val="20"/>
                <w:szCs w:val="20"/>
                <w:lang w:val="en-GB" w:eastAsia="en-AU"/>
              </w:rPr>
              <w:t xml:space="preserve"> considered too high </w:t>
            </w:r>
            <w:r w:rsidR="00D80036" w:rsidRPr="00F85DCF">
              <w:rPr>
                <w:sz w:val="20"/>
                <w:szCs w:val="20"/>
                <w:lang w:val="en-GB" w:eastAsia="en-AU"/>
              </w:rPr>
              <w:t>and</w:t>
            </w:r>
            <w:r w:rsidRPr="00F85DCF">
              <w:rPr>
                <w:sz w:val="20"/>
                <w:szCs w:val="20"/>
                <w:lang w:val="en-GB" w:eastAsia="en-AU"/>
              </w:rPr>
              <w:t xml:space="preserve"> may encourage off-label use. An MRL of 0.2 mg/kg is within the target and represents </w:t>
            </w:r>
            <w:r w:rsidR="00F55F43" w:rsidRPr="00F85DCF">
              <w:rPr>
                <w:sz w:val="20"/>
                <w:szCs w:val="20"/>
                <w:lang w:val="en-GB" w:eastAsia="en-AU"/>
              </w:rPr>
              <w:t xml:space="preserve">a contribution of </w:t>
            </w:r>
            <w:r w:rsidRPr="00F85DCF">
              <w:rPr>
                <w:sz w:val="20"/>
                <w:szCs w:val="20"/>
                <w:lang w:val="en-GB" w:eastAsia="en-AU"/>
              </w:rPr>
              <w:t xml:space="preserve">13% </w:t>
            </w:r>
            <w:r w:rsidR="00F55F43" w:rsidRPr="00F85DCF">
              <w:rPr>
                <w:sz w:val="20"/>
                <w:szCs w:val="20"/>
                <w:lang w:val="en-GB" w:eastAsia="en-AU"/>
              </w:rPr>
              <w:t xml:space="preserve">to </w:t>
            </w:r>
            <w:r w:rsidRPr="00F85DCF">
              <w:rPr>
                <w:sz w:val="20"/>
                <w:szCs w:val="20"/>
                <w:lang w:val="en-GB" w:eastAsia="en-AU"/>
              </w:rPr>
              <w:t xml:space="preserve">total dietary exposure and </w:t>
            </w:r>
            <w:r w:rsidR="00F55F43" w:rsidRPr="00F85DCF">
              <w:rPr>
                <w:sz w:val="20"/>
                <w:szCs w:val="20"/>
                <w:lang w:val="en-GB" w:eastAsia="en-AU"/>
              </w:rPr>
              <w:t xml:space="preserve">is </w:t>
            </w:r>
            <w:r w:rsidRPr="00F85DCF">
              <w:rPr>
                <w:sz w:val="20"/>
                <w:szCs w:val="20"/>
                <w:lang w:val="en-GB" w:eastAsia="en-AU"/>
              </w:rPr>
              <w:t>considered acceptable.</w:t>
            </w:r>
          </w:p>
        </w:tc>
      </w:tr>
      <w:tr w:rsidR="006930DF" w:rsidRPr="00F85DCF" w14:paraId="59469FCD" w14:textId="77777777" w:rsidTr="005C01CC">
        <w:tc>
          <w:tcPr>
            <w:tcW w:w="3545" w:type="dxa"/>
            <w:vAlign w:val="center"/>
          </w:tcPr>
          <w:p w14:paraId="490B0593" w14:textId="6129A8F5" w:rsidR="006930DF" w:rsidRPr="00F85DCF" w:rsidRDefault="006930DF" w:rsidP="00CA7859">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46E1A368" w14:textId="216D5570" w:rsidR="006930DF" w:rsidRPr="00F85DCF" w:rsidRDefault="006930DF" w:rsidP="00CA7859">
            <w:pPr>
              <w:rPr>
                <w:sz w:val="20"/>
                <w:szCs w:val="20"/>
                <w:lang w:val="en-GB"/>
              </w:rPr>
            </w:pPr>
            <w:r w:rsidRPr="00F85DCF">
              <w:rPr>
                <w:sz w:val="20"/>
                <w:szCs w:val="20"/>
                <w:lang w:val="en-GB" w:eastAsia="en-AU"/>
              </w:rPr>
              <w:t xml:space="preserve">An acute dietary exposure assessment </w:t>
            </w:r>
            <w:r w:rsidR="00C770E4" w:rsidRPr="00F85DCF">
              <w:rPr>
                <w:sz w:val="20"/>
                <w:szCs w:val="20"/>
                <w:lang w:val="en-GB" w:eastAsia="en-AU"/>
              </w:rPr>
              <w:t xml:space="preserve">is </w:t>
            </w:r>
            <w:r w:rsidRPr="00F85DCF">
              <w:rPr>
                <w:sz w:val="20"/>
                <w:szCs w:val="20"/>
                <w:lang w:val="en-GB" w:eastAsia="en-AU"/>
              </w:rPr>
              <w:t xml:space="preserve">considered unnecessary for </w:t>
            </w:r>
            <w:r w:rsidRPr="00F85DCF">
              <w:rPr>
                <w:sz w:val="20"/>
                <w:lang w:val="en-GB"/>
              </w:rPr>
              <w:t xml:space="preserve">Glyphosate </w:t>
            </w:r>
            <w:r w:rsidRPr="00F85DCF">
              <w:rPr>
                <w:sz w:val="20"/>
                <w:szCs w:val="20"/>
                <w:lang w:val="en-GB"/>
              </w:rPr>
              <w:t xml:space="preserve">because </w:t>
            </w:r>
            <w:r w:rsidR="00AC21A8" w:rsidRPr="00F85DCF">
              <w:rPr>
                <w:sz w:val="20"/>
                <w:szCs w:val="20"/>
                <w:lang w:val="en-GB"/>
              </w:rPr>
              <w:t>the OCS has not established an</w:t>
            </w:r>
            <w:r w:rsidRPr="00F85DCF">
              <w:rPr>
                <w:sz w:val="20"/>
                <w:szCs w:val="20"/>
                <w:lang w:val="en-GB"/>
              </w:rPr>
              <w:t xml:space="preserve"> acute reference dose </w:t>
            </w:r>
            <w:r w:rsidR="00AC21A8" w:rsidRPr="00F85DCF">
              <w:rPr>
                <w:sz w:val="20"/>
                <w:szCs w:val="20"/>
                <w:lang w:val="en-GB"/>
              </w:rPr>
              <w:t>and JMPR consider an ARfD unnecessary</w:t>
            </w:r>
            <w:r w:rsidRPr="00F85DCF">
              <w:rPr>
                <w:sz w:val="20"/>
                <w:szCs w:val="20"/>
                <w:lang w:val="en-GB"/>
              </w:rPr>
              <w:t>.</w:t>
            </w:r>
          </w:p>
        </w:tc>
      </w:tr>
      <w:tr w:rsidR="006930DF" w:rsidRPr="00F85DCF" w14:paraId="6DE08A47" w14:textId="77777777" w:rsidTr="005C01CC">
        <w:tc>
          <w:tcPr>
            <w:tcW w:w="3545" w:type="dxa"/>
            <w:vAlign w:val="center"/>
          </w:tcPr>
          <w:p w14:paraId="093FD7C0" w14:textId="77777777" w:rsidR="006930DF" w:rsidRPr="00F85DCF" w:rsidRDefault="006930DF" w:rsidP="00CA7859">
            <w:pPr>
              <w:rPr>
                <w:sz w:val="20"/>
                <w:szCs w:val="20"/>
                <w:lang w:val="en-GB" w:eastAsia="en-AU"/>
              </w:rPr>
            </w:pPr>
            <w:r w:rsidRPr="00F85DCF">
              <w:rPr>
                <w:sz w:val="20"/>
                <w:szCs w:val="20"/>
                <w:lang w:val="en-GB" w:eastAsia="en-AU"/>
              </w:rPr>
              <w:t>Conclusion</w:t>
            </w:r>
          </w:p>
        </w:tc>
        <w:tc>
          <w:tcPr>
            <w:tcW w:w="6520" w:type="dxa"/>
            <w:vAlign w:val="center"/>
          </w:tcPr>
          <w:p w14:paraId="71448CF5" w14:textId="23E3BF5B" w:rsidR="006930DF" w:rsidRPr="00F85DCF" w:rsidRDefault="006930DF" w:rsidP="00F6066C">
            <w:pPr>
              <w:rPr>
                <w:sz w:val="20"/>
                <w:szCs w:val="20"/>
                <w:lang w:val="en-GB" w:eastAsia="en-AU"/>
              </w:rPr>
            </w:pPr>
            <w:r w:rsidRPr="00F85DCF">
              <w:rPr>
                <w:sz w:val="20"/>
                <w:szCs w:val="20"/>
                <w:lang w:val="en-GB"/>
              </w:rPr>
              <w:t xml:space="preserve">After considering the principles set out above an </w:t>
            </w:r>
            <w:r w:rsidR="00F6066C" w:rsidRPr="00F85DCF">
              <w:rPr>
                <w:b/>
                <w:i/>
                <w:sz w:val="20"/>
                <w:szCs w:val="20"/>
                <w:lang w:val="en-GB"/>
              </w:rPr>
              <w:t>A</w:t>
            </w:r>
            <w:r w:rsidR="00280712" w:rsidRPr="00F85DCF">
              <w:rPr>
                <w:b/>
                <w:i/>
                <w:sz w:val="20"/>
                <w:szCs w:val="20"/>
                <w:lang w:val="en-GB"/>
              </w:rPr>
              <w:t xml:space="preserve">ll other foods </w:t>
            </w:r>
            <w:r w:rsidR="0003601D" w:rsidRPr="00F85DCF">
              <w:rPr>
                <w:b/>
                <w:i/>
                <w:sz w:val="20"/>
                <w:szCs w:val="20"/>
                <w:lang w:val="en-GB"/>
              </w:rPr>
              <w:t xml:space="preserve">except animal </w:t>
            </w:r>
            <w:r w:rsidR="006C226A">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0.2 </w:t>
            </w:r>
            <w:r w:rsidRPr="00F85DCF">
              <w:rPr>
                <w:b/>
                <w:sz w:val="20"/>
                <w:szCs w:val="20"/>
                <w:lang w:val="en-GB"/>
              </w:rPr>
              <w:t>mg/kg</w:t>
            </w:r>
            <w:r w:rsidRPr="00F85DCF">
              <w:rPr>
                <w:sz w:val="20"/>
                <w:szCs w:val="20"/>
                <w:lang w:val="en-GB"/>
              </w:rPr>
              <w:t xml:space="preserve"> for </w:t>
            </w:r>
            <w:r w:rsidRPr="00F85DCF">
              <w:rPr>
                <w:sz w:val="20"/>
                <w:szCs w:val="20"/>
                <w:lang w:val="en-GB" w:eastAsia="en-AU"/>
              </w:rPr>
              <w:t>Glyphosate</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7C8A762F" w14:textId="6D38B855" w:rsidR="00CA752F" w:rsidRPr="00F85DCF" w:rsidRDefault="00CA752F">
      <w:pPr>
        <w:rPr>
          <w:sz w:val="20"/>
          <w:szCs w:val="20"/>
          <w:lang w:val="en-GB" w:eastAsia="en-AU"/>
        </w:rPr>
      </w:pPr>
      <w:r w:rsidRPr="00F85DCF">
        <w:rPr>
          <w:sz w:val="20"/>
          <w:szCs w:val="20"/>
          <w:lang w:val="en-GB" w:eastAsia="en-AU"/>
        </w:rPr>
        <w:br w:type="page"/>
      </w:r>
    </w:p>
    <w:p w14:paraId="02AD19C0" w14:textId="77777777" w:rsidR="00F6750E" w:rsidRPr="00F85DCF" w:rsidRDefault="00F6750E" w:rsidP="005C01CC">
      <w:pPr>
        <w:pStyle w:val="Heading3"/>
      </w:pPr>
      <w:r w:rsidRPr="00F85DCF">
        <w:lastRenderedPageBreak/>
        <w:t>Iprodione</w:t>
      </w:r>
    </w:p>
    <w:tbl>
      <w:tblPr>
        <w:tblStyle w:val="TableGrid"/>
        <w:tblW w:w="9072" w:type="dxa"/>
        <w:tblLook w:val="04A0" w:firstRow="1" w:lastRow="0" w:firstColumn="1" w:lastColumn="0" w:noHBand="0" w:noVBand="1"/>
      </w:tblPr>
      <w:tblGrid>
        <w:gridCol w:w="3274"/>
        <w:gridCol w:w="5798"/>
      </w:tblGrid>
      <w:tr w:rsidR="000B0EAA" w:rsidRPr="00F85DCF" w14:paraId="6F23ECAF" w14:textId="77777777" w:rsidTr="005C01CC">
        <w:tc>
          <w:tcPr>
            <w:tcW w:w="3545" w:type="dxa"/>
            <w:vAlign w:val="center"/>
          </w:tcPr>
          <w:p w14:paraId="6CA0BB8A" w14:textId="0F53EB6D" w:rsidR="000B0EAA"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6D479B76" w14:textId="77777777" w:rsidR="000B0EAA" w:rsidRPr="00F85DCF" w:rsidRDefault="000B0EAA" w:rsidP="00CA7859">
            <w:pPr>
              <w:rPr>
                <w:b/>
                <w:sz w:val="20"/>
                <w:szCs w:val="20"/>
                <w:lang w:val="en-GB" w:eastAsia="en-AU"/>
              </w:rPr>
            </w:pPr>
            <w:r w:rsidRPr="00F85DCF">
              <w:rPr>
                <w:b/>
                <w:sz w:val="20"/>
                <w:szCs w:val="20"/>
                <w:lang w:val="en-GB" w:eastAsia="en-AU"/>
              </w:rPr>
              <w:t>Comments</w:t>
            </w:r>
          </w:p>
        </w:tc>
      </w:tr>
      <w:tr w:rsidR="000B0EAA" w:rsidRPr="00F85DCF" w14:paraId="5255DCAC" w14:textId="77777777" w:rsidTr="005C01CC">
        <w:tc>
          <w:tcPr>
            <w:tcW w:w="3545" w:type="dxa"/>
            <w:vAlign w:val="center"/>
          </w:tcPr>
          <w:p w14:paraId="503BE84A" w14:textId="15EF32AA" w:rsidR="000B0EAA"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254B3C52" w14:textId="77777777" w:rsidR="000B0EAA" w:rsidRPr="00F85DCF" w:rsidRDefault="000B0EAA" w:rsidP="00CA7859">
            <w:pPr>
              <w:rPr>
                <w:sz w:val="20"/>
                <w:szCs w:val="20"/>
                <w:lang w:val="en-GB"/>
              </w:rPr>
            </w:pPr>
            <w:r w:rsidRPr="00F85DCF">
              <w:rPr>
                <w:sz w:val="20"/>
                <w:szCs w:val="20"/>
                <w:lang w:val="en-GB" w:eastAsia="en-AU"/>
              </w:rPr>
              <w:t>0.01 mg/kg in grain products and 0.05 mg/kg in general horticultural crops</w:t>
            </w:r>
          </w:p>
        </w:tc>
      </w:tr>
      <w:tr w:rsidR="000B0EAA" w:rsidRPr="00F85DCF" w14:paraId="71A3DEE9" w14:textId="77777777" w:rsidTr="005C01CC">
        <w:tc>
          <w:tcPr>
            <w:tcW w:w="3545" w:type="dxa"/>
            <w:vAlign w:val="center"/>
          </w:tcPr>
          <w:p w14:paraId="64B19B38" w14:textId="77777777" w:rsidR="000B0EAA" w:rsidRPr="00F85DCF" w:rsidRDefault="000B0EAA" w:rsidP="00CA7859">
            <w:pPr>
              <w:rPr>
                <w:sz w:val="20"/>
                <w:szCs w:val="20"/>
                <w:lang w:val="en-GB"/>
              </w:rPr>
            </w:pPr>
            <w:r w:rsidRPr="00F85DCF">
              <w:rPr>
                <w:sz w:val="20"/>
                <w:szCs w:val="20"/>
                <w:lang w:val="en-GB"/>
              </w:rPr>
              <w:t>Lowest plant commodity MRL</w:t>
            </w:r>
          </w:p>
        </w:tc>
        <w:tc>
          <w:tcPr>
            <w:tcW w:w="6520" w:type="dxa"/>
            <w:vAlign w:val="center"/>
          </w:tcPr>
          <w:p w14:paraId="0C9CACF5" w14:textId="147760FA" w:rsidR="000B0EAA" w:rsidRPr="00F85DCF" w:rsidRDefault="000B0EAA" w:rsidP="00CA7859">
            <w:pPr>
              <w:rPr>
                <w:sz w:val="20"/>
                <w:szCs w:val="20"/>
                <w:lang w:val="en-GB"/>
              </w:rPr>
            </w:pPr>
            <w:r w:rsidRPr="00F85DCF">
              <w:rPr>
                <w:sz w:val="20"/>
                <w:szCs w:val="20"/>
                <w:lang w:val="en-GB" w:eastAsia="en-AU"/>
              </w:rPr>
              <w:t xml:space="preserve">*0.01 mg/kg (macadamia nuts) (*denotes MRL set at or about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0B0EAA" w:rsidRPr="00F85DCF" w14:paraId="44E89387" w14:textId="77777777" w:rsidTr="005C01CC">
        <w:tc>
          <w:tcPr>
            <w:tcW w:w="3545" w:type="dxa"/>
            <w:vAlign w:val="center"/>
          </w:tcPr>
          <w:p w14:paraId="6BAA8B90" w14:textId="3D9C4923" w:rsidR="000B0EAA" w:rsidRPr="00F85DCF" w:rsidRDefault="00EB72A5" w:rsidP="00CA7859">
            <w:pPr>
              <w:rPr>
                <w:sz w:val="20"/>
                <w:szCs w:val="20"/>
                <w:lang w:val="en-GB"/>
              </w:rPr>
            </w:pPr>
            <w:r w:rsidRPr="00F85DCF">
              <w:rPr>
                <w:sz w:val="20"/>
                <w:szCs w:val="20"/>
                <w:lang w:val="en-GB" w:eastAsia="en-AU"/>
              </w:rPr>
              <w:t xml:space="preserve">Magnitude of existing </w:t>
            </w:r>
            <w:r w:rsidR="00CA7859"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08B90F66" w14:textId="156718F5" w:rsidR="000B0EAA" w:rsidRPr="00F85DCF" w:rsidRDefault="000B0EAA" w:rsidP="00CA7859">
            <w:pPr>
              <w:rPr>
                <w:sz w:val="20"/>
                <w:szCs w:val="20"/>
                <w:lang w:val="en-GB"/>
              </w:rPr>
            </w:pPr>
            <w:r w:rsidRPr="00F85DCF">
              <w:rPr>
                <w:sz w:val="20"/>
                <w:szCs w:val="20"/>
                <w:lang w:val="en-GB"/>
              </w:rPr>
              <w:t xml:space="preserve">The range of existing MRLs in Schedule 1 of Standard 1.4.2 of the FSC (v155), excluding animal </w:t>
            </w:r>
            <w:r w:rsidR="00500024">
              <w:rPr>
                <w:sz w:val="20"/>
                <w:szCs w:val="20"/>
                <w:lang w:val="en-GB"/>
              </w:rPr>
              <w:t xml:space="preserve">food </w:t>
            </w:r>
            <w:r w:rsidRPr="00F85DCF">
              <w:rPr>
                <w:sz w:val="20"/>
                <w:szCs w:val="20"/>
                <w:lang w:val="en-GB"/>
              </w:rPr>
              <w:t xml:space="preserve">commodities, </w:t>
            </w:r>
            <w:r w:rsidR="002F2AF2" w:rsidRPr="00F85DCF">
              <w:rPr>
                <w:sz w:val="20"/>
                <w:szCs w:val="20"/>
                <w:lang w:val="en-GB"/>
              </w:rPr>
              <w:t xml:space="preserve">is </w:t>
            </w:r>
            <w:r w:rsidRPr="00F85DCF">
              <w:rPr>
                <w:sz w:val="20"/>
                <w:szCs w:val="20"/>
                <w:lang w:val="en-GB"/>
              </w:rPr>
              <w:t>*</w:t>
            </w:r>
            <w:r w:rsidRPr="00F85DCF">
              <w:rPr>
                <w:sz w:val="20"/>
                <w:szCs w:val="20"/>
                <w:lang w:val="en-GB" w:eastAsia="en-AU"/>
              </w:rPr>
              <w:t xml:space="preserve">0.01 </w:t>
            </w:r>
            <w:r w:rsidRPr="00F85DCF">
              <w:rPr>
                <w:sz w:val="20"/>
                <w:szCs w:val="20"/>
                <w:lang w:val="en-GB"/>
              </w:rPr>
              <w:t>mg/kg (</w:t>
            </w:r>
            <w:r w:rsidRPr="00F85DCF">
              <w:rPr>
                <w:sz w:val="20"/>
                <w:szCs w:val="20"/>
                <w:lang w:val="en-GB" w:eastAsia="en-AU"/>
              </w:rPr>
              <w:t>macadamia nuts</w:t>
            </w:r>
            <w:r w:rsidRPr="00F85DCF">
              <w:rPr>
                <w:sz w:val="20"/>
                <w:szCs w:val="20"/>
                <w:lang w:val="en-GB"/>
              </w:rPr>
              <w:t xml:space="preserve">) to </w:t>
            </w:r>
            <w:r w:rsidRPr="00F85DCF">
              <w:rPr>
                <w:sz w:val="20"/>
                <w:szCs w:val="20"/>
                <w:lang w:val="en-GB" w:eastAsia="en-AU"/>
              </w:rPr>
              <w:t xml:space="preserve">20 </w:t>
            </w:r>
            <w:r w:rsidRPr="00F85DCF">
              <w:rPr>
                <w:sz w:val="20"/>
                <w:szCs w:val="20"/>
                <w:lang w:val="en-GB"/>
              </w:rPr>
              <w:t>mg/kg (</w:t>
            </w:r>
            <w:r w:rsidRPr="00F85DCF">
              <w:rPr>
                <w:sz w:val="20"/>
                <w:szCs w:val="20"/>
                <w:lang w:val="en-GB" w:eastAsia="en-AU"/>
              </w:rPr>
              <w:t>grapes</w:t>
            </w:r>
            <w:r w:rsidRPr="00F85DCF">
              <w:rPr>
                <w:sz w:val="20"/>
                <w:szCs w:val="20"/>
                <w:lang w:val="en-GB"/>
              </w:rPr>
              <w:t>).</w:t>
            </w:r>
          </w:p>
          <w:p w14:paraId="3E9067BD" w14:textId="7B64FF77" w:rsidR="000B0EAA" w:rsidRPr="00F85DCF" w:rsidRDefault="000B0EAA" w:rsidP="00CA7859">
            <w:pPr>
              <w:rPr>
                <w:sz w:val="20"/>
                <w:szCs w:val="20"/>
                <w:lang w:val="en-GB" w:eastAsia="en-AU"/>
              </w:rPr>
            </w:pPr>
          </w:p>
        </w:tc>
      </w:tr>
      <w:tr w:rsidR="000B0EAA" w:rsidRPr="00F85DCF" w14:paraId="14C7965B" w14:textId="77777777" w:rsidTr="005C01CC">
        <w:tc>
          <w:tcPr>
            <w:tcW w:w="3545" w:type="dxa"/>
            <w:vAlign w:val="center"/>
          </w:tcPr>
          <w:p w14:paraId="29708207" w14:textId="42D019A8" w:rsidR="000B0EAA" w:rsidRPr="00F85DCF" w:rsidRDefault="000B0EAA"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rPr>
              <w:t xml:space="preserve">plant commodity </w:t>
            </w:r>
            <w:r w:rsidRPr="00F85DCF">
              <w:rPr>
                <w:sz w:val="20"/>
                <w:szCs w:val="20"/>
                <w:lang w:val="en-GB" w:eastAsia="en-AU"/>
              </w:rPr>
              <w:t>MRL</w:t>
            </w:r>
            <w:r w:rsidR="00553CA1" w:rsidRPr="00F85DCF">
              <w:rPr>
                <w:sz w:val="20"/>
                <w:szCs w:val="20"/>
                <w:lang w:val="en-GB"/>
              </w:rPr>
              <w:t xml:space="preserve"> </w:t>
            </w:r>
            <w:r w:rsidRPr="00F85DCF">
              <w:rPr>
                <w:sz w:val="20"/>
                <w:szCs w:val="20"/>
                <w:lang w:val="en-GB" w:eastAsia="en-AU"/>
              </w:rPr>
              <w:t xml:space="preserve">that is not set at or about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5C39142B" w14:textId="19B9DE29" w:rsidR="000B0EAA" w:rsidRPr="00F85DCF" w:rsidRDefault="000B0EAA" w:rsidP="00CA7859">
            <w:pPr>
              <w:rPr>
                <w:sz w:val="20"/>
                <w:szCs w:val="20"/>
                <w:lang w:val="en-GB"/>
              </w:rPr>
            </w:pPr>
            <w:r w:rsidRPr="00F85DCF">
              <w:rPr>
                <w:sz w:val="20"/>
                <w:szCs w:val="20"/>
                <w:lang w:val="en-GB" w:eastAsia="en-AU"/>
              </w:rPr>
              <w:t xml:space="preserve">0.05 </w:t>
            </w:r>
            <w:r w:rsidRPr="00F85DCF">
              <w:rPr>
                <w:sz w:val="20"/>
                <w:szCs w:val="20"/>
                <w:lang w:val="en-GB"/>
              </w:rPr>
              <w:t>mg/kg (</w:t>
            </w:r>
            <w:r w:rsidR="00DF6A9A" w:rsidRPr="00F85DCF">
              <w:rPr>
                <w:sz w:val="20"/>
                <w:szCs w:val="20"/>
                <w:lang w:val="en-GB" w:eastAsia="en-AU"/>
              </w:rPr>
              <w:t>p</w:t>
            </w:r>
            <w:r w:rsidRPr="00F85DCF">
              <w:rPr>
                <w:sz w:val="20"/>
                <w:szCs w:val="20"/>
                <w:lang w:val="en-GB" w:eastAsia="en-AU"/>
              </w:rPr>
              <w:t xml:space="preserve">eanut; </w:t>
            </w:r>
            <w:r w:rsidR="00DF6A9A" w:rsidRPr="00F85DCF">
              <w:rPr>
                <w:sz w:val="20"/>
                <w:szCs w:val="20"/>
                <w:lang w:val="en-GB" w:eastAsia="en-AU"/>
              </w:rPr>
              <w:t>p</w:t>
            </w:r>
            <w:r w:rsidRPr="00F85DCF">
              <w:rPr>
                <w:sz w:val="20"/>
                <w:szCs w:val="20"/>
                <w:lang w:val="en-GB" w:eastAsia="en-AU"/>
              </w:rPr>
              <w:t xml:space="preserve">eanut oil, crude; and </w:t>
            </w:r>
            <w:r w:rsidR="00DF6A9A" w:rsidRPr="00F85DCF">
              <w:rPr>
                <w:sz w:val="20"/>
                <w:szCs w:val="20"/>
                <w:lang w:val="en-GB" w:eastAsia="en-AU"/>
              </w:rPr>
              <w:t>s</w:t>
            </w:r>
            <w:r w:rsidRPr="00F85DCF">
              <w:rPr>
                <w:sz w:val="20"/>
                <w:szCs w:val="20"/>
                <w:lang w:val="en-GB" w:eastAsia="en-AU"/>
              </w:rPr>
              <w:t>oya bean (dry)</w:t>
            </w:r>
            <w:r w:rsidRPr="00F85DCF">
              <w:rPr>
                <w:sz w:val="20"/>
                <w:szCs w:val="20"/>
                <w:lang w:val="en-GB"/>
              </w:rPr>
              <w:t>)</w:t>
            </w:r>
          </w:p>
        </w:tc>
      </w:tr>
      <w:tr w:rsidR="000B0EAA" w:rsidRPr="00F85DCF" w14:paraId="1BD60B90" w14:textId="77777777" w:rsidTr="005C01CC">
        <w:tc>
          <w:tcPr>
            <w:tcW w:w="3545" w:type="dxa"/>
            <w:vAlign w:val="center"/>
          </w:tcPr>
          <w:p w14:paraId="47DFE7A4" w14:textId="0A8C9933" w:rsidR="000B0EAA" w:rsidRPr="00F85DCF" w:rsidRDefault="000B0EAA" w:rsidP="00CA7859">
            <w:pPr>
              <w:rPr>
                <w:sz w:val="20"/>
                <w:szCs w:val="20"/>
                <w:lang w:val="en-GB" w:eastAsia="en-AU"/>
              </w:rPr>
            </w:pPr>
            <w:r w:rsidRPr="00F85DCF">
              <w:rPr>
                <w:sz w:val="20"/>
                <w:szCs w:val="20"/>
                <w:lang w:val="en-GB" w:eastAsia="en-AU"/>
              </w:rPr>
              <w:t xml:space="preserve">Most relevant reference point to </w:t>
            </w:r>
            <w:r w:rsidR="005605F1"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73C65C76" w14:textId="6C2CE15B" w:rsidR="000B0EAA" w:rsidRPr="00F85DCF" w:rsidRDefault="000B0EAA" w:rsidP="00CA7859">
            <w:pPr>
              <w:rPr>
                <w:sz w:val="20"/>
                <w:szCs w:val="20"/>
                <w:lang w:val="en-GB"/>
              </w:rPr>
            </w:pPr>
            <w:r w:rsidRPr="00F85DCF">
              <w:rPr>
                <w:sz w:val="20"/>
                <w:szCs w:val="20"/>
                <w:lang w:val="en-GB" w:eastAsia="en-AU"/>
              </w:rPr>
              <w:t xml:space="preserve">0.1 </w:t>
            </w:r>
            <w:r w:rsidRPr="00F85DCF">
              <w:rPr>
                <w:sz w:val="20"/>
                <w:szCs w:val="20"/>
                <w:lang w:val="en-GB"/>
              </w:rPr>
              <w:t>mg/kg (</w:t>
            </w:r>
            <w:r w:rsidR="00DF6A9A" w:rsidRPr="00F85DCF">
              <w:rPr>
                <w:sz w:val="20"/>
                <w:szCs w:val="20"/>
                <w:lang w:val="en-GB" w:eastAsia="en-AU"/>
              </w:rPr>
              <w:t>l</w:t>
            </w:r>
            <w:r w:rsidRPr="00F85DCF">
              <w:rPr>
                <w:sz w:val="20"/>
                <w:szCs w:val="20"/>
                <w:lang w:val="en-GB" w:eastAsia="en-AU"/>
              </w:rPr>
              <w:t xml:space="preserve">upin (dry); </w:t>
            </w:r>
            <w:r w:rsidR="00DF6A9A" w:rsidRPr="00F85DCF">
              <w:rPr>
                <w:sz w:val="20"/>
                <w:szCs w:val="20"/>
                <w:lang w:val="en-GB" w:eastAsia="en-AU"/>
              </w:rPr>
              <w:t>b</w:t>
            </w:r>
            <w:r w:rsidRPr="00F85DCF">
              <w:rPr>
                <w:sz w:val="20"/>
                <w:szCs w:val="20"/>
                <w:lang w:val="en-GB" w:eastAsia="en-AU"/>
              </w:rPr>
              <w:t>eetroot</w:t>
            </w:r>
            <w:r w:rsidRPr="00F85DCF">
              <w:rPr>
                <w:sz w:val="20"/>
                <w:szCs w:val="20"/>
                <w:lang w:val="en-GB"/>
              </w:rPr>
              <w:t>)</w:t>
            </w:r>
          </w:p>
        </w:tc>
      </w:tr>
      <w:tr w:rsidR="000B0EAA" w:rsidRPr="00F85DCF" w14:paraId="23A2F8FB" w14:textId="77777777" w:rsidTr="005C01CC">
        <w:tc>
          <w:tcPr>
            <w:tcW w:w="3545" w:type="dxa"/>
            <w:vAlign w:val="center"/>
          </w:tcPr>
          <w:p w14:paraId="7D864DFA" w14:textId="77777777" w:rsidR="000B0EAA" w:rsidRPr="00F85DCF" w:rsidRDefault="000B0EAA"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246A78A4" w14:textId="217CED5D" w:rsidR="000B0EAA" w:rsidRPr="00F85DCF" w:rsidRDefault="000B0EAA" w:rsidP="00CA7859">
            <w:pPr>
              <w:rPr>
                <w:sz w:val="20"/>
                <w:szCs w:val="20"/>
                <w:lang w:val="en-GB"/>
              </w:rPr>
            </w:pPr>
            <w:r w:rsidRPr="00F85DCF">
              <w:rPr>
                <w:sz w:val="20"/>
                <w:szCs w:val="20"/>
                <w:lang w:val="en-GB" w:eastAsia="en-AU"/>
              </w:rPr>
              <w:t>64</w:t>
            </w:r>
            <w:r w:rsidRPr="00F85DCF">
              <w:rPr>
                <w:sz w:val="20"/>
                <w:szCs w:val="20"/>
                <w:lang w:val="en-GB"/>
              </w:rPr>
              <w:t>% of the ADI</w:t>
            </w:r>
          </w:p>
        </w:tc>
      </w:tr>
      <w:tr w:rsidR="000B0EAA" w:rsidRPr="00F85DCF" w14:paraId="3C4CED08" w14:textId="77777777" w:rsidTr="005C01CC">
        <w:tc>
          <w:tcPr>
            <w:tcW w:w="3545" w:type="dxa"/>
            <w:vAlign w:val="center"/>
          </w:tcPr>
          <w:p w14:paraId="3E368103" w14:textId="469638C7" w:rsidR="000B0EAA" w:rsidRPr="00F85DCF" w:rsidRDefault="000B0EAA" w:rsidP="00F6066C">
            <w:pPr>
              <w:rPr>
                <w:sz w:val="20"/>
                <w:szCs w:val="20"/>
                <w:lang w:val="en-GB"/>
              </w:rPr>
            </w:pPr>
            <w:r w:rsidRPr="00F85DCF">
              <w:rPr>
                <w:sz w:val="20"/>
                <w:szCs w:val="20"/>
                <w:lang w:val="en-GB"/>
              </w:rPr>
              <w:t xml:space="preserve">Proposed </w:t>
            </w:r>
            <w:r w:rsidR="00F6066C" w:rsidRPr="00F85DCF">
              <w:rPr>
                <w:i/>
                <w:sz w:val="20"/>
                <w:szCs w:val="20"/>
                <w:lang w:val="en-GB"/>
              </w:rPr>
              <w:t>A</w:t>
            </w:r>
            <w:r w:rsidR="00ED4490"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0C07E7" w:rsidRPr="00F85DCF">
              <w:rPr>
                <w:sz w:val="20"/>
                <w:szCs w:val="20"/>
                <w:lang w:val="en-GB"/>
              </w:rPr>
              <w:t xml:space="preserve"> </w:t>
            </w:r>
          </w:p>
        </w:tc>
        <w:tc>
          <w:tcPr>
            <w:tcW w:w="6520" w:type="dxa"/>
            <w:vAlign w:val="center"/>
          </w:tcPr>
          <w:p w14:paraId="4C002309" w14:textId="5A669693" w:rsidR="000B0EAA" w:rsidRPr="00F85DCF" w:rsidRDefault="000B0EAA" w:rsidP="00CA7859">
            <w:pPr>
              <w:rPr>
                <w:sz w:val="20"/>
                <w:szCs w:val="20"/>
                <w:lang w:val="en-GB"/>
              </w:rPr>
            </w:pPr>
            <w:r w:rsidRPr="00F85DCF">
              <w:rPr>
                <w:sz w:val="20"/>
                <w:szCs w:val="20"/>
                <w:lang w:val="en-GB"/>
              </w:rPr>
              <w:t>0.1 mg/kg</w:t>
            </w:r>
            <w:r w:rsidR="00F14EB8" w:rsidRPr="00F85DCF">
              <w:rPr>
                <w:sz w:val="20"/>
                <w:szCs w:val="20"/>
                <w:lang w:val="en-GB"/>
              </w:rPr>
              <w:t xml:space="preserve"> </w:t>
            </w:r>
          </w:p>
        </w:tc>
      </w:tr>
      <w:tr w:rsidR="000B0EAA" w:rsidRPr="00F85DCF" w14:paraId="2C8854E5" w14:textId="77777777" w:rsidTr="005C01CC">
        <w:tc>
          <w:tcPr>
            <w:tcW w:w="3545" w:type="dxa"/>
            <w:vAlign w:val="center"/>
          </w:tcPr>
          <w:p w14:paraId="41518306" w14:textId="6E4D5E24" w:rsidR="000B0EAA" w:rsidRPr="00F85DCF" w:rsidRDefault="000B0EAA" w:rsidP="00F6066C">
            <w:pPr>
              <w:rPr>
                <w:sz w:val="20"/>
                <w:szCs w:val="20"/>
                <w:lang w:val="en-GB"/>
              </w:rPr>
            </w:pPr>
            <w:r w:rsidRPr="00F85DCF">
              <w:rPr>
                <w:sz w:val="20"/>
                <w:szCs w:val="20"/>
                <w:lang w:val="en-GB" w:eastAsia="en-AU"/>
              </w:rPr>
              <w:t xml:space="preserve">NEDI including </w:t>
            </w:r>
            <w:r w:rsidR="00F6066C" w:rsidRPr="00F85DCF">
              <w:rPr>
                <w:i/>
                <w:sz w:val="20"/>
                <w:szCs w:val="20"/>
                <w:lang w:val="en-GB" w:eastAsia="en-AU"/>
              </w:rPr>
              <w:t>A</w:t>
            </w:r>
            <w:r w:rsidR="00ED4490" w:rsidRPr="00F85DCF">
              <w:rPr>
                <w:i/>
                <w:sz w:val="20"/>
                <w:szCs w:val="20"/>
                <w:lang w:val="en-GB" w:eastAsia="en-AU"/>
              </w:rPr>
              <w:t xml:space="preserve">ll other foods </w:t>
            </w:r>
            <w:r w:rsidR="0003601D" w:rsidRPr="00F85DCF">
              <w:rPr>
                <w:i/>
                <w:sz w:val="20"/>
                <w:szCs w:val="20"/>
                <w:lang w:val="en-GB" w:eastAsia="en-AU"/>
              </w:rPr>
              <w:t xml:space="preserve">except animal </w:t>
            </w:r>
            <w:r w:rsidR="00AD21AD">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6F1C5225" w14:textId="5C8AFE4E" w:rsidR="000B0EAA" w:rsidRPr="00F85DCF" w:rsidRDefault="000B0EAA" w:rsidP="00CA7859">
            <w:pPr>
              <w:rPr>
                <w:sz w:val="20"/>
                <w:szCs w:val="20"/>
                <w:lang w:val="en-GB"/>
              </w:rPr>
            </w:pPr>
            <w:r w:rsidRPr="00F85DCF">
              <w:rPr>
                <w:sz w:val="20"/>
                <w:szCs w:val="20"/>
                <w:lang w:val="en-GB" w:eastAsia="en-AU"/>
              </w:rPr>
              <w:t>71% of the ADI</w:t>
            </w:r>
            <w:r w:rsidR="00120CCF" w:rsidRPr="00F85DCF">
              <w:rPr>
                <w:sz w:val="20"/>
                <w:szCs w:val="20"/>
                <w:lang w:val="en-GB" w:eastAsia="en-AU"/>
              </w:rPr>
              <w:t>.</w:t>
            </w:r>
          </w:p>
        </w:tc>
      </w:tr>
      <w:tr w:rsidR="000B0EAA" w:rsidRPr="00F85DCF" w14:paraId="580A17AF" w14:textId="77777777" w:rsidTr="005C01CC">
        <w:tc>
          <w:tcPr>
            <w:tcW w:w="3545" w:type="dxa"/>
            <w:vAlign w:val="center"/>
          </w:tcPr>
          <w:p w14:paraId="052DADFC" w14:textId="0448BE7F" w:rsidR="000B0EAA" w:rsidRPr="00F85DCF" w:rsidRDefault="00E46481" w:rsidP="00F6066C">
            <w:pPr>
              <w:rPr>
                <w:sz w:val="20"/>
                <w:szCs w:val="20"/>
                <w:lang w:val="en-GB" w:eastAsia="en-AU"/>
              </w:rPr>
            </w:pPr>
            <w:r w:rsidRPr="00F85DCF">
              <w:rPr>
                <w:sz w:val="20"/>
                <w:szCs w:val="20"/>
                <w:lang w:val="en-GB" w:eastAsia="en-AU"/>
              </w:rPr>
              <w:t xml:space="preserve">Percentage contribution of </w:t>
            </w:r>
            <w:r w:rsidR="00F6066C" w:rsidRPr="00F85DCF">
              <w:rPr>
                <w:i/>
                <w:sz w:val="20"/>
                <w:szCs w:val="20"/>
                <w:lang w:val="en-GB" w:eastAsia="en-AU"/>
              </w:rPr>
              <w:t>A</w:t>
            </w:r>
            <w:r w:rsidR="00ED449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5605F1"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44785964" w14:textId="7677F861" w:rsidR="000B0EAA" w:rsidRPr="00F85DCF" w:rsidRDefault="000B0EAA" w:rsidP="00ED4490">
            <w:pPr>
              <w:rPr>
                <w:sz w:val="20"/>
                <w:szCs w:val="20"/>
                <w:lang w:val="en-GB" w:eastAsia="en-AU"/>
              </w:rPr>
            </w:pPr>
            <w:r w:rsidRPr="00F85DCF">
              <w:rPr>
                <w:sz w:val="20"/>
                <w:szCs w:val="20"/>
                <w:lang w:val="en-GB" w:eastAsia="en-AU"/>
              </w:rPr>
              <w:t xml:space="preserve">An </w:t>
            </w:r>
            <w:r w:rsidR="0003601D" w:rsidRPr="00F85DCF">
              <w:rPr>
                <w:i/>
                <w:sz w:val="20"/>
                <w:szCs w:val="20"/>
                <w:lang w:val="en-GB" w:eastAsia="en-AU"/>
              </w:rPr>
              <w:t>all other foods</w:t>
            </w:r>
            <w:r w:rsidR="00ED4490" w:rsidRPr="00F85DCF">
              <w:rPr>
                <w:i/>
                <w:sz w:val="20"/>
                <w:szCs w:val="20"/>
                <w:lang w:val="en-GB" w:eastAsia="en-AU"/>
              </w:rPr>
              <w:t xml:space="preserve">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represent</w:t>
            </w:r>
            <w:r w:rsidR="002F2AF2" w:rsidRPr="00F85DCF">
              <w:rPr>
                <w:sz w:val="20"/>
                <w:szCs w:val="20"/>
                <w:lang w:val="en-GB" w:eastAsia="en-AU"/>
              </w:rPr>
              <w:t>s</w:t>
            </w:r>
            <w:r w:rsidRPr="00F85DCF">
              <w:rPr>
                <w:sz w:val="20"/>
                <w:szCs w:val="20"/>
                <w:lang w:val="en-GB" w:eastAsia="en-AU"/>
              </w:rPr>
              <w:t xml:space="preserve"> </w:t>
            </w:r>
            <w:r w:rsidR="005605F1" w:rsidRPr="00F85DCF">
              <w:rPr>
                <w:sz w:val="20"/>
                <w:szCs w:val="20"/>
                <w:lang w:val="en-GB" w:eastAsia="en-AU"/>
              </w:rPr>
              <w:t xml:space="preserve">a contribution of </w:t>
            </w:r>
            <w:r w:rsidRPr="00F85DCF">
              <w:rPr>
                <w:sz w:val="20"/>
                <w:szCs w:val="20"/>
                <w:lang w:val="en-GB" w:eastAsia="en-AU"/>
              </w:rPr>
              <w:t xml:space="preserve">&lt;1% </w:t>
            </w:r>
            <w:r w:rsidR="005605F1" w:rsidRPr="00F85DCF">
              <w:rPr>
                <w:sz w:val="20"/>
                <w:szCs w:val="20"/>
                <w:lang w:val="en-GB" w:eastAsia="en-AU"/>
              </w:rPr>
              <w:t>to</w:t>
            </w:r>
            <w:r w:rsidRPr="00F85DCF">
              <w:rPr>
                <w:sz w:val="20"/>
                <w:szCs w:val="20"/>
                <w:lang w:val="en-GB" w:eastAsia="en-AU"/>
              </w:rPr>
              <w:t xml:space="preserve"> total </w:t>
            </w:r>
            <w:r w:rsidR="005605F1" w:rsidRPr="00F85DCF">
              <w:rPr>
                <w:sz w:val="20"/>
                <w:szCs w:val="20"/>
                <w:lang w:val="en-GB" w:eastAsia="en-AU"/>
              </w:rPr>
              <w:t xml:space="preserve">dietary </w:t>
            </w:r>
            <w:r w:rsidRPr="00F85DCF">
              <w:rPr>
                <w:sz w:val="20"/>
                <w:szCs w:val="20"/>
                <w:lang w:val="en-GB" w:eastAsia="en-AU"/>
              </w:rPr>
              <w:t xml:space="preserve">exposure. </w:t>
            </w:r>
            <w:r w:rsidR="00120CCF" w:rsidRPr="00F85DCF">
              <w:rPr>
                <w:sz w:val="20"/>
                <w:szCs w:val="20"/>
                <w:lang w:val="en-GB" w:eastAsia="en-AU"/>
              </w:rPr>
              <w:t xml:space="preserve">However, being at the </w:t>
            </w:r>
            <w:r w:rsidR="004710D5" w:rsidRPr="00F85DCF">
              <w:rPr>
                <w:sz w:val="20"/>
                <w:szCs w:val="20"/>
                <w:lang w:val="en-GB" w:eastAsia="en-AU"/>
              </w:rPr>
              <w:t>Limit</w:t>
            </w:r>
            <w:r w:rsidR="000025E0" w:rsidRPr="00F85DCF">
              <w:rPr>
                <w:sz w:val="20"/>
                <w:szCs w:val="20"/>
                <w:lang w:val="en-GB" w:eastAsia="en-AU"/>
              </w:rPr>
              <w:t xml:space="preserve"> of Determination</w:t>
            </w:r>
            <w:r w:rsidR="00120CCF" w:rsidRPr="00F85DCF">
              <w:rPr>
                <w:sz w:val="20"/>
                <w:szCs w:val="20"/>
                <w:lang w:val="en-GB" w:eastAsia="en-AU"/>
              </w:rPr>
              <w:t xml:space="preserve"> it </w:t>
            </w:r>
            <w:r w:rsidR="002F2AF2" w:rsidRPr="00F85DCF">
              <w:rPr>
                <w:sz w:val="20"/>
                <w:szCs w:val="20"/>
                <w:lang w:val="en-GB" w:eastAsia="en-AU"/>
              </w:rPr>
              <w:t xml:space="preserve">is </w:t>
            </w:r>
            <w:r w:rsidR="00120CCF" w:rsidRPr="00F85DCF">
              <w:rPr>
                <w:sz w:val="20"/>
                <w:szCs w:val="20"/>
                <w:lang w:val="en-GB" w:eastAsia="en-AU"/>
              </w:rPr>
              <w:t xml:space="preserve">not considered high enough to allow for the </w:t>
            </w:r>
            <w:r w:rsidR="004F76AA" w:rsidRPr="00F85DCF">
              <w:rPr>
                <w:sz w:val="20"/>
                <w:szCs w:val="20"/>
                <w:lang w:val="en-GB" w:eastAsia="en-AU"/>
              </w:rPr>
              <w:t>inadvertent</w:t>
            </w:r>
            <w:r w:rsidR="00120CCF" w:rsidRPr="00F85DCF">
              <w:rPr>
                <w:sz w:val="20"/>
                <w:szCs w:val="20"/>
                <w:lang w:val="en-GB" w:eastAsia="en-AU"/>
              </w:rPr>
              <w:t xml:space="preserve"> presence of the </w:t>
            </w:r>
            <w:r w:rsidR="00087A41" w:rsidRPr="00F85DCF">
              <w:rPr>
                <w:sz w:val="20"/>
                <w:szCs w:val="20"/>
                <w:lang w:val="en-GB" w:eastAsia="en-AU"/>
              </w:rPr>
              <w:t xml:space="preserve">agvet </w:t>
            </w:r>
            <w:r w:rsidR="00120CCF" w:rsidRPr="00F85DCF">
              <w:rPr>
                <w:sz w:val="20"/>
                <w:szCs w:val="20"/>
                <w:lang w:val="en-GB" w:eastAsia="en-AU"/>
              </w:rPr>
              <w:t xml:space="preserve">chemical in a commodity. </w:t>
            </w:r>
            <w:r w:rsidRPr="00F85DCF">
              <w:rPr>
                <w:sz w:val="20"/>
                <w:szCs w:val="20"/>
                <w:lang w:val="en-GB" w:eastAsia="en-AU"/>
              </w:rPr>
              <w:t xml:space="preserve">Increasing this to 0.2 mg/kg represents 20% </w:t>
            </w:r>
            <w:r w:rsidR="005605F1" w:rsidRPr="00F85DCF">
              <w:rPr>
                <w:sz w:val="20"/>
                <w:szCs w:val="20"/>
                <w:lang w:val="en-GB" w:eastAsia="en-AU"/>
              </w:rPr>
              <w:t xml:space="preserve">contribution to </w:t>
            </w:r>
            <w:r w:rsidRPr="00F85DCF">
              <w:rPr>
                <w:sz w:val="20"/>
                <w:szCs w:val="20"/>
                <w:lang w:val="en-GB" w:eastAsia="en-AU"/>
              </w:rPr>
              <w:t xml:space="preserve">total dietary exposure. However, this level </w:t>
            </w:r>
            <w:r w:rsidR="002F2AF2" w:rsidRPr="00F85DCF">
              <w:rPr>
                <w:sz w:val="20"/>
                <w:szCs w:val="20"/>
                <w:lang w:val="en-GB" w:eastAsia="en-AU"/>
              </w:rPr>
              <w:t xml:space="preserve">is </w:t>
            </w:r>
            <w:r w:rsidRPr="00F85DCF">
              <w:rPr>
                <w:sz w:val="20"/>
                <w:szCs w:val="20"/>
                <w:lang w:val="en-GB" w:eastAsia="en-AU"/>
              </w:rPr>
              <w:t xml:space="preserve">considered too high </w:t>
            </w:r>
            <w:r w:rsidR="00A33E34" w:rsidRPr="00F85DCF">
              <w:rPr>
                <w:sz w:val="20"/>
                <w:szCs w:val="20"/>
                <w:lang w:val="en-GB" w:eastAsia="en-AU"/>
              </w:rPr>
              <w:t>and</w:t>
            </w:r>
            <w:r w:rsidRPr="00F85DCF">
              <w:rPr>
                <w:sz w:val="20"/>
                <w:szCs w:val="20"/>
                <w:lang w:val="en-GB" w:eastAsia="en-AU"/>
              </w:rPr>
              <w:t xml:space="preserve"> may encourage off-label use. An MRL of 0.1 mg/kg is within the target and represents </w:t>
            </w:r>
            <w:r w:rsidR="005605F1" w:rsidRPr="00F85DCF">
              <w:rPr>
                <w:sz w:val="20"/>
                <w:szCs w:val="20"/>
                <w:lang w:val="en-GB" w:eastAsia="en-AU"/>
              </w:rPr>
              <w:t xml:space="preserve">a contribution of </w:t>
            </w:r>
            <w:r w:rsidRPr="00F85DCF">
              <w:rPr>
                <w:sz w:val="20"/>
                <w:szCs w:val="20"/>
                <w:lang w:val="en-GB" w:eastAsia="en-AU"/>
              </w:rPr>
              <w:t xml:space="preserve">11% </w:t>
            </w:r>
            <w:r w:rsidR="005605F1" w:rsidRPr="00F85DCF">
              <w:rPr>
                <w:sz w:val="20"/>
                <w:szCs w:val="20"/>
                <w:lang w:val="en-GB" w:eastAsia="en-AU"/>
              </w:rPr>
              <w:t xml:space="preserve">to </w:t>
            </w:r>
            <w:r w:rsidRPr="00F85DCF">
              <w:rPr>
                <w:sz w:val="20"/>
                <w:szCs w:val="20"/>
                <w:lang w:val="en-GB" w:eastAsia="en-AU"/>
              </w:rPr>
              <w:t xml:space="preserve">total dietary exposure and </w:t>
            </w:r>
            <w:r w:rsidR="005605F1" w:rsidRPr="00F85DCF">
              <w:rPr>
                <w:sz w:val="20"/>
                <w:szCs w:val="20"/>
                <w:lang w:val="en-GB" w:eastAsia="en-AU"/>
              </w:rPr>
              <w:t xml:space="preserve">is </w:t>
            </w:r>
            <w:r w:rsidRPr="00F85DCF">
              <w:rPr>
                <w:sz w:val="20"/>
                <w:szCs w:val="20"/>
                <w:lang w:val="en-GB" w:eastAsia="en-AU"/>
              </w:rPr>
              <w:t>considered acceptable.</w:t>
            </w:r>
          </w:p>
        </w:tc>
      </w:tr>
      <w:tr w:rsidR="00C6091E" w:rsidRPr="00F85DCF" w14:paraId="34037193" w14:textId="77777777" w:rsidTr="005C01CC">
        <w:tc>
          <w:tcPr>
            <w:tcW w:w="3545" w:type="dxa"/>
            <w:vAlign w:val="center"/>
          </w:tcPr>
          <w:p w14:paraId="36E5DF77" w14:textId="2F6BE5EB" w:rsidR="00C6091E" w:rsidRPr="00F85DCF" w:rsidRDefault="00C6091E" w:rsidP="00CA7859">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2BBAB01F" w14:textId="64A4CFA7" w:rsidR="00C6091E" w:rsidRPr="00F85DCF" w:rsidRDefault="00C6091E" w:rsidP="00CA7859">
            <w:pPr>
              <w:rPr>
                <w:sz w:val="20"/>
                <w:szCs w:val="20"/>
                <w:lang w:val="en-GB"/>
              </w:rPr>
            </w:pPr>
            <w:r w:rsidRPr="00F85DCF">
              <w:rPr>
                <w:sz w:val="20"/>
                <w:szCs w:val="20"/>
                <w:lang w:val="en-GB" w:eastAsia="en-AU"/>
              </w:rPr>
              <w:t xml:space="preserve">An acute dietary exposure assessment </w:t>
            </w:r>
            <w:r w:rsidR="00C7006B" w:rsidRPr="00F85DCF">
              <w:rPr>
                <w:sz w:val="20"/>
                <w:szCs w:val="20"/>
                <w:lang w:val="en-GB" w:eastAsia="en-AU"/>
              </w:rPr>
              <w:t xml:space="preserve">is </w:t>
            </w:r>
            <w:r w:rsidRPr="00F85DCF">
              <w:rPr>
                <w:sz w:val="20"/>
                <w:szCs w:val="20"/>
                <w:lang w:val="en-GB" w:eastAsia="en-AU"/>
              </w:rPr>
              <w:t xml:space="preserve">considered unnecessary for </w:t>
            </w:r>
            <w:r w:rsidRPr="00F85DCF">
              <w:rPr>
                <w:sz w:val="20"/>
                <w:lang w:val="en-GB"/>
              </w:rPr>
              <w:t xml:space="preserve">Iprodione </w:t>
            </w:r>
            <w:r w:rsidRPr="00F85DCF">
              <w:rPr>
                <w:sz w:val="20"/>
                <w:szCs w:val="20"/>
                <w:lang w:val="en-GB"/>
              </w:rPr>
              <w:t xml:space="preserve">because </w:t>
            </w:r>
            <w:r w:rsidR="00AC21A8" w:rsidRPr="00F85DCF">
              <w:rPr>
                <w:sz w:val="20"/>
                <w:szCs w:val="20"/>
                <w:lang w:val="en-GB"/>
              </w:rPr>
              <w:t>neither the OCS nor JMPR has established an</w:t>
            </w:r>
            <w:r w:rsidRPr="00F85DCF">
              <w:rPr>
                <w:sz w:val="20"/>
                <w:szCs w:val="20"/>
                <w:lang w:val="en-GB"/>
              </w:rPr>
              <w:t xml:space="preserve"> acute reference dose.</w:t>
            </w:r>
          </w:p>
        </w:tc>
      </w:tr>
      <w:tr w:rsidR="00C6091E" w:rsidRPr="00F85DCF" w14:paraId="3F0936B9" w14:textId="77777777" w:rsidTr="005C01CC">
        <w:tc>
          <w:tcPr>
            <w:tcW w:w="3545" w:type="dxa"/>
            <w:vAlign w:val="center"/>
          </w:tcPr>
          <w:p w14:paraId="163B83EC" w14:textId="77777777" w:rsidR="00C6091E" w:rsidRPr="00F85DCF" w:rsidRDefault="00C6091E" w:rsidP="00CA7859">
            <w:pPr>
              <w:rPr>
                <w:sz w:val="20"/>
                <w:szCs w:val="20"/>
                <w:lang w:val="en-GB" w:eastAsia="en-AU"/>
              </w:rPr>
            </w:pPr>
            <w:r w:rsidRPr="00F85DCF">
              <w:rPr>
                <w:sz w:val="20"/>
                <w:szCs w:val="20"/>
                <w:lang w:val="en-GB" w:eastAsia="en-AU"/>
              </w:rPr>
              <w:t>Conclusion</w:t>
            </w:r>
          </w:p>
        </w:tc>
        <w:tc>
          <w:tcPr>
            <w:tcW w:w="6520" w:type="dxa"/>
            <w:vAlign w:val="center"/>
          </w:tcPr>
          <w:p w14:paraId="0440A511" w14:textId="0BF394D7" w:rsidR="00C6091E" w:rsidRPr="00F85DCF" w:rsidRDefault="00C6091E" w:rsidP="00F6066C">
            <w:pPr>
              <w:rPr>
                <w:sz w:val="20"/>
                <w:szCs w:val="20"/>
                <w:lang w:val="en-GB" w:eastAsia="en-AU"/>
              </w:rPr>
            </w:pPr>
            <w:r w:rsidRPr="00F85DCF">
              <w:rPr>
                <w:sz w:val="20"/>
                <w:szCs w:val="20"/>
                <w:lang w:val="en-GB"/>
              </w:rPr>
              <w:t xml:space="preserve">After considering the principles set out above an </w:t>
            </w:r>
            <w:r w:rsidR="00F6066C" w:rsidRPr="00F85DCF">
              <w:rPr>
                <w:b/>
                <w:i/>
                <w:sz w:val="20"/>
                <w:szCs w:val="20"/>
                <w:lang w:val="en-GB" w:eastAsia="en-AU"/>
              </w:rPr>
              <w:t>A</w:t>
            </w:r>
            <w:r w:rsidR="00ED4490" w:rsidRPr="00F85DCF">
              <w:rPr>
                <w:b/>
                <w:i/>
                <w:sz w:val="20"/>
                <w:szCs w:val="20"/>
                <w:lang w:val="en-GB" w:eastAsia="en-AU"/>
              </w:rPr>
              <w:t xml:space="preserve">ll other foods </w:t>
            </w:r>
            <w:r w:rsidR="0003601D" w:rsidRPr="00F85DCF">
              <w:rPr>
                <w:b/>
                <w:i/>
                <w:sz w:val="20"/>
                <w:szCs w:val="20"/>
                <w:lang w:val="en-GB" w:eastAsia="en-AU"/>
              </w:rPr>
              <w:t xml:space="preserve">except animal </w:t>
            </w:r>
            <w:r w:rsidR="006C226A">
              <w:rPr>
                <w:b/>
                <w:i/>
                <w:sz w:val="20"/>
                <w:szCs w:val="20"/>
                <w:lang w:val="en-GB" w:eastAsia="en-AU"/>
              </w:rPr>
              <w:t xml:space="preserve">food </w:t>
            </w:r>
            <w:r w:rsidR="0003601D" w:rsidRPr="00F85DCF">
              <w:rPr>
                <w:b/>
                <w:i/>
                <w:sz w:val="20"/>
                <w:szCs w:val="20"/>
                <w:lang w:val="en-GB" w:eastAsia="en-AU"/>
              </w:rPr>
              <w:t>commodities</w:t>
            </w:r>
            <w:r w:rsidR="00ED4490" w:rsidRPr="00F85DCF">
              <w:rPr>
                <w:b/>
                <w:i/>
                <w:sz w:val="20"/>
                <w:szCs w:val="20"/>
                <w:lang w:val="en-GB" w:eastAsia="en-AU"/>
              </w:rPr>
              <w:t xml:space="preserve"> </w:t>
            </w:r>
            <w:r w:rsidRPr="00F85DCF">
              <w:rPr>
                <w:b/>
                <w:sz w:val="20"/>
                <w:szCs w:val="20"/>
                <w:lang w:val="en-GB"/>
              </w:rPr>
              <w:t xml:space="preserve">MRL of </w:t>
            </w:r>
            <w:r w:rsidRPr="00F85DCF">
              <w:rPr>
                <w:b/>
                <w:sz w:val="20"/>
                <w:szCs w:val="20"/>
                <w:lang w:val="en-GB" w:eastAsia="en-AU"/>
              </w:rPr>
              <w:t xml:space="preserve">0.1 </w:t>
            </w:r>
            <w:r w:rsidRPr="00F85DCF">
              <w:rPr>
                <w:b/>
                <w:sz w:val="20"/>
                <w:szCs w:val="20"/>
                <w:lang w:val="en-GB"/>
              </w:rPr>
              <w:t>mg/kg</w:t>
            </w:r>
            <w:r w:rsidRPr="00F85DCF">
              <w:rPr>
                <w:sz w:val="20"/>
                <w:szCs w:val="20"/>
                <w:lang w:val="en-GB"/>
              </w:rPr>
              <w:t xml:space="preserve"> for </w:t>
            </w:r>
            <w:r w:rsidRPr="00F85DCF">
              <w:rPr>
                <w:sz w:val="20"/>
                <w:szCs w:val="20"/>
                <w:lang w:val="en-GB" w:eastAsia="en-AU"/>
              </w:rPr>
              <w:t>Iprodione</w:t>
            </w:r>
            <w:r w:rsidRPr="00F85DCF">
              <w:rPr>
                <w:sz w:val="20"/>
                <w:szCs w:val="20"/>
                <w:lang w:val="en-GB"/>
              </w:rPr>
              <w:t xml:space="preserve"> is acceptable because it has been shown to be practical, adequately manages the risk of off-label use and does not increase the level of concern about risk to public health</w:t>
            </w:r>
          </w:p>
        </w:tc>
      </w:tr>
    </w:tbl>
    <w:p w14:paraId="0DAD20D3" w14:textId="77777777" w:rsidR="00CA752F" w:rsidRPr="00F85DCF" w:rsidRDefault="00CA752F">
      <w:pPr>
        <w:rPr>
          <w:sz w:val="20"/>
          <w:szCs w:val="20"/>
          <w:lang w:val="en-GB" w:eastAsia="en-AU"/>
        </w:rPr>
      </w:pPr>
      <w:r w:rsidRPr="00F85DCF">
        <w:rPr>
          <w:sz w:val="20"/>
          <w:szCs w:val="20"/>
          <w:lang w:val="en-GB" w:eastAsia="en-AU"/>
        </w:rPr>
        <w:br w:type="page"/>
      </w:r>
    </w:p>
    <w:p w14:paraId="45C185E9" w14:textId="707BF771" w:rsidR="00F6750E" w:rsidRPr="00F85DCF" w:rsidRDefault="00F6750E" w:rsidP="005C01CC">
      <w:pPr>
        <w:pStyle w:val="Heading3"/>
      </w:pPr>
      <w:r w:rsidRPr="00F85DCF">
        <w:lastRenderedPageBreak/>
        <w:t>Methomyl</w:t>
      </w:r>
      <w:r w:rsidR="00076B62" w:rsidRPr="00F85DCF">
        <w:t xml:space="preserve"> </w:t>
      </w:r>
      <w:r w:rsidR="00921AB9" w:rsidRPr="00F85DCF">
        <w:t>and Thiodicarb</w:t>
      </w:r>
    </w:p>
    <w:tbl>
      <w:tblPr>
        <w:tblStyle w:val="TableGrid"/>
        <w:tblW w:w="9072" w:type="dxa"/>
        <w:tblLook w:val="04A0" w:firstRow="1" w:lastRow="0" w:firstColumn="1" w:lastColumn="0" w:noHBand="0" w:noVBand="1"/>
      </w:tblPr>
      <w:tblGrid>
        <w:gridCol w:w="3274"/>
        <w:gridCol w:w="5798"/>
      </w:tblGrid>
      <w:tr w:rsidR="002F47F6" w:rsidRPr="00F85DCF" w14:paraId="2B464136" w14:textId="77777777" w:rsidTr="005C01CC">
        <w:trPr>
          <w:tblHeader/>
        </w:trPr>
        <w:tc>
          <w:tcPr>
            <w:tcW w:w="3545" w:type="dxa"/>
            <w:vAlign w:val="center"/>
          </w:tcPr>
          <w:p w14:paraId="1AF30DF7" w14:textId="5163487D" w:rsidR="002F47F6"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796B7A78" w14:textId="77777777" w:rsidR="002F47F6" w:rsidRPr="00F85DCF" w:rsidRDefault="002F47F6" w:rsidP="00CA7859">
            <w:pPr>
              <w:rPr>
                <w:b/>
                <w:sz w:val="20"/>
                <w:szCs w:val="20"/>
                <w:lang w:val="en-GB" w:eastAsia="en-AU"/>
              </w:rPr>
            </w:pPr>
            <w:r w:rsidRPr="00F85DCF">
              <w:rPr>
                <w:b/>
                <w:sz w:val="20"/>
                <w:szCs w:val="20"/>
                <w:lang w:val="en-GB" w:eastAsia="en-AU"/>
              </w:rPr>
              <w:t>Comments</w:t>
            </w:r>
          </w:p>
        </w:tc>
      </w:tr>
      <w:tr w:rsidR="00B37525" w:rsidRPr="00F85DCF" w14:paraId="757D2EF9" w14:textId="77777777" w:rsidTr="005C01CC">
        <w:tc>
          <w:tcPr>
            <w:tcW w:w="3545" w:type="dxa"/>
            <w:vAlign w:val="center"/>
          </w:tcPr>
          <w:p w14:paraId="54575500" w14:textId="3D50A2C2" w:rsidR="00B37525" w:rsidRPr="00F85DCF" w:rsidRDefault="00B37525" w:rsidP="00CA7859">
            <w:pPr>
              <w:rPr>
                <w:sz w:val="20"/>
                <w:szCs w:val="20"/>
                <w:lang w:val="en-GB"/>
              </w:rPr>
            </w:pPr>
            <w:r w:rsidRPr="00F85DCF">
              <w:rPr>
                <w:sz w:val="20"/>
                <w:szCs w:val="20"/>
                <w:lang w:val="en-GB"/>
              </w:rPr>
              <w:t>Combined assessment</w:t>
            </w:r>
          </w:p>
        </w:tc>
        <w:tc>
          <w:tcPr>
            <w:tcW w:w="6520" w:type="dxa"/>
            <w:vAlign w:val="center"/>
          </w:tcPr>
          <w:p w14:paraId="3564C242" w14:textId="7D935DD8" w:rsidR="004A1A00" w:rsidRPr="00F85DCF" w:rsidRDefault="00EF4B40" w:rsidP="00CA7859">
            <w:pPr>
              <w:rPr>
                <w:sz w:val="20"/>
                <w:szCs w:val="20"/>
                <w:lang w:val="en-GB" w:eastAsia="en-AU"/>
              </w:rPr>
            </w:pPr>
            <w:r w:rsidRPr="00F85DCF">
              <w:rPr>
                <w:sz w:val="20"/>
                <w:szCs w:val="20"/>
                <w:lang w:val="en-GB"/>
              </w:rPr>
              <w:t>T</w:t>
            </w:r>
            <w:r w:rsidR="00EE5795" w:rsidRPr="00F85DCF">
              <w:rPr>
                <w:sz w:val="20"/>
                <w:szCs w:val="20"/>
                <w:lang w:val="en-GB"/>
              </w:rPr>
              <w:t xml:space="preserve">hiodicarb </w:t>
            </w:r>
            <w:r w:rsidR="009A6571" w:rsidRPr="00F85DCF">
              <w:rPr>
                <w:sz w:val="20"/>
                <w:szCs w:val="20"/>
                <w:lang w:val="en-GB"/>
              </w:rPr>
              <w:t xml:space="preserve">degrades </w:t>
            </w:r>
            <w:r w:rsidR="00EE5795" w:rsidRPr="00F85DCF">
              <w:rPr>
                <w:sz w:val="20"/>
                <w:szCs w:val="20"/>
                <w:lang w:val="en-GB"/>
              </w:rPr>
              <w:t xml:space="preserve">into </w:t>
            </w:r>
            <w:r w:rsidRPr="00F85DCF">
              <w:rPr>
                <w:sz w:val="20"/>
                <w:szCs w:val="20"/>
                <w:lang w:val="en-GB"/>
              </w:rPr>
              <w:t>M</w:t>
            </w:r>
            <w:r w:rsidR="00EE5795" w:rsidRPr="00F85DCF">
              <w:rPr>
                <w:sz w:val="20"/>
                <w:szCs w:val="20"/>
                <w:lang w:val="en-GB"/>
              </w:rPr>
              <w:t>ethomyl</w:t>
            </w:r>
            <w:r w:rsidR="009A6571" w:rsidRPr="00F85DCF">
              <w:rPr>
                <w:sz w:val="20"/>
                <w:szCs w:val="20"/>
                <w:lang w:val="en-GB"/>
              </w:rPr>
              <w:t xml:space="preserve"> and </w:t>
            </w:r>
            <w:r w:rsidR="00EE5795" w:rsidRPr="00F85DCF">
              <w:rPr>
                <w:sz w:val="20"/>
                <w:szCs w:val="20"/>
                <w:lang w:val="en-GB"/>
              </w:rPr>
              <w:t>must be considered</w:t>
            </w:r>
            <w:r w:rsidR="003A683B" w:rsidRPr="00F85DCF">
              <w:rPr>
                <w:sz w:val="20"/>
                <w:szCs w:val="20"/>
                <w:lang w:val="en-GB"/>
              </w:rPr>
              <w:t xml:space="preserve"> </w:t>
            </w:r>
            <w:r w:rsidR="006A11B7" w:rsidRPr="00F85DCF">
              <w:rPr>
                <w:sz w:val="20"/>
                <w:szCs w:val="20"/>
                <w:lang w:val="en-GB"/>
              </w:rPr>
              <w:t>in setting Methomyl MRLs.</w:t>
            </w:r>
            <w:r w:rsidR="00EE5795" w:rsidRPr="00F85DCF">
              <w:rPr>
                <w:sz w:val="20"/>
                <w:szCs w:val="20"/>
                <w:lang w:val="en-GB"/>
              </w:rPr>
              <w:t xml:space="preserve"> </w:t>
            </w:r>
            <w:r w:rsidR="003A683B" w:rsidRPr="00F85DCF">
              <w:rPr>
                <w:sz w:val="20"/>
                <w:szCs w:val="20"/>
                <w:lang w:val="en-GB"/>
              </w:rPr>
              <w:t>An</w:t>
            </w:r>
            <w:r w:rsidR="00EE5795" w:rsidRPr="00F85DCF">
              <w:rPr>
                <w:sz w:val="20"/>
                <w:szCs w:val="20"/>
                <w:lang w:val="en-GB"/>
              </w:rPr>
              <w:t xml:space="preserve"> aggregate </w:t>
            </w:r>
            <w:r w:rsidR="003A683B" w:rsidRPr="00F85DCF">
              <w:rPr>
                <w:sz w:val="20"/>
                <w:szCs w:val="20"/>
                <w:lang w:val="en-GB"/>
              </w:rPr>
              <w:t>DEA</w:t>
            </w:r>
            <w:r w:rsidR="006A11B7" w:rsidRPr="00F85DCF">
              <w:rPr>
                <w:sz w:val="20"/>
                <w:szCs w:val="20"/>
                <w:lang w:val="en-GB"/>
              </w:rPr>
              <w:t xml:space="preserve"> </w:t>
            </w:r>
            <w:r w:rsidR="003A683B" w:rsidRPr="00F85DCF">
              <w:rPr>
                <w:sz w:val="20"/>
                <w:szCs w:val="20"/>
                <w:lang w:val="en-GB"/>
              </w:rPr>
              <w:t xml:space="preserve">is </w:t>
            </w:r>
            <w:r w:rsidR="006A11B7" w:rsidRPr="00F85DCF">
              <w:rPr>
                <w:sz w:val="20"/>
                <w:szCs w:val="20"/>
                <w:lang w:val="en-GB"/>
              </w:rPr>
              <w:t xml:space="preserve">required if a Methomyl MRL is established for any commodity. </w:t>
            </w:r>
            <w:r w:rsidR="00DE7CCE" w:rsidRPr="00F85DCF">
              <w:rPr>
                <w:sz w:val="20"/>
                <w:szCs w:val="20"/>
                <w:lang w:val="en-GB"/>
              </w:rPr>
              <w:t xml:space="preserve">Every Thiodicarb commodity must have a matching Methomyl commodity MRL, but not every </w:t>
            </w:r>
            <w:r w:rsidR="00E825F6" w:rsidRPr="00F85DCF">
              <w:rPr>
                <w:sz w:val="20"/>
                <w:szCs w:val="20"/>
                <w:lang w:val="en-GB"/>
              </w:rPr>
              <w:t xml:space="preserve">Methomyl </w:t>
            </w:r>
            <w:r w:rsidR="00DE7CCE" w:rsidRPr="00F85DCF">
              <w:rPr>
                <w:sz w:val="20"/>
                <w:szCs w:val="20"/>
                <w:lang w:val="en-GB"/>
              </w:rPr>
              <w:t xml:space="preserve">commodity needs a </w:t>
            </w:r>
            <w:r w:rsidR="00E825F6" w:rsidRPr="00F85DCF">
              <w:rPr>
                <w:sz w:val="20"/>
                <w:szCs w:val="20"/>
                <w:lang w:val="en-GB"/>
              </w:rPr>
              <w:t xml:space="preserve">Thiodicarb </w:t>
            </w:r>
            <w:r w:rsidR="00DE7CCE" w:rsidRPr="00F85DCF">
              <w:rPr>
                <w:sz w:val="20"/>
                <w:szCs w:val="20"/>
                <w:lang w:val="en-GB"/>
              </w:rPr>
              <w:t xml:space="preserve">entry. The use of both </w:t>
            </w:r>
            <w:r w:rsidR="006C57F2" w:rsidRPr="00F85DCF">
              <w:rPr>
                <w:sz w:val="20"/>
                <w:szCs w:val="20"/>
                <w:lang w:val="en-GB"/>
              </w:rPr>
              <w:t xml:space="preserve">agvet </w:t>
            </w:r>
            <w:r w:rsidR="00DE7CCE" w:rsidRPr="00F85DCF">
              <w:rPr>
                <w:sz w:val="20"/>
                <w:szCs w:val="20"/>
                <w:lang w:val="en-GB"/>
              </w:rPr>
              <w:t xml:space="preserve">chemicals on the same commodity </w:t>
            </w:r>
            <w:r w:rsidR="003A683B" w:rsidRPr="00F85DCF">
              <w:rPr>
                <w:sz w:val="20"/>
                <w:szCs w:val="20"/>
                <w:lang w:val="en-GB"/>
              </w:rPr>
              <w:t>is unlikely; t</w:t>
            </w:r>
            <w:r w:rsidR="00DE7CCE" w:rsidRPr="00F85DCF">
              <w:rPr>
                <w:sz w:val="20"/>
                <w:szCs w:val="20"/>
                <w:lang w:val="en-GB"/>
              </w:rPr>
              <w:t xml:space="preserve">herefore the </w:t>
            </w:r>
            <w:r w:rsidR="003A683B" w:rsidRPr="00F85DCF">
              <w:rPr>
                <w:sz w:val="20"/>
                <w:szCs w:val="20"/>
                <w:lang w:val="en-GB"/>
              </w:rPr>
              <w:t>DEA</w:t>
            </w:r>
            <w:r w:rsidR="00DE7CCE" w:rsidRPr="00F85DCF">
              <w:rPr>
                <w:sz w:val="20"/>
                <w:szCs w:val="20"/>
                <w:lang w:val="en-GB"/>
              </w:rPr>
              <w:t xml:space="preserve"> for Methomyl may be a</w:t>
            </w:r>
            <w:r w:rsidR="003A683B" w:rsidRPr="00F85DCF">
              <w:rPr>
                <w:sz w:val="20"/>
                <w:szCs w:val="20"/>
                <w:lang w:val="en-GB"/>
              </w:rPr>
              <w:t>n</w:t>
            </w:r>
            <w:r w:rsidR="00DE7CCE" w:rsidRPr="00F85DCF">
              <w:rPr>
                <w:sz w:val="20"/>
                <w:szCs w:val="20"/>
                <w:lang w:val="en-GB"/>
              </w:rPr>
              <w:t xml:space="preserve"> overestimate.</w:t>
            </w:r>
          </w:p>
        </w:tc>
      </w:tr>
      <w:tr w:rsidR="002F47F6" w:rsidRPr="00F85DCF" w14:paraId="0EA9E86A" w14:textId="77777777" w:rsidTr="005C01CC">
        <w:tc>
          <w:tcPr>
            <w:tcW w:w="3545" w:type="dxa"/>
            <w:vAlign w:val="center"/>
          </w:tcPr>
          <w:p w14:paraId="41407295" w14:textId="5BDD8A21" w:rsidR="002F47F6"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6078A049" w14:textId="77777777" w:rsidR="002F47F6" w:rsidRPr="00F85DCF" w:rsidRDefault="002F47F6" w:rsidP="00CA7859">
            <w:pPr>
              <w:rPr>
                <w:sz w:val="20"/>
                <w:szCs w:val="20"/>
                <w:lang w:val="en-GB"/>
              </w:rPr>
            </w:pPr>
            <w:r w:rsidRPr="00F85DCF">
              <w:rPr>
                <w:sz w:val="20"/>
                <w:szCs w:val="20"/>
                <w:lang w:val="en-GB" w:eastAsia="en-AU"/>
              </w:rPr>
              <w:t>0.01 mg/kg (horticultural products)</w:t>
            </w:r>
          </w:p>
        </w:tc>
      </w:tr>
      <w:tr w:rsidR="002F47F6" w:rsidRPr="00F85DCF" w14:paraId="228EEFAD" w14:textId="77777777" w:rsidTr="005C01CC">
        <w:tc>
          <w:tcPr>
            <w:tcW w:w="3545" w:type="dxa"/>
            <w:vAlign w:val="center"/>
          </w:tcPr>
          <w:p w14:paraId="51D807A9" w14:textId="77777777" w:rsidR="002F47F6" w:rsidRPr="00F85DCF" w:rsidRDefault="002F47F6" w:rsidP="00CA7859">
            <w:pPr>
              <w:rPr>
                <w:sz w:val="20"/>
                <w:szCs w:val="20"/>
                <w:lang w:val="en-GB"/>
              </w:rPr>
            </w:pPr>
            <w:r w:rsidRPr="00F85DCF">
              <w:rPr>
                <w:sz w:val="20"/>
                <w:szCs w:val="20"/>
                <w:lang w:val="en-GB"/>
              </w:rPr>
              <w:t>Lowest plant commodity MRL</w:t>
            </w:r>
          </w:p>
        </w:tc>
        <w:tc>
          <w:tcPr>
            <w:tcW w:w="6520" w:type="dxa"/>
            <w:vAlign w:val="center"/>
          </w:tcPr>
          <w:p w14:paraId="67AABDED" w14:textId="7427DA51" w:rsidR="002F47F6" w:rsidRPr="00F85DCF" w:rsidRDefault="002F47F6" w:rsidP="00CA7859">
            <w:pPr>
              <w:rPr>
                <w:sz w:val="20"/>
                <w:szCs w:val="20"/>
                <w:lang w:val="en-GB" w:eastAsia="en-AU"/>
              </w:rPr>
            </w:pPr>
            <w:r w:rsidRPr="00F85DCF">
              <w:rPr>
                <w:sz w:val="20"/>
                <w:szCs w:val="20"/>
                <w:lang w:val="en-GB" w:eastAsia="en-AU"/>
              </w:rPr>
              <w:t>*0.05 mg/kg (</w:t>
            </w:r>
            <w:r w:rsidR="00703B35" w:rsidRPr="00F85DCF">
              <w:rPr>
                <w:sz w:val="20"/>
                <w:szCs w:val="20"/>
                <w:lang w:val="en-GB" w:eastAsia="en-AU"/>
              </w:rPr>
              <w:t>d</w:t>
            </w:r>
            <w:r w:rsidRPr="00F85DCF">
              <w:rPr>
                <w:sz w:val="20"/>
                <w:szCs w:val="20"/>
                <w:lang w:val="en-GB" w:eastAsia="en-AU"/>
              </w:rPr>
              <w:t xml:space="preserve">ried grapes; </w:t>
            </w:r>
            <w:r w:rsidR="00703B35" w:rsidRPr="00F85DCF">
              <w:rPr>
                <w:sz w:val="20"/>
                <w:szCs w:val="20"/>
                <w:lang w:val="en-GB" w:eastAsia="en-AU"/>
              </w:rPr>
              <w:t>p</w:t>
            </w:r>
            <w:r w:rsidRPr="00F85DCF">
              <w:rPr>
                <w:sz w:val="20"/>
                <w:szCs w:val="20"/>
                <w:lang w:val="en-GB" w:eastAsia="en-AU"/>
              </w:rPr>
              <w:t xml:space="preserve">eanut; </w:t>
            </w:r>
            <w:r w:rsidR="00703B35" w:rsidRPr="00F85DCF">
              <w:rPr>
                <w:sz w:val="20"/>
                <w:szCs w:val="20"/>
                <w:lang w:val="en-GB" w:eastAsia="en-AU"/>
              </w:rPr>
              <w:t>p</w:t>
            </w:r>
            <w:r w:rsidRPr="00F85DCF">
              <w:rPr>
                <w:sz w:val="20"/>
                <w:szCs w:val="20"/>
                <w:lang w:val="en-GB" w:eastAsia="en-AU"/>
              </w:rPr>
              <w:t xml:space="preserve">oppy seed) (0.05 mg/kg </w:t>
            </w:r>
            <w:r w:rsidR="00703B35" w:rsidRPr="00F85DCF">
              <w:rPr>
                <w:sz w:val="20"/>
                <w:szCs w:val="20"/>
                <w:lang w:val="en-GB" w:eastAsia="en-AU"/>
              </w:rPr>
              <w:t>p</w:t>
            </w:r>
            <w:r w:rsidRPr="00F85DCF">
              <w:rPr>
                <w:sz w:val="20"/>
                <w:szCs w:val="20"/>
                <w:lang w:val="en-GB" w:eastAsia="en-AU"/>
              </w:rPr>
              <w:t>lantago ovata seed)</w:t>
            </w:r>
          </w:p>
          <w:p w14:paraId="23874C54" w14:textId="03264BB7" w:rsidR="00120CCF" w:rsidRPr="00F85DCF" w:rsidRDefault="002F47F6" w:rsidP="00CA7859">
            <w:pPr>
              <w:rPr>
                <w:sz w:val="20"/>
                <w:szCs w:val="20"/>
                <w:lang w:val="en-GB"/>
              </w:rPr>
            </w:pPr>
            <w:r w:rsidRPr="00F85DCF">
              <w:rPr>
                <w:sz w:val="20"/>
                <w:szCs w:val="20"/>
                <w:lang w:val="en-GB"/>
              </w:rPr>
              <w:t>Thiodicarb: *0.1 (</w:t>
            </w:r>
            <w:r w:rsidR="00703B35" w:rsidRPr="00F85DCF">
              <w:rPr>
                <w:sz w:val="20"/>
                <w:szCs w:val="20"/>
                <w:lang w:val="en-GB"/>
              </w:rPr>
              <w:t>c</w:t>
            </w:r>
            <w:r w:rsidRPr="00F85DCF">
              <w:rPr>
                <w:sz w:val="20"/>
                <w:szCs w:val="20"/>
                <w:lang w:val="en-GB"/>
              </w:rPr>
              <w:t xml:space="preserve">otton seed; </w:t>
            </w:r>
            <w:r w:rsidR="00703B35" w:rsidRPr="00F85DCF">
              <w:rPr>
                <w:sz w:val="20"/>
                <w:szCs w:val="20"/>
                <w:lang w:val="en-GB"/>
              </w:rPr>
              <w:t>c</w:t>
            </w:r>
            <w:r w:rsidRPr="00F85DCF">
              <w:rPr>
                <w:sz w:val="20"/>
                <w:szCs w:val="20"/>
                <w:lang w:val="en-GB"/>
              </w:rPr>
              <w:t xml:space="preserve">otton seed oil, crude; </w:t>
            </w:r>
            <w:r w:rsidR="00703B35" w:rsidRPr="00F85DCF">
              <w:rPr>
                <w:sz w:val="20"/>
                <w:szCs w:val="20"/>
                <w:lang w:val="en-GB"/>
              </w:rPr>
              <w:t>m</w:t>
            </w:r>
            <w:r w:rsidRPr="00F85DCF">
              <w:rPr>
                <w:sz w:val="20"/>
                <w:szCs w:val="20"/>
                <w:lang w:val="en-GB"/>
              </w:rPr>
              <w:t xml:space="preserve">aize; </w:t>
            </w:r>
            <w:r w:rsidR="00703B35" w:rsidRPr="00F85DCF">
              <w:rPr>
                <w:sz w:val="20"/>
                <w:szCs w:val="20"/>
                <w:lang w:val="en-GB"/>
              </w:rPr>
              <w:t>p</w:t>
            </w:r>
            <w:r w:rsidRPr="00F85DCF">
              <w:rPr>
                <w:sz w:val="20"/>
                <w:szCs w:val="20"/>
                <w:lang w:val="en-GB"/>
              </w:rPr>
              <w:t xml:space="preserve">otato; </w:t>
            </w:r>
            <w:r w:rsidR="00703B35" w:rsidRPr="00F85DCF">
              <w:rPr>
                <w:sz w:val="20"/>
                <w:szCs w:val="20"/>
                <w:lang w:val="en-GB"/>
              </w:rPr>
              <w:t>p</w:t>
            </w:r>
            <w:r w:rsidRPr="00F85DCF">
              <w:rPr>
                <w:sz w:val="20"/>
                <w:szCs w:val="20"/>
                <w:lang w:val="en-GB"/>
              </w:rPr>
              <w:t xml:space="preserve">ulses; and </w:t>
            </w:r>
            <w:r w:rsidR="00703B35" w:rsidRPr="00F85DCF">
              <w:rPr>
                <w:sz w:val="20"/>
                <w:szCs w:val="20"/>
                <w:lang w:val="en-GB"/>
              </w:rPr>
              <w:t>s</w:t>
            </w:r>
            <w:r w:rsidRPr="00F85DCF">
              <w:rPr>
                <w:sz w:val="20"/>
                <w:szCs w:val="20"/>
                <w:lang w:val="en-GB"/>
              </w:rPr>
              <w:t xml:space="preserve">weet corn (corn-on-the-cob)) </w:t>
            </w:r>
          </w:p>
          <w:p w14:paraId="1C451DA4" w14:textId="5D0908A6" w:rsidR="002F47F6" w:rsidRPr="00F85DCF" w:rsidRDefault="002F47F6" w:rsidP="00CA7859">
            <w:pPr>
              <w:rPr>
                <w:sz w:val="20"/>
                <w:szCs w:val="20"/>
                <w:lang w:val="en-GB"/>
              </w:rPr>
            </w:pPr>
            <w:r w:rsidRPr="00F85DCF">
              <w:rPr>
                <w:sz w:val="20"/>
                <w:szCs w:val="20"/>
                <w:lang w:val="en-GB" w:eastAsia="en-AU"/>
              </w:rPr>
              <w:t xml:space="preserve">(*Denotes MRL set at or about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2F47F6" w:rsidRPr="00F85DCF" w14:paraId="41A8A32C" w14:textId="77777777" w:rsidTr="005C01CC">
        <w:tc>
          <w:tcPr>
            <w:tcW w:w="3545" w:type="dxa"/>
            <w:vAlign w:val="center"/>
          </w:tcPr>
          <w:p w14:paraId="3014CBBA" w14:textId="51B37B05" w:rsidR="002F47F6" w:rsidRPr="00F85DCF" w:rsidRDefault="00EB72A5" w:rsidP="00CA7859">
            <w:pPr>
              <w:rPr>
                <w:sz w:val="20"/>
                <w:szCs w:val="20"/>
                <w:lang w:val="en-GB"/>
              </w:rPr>
            </w:pPr>
            <w:r w:rsidRPr="00F85DCF">
              <w:rPr>
                <w:sz w:val="20"/>
                <w:szCs w:val="20"/>
                <w:lang w:val="en-GB" w:eastAsia="en-AU"/>
              </w:rPr>
              <w:t xml:space="preserve">Magnitude of existing </w:t>
            </w:r>
            <w:r w:rsidR="00CA7859"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0ECF4C23" w14:textId="213663CA" w:rsidR="002F47F6" w:rsidRPr="00F85DCF" w:rsidRDefault="002F47F6" w:rsidP="00CA7859">
            <w:pPr>
              <w:rPr>
                <w:sz w:val="20"/>
                <w:szCs w:val="20"/>
                <w:lang w:val="en-GB"/>
              </w:rPr>
            </w:pPr>
            <w:r w:rsidRPr="00F85DCF">
              <w:rPr>
                <w:sz w:val="20"/>
                <w:szCs w:val="20"/>
                <w:lang w:val="en-GB"/>
              </w:rPr>
              <w:t>The range of existing Methomyl MRLs</w:t>
            </w:r>
            <w:r w:rsidR="00120CCF" w:rsidRPr="00F85DCF">
              <w:rPr>
                <w:sz w:val="20"/>
                <w:szCs w:val="20"/>
                <w:lang w:val="en-GB"/>
              </w:rPr>
              <w:t>,</w:t>
            </w:r>
            <w:r w:rsidRPr="00F85DCF">
              <w:rPr>
                <w:sz w:val="20"/>
                <w:szCs w:val="20"/>
                <w:lang w:val="en-GB"/>
              </w:rPr>
              <w:t xml:space="preserve"> excluding animal </w:t>
            </w:r>
            <w:r w:rsidR="008C2571">
              <w:rPr>
                <w:sz w:val="20"/>
                <w:szCs w:val="20"/>
                <w:lang w:val="en-GB"/>
              </w:rPr>
              <w:t xml:space="preserve">food </w:t>
            </w:r>
            <w:r w:rsidRPr="00F85DCF">
              <w:rPr>
                <w:sz w:val="20"/>
                <w:szCs w:val="20"/>
                <w:lang w:val="en-GB"/>
              </w:rPr>
              <w:t xml:space="preserve">commodities, </w:t>
            </w:r>
            <w:r w:rsidR="00C7006B" w:rsidRPr="00F85DCF">
              <w:rPr>
                <w:sz w:val="20"/>
                <w:szCs w:val="20"/>
                <w:lang w:val="en-GB"/>
              </w:rPr>
              <w:t xml:space="preserve">is </w:t>
            </w:r>
            <w:r w:rsidRPr="00F85DCF">
              <w:rPr>
                <w:sz w:val="20"/>
                <w:szCs w:val="20"/>
                <w:lang w:val="en-GB" w:eastAsia="en-AU"/>
              </w:rPr>
              <w:t xml:space="preserve">0.05 </w:t>
            </w:r>
            <w:r w:rsidRPr="00F85DCF">
              <w:rPr>
                <w:sz w:val="20"/>
                <w:szCs w:val="20"/>
                <w:lang w:val="en-GB"/>
              </w:rPr>
              <w:t>mg/kg (</w:t>
            </w:r>
            <w:r w:rsidR="00703B35" w:rsidRPr="00F85DCF">
              <w:rPr>
                <w:sz w:val="20"/>
                <w:szCs w:val="20"/>
                <w:lang w:val="en-GB" w:eastAsia="en-AU"/>
              </w:rPr>
              <w:t>p</w:t>
            </w:r>
            <w:r w:rsidRPr="00F85DCF">
              <w:rPr>
                <w:sz w:val="20"/>
                <w:szCs w:val="20"/>
                <w:lang w:val="en-GB" w:eastAsia="en-AU"/>
              </w:rPr>
              <w:t>lantago ovata seed</w:t>
            </w:r>
            <w:r w:rsidRPr="00F85DCF">
              <w:rPr>
                <w:sz w:val="20"/>
                <w:szCs w:val="20"/>
                <w:lang w:val="en-GB"/>
              </w:rPr>
              <w:t xml:space="preserve">) to </w:t>
            </w:r>
            <w:r w:rsidRPr="00F85DCF">
              <w:rPr>
                <w:sz w:val="20"/>
                <w:szCs w:val="20"/>
                <w:lang w:val="en-GB" w:eastAsia="en-AU"/>
              </w:rPr>
              <w:t xml:space="preserve">T10 </w:t>
            </w:r>
            <w:r w:rsidRPr="00F85DCF">
              <w:rPr>
                <w:sz w:val="20"/>
                <w:szCs w:val="20"/>
                <w:lang w:val="en-GB"/>
              </w:rPr>
              <w:t>mg/kg (</w:t>
            </w:r>
            <w:r w:rsidR="00703B35" w:rsidRPr="00F85DCF">
              <w:rPr>
                <w:sz w:val="20"/>
                <w:szCs w:val="20"/>
                <w:lang w:val="en-GB" w:eastAsia="en-AU"/>
              </w:rPr>
              <w:t>c</w:t>
            </w:r>
            <w:r w:rsidRPr="00F85DCF">
              <w:rPr>
                <w:sz w:val="20"/>
                <w:szCs w:val="20"/>
                <w:lang w:val="en-GB" w:eastAsia="en-AU"/>
              </w:rPr>
              <w:t xml:space="preserve">oriander (leaves, stem, roots); </w:t>
            </w:r>
            <w:r w:rsidR="00703B35" w:rsidRPr="00F85DCF">
              <w:rPr>
                <w:sz w:val="20"/>
                <w:szCs w:val="20"/>
                <w:lang w:val="en-GB" w:eastAsia="en-AU"/>
              </w:rPr>
              <w:t>h</w:t>
            </w:r>
            <w:r w:rsidRPr="00F85DCF">
              <w:rPr>
                <w:sz w:val="20"/>
                <w:szCs w:val="20"/>
                <w:lang w:val="en-GB" w:eastAsia="en-AU"/>
              </w:rPr>
              <w:t>erbs</w:t>
            </w:r>
            <w:r w:rsidRPr="00F85DCF">
              <w:rPr>
                <w:sz w:val="20"/>
                <w:szCs w:val="20"/>
                <w:lang w:val="en-GB"/>
              </w:rPr>
              <w:t>). (T denotes temporary MRL)</w:t>
            </w:r>
            <w:r w:rsidR="004B2E07" w:rsidRPr="00F85DCF">
              <w:rPr>
                <w:sz w:val="20"/>
                <w:szCs w:val="20"/>
                <w:lang w:val="en-GB"/>
              </w:rPr>
              <w:t xml:space="preserve">. </w:t>
            </w:r>
            <w:r w:rsidRPr="00F85DCF">
              <w:rPr>
                <w:sz w:val="20"/>
                <w:szCs w:val="20"/>
                <w:lang w:val="en-GB"/>
              </w:rPr>
              <w:t xml:space="preserve">The range of existing Thiodicarb MRLs, excluding animal </w:t>
            </w:r>
            <w:r w:rsidR="00DC1EC4">
              <w:rPr>
                <w:sz w:val="20"/>
                <w:szCs w:val="20"/>
                <w:lang w:val="en-GB"/>
              </w:rPr>
              <w:t xml:space="preserve">food </w:t>
            </w:r>
            <w:r w:rsidRPr="00F85DCF">
              <w:rPr>
                <w:sz w:val="20"/>
                <w:szCs w:val="20"/>
                <w:lang w:val="en-GB"/>
              </w:rPr>
              <w:t xml:space="preserve">commodities, </w:t>
            </w:r>
            <w:r w:rsidR="00C7006B" w:rsidRPr="00F85DCF">
              <w:rPr>
                <w:sz w:val="20"/>
                <w:szCs w:val="20"/>
                <w:lang w:val="en-GB"/>
              </w:rPr>
              <w:t xml:space="preserve">is </w:t>
            </w:r>
            <w:r w:rsidRPr="00F85DCF">
              <w:rPr>
                <w:sz w:val="20"/>
                <w:szCs w:val="20"/>
                <w:lang w:val="en-GB"/>
              </w:rPr>
              <w:t xml:space="preserve">0.1 </w:t>
            </w:r>
            <w:r w:rsidR="009E29F4" w:rsidRPr="00F85DCF">
              <w:rPr>
                <w:sz w:val="20"/>
                <w:szCs w:val="20"/>
                <w:lang w:val="en-GB"/>
              </w:rPr>
              <w:t xml:space="preserve">mg/kg </w:t>
            </w:r>
            <w:r w:rsidRPr="00F85DCF">
              <w:rPr>
                <w:sz w:val="20"/>
                <w:szCs w:val="20"/>
                <w:lang w:val="en-GB"/>
              </w:rPr>
              <w:t>(</w:t>
            </w:r>
            <w:r w:rsidR="00703B35" w:rsidRPr="00F85DCF">
              <w:rPr>
                <w:sz w:val="20"/>
                <w:szCs w:val="20"/>
                <w:lang w:val="en-GB"/>
              </w:rPr>
              <w:t>c</w:t>
            </w:r>
            <w:r w:rsidRPr="00F85DCF">
              <w:rPr>
                <w:sz w:val="20"/>
                <w:szCs w:val="20"/>
                <w:lang w:val="en-GB"/>
              </w:rPr>
              <w:t xml:space="preserve">otton seed; </w:t>
            </w:r>
            <w:r w:rsidR="00703B35" w:rsidRPr="00F85DCF">
              <w:rPr>
                <w:sz w:val="20"/>
                <w:szCs w:val="20"/>
                <w:lang w:val="en-GB"/>
              </w:rPr>
              <w:t>c</w:t>
            </w:r>
            <w:r w:rsidRPr="00F85DCF">
              <w:rPr>
                <w:sz w:val="20"/>
                <w:szCs w:val="20"/>
                <w:lang w:val="en-GB"/>
              </w:rPr>
              <w:t xml:space="preserve">otton seed oil, crude; </w:t>
            </w:r>
            <w:r w:rsidR="00703B35" w:rsidRPr="00F85DCF">
              <w:rPr>
                <w:sz w:val="20"/>
                <w:szCs w:val="20"/>
                <w:lang w:val="en-GB"/>
              </w:rPr>
              <w:t>m</w:t>
            </w:r>
            <w:r w:rsidRPr="00F85DCF">
              <w:rPr>
                <w:sz w:val="20"/>
                <w:szCs w:val="20"/>
                <w:lang w:val="en-GB"/>
              </w:rPr>
              <w:t xml:space="preserve">aize; </w:t>
            </w:r>
            <w:r w:rsidR="00703B35" w:rsidRPr="00F85DCF">
              <w:rPr>
                <w:sz w:val="20"/>
                <w:szCs w:val="20"/>
                <w:lang w:val="en-GB"/>
              </w:rPr>
              <w:t>p</w:t>
            </w:r>
            <w:r w:rsidRPr="00F85DCF">
              <w:rPr>
                <w:sz w:val="20"/>
                <w:szCs w:val="20"/>
                <w:lang w:val="en-GB"/>
              </w:rPr>
              <w:t xml:space="preserve">otato; </w:t>
            </w:r>
            <w:r w:rsidR="00703B35" w:rsidRPr="00F85DCF">
              <w:rPr>
                <w:sz w:val="20"/>
                <w:szCs w:val="20"/>
                <w:lang w:val="en-GB"/>
              </w:rPr>
              <w:t>p</w:t>
            </w:r>
            <w:r w:rsidRPr="00F85DCF">
              <w:rPr>
                <w:sz w:val="20"/>
                <w:szCs w:val="20"/>
                <w:lang w:val="en-GB"/>
              </w:rPr>
              <w:t xml:space="preserve">ulses; and </w:t>
            </w:r>
            <w:r w:rsidR="00703B35" w:rsidRPr="00F85DCF">
              <w:rPr>
                <w:sz w:val="20"/>
                <w:szCs w:val="20"/>
                <w:lang w:val="en-GB"/>
              </w:rPr>
              <w:t>s</w:t>
            </w:r>
            <w:r w:rsidRPr="00F85DCF">
              <w:rPr>
                <w:sz w:val="20"/>
                <w:szCs w:val="20"/>
                <w:lang w:val="en-GB"/>
              </w:rPr>
              <w:t>weet corn (corn-on-the-cob)) to 5 mg/kg (</w:t>
            </w:r>
            <w:r w:rsidR="00703B35" w:rsidRPr="00F85DCF">
              <w:rPr>
                <w:sz w:val="20"/>
                <w:szCs w:val="20"/>
                <w:lang w:val="en-GB"/>
              </w:rPr>
              <w:t>p</w:t>
            </w:r>
            <w:r w:rsidRPr="00F85DCF">
              <w:rPr>
                <w:sz w:val="20"/>
                <w:szCs w:val="20"/>
                <w:lang w:val="en-GB"/>
              </w:rPr>
              <w:t>eppers, sweet (capsicum)).</w:t>
            </w:r>
          </w:p>
        </w:tc>
      </w:tr>
      <w:tr w:rsidR="002F47F6" w:rsidRPr="00F85DCF" w14:paraId="67690368" w14:textId="77777777" w:rsidTr="005C01CC">
        <w:tc>
          <w:tcPr>
            <w:tcW w:w="3545" w:type="dxa"/>
            <w:vAlign w:val="center"/>
          </w:tcPr>
          <w:p w14:paraId="7D889B42" w14:textId="3E9DC164" w:rsidR="002F47F6" w:rsidRPr="00F85DCF" w:rsidRDefault="002F47F6"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MRL</w:t>
            </w:r>
            <w:r w:rsidR="006A11B7" w:rsidRPr="00F85DCF">
              <w:rPr>
                <w:sz w:val="20"/>
                <w:szCs w:val="20"/>
                <w:lang w:val="en-GB"/>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7CB92FBB" w14:textId="4A2EFBDB" w:rsidR="002F47F6" w:rsidRPr="00F85DCF" w:rsidRDefault="00120CCF" w:rsidP="00CA7859">
            <w:pPr>
              <w:rPr>
                <w:sz w:val="20"/>
                <w:szCs w:val="20"/>
                <w:lang w:val="en-GB"/>
              </w:rPr>
            </w:pPr>
            <w:r w:rsidRPr="00F85DCF">
              <w:rPr>
                <w:sz w:val="20"/>
                <w:szCs w:val="20"/>
                <w:lang w:val="en-GB" w:eastAsia="en-AU"/>
              </w:rPr>
              <w:t>Methomyl</w:t>
            </w:r>
            <w:r w:rsidR="004F763E" w:rsidRPr="00F85DCF">
              <w:rPr>
                <w:sz w:val="20"/>
                <w:szCs w:val="20"/>
                <w:lang w:val="en-GB" w:eastAsia="en-AU"/>
              </w:rPr>
              <w:t xml:space="preserve"> and </w:t>
            </w:r>
            <w:r w:rsidR="004F763E" w:rsidRPr="00F85DCF">
              <w:rPr>
                <w:sz w:val="20"/>
                <w:szCs w:val="20"/>
                <w:lang w:val="en-GB"/>
              </w:rPr>
              <w:t>Thiodicarb</w:t>
            </w:r>
            <w:r w:rsidRPr="00F85DCF">
              <w:rPr>
                <w:sz w:val="20"/>
                <w:szCs w:val="20"/>
                <w:lang w:val="en-GB" w:eastAsia="en-AU"/>
              </w:rPr>
              <w:t xml:space="preserve">: </w:t>
            </w:r>
            <w:r w:rsidR="002F47F6" w:rsidRPr="00F85DCF">
              <w:rPr>
                <w:sz w:val="20"/>
                <w:szCs w:val="20"/>
                <w:lang w:val="en-GB" w:eastAsia="en-AU"/>
              </w:rPr>
              <w:t>0.05 mg/kg (</w:t>
            </w:r>
            <w:r w:rsidR="00703B35" w:rsidRPr="00F85DCF">
              <w:rPr>
                <w:sz w:val="20"/>
                <w:szCs w:val="20"/>
                <w:lang w:val="en-GB" w:eastAsia="en-AU"/>
              </w:rPr>
              <w:t>p</w:t>
            </w:r>
            <w:r w:rsidR="002F47F6" w:rsidRPr="00F85DCF">
              <w:rPr>
                <w:sz w:val="20"/>
                <w:szCs w:val="20"/>
                <w:lang w:val="en-GB" w:eastAsia="en-AU"/>
              </w:rPr>
              <w:t>lantago ovata seed)</w:t>
            </w:r>
          </w:p>
        </w:tc>
      </w:tr>
      <w:tr w:rsidR="002F47F6" w:rsidRPr="00F85DCF" w14:paraId="55374077" w14:textId="77777777" w:rsidTr="005C01CC">
        <w:tc>
          <w:tcPr>
            <w:tcW w:w="3545" w:type="dxa"/>
            <w:vAlign w:val="center"/>
          </w:tcPr>
          <w:p w14:paraId="42B48AF7" w14:textId="0780DA54" w:rsidR="002F47F6" w:rsidRPr="00F85DCF" w:rsidRDefault="002F47F6" w:rsidP="00CA7859">
            <w:pPr>
              <w:rPr>
                <w:sz w:val="20"/>
                <w:szCs w:val="20"/>
                <w:lang w:val="en-GB" w:eastAsia="en-AU"/>
              </w:rPr>
            </w:pPr>
            <w:r w:rsidRPr="00F85DCF">
              <w:rPr>
                <w:sz w:val="20"/>
                <w:szCs w:val="20"/>
                <w:lang w:val="en-GB" w:eastAsia="en-AU"/>
              </w:rPr>
              <w:t xml:space="preserve">Most relevant reference point to </w:t>
            </w:r>
            <w:r w:rsidR="009E29F4"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23440BEF" w14:textId="2184CE9B" w:rsidR="002F47F6" w:rsidRPr="00F85DCF" w:rsidRDefault="002F47F6" w:rsidP="00CA7859">
            <w:pPr>
              <w:rPr>
                <w:sz w:val="20"/>
                <w:szCs w:val="20"/>
                <w:lang w:val="en-GB"/>
              </w:rPr>
            </w:pPr>
            <w:r w:rsidRPr="00F85DCF">
              <w:rPr>
                <w:sz w:val="20"/>
                <w:szCs w:val="20"/>
                <w:lang w:val="en-GB" w:eastAsia="en-AU"/>
              </w:rPr>
              <w:t xml:space="preserve">Methomyl: 0.05 </w:t>
            </w:r>
            <w:r w:rsidRPr="00F85DCF">
              <w:rPr>
                <w:sz w:val="20"/>
                <w:szCs w:val="20"/>
                <w:lang w:val="en-GB"/>
              </w:rPr>
              <w:t>mg/kg (</w:t>
            </w:r>
            <w:r w:rsidR="00703B35" w:rsidRPr="00F85DCF">
              <w:rPr>
                <w:sz w:val="20"/>
                <w:szCs w:val="20"/>
                <w:lang w:val="en-GB" w:eastAsia="en-AU"/>
              </w:rPr>
              <w:t>d</w:t>
            </w:r>
            <w:r w:rsidRPr="00F85DCF">
              <w:rPr>
                <w:sz w:val="20"/>
                <w:szCs w:val="20"/>
                <w:lang w:val="en-GB" w:eastAsia="en-AU"/>
              </w:rPr>
              <w:t xml:space="preserve">ried grapes; </w:t>
            </w:r>
            <w:r w:rsidR="00703B35" w:rsidRPr="00F85DCF">
              <w:rPr>
                <w:sz w:val="20"/>
                <w:szCs w:val="20"/>
                <w:lang w:val="en-GB" w:eastAsia="en-AU"/>
              </w:rPr>
              <w:t>p</w:t>
            </w:r>
            <w:r w:rsidRPr="00F85DCF">
              <w:rPr>
                <w:sz w:val="20"/>
                <w:szCs w:val="20"/>
                <w:lang w:val="en-GB" w:eastAsia="en-AU"/>
              </w:rPr>
              <w:t xml:space="preserve">eanut; </w:t>
            </w:r>
            <w:r w:rsidR="00703B35" w:rsidRPr="00F85DCF">
              <w:rPr>
                <w:sz w:val="20"/>
                <w:szCs w:val="20"/>
                <w:lang w:val="en-GB" w:eastAsia="en-AU"/>
              </w:rPr>
              <w:t>p</w:t>
            </w:r>
            <w:r w:rsidRPr="00F85DCF">
              <w:rPr>
                <w:sz w:val="20"/>
                <w:szCs w:val="20"/>
                <w:lang w:val="en-GB" w:eastAsia="en-AU"/>
              </w:rPr>
              <w:t xml:space="preserve">lantago ovata seed; and </w:t>
            </w:r>
            <w:r w:rsidR="00703B35" w:rsidRPr="00F85DCF">
              <w:rPr>
                <w:sz w:val="20"/>
                <w:szCs w:val="20"/>
                <w:lang w:val="en-GB" w:eastAsia="en-AU"/>
              </w:rPr>
              <w:t>p</w:t>
            </w:r>
            <w:r w:rsidRPr="00F85DCF">
              <w:rPr>
                <w:sz w:val="20"/>
                <w:szCs w:val="20"/>
                <w:lang w:val="en-GB" w:eastAsia="en-AU"/>
              </w:rPr>
              <w:t>oppy seed</w:t>
            </w:r>
            <w:r w:rsidRPr="00F85DCF">
              <w:rPr>
                <w:sz w:val="20"/>
                <w:szCs w:val="20"/>
                <w:lang w:val="en-GB"/>
              </w:rPr>
              <w:t>)</w:t>
            </w:r>
          </w:p>
          <w:p w14:paraId="048AA060" w14:textId="639C0EF9" w:rsidR="002F47F6" w:rsidRPr="00F85DCF" w:rsidRDefault="002F47F6" w:rsidP="00CA7859">
            <w:pPr>
              <w:rPr>
                <w:sz w:val="20"/>
                <w:szCs w:val="20"/>
                <w:lang w:val="en-GB"/>
              </w:rPr>
            </w:pPr>
            <w:r w:rsidRPr="00F85DCF">
              <w:rPr>
                <w:sz w:val="20"/>
                <w:szCs w:val="20"/>
                <w:lang w:val="en-GB"/>
              </w:rPr>
              <w:t>Thiodicarb: 0.1 mg/kg (</w:t>
            </w:r>
            <w:r w:rsidR="00703B35" w:rsidRPr="00F85DCF">
              <w:rPr>
                <w:sz w:val="20"/>
                <w:szCs w:val="20"/>
                <w:lang w:val="en-GB"/>
              </w:rPr>
              <w:t>c</w:t>
            </w:r>
            <w:r w:rsidRPr="00F85DCF">
              <w:rPr>
                <w:sz w:val="20"/>
                <w:szCs w:val="20"/>
                <w:lang w:val="en-GB"/>
              </w:rPr>
              <w:t xml:space="preserve">otton seed; </w:t>
            </w:r>
            <w:r w:rsidR="00703B35" w:rsidRPr="00F85DCF">
              <w:rPr>
                <w:sz w:val="20"/>
                <w:szCs w:val="20"/>
                <w:lang w:val="en-GB"/>
              </w:rPr>
              <w:t>c</w:t>
            </w:r>
            <w:r w:rsidRPr="00F85DCF">
              <w:rPr>
                <w:sz w:val="20"/>
                <w:szCs w:val="20"/>
                <w:lang w:val="en-GB"/>
              </w:rPr>
              <w:t xml:space="preserve">otton seed oil, crude; </w:t>
            </w:r>
            <w:r w:rsidR="00703B35" w:rsidRPr="00F85DCF">
              <w:rPr>
                <w:sz w:val="20"/>
                <w:szCs w:val="20"/>
                <w:lang w:val="en-GB"/>
              </w:rPr>
              <w:t>m</w:t>
            </w:r>
            <w:r w:rsidRPr="00F85DCF">
              <w:rPr>
                <w:sz w:val="20"/>
                <w:szCs w:val="20"/>
                <w:lang w:val="en-GB"/>
              </w:rPr>
              <w:t xml:space="preserve">aize; </w:t>
            </w:r>
            <w:r w:rsidR="00703B35" w:rsidRPr="00F85DCF">
              <w:rPr>
                <w:sz w:val="20"/>
                <w:szCs w:val="20"/>
                <w:lang w:val="en-GB"/>
              </w:rPr>
              <w:t>p</w:t>
            </w:r>
            <w:r w:rsidRPr="00F85DCF">
              <w:rPr>
                <w:sz w:val="20"/>
                <w:szCs w:val="20"/>
                <w:lang w:val="en-GB"/>
              </w:rPr>
              <w:t xml:space="preserve">otato; </w:t>
            </w:r>
            <w:r w:rsidR="00703B35" w:rsidRPr="00F85DCF">
              <w:rPr>
                <w:sz w:val="20"/>
                <w:szCs w:val="20"/>
                <w:lang w:val="en-GB"/>
              </w:rPr>
              <w:t>p</w:t>
            </w:r>
            <w:r w:rsidRPr="00F85DCF">
              <w:rPr>
                <w:sz w:val="20"/>
                <w:szCs w:val="20"/>
                <w:lang w:val="en-GB"/>
              </w:rPr>
              <w:t xml:space="preserve">ulses; and </w:t>
            </w:r>
            <w:r w:rsidR="00703B35" w:rsidRPr="00F85DCF">
              <w:rPr>
                <w:sz w:val="20"/>
                <w:szCs w:val="20"/>
                <w:lang w:val="en-GB"/>
              </w:rPr>
              <w:t>s</w:t>
            </w:r>
            <w:r w:rsidRPr="00F85DCF">
              <w:rPr>
                <w:sz w:val="20"/>
                <w:szCs w:val="20"/>
                <w:lang w:val="en-GB"/>
              </w:rPr>
              <w:t>weet corn (corn-on-the-cob))</w:t>
            </w:r>
          </w:p>
        </w:tc>
      </w:tr>
      <w:tr w:rsidR="002F47F6" w:rsidRPr="00F85DCF" w14:paraId="6423E6BB" w14:textId="77777777" w:rsidTr="005C01CC">
        <w:tc>
          <w:tcPr>
            <w:tcW w:w="3545" w:type="dxa"/>
            <w:vAlign w:val="center"/>
          </w:tcPr>
          <w:p w14:paraId="43B0FAE9" w14:textId="77777777" w:rsidR="002F47F6" w:rsidRPr="00F85DCF" w:rsidRDefault="002F47F6"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0C1D55DA" w14:textId="5717F7EB" w:rsidR="00B37525" w:rsidRPr="00F85DCF" w:rsidRDefault="002F47F6" w:rsidP="00CA7859">
            <w:pPr>
              <w:rPr>
                <w:sz w:val="20"/>
                <w:szCs w:val="20"/>
                <w:lang w:val="en-GB" w:eastAsia="en-AU"/>
              </w:rPr>
            </w:pPr>
            <w:r w:rsidRPr="00F85DCF">
              <w:rPr>
                <w:sz w:val="20"/>
                <w:szCs w:val="20"/>
                <w:lang w:val="en-GB" w:eastAsia="en-AU"/>
              </w:rPr>
              <w:t>Methomyl</w:t>
            </w:r>
            <w:r w:rsidR="00B37525" w:rsidRPr="00F85DCF">
              <w:rPr>
                <w:sz w:val="20"/>
                <w:szCs w:val="20"/>
                <w:lang w:val="en-GB" w:eastAsia="en-AU"/>
              </w:rPr>
              <w:t>:</w:t>
            </w:r>
            <w:r w:rsidRPr="00F85DCF">
              <w:rPr>
                <w:sz w:val="20"/>
                <w:szCs w:val="20"/>
                <w:lang w:val="en-GB" w:eastAsia="en-AU"/>
              </w:rPr>
              <w:t xml:space="preserve"> 16% of the ADI</w:t>
            </w:r>
            <w:r w:rsidR="00B37525" w:rsidRPr="00F85DCF">
              <w:rPr>
                <w:sz w:val="20"/>
                <w:szCs w:val="20"/>
                <w:lang w:val="en-GB" w:eastAsia="en-AU"/>
              </w:rPr>
              <w:t>.</w:t>
            </w:r>
          </w:p>
          <w:p w14:paraId="3D14C538" w14:textId="7CA9E95A" w:rsidR="00B37525" w:rsidRPr="00F85DCF" w:rsidRDefault="002F47F6" w:rsidP="00CA7859">
            <w:pPr>
              <w:rPr>
                <w:sz w:val="20"/>
                <w:szCs w:val="20"/>
                <w:lang w:val="en-GB"/>
              </w:rPr>
            </w:pPr>
            <w:r w:rsidRPr="00F85DCF">
              <w:rPr>
                <w:sz w:val="20"/>
                <w:szCs w:val="20"/>
                <w:lang w:val="en-GB" w:eastAsia="en-AU"/>
              </w:rPr>
              <w:t>Thiodicarb</w:t>
            </w:r>
            <w:r w:rsidR="00B37525" w:rsidRPr="00F85DCF">
              <w:rPr>
                <w:sz w:val="20"/>
                <w:szCs w:val="20"/>
                <w:lang w:val="en-GB" w:eastAsia="en-AU"/>
              </w:rPr>
              <w:t>:</w:t>
            </w:r>
            <w:r w:rsidRPr="00F85DCF">
              <w:rPr>
                <w:sz w:val="20"/>
                <w:szCs w:val="20"/>
                <w:lang w:val="en-GB" w:eastAsia="en-AU"/>
              </w:rPr>
              <w:t xml:space="preserve"> 21</w:t>
            </w:r>
            <w:r w:rsidRPr="00F85DCF">
              <w:rPr>
                <w:sz w:val="20"/>
                <w:szCs w:val="20"/>
                <w:lang w:val="en-GB"/>
              </w:rPr>
              <w:t xml:space="preserve">% of the ADI. </w:t>
            </w:r>
          </w:p>
          <w:p w14:paraId="779682C6" w14:textId="7BE17DEB" w:rsidR="002F47F6" w:rsidRPr="00F85DCF" w:rsidRDefault="002F47F6" w:rsidP="00CA7859">
            <w:pPr>
              <w:rPr>
                <w:sz w:val="20"/>
                <w:szCs w:val="20"/>
                <w:lang w:val="en-GB"/>
              </w:rPr>
            </w:pPr>
            <w:r w:rsidRPr="00F85DCF">
              <w:rPr>
                <w:sz w:val="20"/>
                <w:szCs w:val="20"/>
                <w:lang w:val="en-GB"/>
              </w:rPr>
              <w:t xml:space="preserve">The </w:t>
            </w:r>
            <w:r w:rsidR="008243E7" w:rsidRPr="00F85DCF">
              <w:rPr>
                <w:sz w:val="20"/>
                <w:szCs w:val="20"/>
                <w:lang w:val="en-GB"/>
              </w:rPr>
              <w:t xml:space="preserve">combined </w:t>
            </w:r>
            <w:r w:rsidRPr="00F85DCF">
              <w:rPr>
                <w:sz w:val="20"/>
                <w:szCs w:val="20"/>
                <w:lang w:val="en-GB"/>
              </w:rPr>
              <w:t xml:space="preserve">exposures </w:t>
            </w:r>
            <w:r w:rsidR="006424EC" w:rsidRPr="00F85DCF">
              <w:rPr>
                <w:sz w:val="20"/>
                <w:szCs w:val="20"/>
                <w:lang w:val="en-GB"/>
              </w:rPr>
              <w:t xml:space="preserve">resulted in </w:t>
            </w:r>
            <w:r w:rsidRPr="00F85DCF">
              <w:rPr>
                <w:sz w:val="20"/>
                <w:szCs w:val="20"/>
                <w:lang w:val="en-GB"/>
              </w:rPr>
              <w:t>a</w:t>
            </w:r>
            <w:r w:rsidR="008243E7" w:rsidRPr="00F85DCF">
              <w:rPr>
                <w:sz w:val="20"/>
                <w:szCs w:val="20"/>
                <w:lang w:val="en-GB"/>
              </w:rPr>
              <w:t xml:space="preserve">n estimated </w:t>
            </w:r>
            <w:r w:rsidRPr="00F85DCF">
              <w:rPr>
                <w:sz w:val="20"/>
                <w:szCs w:val="20"/>
                <w:lang w:val="en-GB"/>
              </w:rPr>
              <w:t xml:space="preserve">total dietary exposure of 37% of the ADI for Methomyl. </w:t>
            </w:r>
          </w:p>
        </w:tc>
      </w:tr>
      <w:tr w:rsidR="002F47F6" w:rsidRPr="00F85DCF" w14:paraId="10CDE99D" w14:textId="77777777" w:rsidTr="005C01CC">
        <w:tc>
          <w:tcPr>
            <w:tcW w:w="3545" w:type="dxa"/>
            <w:vAlign w:val="center"/>
          </w:tcPr>
          <w:p w14:paraId="50577710" w14:textId="76CA12F4" w:rsidR="002F47F6" w:rsidRPr="00F85DCF" w:rsidRDefault="002F47F6" w:rsidP="005B01A1">
            <w:pPr>
              <w:rPr>
                <w:sz w:val="20"/>
                <w:szCs w:val="20"/>
                <w:lang w:val="en-GB"/>
              </w:rPr>
            </w:pPr>
            <w:r w:rsidRPr="00F85DCF">
              <w:rPr>
                <w:sz w:val="20"/>
                <w:szCs w:val="20"/>
                <w:lang w:val="en-GB"/>
              </w:rPr>
              <w:t xml:space="preserve">Proposed </w:t>
            </w:r>
            <w:r w:rsidR="005B01A1" w:rsidRPr="00F85DCF">
              <w:rPr>
                <w:i/>
                <w:sz w:val="20"/>
                <w:szCs w:val="20"/>
                <w:lang w:val="en-GB"/>
              </w:rPr>
              <w:t>A</w:t>
            </w:r>
            <w:r w:rsidR="00FF46C0"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467F8691" w14:textId="7FB153FB" w:rsidR="002F47F6" w:rsidRPr="00F85DCF" w:rsidRDefault="002F47F6" w:rsidP="00CA7859">
            <w:pPr>
              <w:rPr>
                <w:sz w:val="20"/>
                <w:szCs w:val="20"/>
                <w:lang w:val="en-GB"/>
              </w:rPr>
            </w:pPr>
            <w:r w:rsidRPr="00F85DCF">
              <w:rPr>
                <w:sz w:val="20"/>
                <w:szCs w:val="20"/>
                <w:lang w:val="en-GB"/>
              </w:rPr>
              <w:t xml:space="preserve">Methomyl MRL of 0.05 mg/kg for </w:t>
            </w:r>
            <w:r w:rsidR="007C6276" w:rsidRPr="00F85DCF">
              <w:rPr>
                <w:i/>
                <w:sz w:val="20"/>
                <w:szCs w:val="20"/>
                <w:lang w:val="en-GB"/>
              </w:rPr>
              <w:t>A</w:t>
            </w:r>
            <w:r w:rsidR="00FF46C0"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w:t>
            </w:r>
          </w:p>
          <w:p w14:paraId="255A35C7" w14:textId="4B8130B6" w:rsidR="002F47F6" w:rsidRPr="00F85DCF" w:rsidRDefault="002F47F6" w:rsidP="007C6276">
            <w:pPr>
              <w:rPr>
                <w:sz w:val="20"/>
                <w:szCs w:val="20"/>
                <w:lang w:val="en-GB"/>
              </w:rPr>
            </w:pPr>
            <w:r w:rsidRPr="00F85DCF">
              <w:rPr>
                <w:sz w:val="20"/>
                <w:szCs w:val="20"/>
                <w:lang w:val="en-GB"/>
              </w:rPr>
              <w:t xml:space="preserve">Thiodicarb MRL of 0.1 mg/kg for </w:t>
            </w:r>
            <w:r w:rsidR="007C6276"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00FF46C0" w:rsidRPr="00F85DCF">
              <w:rPr>
                <w:i/>
                <w:sz w:val="20"/>
                <w:szCs w:val="20"/>
                <w:lang w:val="en-GB" w:eastAsia="en-AU"/>
              </w:rPr>
              <w:t xml:space="preserve"> </w:t>
            </w:r>
          </w:p>
        </w:tc>
      </w:tr>
      <w:tr w:rsidR="002F47F6" w:rsidRPr="00F85DCF" w14:paraId="110C4F55" w14:textId="77777777" w:rsidTr="005C01CC">
        <w:tc>
          <w:tcPr>
            <w:tcW w:w="3545" w:type="dxa"/>
            <w:vAlign w:val="center"/>
          </w:tcPr>
          <w:p w14:paraId="20F39380" w14:textId="764E9936" w:rsidR="002F47F6" w:rsidRPr="00F85DCF" w:rsidRDefault="002F47F6" w:rsidP="005B01A1">
            <w:pPr>
              <w:rPr>
                <w:sz w:val="20"/>
                <w:szCs w:val="20"/>
                <w:lang w:val="en-GB"/>
              </w:rPr>
            </w:pPr>
            <w:r w:rsidRPr="00F85DCF">
              <w:rPr>
                <w:sz w:val="20"/>
                <w:szCs w:val="20"/>
                <w:lang w:val="en-GB" w:eastAsia="en-AU"/>
              </w:rPr>
              <w:t xml:space="preserve">NEDI including </w:t>
            </w:r>
            <w:r w:rsidR="005B01A1"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3B6E49A7" w14:textId="47BA3EC1" w:rsidR="002F47F6" w:rsidRPr="00F85DCF" w:rsidRDefault="00B37525" w:rsidP="003E6FA8">
            <w:pPr>
              <w:rPr>
                <w:sz w:val="20"/>
                <w:szCs w:val="20"/>
                <w:lang w:val="en-GB"/>
              </w:rPr>
            </w:pPr>
            <w:r w:rsidRPr="00F85DCF">
              <w:rPr>
                <w:sz w:val="20"/>
                <w:szCs w:val="20"/>
                <w:lang w:val="en-GB" w:eastAsia="en-AU"/>
              </w:rPr>
              <w:t>Methomyl</w:t>
            </w:r>
            <w:r w:rsidR="00657CD4" w:rsidRPr="00F85DCF">
              <w:rPr>
                <w:sz w:val="20"/>
                <w:szCs w:val="20"/>
                <w:lang w:val="en-GB" w:eastAsia="en-AU"/>
              </w:rPr>
              <w:t xml:space="preserve"> and Thiodicarb</w:t>
            </w:r>
            <w:r w:rsidRPr="00F85DCF">
              <w:rPr>
                <w:sz w:val="20"/>
                <w:szCs w:val="20"/>
                <w:lang w:val="en-GB" w:eastAsia="en-AU"/>
              </w:rPr>
              <w:t>:</w:t>
            </w:r>
            <w:r w:rsidR="002F47F6" w:rsidRPr="00F85DCF">
              <w:rPr>
                <w:sz w:val="20"/>
                <w:szCs w:val="20"/>
                <w:lang w:val="en-GB" w:eastAsia="en-AU"/>
              </w:rPr>
              <w:t xml:space="preserve"> </w:t>
            </w:r>
            <w:r w:rsidR="00657CD4" w:rsidRPr="00F85DCF">
              <w:rPr>
                <w:sz w:val="20"/>
                <w:szCs w:val="20"/>
                <w:lang w:val="en-GB" w:eastAsia="en-AU"/>
              </w:rPr>
              <w:t>51</w:t>
            </w:r>
            <w:r w:rsidR="002F47F6" w:rsidRPr="00F85DCF">
              <w:rPr>
                <w:sz w:val="20"/>
                <w:szCs w:val="20"/>
                <w:lang w:val="en-GB" w:eastAsia="en-AU"/>
              </w:rPr>
              <w:t>% of the ADI</w:t>
            </w:r>
            <w:r w:rsidR="00694DC9" w:rsidRPr="00F85DCF">
              <w:rPr>
                <w:sz w:val="20"/>
                <w:szCs w:val="20"/>
                <w:lang w:val="en-GB" w:eastAsia="en-AU"/>
              </w:rPr>
              <w:t xml:space="preserve"> (overestimate of dietary exposure as this includes both </w:t>
            </w:r>
            <w:r w:rsidR="00A05E5D" w:rsidRPr="00F85DCF">
              <w:rPr>
                <w:sz w:val="20"/>
                <w:szCs w:val="20"/>
                <w:lang w:val="en-GB" w:eastAsia="en-AU"/>
              </w:rPr>
              <w:t xml:space="preserve">agvet </w:t>
            </w:r>
            <w:r w:rsidR="00694DC9" w:rsidRPr="00F85DCF">
              <w:rPr>
                <w:sz w:val="20"/>
                <w:szCs w:val="20"/>
                <w:lang w:val="en-GB" w:eastAsia="en-AU"/>
              </w:rPr>
              <w:t xml:space="preserve">chemicals in </w:t>
            </w:r>
            <w:r w:rsidR="003E6FA8" w:rsidRPr="00F85DCF">
              <w:rPr>
                <w:i/>
                <w:sz w:val="20"/>
                <w:szCs w:val="20"/>
                <w:lang w:val="en-GB" w:eastAsia="en-AU"/>
              </w:rPr>
              <w:t xml:space="preserve">All other foods except animal </w:t>
            </w:r>
            <w:r w:rsidR="006C226A">
              <w:rPr>
                <w:i/>
                <w:sz w:val="20"/>
                <w:szCs w:val="20"/>
                <w:lang w:val="en-GB" w:eastAsia="en-AU"/>
              </w:rPr>
              <w:t xml:space="preserve">food </w:t>
            </w:r>
            <w:r w:rsidR="003E6FA8" w:rsidRPr="00F85DCF">
              <w:rPr>
                <w:i/>
                <w:sz w:val="20"/>
                <w:szCs w:val="20"/>
                <w:lang w:val="en-GB" w:eastAsia="en-AU"/>
              </w:rPr>
              <w:t>commodities</w:t>
            </w:r>
            <w:r w:rsidR="00694DC9" w:rsidRPr="00F85DCF">
              <w:rPr>
                <w:sz w:val="20"/>
                <w:szCs w:val="20"/>
                <w:lang w:val="en-GB" w:eastAsia="en-AU"/>
              </w:rPr>
              <w:t xml:space="preserve"> at the respective MRLs (i.e. 0.05 and 0.1 mg/kg)) </w:t>
            </w:r>
          </w:p>
        </w:tc>
      </w:tr>
      <w:tr w:rsidR="002F47F6" w:rsidRPr="00F85DCF" w14:paraId="4CA20B1F" w14:textId="77777777" w:rsidTr="005C01CC">
        <w:tc>
          <w:tcPr>
            <w:tcW w:w="3545" w:type="dxa"/>
            <w:vAlign w:val="center"/>
          </w:tcPr>
          <w:p w14:paraId="204C242E" w14:textId="737BEBCA" w:rsidR="002F47F6" w:rsidRPr="00F85DCF" w:rsidRDefault="00E46481" w:rsidP="00707922">
            <w:pPr>
              <w:rPr>
                <w:sz w:val="20"/>
                <w:szCs w:val="20"/>
                <w:lang w:val="en-GB" w:eastAsia="en-AU"/>
              </w:rPr>
            </w:pPr>
            <w:r w:rsidRPr="00F85DCF">
              <w:rPr>
                <w:sz w:val="20"/>
                <w:szCs w:val="20"/>
                <w:lang w:val="en-GB" w:eastAsia="en-AU"/>
              </w:rPr>
              <w:t xml:space="preserve">Percentage contribution of </w:t>
            </w:r>
            <w:r w:rsidR="005B01A1"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except animal</w:t>
            </w:r>
            <w:r w:rsidR="00707922">
              <w:rPr>
                <w:i/>
                <w:sz w:val="20"/>
                <w:szCs w:val="20"/>
                <w:lang w:val="en-GB" w:eastAsia="en-AU"/>
              </w:rPr>
              <w:t xml:space="preserve"> </w:t>
            </w:r>
            <w:r w:rsidR="00707922" w:rsidRPr="00707922">
              <w:rPr>
                <w:i/>
                <w:sz w:val="20"/>
                <w:szCs w:val="20"/>
                <w:lang w:val="en-GB" w:eastAsia="en-AU"/>
              </w:rPr>
              <w:t>food</w:t>
            </w:r>
            <w:r w:rsidR="0003601D" w:rsidRPr="00F85DCF">
              <w:rPr>
                <w:i/>
                <w:sz w:val="20"/>
                <w:szCs w:val="20"/>
                <w:lang w:val="en-GB" w:eastAsia="en-AU"/>
              </w:rPr>
              <w:t xml:space="preserve"> commodities</w:t>
            </w:r>
            <w:r w:rsidRPr="00F85DCF">
              <w:rPr>
                <w:sz w:val="20"/>
                <w:szCs w:val="20"/>
                <w:lang w:val="en-GB" w:eastAsia="en-AU"/>
              </w:rPr>
              <w:t xml:space="preserve"> to total </w:t>
            </w:r>
            <w:r w:rsidR="006424EC"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2414CA4F" w14:textId="673B13EC" w:rsidR="002F47F6" w:rsidRPr="00F85DCF" w:rsidRDefault="002F47F6" w:rsidP="002C2143">
            <w:pPr>
              <w:rPr>
                <w:sz w:val="20"/>
                <w:szCs w:val="20"/>
                <w:lang w:val="en-GB" w:eastAsia="en-AU"/>
              </w:rPr>
            </w:pPr>
            <w:r w:rsidRPr="00F85DCF">
              <w:rPr>
                <w:sz w:val="20"/>
                <w:szCs w:val="20"/>
                <w:lang w:val="en-GB" w:eastAsia="en-AU"/>
              </w:rPr>
              <w:t xml:space="preserve">An </w:t>
            </w:r>
            <w:r w:rsidR="005B01A1"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0.05 mg/kg for Methomyl </w:t>
            </w:r>
            <w:r w:rsidR="00C7006B" w:rsidRPr="00F85DCF">
              <w:rPr>
                <w:sz w:val="20"/>
                <w:szCs w:val="20"/>
                <w:lang w:val="en-GB" w:eastAsia="en-AU"/>
              </w:rPr>
              <w:t xml:space="preserve">represents </w:t>
            </w:r>
            <w:r w:rsidR="006424EC" w:rsidRPr="00F85DCF">
              <w:rPr>
                <w:sz w:val="20"/>
                <w:szCs w:val="20"/>
                <w:lang w:val="en-GB" w:eastAsia="en-AU"/>
              </w:rPr>
              <w:t>a contribution of</w:t>
            </w:r>
            <w:r w:rsidR="00177651" w:rsidRPr="00F85DCF">
              <w:rPr>
                <w:sz w:val="20"/>
                <w:szCs w:val="20"/>
                <w:lang w:val="en-GB" w:eastAsia="en-AU"/>
              </w:rPr>
              <w:t xml:space="preserve"> </w:t>
            </w:r>
            <w:r w:rsidR="00FF139F" w:rsidRPr="00F85DCF">
              <w:rPr>
                <w:sz w:val="20"/>
                <w:szCs w:val="20"/>
                <w:lang w:val="en-GB" w:eastAsia="en-AU"/>
              </w:rPr>
              <w:t>12</w:t>
            </w:r>
            <w:r w:rsidRPr="00F85DCF">
              <w:rPr>
                <w:sz w:val="20"/>
                <w:szCs w:val="20"/>
                <w:lang w:val="en-GB" w:eastAsia="en-AU"/>
              </w:rPr>
              <w:t xml:space="preserve">% </w:t>
            </w:r>
            <w:r w:rsidR="006424EC" w:rsidRPr="00F85DCF">
              <w:rPr>
                <w:sz w:val="20"/>
                <w:szCs w:val="20"/>
                <w:lang w:val="en-GB" w:eastAsia="en-AU"/>
              </w:rPr>
              <w:t>to</w:t>
            </w:r>
            <w:r w:rsidRPr="00F85DCF">
              <w:rPr>
                <w:sz w:val="20"/>
                <w:szCs w:val="20"/>
                <w:lang w:val="en-GB" w:eastAsia="en-AU"/>
              </w:rPr>
              <w:t xml:space="preserve"> total dietary exposure</w:t>
            </w:r>
            <w:r w:rsidR="00EB0FE6" w:rsidRPr="00F85DCF">
              <w:rPr>
                <w:sz w:val="20"/>
                <w:szCs w:val="20"/>
                <w:lang w:val="en-GB" w:eastAsia="en-AU"/>
              </w:rPr>
              <w:t>.</w:t>
            </w:r>
            <w:r w:rsidRPr="00F85DCF">
              <w:rPr>
                <w:sz w:val="20"/>
                <w:szCs w:val="20"/>
                <w:lang w:val="en-GB" w:eastAsia="en-AU"/>
              </w:rPr>
              <w:t xml:space="preserve"> </w:t>
            </w:r>
            <w:r w:rsidR="00EB0FE6" w:rsidRPr="00F85DCF">
              <w:rPr>
                <w:sz w:val="20"/>
                <w:szCs w:val="20"/>
                <w:lang w:val="en-GB" w:eastAsia="en-AU"/>
              </w:rPr>
              <w:t>A</w:t>
            </w:r>
            <w:r w:rsidRPr="00F85DCF">
              <w:rPr>
                <w:sz w:val="20"/>
                <w:szCs w:val="20"/>
                <w:lang w:val="en-GB" w:eastAsia="en-AU"/>
              </w:rPr>
              <w:t xml:space="preserve">n </w:t>
            </w:r>
            <w:r w:rsidR="005B01A1"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w:t>
            </w:r>
            <w:r w:rsidR="006424EC" w:rsidRPr="00F85DCF">
              <w:rPr>
                <w:sz w:val="20"/>
                <w:szCs w:val="20"/>
                <w:lang w:val="en-GB" w:eastAsia="en-AU"/>
              </w:rPr>
              <w:t>MRL of 0.1 </w:t>
            </w:r>
            <w:r w:rsidRPr="00F85DCF">
              <w:rPr>
                <w:sz w:val="20"/>
                <w:szCs w:val="20"/>
                <w:lang w:val="en-GB" w:eastAsia="en-AU"/>
              </w:rPr>
              <w:t xml:space="preserve">mg/kg </w:t>
            </w:r>
            <w:r w:rsidR="00C7006B" w:rsidRPr="00F85DCF">
              <w:rPr>
                <w:sz w:val="20"/>
                <w:szCs w:val="20"/>
                <w:lang w:val="en-GB" w:eastAsia="en-AU"/>
              </w:rPr>
              <w:t xml:space="preserve">is </w:t>
            </w:r>
            <w:r w:rsidRPr="00F85DCF">
              <w:rPr>
                <w:sz w:val="20"/>
                <w:szCs w:val="20"/>
                <w:lang w:val="en-GB" w:eastAsia="en-AU"/>
              </w:rPr>
              <w:t xml:space="preserve">used for estimating Methomyl </w:t>
            </w:r>
            <w:r w:rsidR="00177651" w:rsidRPr="00F85DCF">
              <w:rPr>
                <w:sz w:val="20"/>
                <w:szCs w:val="20"/>
                <w:lang w:val="en-GB" w:eastAsia="en-AU"/>
              </w:rPr>
              <w:t xml:space="preserve">assuming </w:t>
            </w:r>
            <w:r w:rsidRPr="00F85DCF">
              <w:rPr>
                <w:sz w:val="20"/>
                <w:szCs w:val="20"/>
                <w:lang w:val="en-GB" w:eastAsia="en-AU"/>
              </w:rPr>
              <w:t xml:space="preserve">the use </w:t>
            </w:r>
            <w:r w:rsidR="00C7006B" w:rsidRPr="00F85DCF">
              <w:rPr>
                <w:sz w:val="20"/>
                <w:szCs w:val="20"/>
                <w:lang w:val="en-GB" w:eastAsia="en-AU"/>
              </w:rPr>
              <w:t xml:space="preserve">is </w:t>
            </w:r>
            <w:r w:rsidRPr="00F85DCF">
              <w:rPr>
                <w:sz w:val="20"/>
                <w:szCs w:val="20"/>
                <w:lang w:val="en-GB" w:eastAsia="en-AU"/>
              </w:rPr>
              <w:t xml:space="preserve">all from Thiodicarb. This </w:t>
            </w:r>
            <w:r w:rsidR="00C7006B" w:rsidRPr="00F85DCF">
              <w:rPr>
                <w:sz w:val="20"/>
                <w:szCs w:val="20"/>
                <w:lang w:val="en-GB" w:eastAsia="en-AU"/>
              </w:rPr>
              <w:t xml:space="preserve">represents </w:t>
            </w:r>
            <w:r w:rsidR="006424EC" w:rsidRPr="00F85DCF">
              <w:rPr>
                <w:sz w:val="20"/>
                <w:szCs w:val="20"/>
                <w:lang w:val="en-GB" w:eastAsia="en-AU"/>
              </w:rPr>
              <w:t xml:space="preserve">a contribution of </w:t>
            </w:r>
            <w:r w:rsidRPr="00F85DCF">
              <w:rPr>
                <w:sz w:val="20"/>
                <w:szCs w:val="20"/>
                <w:lang w:val="en-GB" w:eastAsia="en-AU"/>
              </w:rPr>
              <w:t>2</w:t>
            </w:r>
            <w:r w:rsidR="00694DC9" w:rsidRPr="00F85DCF">
              <w:rPr>
                <w:sz w:val="20"/>
                <w:szCs w:val="20"/>
                <w:lang w:val="en-GB" w:eastAsia="en-AU"/>
              </w:rPr>
              <w:t>2</w:t>
            </w:r>
            <w:r w:rsidRPr="00F85DCF">
              <w:rPr>
                <w:sz w:val="20"/>
                <w:szCs w:val="20"/>
                <w:lang w:val="en-GB" w:eastAsia="en-AU"/>
              </w:rPr>
              <w:t xml:space="preserve">% </w:t>
            </w:r>
            <w:r w:rsidR="00177651" w:rsidRPr="00F85DCF">
              <w:rPr>
                <w:sz w:val="20"/>
                <w:szCs w:val="20"/>
                <w:lang w:val="en-GB" w:eastAsia="en-AU"/>
              </w:rPr>
              <w:t>to</w:t>
            </w:r>
            <w:r w:rsidRPr="00F85DCF">
              <w:rPr>
                <w:sz w:val="20"/>
                <w:szCs w:val="20"/>
                <w:lang w:val="en-GB" w:eastAsia="en-AU"/>
              </w:rPr>
              <w:t xml:space="preserve"> total dietary exposure. Although slightly above the 20% target, considering the total dietary exposure for Methomyl is currently 37% of the </w:t>
            </w:r>
            <w:r w:rsidR="006424EC" w:rsidRPr="00F85DCF">
              <w:rPr>
                <w:sz w:val="20"/>
                <w:szCs w:val="20"/>
                <w:lang w:val="en-GB" w:eastAsia="en-AU"/>
              </w:rPr>
              <w:t>ADI</w:t>
            </w:r>
            <w:r w:rsidR="00177651" w:rsidRPr="00F85DCF">
              <w:rPr>
                <w:sz w:val="20"/>
                <w:szCs w:val="20"/>
                <w:lang w:val="en-GB" w:eastAsia="en-AU"/>
              </w:rPr>
              <w:t xml:space="preserve"> and the fact that it is considered unlikely that bo</w:t>
            </w:r>
            <w:r w:rsidR="00703B35" w:rsidRPr="00F85DCF">
              <w:rPr>
                <w:sz w:val="20"/>
                <w:szCs w:val="20"/>
                <w:lang w:val="en-GB" w:eastAsia="en-AU"/>
              </w:rPr>
              <w:t>t</w:t>
            </w:r>
            <w:r w:rsidR="00177651" w:rsidRPr="00F85DCF">
              <w:rPr>
                <w:sz w:val="20"/>
                <w:szCs w:val="20"/>
                <w:lang w:val="en-GB" w:eastAsia="en-AU"/>
              </w:rPr>
              <w:t xml:space="preserve">h </w:t>
            </w:r>
            <w:r w:rsidR="007F594F" w:rsidRPr="00F85DCF">
              <w:rPr>
                <w:sz w:val="20"/>
                <w:szCs w:val="20"/>
                <w:lang w:val="en-GB" w:eastAsia="en-AU"/>
              </w:rPr>
              <w:t xml:space="preserve">agvet </w:t>
            </w:r>
            <w:r w:rsidR="00177651" w:rsidRPr="00F85DCF">
              <w:rPr>
                <w:sz w:val="20"/>
                <w:szCs w:val="20"/>
                <w:lang w:val="en-GB" w:eastAsia="en-AU"/>
              </w:rPr>
              <w:t xml:space="preserve">chemicals would be used on the same commodity, </w:t>
            </w:r>
            <w:r w:rsidRPr="00F85DCF">
              <w:rPr>
                <w:sz w:val="20"/>
                <w:szCs w:val="20"/>
                <w:lang w:val="en-GB" w:eastAsia="en-AU"/>
              </w:rPr>
              <w:t xml:space="preserve">the proposed </w:t>
            </w:r>
            <w:r w:rsidR="002C2143"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0.05 mg/kg for Methomyl and the </w:t>
            </w:r>
            <w:r w:rsidR="003E6FA8" w:rsidRPr="00F85DCF">
              <w:rPr>
                <w:i/>
                <w:sz w:val="20"/>
                <w:szCs w:val="20"/>
                <w:lang w:val="en-GB" w:eastAsia="en-AU"/>
              </w:rPr>
              <w:t>A</w:t>
            </w:r>
            <w:r w:rsidR="00FF46C0"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for Thiodicarb are considered acceptable.</w:t>
            </w:r>
          </w:p>
        </w:tc>
      </w:tr>
      <w:tr w:rsidR="006424EC" w:rsidRPr="00F85DCF" w14:paraId="0320ECD4" w14:textId="77777777" w:rsidTr="005C01CC">
        <w:tc>
          <w:tcPr>
            <w:tcW w:w="3545" w:type="dxa"/>
            <w:vMerge w:val="restart"/>
            <w:vAlign w:val="center"/>
          </w:tcPr>
          <w:p w14:paraId="44C5CA64" w14:textId="77777777" w:rsidR="006424EC" w:rsidRPr="00F85DCF" w:rsidRDefault="006424EC" w:rsidP="00CA7859">
            <w:pPr>
              <w:rPr>
                <w:sz w:val="20"/>
                <w:szCs w:val="20"/>
                <w:lang w:val="en-GB" w:eastAsia="en-AU"/>
              </w:rPr>
            </w:pPr>
            <w:r w:rsidRPr="00F85DCF">
              <w:rPr>
                <w:sz w:val="20"/>
                <w:szCs w:val="20"/>
                <w:lang w:val="en-GB" w:eastAsia="en-AU"/>
              </w:rPr>
              <w:t>Acute dietary exposure assessment (NESTI)</w:t>
            </w:r>
          </w:p>
          <w:p w14:paraId="73AAAFD4" w14:textId="2CDE7A0E" w:rsidR="006424EC" w:rsidRPr="00F85DCF" w:rsidRDefault="006424EC" w:rsidP="00CA7859">
            <w:pPr>
              <w:rPr>
                <w:sz w:val="20"/>
                <w:szCs w:val="20"/>
                <w:lang w:val="en-GB" w:eastAsia="en-AU"/>
              </w:rPr>
            </w:pPr>
          </w:p>
        </w:tc>
        <w:tc>
          <w:tcPr>
            <w:tcW w:w="6520" w:type="dxa"/>
            <w:vAlign w:val="center"/>
          </w:tcPr>
          <w:p w14:paraId="76284D0D" w14:textId="1C7663E9" w:rsidR="006424EC" w:rsidRPr="00F85DCF" w:rsidRDefault="006424EC" w:rsidP="00CA7859">
            <w:pPr>
              <w:rPr>
                <w:sz w:val="20"/>
                <w:szCs w:val="20"/>
                <w:lang w:val="en-GB"/>
              </w:rPr>
            </w:pPr>
            <w:r w:rsidRPr="00F85DCF">
              <w:rPr>
                <w:sz w:val="20"/>
                <w:szCs w:val="20"/>
                <w:lang w:val="en-GB" w:eastAsia="en-AU"/>
              </w:rPr>
              <w:t xml:space="preserve">Methomyl and Thiodicarb: Children 2-6 years of age (worse case - pineapples), 25% of the ARfD </w:t>
            </w:r>
          </w:p>
        </w:tc>
      </w:tr>
      <w:tr w:rsidR="006424EC" w:rsidRPr="00F85DCF" w14:paraId="4533AA57" w14:textId="77777777" w:rsidTr="005C01CC">
        <w:tc>
          <w:tcPr>
            <w:tcW w:w="3545" w:type="dxa"/>
            <w:vMerge/>
            <w:vAlign w:val="center"/>
          </w:tcPr>
          <w:p w14:paraId="7B5ED3FA" w14:textId="602C6E11" w:rsidR="006424EC" w:rsidRPr="00F85DCF" w:rsidRDefault="006424EC" w:rsidP="00CA7859">
            <w:pPr>
              <w:rPr>
                <w:sz w:val="20"/>
                <w:szCs w:val="20"/>
                <w:lang w:val="en-GB" w:eastAsia="en-AU"/>
              </w:rPr>
            </w:pPr>
          </w:p>
        </w:tc>
        <w:tc>
          <w:tcPr>
            <w:tcW w:w="6520" w:type="dxa"/>
            <w:vAlign w:val="center"/>
          </w:tcPr>
          <w:p w14:paraId="7FF716D3" w14:textId="667CAA44" w:rsidR="006424EC" w:rsidRPr="00F85DCF" w:rsidRDefault="006424EC" w:rsidP="00CA7859">
            <w:pPr>
              <w:rPr>
                <w:sz w:val="20"/>
                <w:szCs w:val="20"/>
                <w:lang w:val="en-GB"/>
              </w:rPr>
            </w:pPr>
            <w:r w:rsidRPr="00F85DCF">
              <w:rPr>
                <w:sz w:val="20"/>
                <w:szCs w:val="20"/>
                <w:lang w:val="en-GB" w:eastAsia="en-AU"/>
              </w:rPr>
              <w:t>Methomyl and Thiodicarb: Population aged 2 years and above (worse case –</w:t>
            </w:r>
            <w:r w:rsidR="00703B35" w:rsidRPr="00F85DCF">
              <w:rPr>
                <w:sz w:val="20"/>
                <w:szCs w:val="20"/>
                <w:lang w:val="en-GB" w:eastAsia="en-AU"/>
              </w:rPr>
              <w:t xml:space="preserve"> </w:t>
            </w:r>
            <w:r w:rsidRPr="00F85DCF">
              <w:rPr>
                <w:sz w:val="20"/>
                <w:szCs w:val="20"/>
                <w:lang w:val="en-GB" w:eastAsia="en-AU"/>
              </w:rPr>
              <w:t>watermelon), 15% of the ARfD</w:t>
            </w:r>
          </w:p>
        </w:tc>
      </w:tr>
      <w:tr w:rsidR="006424EC" w:rsidRPr="00F85DCF" w14:paraId="6D0E6438" w14:textId="77777777" w:rsidTr="00A62A60">
        <w:trPr>
          <w:cantSplit/>
        </w:trPr>
        <w:tc>
          <w:tcPr>
            <w:tcW w:w="3545" w:type="dxa"/>
            <w:vAlign w:val="center"/>
          </w:tcPr>
          <w:p w14:paraId="7F91769B" w14:textId="77777777" w:rsidR="006424EC" w:rsidRPr="00F85DCF" w:rsidRDefault="006424EC" w:rsidP="00CA7859">
            <w:pPr>
              <w:rPr>
                <w:sz w:val="20"/>
                <w:szCs w:val="20"/>
                <w:lang w:val="en-GB" w:eastAsia="en-AU"/>
              </w:rPr>
            </w:pPr>
            <w:r w:rsidRPr="00F85DCF">
              <w:rPr>
                <w:sz w:val="20"/>
                <w:szCs w:val="20"/>
                <w:lang w:val="en-GB" w:eastAsia="en-AU"/>
              </w:rPr>
              <w:lastRenderedPageBreak/>
              <w:t>Conclusion</w:t>
            </w:r>
          </w:p>
        </w:tc>
        <w:tc>
          <w:tcPr>
            <w:tcW w:w="6520" w:type="dxa"/>
            <w:vAlign w:val="center"/>
          </w:tcPr>
          <w:p w14:paraId="0A800A0E" w14:textId="10F27E9B" w:rsidR="006424EC" w:rsidRPr="00F85DCF" w:rsidRDefault="006424EC" w:rsidP="006C226A">
            <w:pPr>
              <w:rPr>
                <w:sz w:val="20"/>
                <w:szCs w:val="20"/>
                <w:lang w:val="en-GB"/>
              </w:rPr>
            </w:pPr>
            <w:r w:rsidRPr="00F85DCF">
              <w:rPr>
                <w:sz w:val="20"/>
                <w:szCs w:val="20"/>
                <w:lang w:val="en-GB"/>
              </w:rPr>
              <w:t>After considering the principles set out above</w:t>
            </w:r>
            <w:r w:rsidR="00177651" w:rsidRPr="00F85DCF">
              <w:rPr>
                <w:sz w:val="20"/>
                <w:szCs w:val="20"/>
                <w:lang w:val="en-GB"/>
              </w:rPr>
              <w:t>,</w:t>
            </w:r>
            <w:r w:rsidRPr="00F85DCF">
              <w:rPr>
                <w:sz w:val="20"/>
                <w:szCs w:val="20"/>
                <w:lang w:val="en-GB"/>
              </w:rPr>
              <w:t xml:space="preserve"> </w:t>
            </w:r>
            <w:r w:rsidRPr="00F85DCF">
              <w:rPr>
                <w:sz w:val="20"/>
                <w:szCs w:val="20"/>
                <w:lang w:val="en-GB" w:eastAsia="en-AU"/>
              </w:rPr>
              <w:t xml:space="preserve">the proposed </w:t>
            </w:r>
            <w:r w:rsidR="005B01A1" w:rsidRPr="00F85DCF">
              <w:rPr>
                <w:b/>
                <w:i/>
                <w:sz w:val="20"/>
                <w:szCs w:val="20"/>
                <w:lang w:val="en-GB" w:eastAsia="en-AU"/>
              </w:rPr>
              <w:t>A</w:t>
            </w:r>
            <w:r w:rsidR="00E31B6F" w:rsidRPr="00F85DCF">
              <w:rPr>
                <w:b/>
                <w:i/>
                <w:sz w:val="20"/>
                <w:szCs w:val="20"/>
                <w:lang w:val="en-GB" w:eastAsia="en-AU"/>
              </w:rPr>
              <w:t xml:space="preserve">ll other foods </w:t>
            </w:r>
            <w:r w:rsidR="0003601D" w:rsidRPr="00F85DCF">
              <w:rPr>
                <w:b/>
                <w:i/>
                <w:sz w:val="20"/>
                <w:szCs w:val="20"/>
                <w:lang w:val="en-GB" w:eastAsia="en-AU"/>
              </w:rPr>
              <w:t xml:space="preserve">except animal </w:t>
            </w:r>
            <w:r w:rsidR="006C226A">
              <w:rPr>
                <w:b/>
                <w:i/>
                <w:sz w:val="20"/>
                <w:szCs w:val="20"/>
                <w:lang w:val="en-GB" w:eastAsia="en-AU"/>
              </w:rPr>
              <w:t xml:space="preserve">food </w:t>
            </w:r>
            <w:r w:rsidR="0003601D" w:rsidRPr="00F85DCF">
              <w:rPr>
                <w:b/>
                <w:i/>
                <w:sz w:val="20"/>
                <w:szCs w:val="20"/>
                <w:lang w:val="en-GB" w:eastAsia="en-AU"/>
              </w:rPr>
              <w:t>commodities</w:t>
            </w:r>
            <w:r w:rsidRPr="00F85DCF">
              <w:rPr>
                <w:b/>
                <w:sz w:val="20"/>
                <w:szCs w:val="20"/>
                <w:lang w:val="en-GB" w:eastAsia="en-AU"/>
              </w:rPr>
              <w:t xml:space="preserve"> MRL of 0.05 mg/kg for Methomyl and the </w:t>
            </w:r>
            <w:r w:rsidR="005B01A1" w:rsidRPr="00F85DCF">
              <w:rPr>
                <w:b/>
                <w:i/>
                <w:sz w:val="20"/>
                <w:szCs w:val="20"/>
                <w:lang w:val="en-GB" w:eastAsia="en-AU"/>
              </w:rPr>
              <w:t>A</w:t>
            </w:r>
            <w:r w:rsidR="006C226A">
              <w:rPr>
                <w:b/>
                <w:i/>
                <w:sz w:val="20"/>
                <w:szCs w:val="20"/>
                <w:lang w:val="en-GB" w:eastAsia="en-AU"/>
              </w:rPr>
              <w:t>ll other foods except animal food commodities</w:t>
            </w:r>
            <w:r w:rsidR="006C226A">
              <w:rPr>
                <w:b/>
                <w:sz w:val="20"/>
                <w:szCs w:val="20"/>
                <w:lang w:val="en-GB" w:eastAsia="en-AU"/>
              </w:rPr>
              <w:t xml:space="preserve"> </w:t>
            </w:r>
            <w:r w:rsidRPr="00F85DCF">
              <w:rPr>
                <w:b/>
                <w:sz w:val="20"/>
                <w:szCs w:val="20"/>
                <w:lang w:val="en-GB" w:eastAsia="en-AU"/>
              </w:rPr>
              <w:t>MRL of 0.1 mg/kg for Thiodicarb</w:t>
            </w:r>
            <w:r w:rsidRPr="00F85DCF">
              <w:rPr>
                <w:b/>
                <w:sz w:val="20"/>
                <w:szCs w:val="20"/>
                <w:lang w:val="en-GB"/>
              </w:rPr>
              <w:t xml:space="preserve"> </w:t>
            </w:r>
            <w:r w:rsidRPr="00F85DCF">
              <w:rPr>
                <w:sz w:val="20"/>
                <w:szCs w:val="20"/>
                <w:lang w:val="en-GB"/>
              </w:rPr>
              <w:t>are acceptable because they have been shown to be practical, adequately manage the risk of off-label use and do not increase the level of concern about risk to public health</w:t>
            </w:r>
            <w:r w:rsidR="005B01A1" w:rsidRPr="00F85DCF">
              <w:rPr>
                <w:sz w:val="20"/>
                <w:szCs w:val="20"/>
                <w:lang w:val="en-GB"/>
              </w:rPr>
              <w:t>.</w:t>
            </w:r>
          </w:p>
        </w:tc>
      </w:tr>
    </w:tbl>
    <w:p w14:paraId="0F21CD77" w14:textId="77777777" w:rsidR="00A62A60" w:rsidRPr="00F85DCF" w:rsidRDefault="00A62A60" w:rsidP="00BA10D3">
      <w:pPr>
        <w:pStyle w:val="Heading2"/>
        <w:ind w:left="0" w:firstLine="0"/>
      </w:pPr>
      <w:r w:rsidRPr="00F85DCF">
        <w:br w:type="page"/>
      </w:r>
    </w:p>
    <w:p w14:paraId="2C3B071A" w14:textId="09EE1ED7" w:rsidR="00F6750E" w:rsidRPr="00F85DCF" w:rsidRDefault="00F6750E" w:rsidP="00A62A60">
      <w:pPr>
        <w:pStyle w:val="Heading3"/>
      </w:pPr>
      <w:r w:rsidRPr="00F85DCF">
        <w:lastRenderedPageBreak/>
        <w:t>Penthiopyrad</w:t>
      </w:r>
    </w:p>
    <w:tbl>
      <w:tblPr>
        <w:tblStyle w:val="TableGrid"/>
        <w:tblW w:w="9072" w:type="dxa"/>
        <w:tblLook w:val="04A0" w:firstRow="1" w:lastRow="0" w:firstColumn="1" w:lastColumn="0" w:noHBand="0" w:noVBand="1"/>
      </w:tblPr>
      <w:tblGrid>
        <w:gridCol w:w="3277"/>
        <w:gridCol w:w="5795"/>
      </w:tblGrid>
      <w:tr w:rsidR="00925CF9" w:rsidRPr="00F85DCF" w14:paraId="43BD7B2A" w14:textId="77777777" w:rsidTr="00A62A60">
        <w:tc>
          <w:tcPr>
            <w:tcW w:w="3545" w:type="dxa"/>
            <w:vAlign w:val="center"/>
          </w:tcPr>
          <w:p w14:paraId="372C88A8" w14:textId="0BFBA6C3" w:rsidR="00925CF9" w:rsidRPr="00F85DCF" w:rsidRDefault="006D5974" w:rsidP="00CA7859">
            <w:pPr>
              <w:rPr>
                <w:b/>
                <w:sz w:val="20"/>
                <w:szCs w:val="20"/>
                <w:lang w:val="en-GB"/>
              </w:rPr>
            </w:pPr>
            <w:r w:rsidRPr="006D5974">
              <w:rPr>
                <w:b/>
                <w:sz w:val="20"/>
                <w:szCs w:val="20"/>
                <w:lang w:val="en-GB"/>
              </w:rPr>
              <w:t>Considerations</w:t>
            </w:r>
          </w:p>
        </w:tc>
        <w:tc>
          <w:tcPr>
            <w:tcW w:w="6520" w:type="dxa"/>
            <w:vAlign w:val="center"/>
          </w:tcPr>
          <w:p w14:paraId="4283576B" w14:textId="77777777" w:rsidR="00925CF9" w:rsidRPr="00F85DCF" w:rsidRDefault="00925CF9" w:rsidP="00CA7859">
            <w:pPr>
              <w:rPr>
                <w:b/>
                <w:sz w:val="20"/>
                <w:szCs w:val="20"/>
                <w:lang w:val="en-GB" w:eastAsia="en-AU"/>
              </w:rPr>
            </w:pPr>
            <w:r w:rsidRPr="00F85DCF">
              <w:rPr>
                <w:b/>
                <w:sz w:val="20"/>
                <w:szCs w:val="20"/>
                <w:lang w:val="en-GB" w:eastAsia="en-AU"/>
              </w:rPr>
              <w:t>Comments</w:t>
            </w:r>
          </w:p>
        </w:tc>
      </w:tr>
      <w:tr w:rsidR="00925CF9" w:rsidRPr="00F85DCF" w14:paraId="67F63942" w14:textId="77777777" w:rsidTr="00A62A60">
        <w:tc>
          <w:tcPr>
            <w:tcW w:w="3545" w:type="dxa"/>
            <w:vAlign w:val="center"/>
          </w:tcPr>
          <w:p w14:paraId="572AC52F" w14:textId="4510E12F" w:rsidR="00925CF9" w:rsidRPr="00F85DCF" w:rsidRDefault="004710D5" w:rsidP="00CA7859">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1EDB8E7E" w14:textId="77777777" w:rsidR="00925CF9" w:rsidRPr="00F85DCF" w:rsidRDefault="00925CF9" w:rsidP="00CA7859">
            <w:pPr>
              <w:rPr>
                <w:sz w:val="20"/>
                <w:szCs w:val="20"/>
                <w:lang w:val="en-GB"/>
              </w:rPr>
            </w:pPr>
            <w:r w:rsidRPr="00F85DCF">
              <w:rPr>
                <w:sz w:val="20"/>
                <w:szCs w:val="20"/>
                <w:lang w:val="en-GB" w:eastAsia="en-AU"/>
              </w:rPr>
              <w:t>0.01 mg/kg</w:t>
            </w:r>
          </w:p>
        </w:tc>
      </w:tr>
      <w:tr w:rsidR="00925CF9" w:rsidRPr="00F85DCF" w14:paraId="01405AC0" w14:textId="77777777" w:rsidTr="00A62A60">
        <w:tc>
          <w:tcPr>
            <w:tcW w:w="3545" w:type="dxa"/>
            <w:vAlign w:val="center"/>
          </w:tcPr>
          <w:p w14:paraId="1FF11435" w14:textId="77777777" w:rsidR="00925CF9" w:rsidRPr="00F85DCF" w:rsidRDefault="00925CF9" w:rsidP="00CA7859">
            <w:pPr>
              <w:rPr>
                <w:sz w:val="20"/>
                <w:szCs w:val="20"/>
                <w:lang w:val="en-GB"/>
              </w:rPr>
            </w:pPr>
            <w:r w:rsidRPr="00F85DCF">
              <w:rPr>
                <w:sz w:val="20"/>
                <w:szCs w:val="20"/>
                <w:lang w:val="en-GB"/>
              </w:rPr>
              <w:t>Lowest plant commodity MRL</w:t>
            </w:r>
          </w:p>
        </w:tc>
        <w:tc>
          <w:tcPr>
            <w:tcW w:w="6520" w:type="dxa"/>
            <w:vAlign w:val="center"/>
          </w:tcPr>
          <w:p w14:paraId="7EA0FE15" w14:textId="2E406D52" w:rsidR="00925CF9" w:rsidRPr="00F85DCF" w:rsidRDefault="00925CF9" w:rsidP="00CA7859">
            <w:pPr>
              <w:rPr>
                <w:sz w:val="20"/>
                <w:szCs w:val="20"/>
                <w:lang w:val="en-GB"/>
              </w:rPr>
            </w:pPr>
            <w:r w:rsidRPr="00F85DCF">
              <w:rPr>
                <w:sz w:val="20"/>
                <w:szCs w:val="20"/>
                <w:lang w:val="en-GB" w:eastAsia="en-AU"/>
              </w:rPr>
              <w:t>0.1 mg/kg (</w:t>
            </w:r>
            <w:r w:rsidR="00EC66C5" w:rsidRPr="00F85DCF">
              <w:rPr>
                <w:sz w:val="20"/>
                <w:szCs w:val="20"/>
                <w:lang w:val="en-GB" w:eastAsia="en-AU"/>
              </w:rPr>
              <w:t>p</w:t>
            </w:r>
            <w:r w:rsidRPr="00F85DCF">
              <w:rPr>
                <w:sz w:val="20"/>
                <w:szCs w:val="20"/>
                <w:lang w:val="en-GB" w:eastAsia="en-AU"/>
              </w:rPr>
              <w:t xml:space="preserve">otato; </w:t>
            </w:r>
            <w:r w:rsidR="00EC66C5" w:rsidRPr="00F85DCF">
              <w:rPr>
                <w:sz w:val="20"/>
                <w:szCs w:val="20"/>
                <w:lang w:val="en-GB" w:eastAsia="en-AU"/>
              </w:rPr>
              <w:t>t</w:t>
            </w:r>
            <w:r w:rsidRPr="00F85DCF">
              <w:rPr>
                <w:sz w:val="20"/>
                <w:szCs w:val="20"/>
                <w:lang w:val="en-GB" w:eastAsia="en-AU"/>
              </w:rPr>
              <w:t>ree nuts)</w:t>
            </w:r>
          </w:p>
        </w:tc>
      </w:tr>
      <w:tr w:rsidR="00925CF9" w:rsidRPr="00F85DCF" w14:paraId="5FBD640C" w14:textId="77777777" w:rsidTr="00A62A60">
        <w:tc>
          <w:tcPr>
            <w:tcW w:w="3545" w:type="dxa"/>
            <w:vAlign w:val="center"/>
          </w:tcPr>
          <w:p w14:paraId="473D08EA" w14:textId="42219994" w:rsidR="00925CF9" w:rsidRPr="00F85DCF" w:rsidRDefault="00EB72A5" w:rsidP="00CA7859">
            <w:pPr>
              <w:rPr>
                <w:sz w:val="20"/>
                <w:szCs w:val="20"/>
                <w:lang w:val="en-GB"/>
              </w:rPr>
            </w:pPr>
            <w:r w:rsidRPr="00F85DCF">
              <w:rPr>
                <w:sz w:val="20"/>
                <w:szCs w:val="20"/>
                <w:lang w:val="en-GB" w:eastAsia="en-AU"/>
              </w:rPr>
              <w:t xml:space="preserve">Magnitude of existing </w:t>
            </w:r>
            <w:r w:rsidR="00CA7859"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0C34C6DB" w14:textId="3C2B2969" w:rsidR="00925CF9" w:rsidRPr="00F85DCF" w:rsidRDefault="00925CF9" w:rsidP="00CA7859">
            <w:pPr>
              <w:rPr>
                <w:sz w:val="20"/>
                <w:szCs w:val="20"/>
                <w:lang w:val="en-GB"/>
              </w:rPr>
            </w:pPr>
            <w:r w:rsidRPr="00F85DCF">
              <w:rPr>
                <w:sz w:val="20"/>
                <w:szCs w:val="20"/>
                <w:lang w:val="en-GB"/>
              </w:rPr>
              <w:t xml:space="preserve">The range of existing MRLs, excluding animal </w:t>
            </w:r>
            <w:r w:rsidR="007937C5">
              <w:rPr>
                <w:sz w:val="20"/>
                <w:szCs w:val="20"/>
                <w:lang w:val="en-GB"/>
              </w:rPr>
              <w:t xml:space="preserve">food </w:t>
            </w:r>
            <w:r w:rsidRPr="00F85DCF">
              <w:rPr>
                <w:sz w:val="20"/>
                <w:szCs w:val="20"/>
                <w:lang w:val="en-GB"/>
              </w:rPr>
              <w:t xml:space="preserve">commodities, </w:t>
            </w:r>
            <w:r w:rsidR="0086673E" w:rsidRPr="00F85DCF">
              <w:rPr>
                <w:sz w:val="20"/>
                <w:szCs w:val="20"/>
                <w:lang w:val="en-GB"/>
              </w:rPr>
              <w:t xml:space="preserve">is </w:t>
            </w:r>
            <w:r w:rsidRPr="00F85DCF">
              <w:rPr>
                <w:sz w:val="20"/>
                <w:szCs w:val="20"/>
                <w:lang w:val="en-GB" w:eastAsia="en-AU"/>
              </w:rPr>
              <w:t>0.1</w:t>
            </w:r>
            <w:r w:rsidR="00FF2C03" w:rsidRPr="00F85DCF">
              <w:rPr>
                <w:sz w:val="20"/>
                <w:szCs w:val="20"/>
                <w:lang w:val="en-GB" w:eastAsia="en-AU"/>
              </w:rPr>
              <w:t> </w:t>
            </w:r>
            <w:r w:rsidRPr="00F85DCF">
              <w:rPr>
                <w:sz w:val="20"/>
                <w:szCs w:val="20"/>
                <w:lang w:val="en-GB"/>
              </w:rPr>
              <w:t>mg/kg (</w:t>
            </w:r>
            <w:r w:rsidR="00EC66C5" w:rsidRPr="00F85DCF">
              <w:rPr>
                <w:sz w:val="20"/>
                <w:szCs w:val="20"/>
                <w:lang w:val="en-GB" w:eastAsia="en-AU"/>
              </w:rPr>
              <w:t>p</w:t>
            </w:r>
            <w:r w:rsidRPr="00F85DCF">
              <w:rPr>
                <w:sz w:val="20"/>
                <w:szCs w:val="20"/>
                <w:lang w:val="en-GB" w:eastAsia="en-AU"/>
              </w:rPr>
              <w:t xml:space="preserve">otato; </w:t>
            </w:r>
            <w:r w:rsidR="00EC66C5" w:rsidRPr="00F85DCF">
              <w:rPr>
                <w:sz w:val="20"/>
                <w:szCs w:val="20"/>
                <w:lang w:val="en-GB" w:eastAsia="en-AU"/>
              </w:rPr>
              <w:t>t</w:t>
            </w:r>
            <w:r w:rsidRPr="00F85DCF">
              <w:rPr>
                <w:sz w:val="20"/>
                <w:szCs w:val="20"/>
                <w:lang w:val="en-GB" w:eastAsia="en-AU"/>
              </w:rPr>
              <w:t>ree nuts</w:t>
            </w:r>
            <w:r w:rsidRPr="00F85DCF">
              <w:rPr>
                <w:sz w:val="20"/>
                <w:szCs w:val="20"/>
                <w:lang w:val="en-GB"/>
              </w:rPr>
              <w:t xml:space="preserve">) to </w:t>
            </w:r>
            <w:r w:rsidRPr="00F85DCF">
              <w:rPr>
                <w:sz w:val="20"/>
                <w:szCs w:val="20"/>
                <w:lang w:val="en-GB" w:eastAsia="en-AU"/>
              </w:rPr>
              <w:t xml:space="preserve">70 </w:t>
            </w:r>
            <w:r w:rsidRPr="00F85DCF">
              <w:rPr>
                <w:sz w:val="20"/>
                <w:szCs w:val="20"/>
                <w:lang w:val="en-GB"/>
              </w:rPr>
              <w:t>mg/kg (</w:t>
            </w:r>
            <w:r w:rsidR="00EC66C5" w:rsidRPr="00F85DCF">
              <w:rPr>
                <w:sz w:val="20"/>
                <w:szCs w:val="20"/>
                <w:lang w:val="en-GB" w:eastAsia="en-AU"/>
              </w:rPr>
              <w:t>b</w:t>
            </w:r>
            <w:r w:rsidRPr="00F85DCF">
              <w:rPr>
                <w:sz w:val="20"/>
                <w:szCs w:val="20"/>
                <w:lang w:val="en-GB" w:eastAsia="en-AU"/>
              </w:rPr>
              <w:t>rassica leafy vegetables</w:t>
            </w:r>
            <w:r w:rsidR="00CA7859" w:rsidRPr="00F85DCF">
              <w:rPr>
                <w:sz w:val="20"/>
                <w:szCs w:val="20"/>
                <w:lang w:val="en-GB"/>
              </w:rPr>
              <w:t>).</w:t>
            </w:r>
          </w:p>
        </w:tc>
      </w:tr>
      <w:tr w:rsidR="00925CF9" w:rsidRPr="00F85DCF" w14:paraId="5F8BDA4C" w14:textId="77777777" w:rsidTr="00A62A60">
        <w:tc>
          <w:tcPr>
            <w:tcW w:w="3545" w:type="dxa"/>
            <w:vAlign w:val="center"/>
          </w:tcPr>
          <w:p w14:paraId="7FB40BCE" w14:textId="339BA955" w:rsidR="00925CF9" w:rsidRPr="00F85DCF" w:rsidRDefault="00925CF9" w:rsidP="00CA7859">
            <w:pPr>
              <w:rPr>
                <w:sz w:val="20"/>
                <w:szCs w:val="20"/>
                <w:lang w:val="en-GB" w:eastAsia="en-AU"/>
              </w:rPr>
            </w:pPr>
            <w:r w:rsidRPr="00F85DCF">
              <w:rPr>
                <w:sz w:val="20"/>
                <w:szCs w:val="20"/>
                <w:lang w:val="en-GB" w:eastAsia="en-AU"/>
              </w:rPr>
              <w:t xml:space="preserve">Lowest </w:t>
            </w:r>
            <w:r w:rsidR="00CA7859"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3935C9CF" w14:textId="087F4180" w:rsidR="00925CF9" w:rsidRPr="00F85DCF" w:rsidRDefault="00925CF9" w:rsidP="00CA7859">
            <w:pPr>
              <w:rPr>
                <w:sz w:val="20"/>
                <w:szCs w:val="20"/>
                <w:lang w:val="en-GB"/>
              </w:rPr>
            </w:pPr>
            <w:r w:rsidRPr="00F85DCF">
              <w:rPr>
                <w:sz w:val="20"/>
                <w:szCs w:val="20"/>
                <w:lang w:val="en-GB" w:eastAsia="en-AU"/>
              </w:rPr>
              <w:t xml:space="preserve">0.1 </w:t>
            </w:r>
            <w:r w:rsidRPr="00F85DCF">
              <w:rPr>
                <w:sz w:val="20"/>
                <w:szCs w:val="20"/>
                <w:lang w:val="en-GB"/>
              </w:rPr>
              <w:t>mg/kg (</w:t>
            </w:r>
            <w:r w:rsidR="00EC66C5" w:rsidRPr="00F85DCF">
              <w:rPr>
                <w:sz w:val="20"/>
                <w:szCs w:val="20"/>
                <w:lang w:val="en-GB" w:eastAsia="en-AU"/>
              </w:rPr>
              <w:t>p</w:t>
            </w:r>
            <w:r w:rsidRPr="00F85DCF">
              <w:rPr>
                <w:sz w:val="20"/>
                <w:szCs w:val="20"/>
                <w:lang w:val="en-GB" w:eastAsia="en-AU"/>
              </w:rPr>
              <w:t xml:space="preserve">otato; </w:t>
            </w:r>
            <w:r w:rsidR="00EC66C5" w:rsidRPr="00F85DCF">
              <w:rPr>
                <w:sz w:val="20"/>
                <w:szCs w:val="20"/>
                <w:lang w:val="en-GB" w:eastAsia="en-AU"/>
              </w:rPr>
              <w:t>t</w:t>
            </w:r>
            <w:r w:rsidRPr="00F85DCF">
              <w:rPr>
                <w:sz w:val="20"/>
                <w:szCs w:val="20"/>
                <w:lang w:val="en-GB" w:eastAsia="en-AU"/>
              </w:rPr>
              <w:t>ree nuts</w:t>
            </w:r>
            <w:r w:rsidRPr="00F85DCF">
              <w:rPr>
                <w:sz w:val="20"/>
                <w:szCs w:val="20"/>
                <w:lang w:val="en-GB"/>
              </w:rPr>
              <w:t>)</w:t>
            </w:r>
          </w:p>
        </w:tc>
      </w:tr>
      <w:tr w:rsidR="00925CF9" w:rsidRPr="00F85DCF" w14:paraId="3D8DC570" w14:textId="77777777" w:rsidTr="00A62A60">
        <w:tc>
          <w:tcPr>
            <w:tcW w:w="3545" w:type="dxa"/>
            <w:vAlign w:val="center"/>
          </w:tcPr>
          <w:p w14:paraId="1342761F" w14:textId="355EF14A" w:rsidR="00925CF9" w:rsidRPr="00F85DCF" w:rsidRDefault="00925CF9" w:rsidP="00CA7859">
            <w:pPr>
              <w:rPr>
                <w:sz w:val="20"/>
                <w:szCs w:val="20"/>
                <w:lang w:val="en-GB" w:eastAsia="en-AU"/>
              </w:rPr>
            </w:pPr>
            <w:r w:rsidRPr="00F85DCF">
              <w:rPr>
                <w:sz w:val="20"/>
                <w:szCs w:val="20"/>
                <w:lang w:val="en-GB" w:eastAsia="en-AU"/>
              </w:rPr>
              <w:t>Most relevant reference point to minimize off-label use</w:t>
            </w:r>
          </w:p>
        </w:tc>
        <w:tc>
          <w:tcPr>
            <w:tcW w:w="6520" w:type="dxa"/>
            <w:vAlign w:val="center"/>
          </w:tcPr>
          <w:p w14:paraId="77BA34F0" w14:textId="18AC1B46" w:rsidR="00925CF9" w:rsidRPr="00F85DCF" w:rsidRDefault="00925CF9" w:rsidP="00CA7859">
            <w:pPr>
              <w:rPr>
                <w:sz w:val="20"/>
                <w:szCs w:val="20"/>
                <w:lang w:val="en-GB"/>
              </w:rPr>
            </w:pPr>
            <w:r w:rsidRPr="00F85DCF">
              <w:rPr>
                <w:sz w:val="20"/>
                <w:szCs w:val="20"/>
                <w:lang w:val="en-GB" w:eastAsia="en-AU"/>
              </w:rPr>
              <w:t xml:space="preserve">0.1 </w:t>
            </w:r>
            <w:r w:rsidRPr="00F85DCF">
              <w:rPr>
                <w:sz w:val="20"/>
                <w:szCs w:val="20"/>
                <w:lang w:val="en-GB"/>
              </w:rPr>
              <w:t>mg/kg</w:t>
            </w:r>
          </w:p>
        </w:tc>
      </w:tr>
      <w:tr w:rsidR="00925CF9" w:rsidRPr="00F85DCF" w14:paraId="1A6CD926" w14:textId="77777777" w:rsidTr="00A62A60">
        <w:tc>
          <w:tcPr>
            <w:tcW w:w="3545" w:type="dxa"/>
            <w:vAlign w:val="center"/>
          </w:tcPr>
          <w:p w14:paraId="02DC22E6" w14:textId="77777777" w:rsidR="00925CF9" w:rsidRPr="00F85DCF" w:rsidRDefault="00925CF9" w:rsidP="00CA7859">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5233706D" w14:textId="2B6224F3" w:rsidR="00925CF9" w:rsidRPr="00F85DCF" w:rsidRDefault="00925CF9" w:rsidP="00CA7859">
            <w:pPr>
              <w:rPr>
                <w:sz w:val="20"/>
                <w:szCs w:val="20"/>
                <w:lang w:val="en-GB"/>
              </w:rPr>
            </w:pPr>
            <w:r w:rsidRPr="00F85DCF">
              <w:rPr>
                <w:sz w:val="20"/>
                <w:szCs w:val="20"/>
                <w:lang w:val="en-GB" w:eastAsia="en-AU"/>
              </w:rPr>
              <w:t>7</w:t>
            </w:r>
            <w:r w:rsidRPr="00F85DCF">
              <w:rPr>
                <w:sz w:val="20"/>
                <w:szCs w:val="20"/>
                <w:lang w:val="en-GB"/>
              </w:rPr>
              <w:t>% of the ADI</w:t>
            </w:r>
            <w:r w:rsidR="00EB0FE6" w:rsidRPr="00F85DCF">
              <w:rPr>
                <w:sz w:val="20"/>
                <w:szCs w:val="20"/>
                <w:lang w:val="en-GB"/>
              </w:rPr>
              <w:t>.</w:t>
            </w:r>
          </w:p>
        </w:tc>
      </w:tr>
      <w:tr w:rsidR="00961329" w:rsidRPr="00F85DCF" w14:paraId="4BBA0F1D" w14:textId="77777777" w:rsidTr="00A62A60">
        <w:tc>
          <w:tcPr>
            <w:tcW w:w="3545" w:type="dxa"/>
            <w:vAlign w:val="center"/>
          </w:tcPr>
          <w:p w14:paraId="6ED8693A" w14:textId="2E8A2C91" w:rsidR="00961329" w:rsidRPr="00F85DCF" w:rsidRDefault="00961329" w:rsidP="00903A23">
            <w:pPr>
              <w:rPr>
                <w:sz w:val="20"/>
                <w:szCs w:val="20"/>
                <w:lang w:val="en-GB"/>
              </w:rPr>
            </w:pPr>
            <w:r w:rsidRPr="00F85DCF">
              <w:rPr>
                <w:sz w:val="20"/>
                <w:szCs w:val="20"/>
                <w:lang w:val="en-GB"/>
              </w:rPr>
              <w:t xml:space="preserve">Proposed </w:t>
            </w:r>
            <w:r w:rsidR="00903A23" w:rsidRPr="00F85DCF">
              <w:rPr>
                <w:i/>
                <w:sz w:val="20"/>
                <w:szCs w:val="20"/>
                <w:lang w:val="en-GB"/>
              </w:rPr>
              <w:t>A</w:t>
            </w:r>
            <w:r w:rsidR="0003601D" w:rsidRPr="00F85DCF">
              <w:rPr>
                <w:i/>
                <w:sz w:val="20"/>
                <w:szCs w:val="20"/>
                <w:lang w:val="en-GB"/>
              </w:rPr>
              <w:t>l</w:t>
            </w:r>
            <w:r w:rsidR="00A2728D" w:rsidRPr="00F85DCF">
              <w:rPr>
                <w:i/>
                <w:sz w:val="20"/>
                <w:szCs w:val="20"/>
                <w:lang w:val="en-GB"/>
              </w:rPr>
              <w:t xml:space="preserve">l other foods </w:t>
            </w:r>
            <w:r w:rsidR="0003601D" w:rsidRPr="00F85DCF">
              <w:rPr>
                <w:i/>
                <w:sz w:val="20"/>
                <w:szCs w:val="20"/>
                <w:lang w:val="en-GB"/>
              </w:rPr>
              <w:t xml:space="preserve">except </w:t>
            </w:r>
            <w:r w:rsidR="006C226A">
              <w:rPr>
                <w:i/>
                <w:sz w:val="20"/>
                <w:szCs w:val="20"/>
                <w:lang w:val="en-GB"/>
              </w:rPr>
              <w:t xml:space="preserve">food </w:t>
            </w:r>
            <w:r w:rsidR="0003601D" w:rsidRPr="00F85DCF">
              <w:rPr>
                <w:i/>
                <w:sz w:val="20"/>
                <w:szCs w:val="20"/>
                <w:lang w:val="en-GB"/>
              </w:rPr>
              <w:t xml:space="preserve">animal </w:t>
            </w:r>
            <w:r w:rsidR="00786D7F">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7F49C290" w14:textId="77777777" w:rsidR="00961329" w:rsidRPr="00F85DCF" w:rsidRDefault="00961329" w:rsidP="00CA7859">
            <w:pPr>
              <w:rPr>
                <w:sz w:val="20"/>
                <w:szCs w:val="20"/>
                <w:lang w:val="en-GB"/>
              </w:rPr>
            </w:pPr>
            <w:r w:rsidRPr="00F85DCF">
              <w:rPr>
                <w:sz w:val="20"/>
                <w:szCs w:val="20"/>
                <w:lang w:val="en-GB"/>
              </w:rPr>
              <w:t>0.05 mg/kg</w:t>
            </w:r>
          </w:p>
        </w:tc>
      </w:tr>
      <w:tr w:rsidR="00961329" w:rsidRPr="00F85DCF" w14:paraId="640E852B" w14:textId="77777777" w:rsidTr="00A62A60">
        <w:tc>
          <w:tcPr>
            <w:tcW w:w="3545" w:type="dxa"/>
            <w:vAlign w:val="center"/>
          </w:tcPr>
          <w:p w14:paraId="4F8524B0" w14:textId="58032D84" w:rsidR="00961329" w:rsidRPr="00F85DCF" w:rsidRDefault="00961329" w:rsidP="00903A23">
            <w:pPr>
              <w:rPr>
                <w:sz w:val="20"/>
                <w:szCs w:val="20"/>
                <w:lang w:val="en-GB"/>
              </w:rPr>
            </w:pPr>
            <w:r w:rsidRPr="00F85DCF">
              <w:rPr>
                <w:sz w:val="20"/>
                <w:szCs w:val="20"/>
                <w:lang w:val="en-GB" w:eastAsia="en-AU"/>
              </w:rPr>
              <w:t xml:space="preserve">NEDI including </w:t>
            </w:r>
            <w:r w:rsidR="00903A23" w:rsidRPr="00F85DCF">
              <w:rPr>
                <w:i/>
                <w:sz w:val="20"/>
                <w:szCs w:val="20"/>
                <w:lang w:val="en-GB" w:eastAsia="en-AU"/>
              </w:rPr>
              <w:t>A</w:t>
            </w:r>
            <w:r w:rsidR="00A2728D"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41DD5B90" w14:textId="77777777" w:rsidR="00961329" w:rsidRPr="00F85DCF" w:rsidRDefault="00961329" w:rsidP="00CA7859">
            <w:pPr>
              <w:rPr>
                <w:sz w:val="20"/>
                <w:szCs w:val="20"/>
                <w:lang w:val="en-GB"/>
              </w:rPr>
            </w:pPr>
            <w:r w:rsidRPr="00F85DCF">
              <w:rPr>
                <w:sz w:val="20"/>
                <w:szCs w:val="20"/>
                <w:lang w:val="en-GB" w:eastAsia="en-AU"/>
              </w:rPr>
              <w:t>8% of the ADI</w:t>
            </w:r>
          </w:p>
        </w:tc>
      </w:tr>
      <w:tr w:rsidR="00925CF9" w:rsidRPr="00F85DCF" w14:paraId="7C73F09B" w14:textId="77777777" w:rsidTr="00A62A60">
        <w:tc>
          <w:tcPr>
            <w:tcW w:w="3545" w:type="dxa"/>
            <w:vAlign w:val="center"/>
          </w:tcPr>
          <w:p w14:paraId="2EDED677" w14:textId="0686052D" w:rsidR="00925CF9" w:rsidRPr="00F85DCF" w:rsidRDefault="00D7195E" w:rsidP="00903A23">
            <w:pPr>
              <w:rPr>
                <w:sz w:val="20"/>
                <w:szCs w:val="20"/>
                <w:lang w:val="en-GB" w:eastAsia="en-AU"/>
              </w:rPr>
            </w:pPr>
            <w:r w:rsidRPr="00F85DCF">
              <w:rPr>
                <w:sz w:val="20"/>
                <w:szCs w:val="20"/>
                <w:lang w:val="en-GB" w:eastAsia="en-AU"/>
              </w:rPr>
              <w:t xml:space="preserve">Percentage contribution of </w:t>
            </w:r>
            <w:r w:rsidR="00903A23" w:rsidRPr="00F85DCF">
              <w:rPr>
                <w:i/>
                <w:sz w:val="20"/>
                <w:szCs w:val="20"/>
                <w:lang w:val="en-GB" w:eastAsia="en-AU"/>
              </w:rPr>
              <w:t>A</w:t>
            </w:r>
            <w:r w:rsidR="00A2728D"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exposure</w:t>
            </w:r>
          </w:p>
        </w:tc>
        <w:tc>
          <w:tcPr>
            <w:tcW w:w="6520" w:type="dxa"/>
            <w:vAlign w:val="center"/>
          </w:tcPr>
          <w:p w14:paraId="35D661D5" w14:textId="29D94E90" w:rsidR="00925CF9" w:rsidRPr="00F85DCF" w:rsidRDefault="00925CF9" w:rsidP="002D5CE1">
            <w:pPr>
              <w:rPr>
                <w:sz w:val="20"/>
                <w:szCs w:val="20"/>
                <w:lang w:val="en-GB" w:eastAsia="en-AU"/>
              </w:rPr>
            </w:pPr>
            <w:r w:rsidRPr="00F85DCF">
              <w:rPr>
                <w:sz w:val="20"/>
                <w:szCs w:val="20"/>
                <w:lang w:val="en-GB" w:eastAsia="en-AU"/>
              </w:rPr>
              <w:t xml:space="preserve">An </w:t>
            </w:r>
            <w:r w:rsidR="002D5CE1" w:rsidRPr="00F85DCF">
              <w:rPr>
                <w:i/>
                <w:sz w:val="20"/>
                <w:szCs w:val="20"/>
                <w:lang w:val="en-GB" w:eastAsia="en-AU"/>
              </w:rPr>
              <w:t>A</w:t>
            </w:r>
            <w:r w:rsidR="0003601D" w:rsidRPr="00F85DCF">
              <w:rPr>
                <w:i/>
                <w:sz w:val="20"/>
                <w:szCs w:val="20"/>
                <w:lang w:val="en-GB" w:eastAsia="en-AU"/>
              </w:rPr>
              <w:t>ll</w:t>
            </w:r>
            <w:r w:rsidR="00A2728D" w:rsidRPr="00F85DCF">
              <w:rPr>
                <w:i/>
                <w:sz w:val="20"/>
                <w:szCs w:val="20"/>
                <w:lang w:val="en-GB" w:eastAsia="en-AU"/>
              </w:rPr>
              <w:t xml:space="preserve">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could have been used as the lowest existing MRL for Penthiopyrad; however, this </w:t>
            </w:r>
            <w:r w:rsidR="00FF2C03" w:rsidRPr="00F85DCF" w:rsidDel="002C0A63">
              <w:rPr>
                <w:sz w:val="20"/>
                <w:szCs w:val="20"/>
                <w:lang w:val="en-GB" w:eastAsia="en-AU"/>
              </w:rPr>
              <w:t>represent</w:t>
            </w:r>
            <w:r w:rsidR="00FF2C03" w:rsidRPr="00F85DCF">
              <w:rPr>
                <w:sz w:val="20"/>
                <w:szCs w:val="20"/>
                <w:lang w:val="en-GB" w:eastAsia="en-AU"/>
              </w:rPr>
              <w:t xml:space="preserve">s a contribution of </w:t>
            </w:r>
            <w:r w:rsidRPr="00F85DCF">
              <w:rPr>
                <w:sz w:val="20"/>
                <w:szCs w:val="20"/>
                <w:lang w:val="en-GB" w:eastAsia="en-AU"/>
              </w:rPr>
              <w:t xml:space="preserve">36% </w:t>
            </w:r>
            <w:r w:rsidR="00FF2C03" w:rsidRPr="00F85DCF">
              <w:rPr>
                <w:sz w:val="20"/>
                <w:szCs w:val="20"/>
                <w:lang w:val="en-GB" w:eastAsia="en-AU"/>
              </w:rPr>
              <w:t>to</w:t>
            </w:r>
            <w:r w:rsidRPr="00F85DCF">
              <w:rPr>
                <w:sz w:val="20"/>
                <w:szCs w:val="20"/>
                <w:lang w:val="en-GB" w:eastAsia="en-AU"/>
              </w:rPr>
              <w:t xml:space="preserve"> total exposure. Reducing the </w:t>
            </w:r>
            <w:r w:rsidR="002D5CE1" w:rsidRPr="00F85DCF">
              <w:rPr>
                <w:i/>
                <w:sz w:val="20"/>
                <w:szCs w:val="20"/>
                <w:lang w:val="en-GB" w:eastAsia="en-AU"/>
              </w:rPr>
              <w:t>A</w:t>
            </w:r>
            <w:r w:rsidR="00A2728D"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to 0.05 mg/kg </w:t>
            </w:r>
            <w:r w:rsidR="00FF2C03" w:rsidRPr="00F85DCF">
              <w:rPr>
                <w:sz w:val="20"/>
                <w:szCs w:val="20"/>
                <w:lang w:val="en-GB" w:eastAsia="en-AU"/>
              </w:rPr>
              <w:t>i</w:t>
            </w:r>
            <w:r w:rsidR="00FF2C03" w:rsidRPr="00F85DCF" w:rsidDel="002C0A63">
              <w:rPr>
                <w:sz w:val="20"/>
                <w:szCs w:val="20"/>
                <w:lang w:val="en-GB" w:eastAsia="en-AU"/>
              </w:rPr>
              <w:t xml:space="preserve">s </w:t>
            </w:r>
            <w:r w:rsidRPr="00F85DCF">
              <w:rPr>
                <w:sz w:val="20"/>
                <w:szCs w:val="20"/>
                <w:lang w:val="en-GB" w:eastAsia="en-AU"/>
              </w:rPr>
              <w:t xml:space="preserve">required </w:t>
            </w:r>
            <w:r w:rsidR="00A33E34" w:rsidRPr="00F85DCF">
              <w:rPr>
                <w:sz w:val="20"/>
                <w:szCs w:val="20"/>
                <w:lang w:val="en-GB" w:eastAsia="en-AU"/>
              </w:rPr>
              <w:t xml:space="preserve">for it </w:t>
            </w:r>
            <w:r w:rsidRPr="00F85DCF">
              <w:rPr>
                <w:sz w:val="20"/>
                <w:szCs w:val="20"/>
                <w:lang w:val="en-GB" w:eastAsia="en-AU"/>
              </w:rPr>
              <w:t>to remain within the target</w:t>
            </w:r>
            <w:r w:rsidR="00F8678D" w:rsidRPr="00F85DCF">
              <w:rPr>
                <w:sz w:val="20"/>
                <w:szCs w:val="20"/>
                <w:lang w:val="en-GB" w:eastAsia="en-AU"/>
              </w:rPr>
              <w:t xml:space="preserve"> of 20% of total exposure</w:t>
            </w:r>
            <w:r w:rsidRPr="00F85DCF">
              <w:rPr>
                <w:sz w:val="20"/>
                <w:szCs w:val="20"/>
                <w:lang w:val="en-GB" w:eastAsia="en-AU"/>
              </w:rPr>
              <w:t xml:space="preserve">. An </w:t>
            </w:r>
            <w:r w:rsidR="002D5CE1" w:rsidRPr="00F85DCF">
              <w:rPr>
                <w:i/>
                <w:sz w:val="20"/>
                <w:szCs w:val="20"/>
                <w:lang w:val="en-GB" w:eastAsia="en-AU"/>
              </w:rPr>
              <w:t>A</w:t>
            </w:r>
            <w:r w:rsidR="00A2728D"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0.05 mg/kg represents </w:t>
            </w:r>
            <w:r w:rsidR="00FF2C03" w:rsidRPr="00F85DCF">
              <w:rPr>
                <w:sz w:val="20"/>
                <w:szCs w:val="20"/>
                <w:lang w:val="en-GB" w:eastAsia="en-AU"/>
              </w:rPr>
              <w:t xml:space="preserve">a contribution of </w:t>
            </w:r>
            <w:r w:rsidRPr="00F85DCF">
              <w:rPr>
                <w:sz w:val="20"/>
                <w:szCs w:val="20"/>
                <w:lang w:val="en-GB" w:eastAsia="en-AU"/>
              </w:rPr>
              <w:t xml:space="preserve">18% </w:t>
            </w:r>
            <w:r w:rsidR="00FF2C03" w:rsidRPr="00F85DCF">
              <w:rPr>
                <w:sz w:val="20"/>
                <w:szCs w:val="20"/>
                <w:lang w:val="en-GB" w:eastAsia="en-AU"/>
              </w:rPr>
              <w:t>to</w:t>
            </w:r>
            <w:r w:rsidRPr="00F85DCF">
              <w:rPr>
                <w:sz w:val="20"/>
                <w:szCs w:val="20"/>
                <w:lang w:val="en-GB" w:eastAsia="en-AU"/>
              </w:rPr>
              <w:t xml:space="preserve"> total dietary exposure and </w:t>
            </w:r>
            <w:r w:rsidR="00FF2C03" w:rsidRPr="00F85DCF">
              <w:rPr>
                <w:sz w:val="20"/>
                <w:szCs w:val="20"/>
                <w:lang w:val="en-GB" w:eastAsia="en-AU"/>
              </w:rPr>
              <w:t>i</w:t>
            </w:r>
            <w:r w:rsidR="00FF2C03" w:rsidRPr="00F85DCF" w:rsidDel="002C0A63">
              <w:rPr>
                <w:sz w:val="20"/>
                <w:szCs w:val="20"/>
                <w:lang w:val="en-GB" w:eastAsia="en-AU"/>
              </w:rPr>
              <w:t xml:space="preserve">s </w:t>
            </w:r>
            <w:r w:rsidRPr="00F85DCF">
              <w:rPr>
                <w:sz w:val="20"/>
                <w:szCs w:val="20"/>
                <w:lang w:val="en-GB" w:eastAsia="en-AU"/>
              </w:rPr>
              <w:t>considered acceptable.</w:t>
            </w:r>
          </w:p>
        </w:tc>
      </w:tr>
      <w:tr w:rsidR="00421A04" w:rsidRPr="00F85DCF" w14:paraId="04930003" w14:textId="77777777" w:rsidTr="00A62A60">
        <w:tc>
          <w:tcPr>
            <w:tcW w:w="3545" w:type="dxa"/>
            <w:vMerge w:val="restart"/>
            <w:vAlign w:val="center"/>
          </w:tcPr>
          <w:p w14:paraId="71712035" w14:textId="7212367B" w:rsidR="00421A04" w:rsidRPr="00F85DCF" w:rsidRDefault="00421A04" w:rsidP="00CA7859">
            <w:pPr>
              <w:rPr>
                <w:sz w:val="20"/>
                <w:szCs w:val="20"/>
                <w:lang w:val="en-GB" w:eastAsia="en-AU"/>
              </w:rPr>
            </w:pPr>
            <w:r w:rsidRPr="00F85DCF" w:rsidDel="002C0A63">
              <w:rPr>
                <w:sz w:val="20"/>
                <w:szCs w:val="20"/>
                <w:lang w:val="en-GB" w:eastAsia="en-AU"/>
              </w:rPr>
              <w:t>Acute dietary exposure assessment</w:t>
            </w:r>
            <w:r w:rsidRPr="00F85DCF" w:rsidDel="002C0A63">
              <w:rPr>
                <w:sz w:val="20"/>
                <w:szCs w:val="20"/>
                <w:lang w:val="en-GB"/>
              </w:rPr>
              <w:t xml:space="preserve"> (NESTI)</w:t>
            </w:r>
          </w:p>
        </w:tc>
        <w:tc>
          <w:tcPr>
            <w:tcW w:w="6520" w:type="dxa"/>
            <w:vAlign w:val="center"/>
          </w:tcPr>
          <w:p w14:paraId="1BED95A8" w14:textId="6523DB89" w:rsidR="00421A04" w:rsidRPr="00F85DCF" w:rsidRDefault="00421A04" w:rsidP="00CA7859">
            <w:pPr>
              <w:rPr>
                <w:sz w:val="20"/>
                <w:szCs w:val="20"/>
                <w:lang w:val="en-GB"/>
              </w:rPr>
            </w:pPr>
            <w:r w:rsidRPr="00F85DCF" w:rsidDel="002C0A63">
              <w:rPr>
                <w:sz w:val="20"/>
                <w:szCs w:val="20"/>
                <w:lang w:val="en-GB" w:eastAsia="en-AU"/>
              </w:rPr>
              <w:t xml:space="preserve">Children 2-16 years of age, all commodities resulted in &lt;1% of the ARfD </w:t>
            </w:r>
          </w:p>
        </w:tc>
      </w:tr>
      <w:tr w:rsidR="00421A04" w:rsidRPr="00F85DCF" w14:paraId="4A74E7D7" w14:textId="77777777" w:rsidTr="00A62A60">
        <w:tc>
          <w:tcPr>
            <w:tcW w:w="3545" w:type="dxa"/>
            <w:vMerge/>
            <w:vAlign w:val="center"/>
          </w:tcPr>
          <w:p w14:paraId="2C58E0DA" w14:textId="4A4A6A42" w:rsidR="00421A04" w:rsidRPr="00F85DCF" w:rsidRDefault="00421A04" w:rsidP="00CA7859">
            <w:pPr>
              <w:rPr>
                <w:sz w:val="20"/>
                <w:szCs w:val="20"/>
                <w:lang w:val="en-GB" w:eastAsia="en-AU"/>
              </w:rPr>
            </w:pPr>
          </w:p>
        </w:tc>
        <w:tc>
          <w:tcPr>
            <w:tcW w:w="6520" w:type="dxa"/>
            <w:vAlign w:val="center"/>
          </w:tcPr>
          <w:p w14:paraId="68B6DE24" w14:textId="446FEE8B" w:rsidR="00421A04" w:rsidRPr="00F85DCF" w:rsidRDefault="00421A04" w:rsidP="00CA7859">
            <w:pPr>
              <w:rPr>
                <w:sz w:val="20"/>
                <w:szCs w:val="20"/>
                <w:lang w:val="en-GB"/>
              </w:rPr>
            </w:pPr>
            <w:r w:rsidRPr="00F85DCF" w:rsidDel="002C0A63">
              <w:rPr>
                <w:sz w:val="20"/>
                <w:szCs w:val="20"/>
                <w:lang w:val="en-GB" w:eastAsia="en-AU"/>
              </w:rPr>
              <w:t>Population aged to years and above, all commodities resulted in &lt;1% of the ARfD</w:t>
            </w:r>
          </w:p>
        </w:tc>
      </w:tr>
      <w:tr w:rsidR="00925CF9" w:rsidRPr="00F85DCF" w14:paraId="534A46EA" w14:textId="77777777" w:rsidTr="00A62A60">
        <w:tc>
          <w:tcPr>
            <w:tcW w:w="3545" w:type="dxa"/>
            <w:vAlign w:val="center"/>
          </w:tcPr>
          <w:p w14:paraId="06E26E69" w14:textId="77777777" w:rsidR="00925CF9" w:rsidRPr="00F85DCF" w:rsidRDefault="00925CF9" w:rsidP="00CA7859">
            <w:pPr>
              <w:rPr>
                <w:sz w:val="20"/>
                <w:szCs w:val="20"/>
                <w:lang w:val="en-GB" w:eastAsia="en-AU"/>
              </w:rPr>
            </w:pPr>
            <w:r w:rsidRPr="00F85DCF">
              <w:rPr>
                <w:sz w:val="20"/>
                <w:szCs w:val="20"/>
                <w:lang w:val="en-GB" w:eastAsia="en-AU"/>
              </w:rPr>
              <w:t>Conclusion</w:t>
            </w:r>
          </w:p>
        </w:tc>
        <w:tc>
          <w:tcPr>
            <w:tcW w:w="6520" w:type="dxa"/>
            <w:vAlign w:val="center"/>
          </w:tcPr>
          <w:p w14:paraId="37B26E9D" w14:textId="5019261C" w:rsidR="00925CF9" w:rsidRPr="00F85DCF" w:rsidRDefault="00925CF9" w:rsidP="002D5CE1">
            <w:pPr>
              <w:rPr>
                <w:sz w:val="20"/>
                <w:szCs w:val="20"/>
                <w:lang w:val="en-GB" w:eastAsia="en-AU"/>
              </w:rPr>
            </w:pPr>
            <w:r w:rsidRPr="00F85DCF">
              <w:rPr>
                <w:sz w:val="20"/>
                <w:szCs w:val="20"/>
                <w:lang w:val="en-GB"/>
              </w:rPr>
              <w:t xml:space="preserve">After considering the principles set out above an </w:t>
            </w:r>
            <w:r w:rsidR="002D5CE1" w:rsidRPr="00F85DCF">
              <w:rPr>
                <w:b/>
                <w:i/>
                <w:sz w:val="20"/>
                <w:szCs w:val="20"/>
                <w:lang w:val="en-GB"/>
              </w:rPr>
              <w:t>A</w:t>
            </w:r>
            <w:r w:rsidR="0003601D" w:rsidRPr="00F85DCF">
              <w:rPr>
                <w:b/>
                <w:i/>
                <w:sz w:val="20"/>
                <w:szCs w:val="20"/>
                <w:lang w:val="en-GB"/>
              </w:rPr>
              <w:t xml:space="preserve">ll other foods except animal </w:t>
            </w:r>
            <w:r w:rsidR="006C226A">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0.05 </w:t>
            </w:r>
            <w:r w:rsidRPr="00F85DCF">
              <w:rPr>
                <w:b/>
                <w:sz w:val="20"/>
                <w:szCs w:val="20"/>
                <w:lang w:val="en-GB"/>
              </w:rPr>
              <w:t xml:space="preserve">mg/kg </w:t>
            </w:r>
            <w:r w:rsidRPr="00F85DCF">
              <w:rPr>
                <w:sz w:val="20"/>
                <w:szCs w:val="20"/>
                <w:lang w:val="en-GB"/>
              </w:rPr>
              <w:t xml:space="preserve">for </w:t>
            </w:r>
            <w:r w:rsidRPr="00F85DCF">
              <w:rPr>
                <w:sz w:val="20"/>
                <w:szCs w:val="20"/>
                <w:lang w:val="en-GB" w:eastAsia="en-AU"/>
              </w:rPr>
              <w:t>Penthiopyrad</w:t>
            </w:r>
            <w:r w:rsidRPr="00F85DCF">
              <w:rPr>
                <w:sz w:val="20"/>
                <w:szCs w:val="20"/>
                <w:lang w:val="en-GB"/>
              </w:rPr>
              <w:t xml:space="preserve"> is acceptable because it has been shown to be practical, adequately manages the risk of off-label use and does not increase the </w:t>
            </w:r>
            <w:r w:rsidR="005A4649" w:rsidRPr="00F85DCF">
              <w:rPr>
                <w:sz w:val="20"/>
                <w:szCs w:val="20"/>
                <w:lang w:val="en-GB"/>
              </w:rPr>
              <w:t>level of concern about</w:t>
            </w:r>
            <w:r w:rsidRPr="00F85DCF">
              <w:rPr>
                <w:sz w:val="20"/>
                <w:szCs w:val="20"/>
                <w:lang w:val="en-GB"/>
              </w:rPr>
              <w:t xml:space="preserve"> risk to public health.</w:t>
            </w:r>
          </w:p>
        </w:tc>
      </w:tr>
    </w:tbl>
    <w:p w14:paraId="2C48FE54" w14:textId="54B656AE" w:rsidR="00B40424" w:rsidRPr="00F85DCF" w:rsidRDefault="0049652A" w:rsidP="00EF6470">
      <w:pPr>
        <w:rPr>
          <w:lang w:val="en-GB" w:eastAsia="en-AU"/>
        </w:rPr>
      </w:pPr>
      <w:r w:rsidRPr="00F85DCF">
        <w:rPr>
          <w:lang w:val="en-GB" w:eastAsia="en-AU"/>
        </w:rPr>
        <w:br w:type="page"/>
      </w:r>
    </w:p>
    <w:p w14:paraId="6F8C378D" w14:textId="77777777" w:rsidR="00F6750E" w:rsidRPr="00F85DCF" w:rsidRDefault="00F6750E" w:rsidP="00A62A60">
      <w:pPr>
        <w:pStyle w:val="Heading3"/>
      </w:pPr>
      <w:r w:rsidRPr="00F85DCF">
        <w:lastRenderedPageBreak/>
        <w:t>Pyrimethanil</w:t>
      </w:r>
    </w:p>
    <w:tbl>
      <w:tblPr>
        <w:tblStyle w:val="TableGrid"/>
        <w:tblW w:w="9072" w:type="dxa"/>
        <w:tblLook w:val="04A0" w:firstRow="1" w:lastRow="0" w:firstColumn="1" w:lastColumn="0" w:noHBand="0" w:noVBand="1"/>
      </w:tblPr>
      <w:tblGrid>
        <w:gridCol w:w="3277"/>
        <w:gridCol w:w="5795"/>
      </w:tblGrid>
      <w:tr w:rsidR="0041719A" w:rsidRPr="00F85DCF" w14:paraId="65531965" w14:textId="77777777" w:rsidTr="00A62A60">
        <w:tc>
          <w:tcPr>
            <w:tcW w:w="3545" w:type="dxa"/>
            <w:vAlign w:val="center"/>
          </w:tcPr>
          <w:p w14:paraId="533F3079" w14:textId="73303F70" w:rsidR="0041719A" w:rsidRPr="00F85DCF" w:rsidRDefault="006D5974" w:rsidP="0006277A">
            <w:pPr>
              <w:rPr>
                <w:b/>
                <w:sz w:val="20"/>
                <w:szCs w:val="20"/>
                <w:lang w:val="en-GB"/>
              </w:rPr>
            </w:pPr>
            <w:r w:rsidRPr="006D5974">
              <w:rPr>
                <w:b/>
                <w:sz w:val="20"/>
                <w:szCs w:val="20"/>
                <w:lang w:val="en-GB"/>
              </w:rPr>
              <w:t>Considerations</w:t>
            </w:r>
          </w:p>
        </w:tc>
        <w:tc>
          <w:tcPr>
            <w:tcW w:w="6520" w:type="dxa"/>
            <w:vAlign w:val="center"/>
          </w:tcPr>
          <w:p w14:paraId="3A3383C6" w14:textId="77777777" w:rsidR="0041719A" w:rsidRPr="00F85DCF" w:rsidRDefault="0041719A" w:rsidP="0006277A">
            <w:pPr>
              <w:rPr>
                <w:b/>
                <w:sz w:val="20"/>
                <w:szCs w:val="20"/>
                <w:lang w:val="en-GB" w:eastAsia="en-AU"/>
              </w:rPr>
            </w:pPr>
            <w:r w:rsidRPr="00F85DCF">
              <w:rPr>
                <w:b/>
                <w:sz w:val="20"/>
                <w:szCs w:val="20"/>
                <w:lang w:val="en-GB" w:eastAsia="en-AU"/>
              </w:rPr>
              <w:t>Comments</w:t>
            </w:r>
          </w:p>
        </w:tc>
      </w:tr>
      <w:tr w:rsidR="0041719A" w:rsidRPr="00F85DCF" w14:paraId="1D3B9A53" w14:textId="77777777" w:rsidTr="00A62A60">
        <w:tc>
          <w:tcPr>
            <w:tcW w:w="3545" w:type="dxa"/>
            <w:vAlign w:val="center"/>
          </w:tcPr>
          <w:p w14:paraId="4002290F" w14:textId="75BBF2E0" w:rsidR="0041719A" w:rsidRPr="00F85DCF" w:rsidRDefault="004710D5" w:rsidP="0006277A">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2DEDF779" w14:textId="77777777" w:rsidR="0041719A" w:rsidRPr="00F85DCF" w:rsidRDefault="0041719A" w:rsidP="0006277A">
            <w:pPr>
              <w:rPr>
                <w:sz w:val="20"/>
                <w:szCs w:val="20"/>
                <w:lang w:val="en-GB"/>
              </w:rPr>
            </w:pPr>
            <w:r w:rsidRPr="00F85DCF">
              <w:rPr>
                <w:sz w:val="20"/>
                <w:szCs w:val="20"/>
                <w:lang w:val="en-GB" w:eastAsia="en-AU"/>
              </w:rPr>
              <w:t>0.01 mg/kg</w:t>
            </w:r>
          </w:p>
        </w:tc>
      </w:tr>
      <w:tr w:rsidR="0041719A" w:rsidRPr="00F85DCF" w14:paraId="1536A806" w14:textId="77777777" w:rsidTr="00A62A60">
        <w:tc>
          <w:tcPr>
            <w:tcW w:w="3545" w:type="dxa"/>
            <w:vAlign w:val="center"/>
          </w:tcPr>
          <w:p w14:paraId="7534EE45" w14:textId="77777777" w:rsidR="0041719A" w:rsidRPr="00F85DCF" w:rsidRDefault="0041719A" w:rsidP="0006277A">
            <w:pPr>
              <w:rPr>
                <w:sz w:val="20"/>
                <w:szCs w:val="20"/>
                <w:lang w:val="en-GB"/>
              </w:rPr>
            </w:pPr>
            <w:r w:rsidRPr="00F85DCF">
              <w:rPr>
                <w:sz w:val="20"/>
                <w:szCs w:val="20"/>
                <w:lang w:val="en-GB"/>
              </w:rPr>
              <w:t>Lowest plant commodity MRL</w:t>
            </w:r>
          </w:p>
        </w:tc>
        <w:tc>
          <w:tcPr>
            <w:tcW w:w="6520" w:type="dxa"/>
            <w:vAlign w:val="center"/>
          </w:tcPr>
          <w:p w14:paraId="0AA5C9AD" w14:textId="77777777" w:rsidR="0041719A" w:rsidRPr="00F85DCF" w:rsidRDefault="0041719A" w:rsidP="0006277A">
            <w:pPr>
              <w:rPr>
                <w:sz w:val="20"/>
                <w:szCs w:val="20"/>
                <w:lang w:val="en-GB"/>
              </w:rPr>
            </w:pPr>
            <w:r w:rsidRPr="00F85DCF">
              <w:rPr>
                <w:sz w:val="20"/>
                <w:szCs w:val="20"/>
                <w:lang w:val="en-GB" w:eastAsia="en-AU"/>
              </w:rPr>
              <w:t>*0.01 mg/kg (Potato)</w:t>
            </w:r>
          </w:p>
        </w:tc>
      </w:tr>
      <w:tr w:rsidR="0041719A" w:rsidRPr="00F85DCF" w14:paraId="306DC95E" w14:textId="77777777" w:rsidTr="00A62A60">
        <w:tc>
          <w:tcPr>
            <w:tcW w:w="3545" w:type="dxa"/>
            <w:vAlign w:val="center"/>
          </w:tcPr>
          <w:p w14:paraId="4F9E861B" w14:textId="22E48BAC" w:rsidR="0041719A" w:rsidRPr="00F85DCF" w:rsidRDefault="00A05F0F" w:rsidP="0006277A">
            <w:pPr>
              <w:rPr>
                <w:sz w:val="20"/>
                <w:szCs w:val="20"/>
                <w:lang w:val="en-GB"/>
              </w:rPr>
            </w:pPr>
            <w:r w:rsidRPr="00F85DCF">
              <w:rPr>
                <w:sz w:val="20"/>
                <w:szCs w:val="20"/>
                <w:lang w:val="en-GB" w:eastAsia="en-AU"/>
              </w:rPr>
              <w:t xml:space="preserve">Magnitude of existing </w:t>
            </w:r>
            <w:r w:rsidR="0006277A"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78F6D59C" w14:textId="2473C175" w:rsidR="0041719A" w:rsidRPr="00F85DCF" w:rsidRDefault="0041719A" w:rsidP="0006277A">
            <w:pPr>
              <w:rPr>
                <w:sz w:val="20"/>
                <w:szCs w:val="20"/>
                <w:lang w:val="en-GB"/>
              </w:rPr>
            </w:pPr>
            <w:r w:rsidRPr="00F85DCF">
              <w:rPr>
                <w:sz w:val="20"/>
                <w:szCs w:val="20"/>
                <w:lang w:val="en-GB"/>
              </w:rPr>
              <w:t xml:space="preserve">The range of existing MRLs, excluding animal </w:t>
            </w:r>
            <w:r w:rsidR="00BD6C56">
              <w:rPr>
                <w:sz w:val="20"/>
                <w:szCs w:val="20"/>
                <w:lang w:val="en-GB"/>
              </w:rPr>
              <w:t xml:space="preserve">food </w:t>
            </w:r>
            <w:r w:rsidRPr="00F85DCF">
              <w:rPr>
                <w:sz w:val="20"/>
                <w:szCs w:val="20"/>
                <w:lang w:val="en-GB"/>
              </w:rPr>
              <w:t xml:space="preserve">commodities, </w:t>
            </w:r>
            <w:r w:rsidR="0086673E" w:rsidRPr="00F85DCF">
              <w:rPr>
                <w:sz w:val="20"/>
                <w:szCs w:val="20"/>
                <w:lang w:val="en-GB"/>
              </w:rPr>
              <w:t xml:space="preserve">is </w:t>
            </w:r>
            <w:r w:rsidRPr="00F85DCF">
              <w:rPr>
                <w:sz w:val="20"/>
                <w:szCs w:val="20"/>
                <w:lang w:val="en-GB" w:eastAsia="en-AU"/>
              </w:rPr>
              <w:t>0.01</w:t>
            </w:r>
            <w:r w:rsidR="005B2E19" w:rsidRPr="00F85DCF">
              <w:rPr>
                <w:sz w:val="20"/>
                <w:szCs w:val="20"/>
                <w:lang w:val="en-GB" w:eastAsia="en-AU"/>
              </w:rPr>
              <w:t> </w:t>
            </w:r>
            <w:r w:rsidRPr="00F85DCF">
              <w:rPr>
                <w:sz w:val="20"/>
                <w:szCs w:val="20"/>
                <w:lang w:val="en-GB"/>
              </w:rPr>
              <w:t>mg/kg (</w:t>
            </w:r>
            <w:r w:rsidRPr="00F85DCF">
              <w:rPr>
                <w:sz w:val="20"/>
                <w:szCs w:val="20"/>
                <w:lang w:val="en-GB" w:eastAsia="en-AU"/>
              </w:rPr>
              <w:t>potato</w:t>
            </w:r>
            <w:r w:rsidRPr="00F85DCF">
              <w:rPr>
                <w:sz w:val="20"/>
                <w:szCs w:val="20"/>
                <w:lang w:val="en-GB"/>
              </w:rPr>
              <w:t xml:space="preserve">) to </w:t>
            </w:r>
            <w:r w:rsidRPr="00F85DCF">
              <w:rPr>
                <w:sz w:val="20"/>
                <w:szCs w:val="20"/>
                <w:lang w:val="en-GB" w:eastAsia="en-AU"/>
              </w:rPr>
              <w:t xml:space="preserve">20 </w:t>
            </w:r>
            <w:r w:rsidRPr="00F85DCF">
              <w:rPr>
                <w:sz w:val="20"/>
                <w:szCs w:val="20"/>
                <w:lang w:val="en-GB"/>
              </w:rPr>
              <w:t>mg/kg (</w:t>
            </w:r>
            <w:r w:rsidR="00EC66C5" w:rsidRPr="00F85DCF">
              <w:rPr>
                <w:sz w:val="20"/>
                <w:szCs w:val="20"/>
                <w:lang w:val="en-GB" w:eastAsia="en-AU"/>
              </w:rPr>
              <w:t>l</w:t>
            </w:r>
            <w:r w:rsidRPr="00F85DCF">
              <w:rPr>
                <w:sz w:val="20"/>
                <w:szCs w:val="20"/>
                <w:lang w:val="en-GB" w:eastAsia="en-AU"/>
              </w:rPr>
              <w:t xml:space="preserve">ettuce, head and </w:t>
            </w:r>
            <w:r w:rsidR="00EC66C5" w:rsidRPr="00F85DCF">
              <w:rPr>
                <w:sz w:val="20"/>
                <w:szCs w:val="20"/>
                <w:lang w:val="en-GB" w:eastAsia="en-AU"/>
              </w:rPr>
              <w:t>l</w:t>
            </w:r>
            <w:r w:rsidRPr="00F85DCF">
              <w:rPr>
                <w:sz w:val="20"/>
                <w:szCs w:val="20"/>
                <w:lang w:val="en-GB" w:eastAsia="en-AU"/>
              </w:rPr>
              <w:t>ettuce, leaf</w:t>
            </w:r>
            <w:r w:rsidR="0006277A" w:rsidRPr="00F85DCF">
              <w:rPr>
                <w:sz w:val="20"/>
                <w:szCs w:val="20"/>
                <w:lang w:val="en-GB"/>
              </w:rPr>
              <w:t>).</w:t>
            </w:r>
          </w:p>
        </w:tc>
      </w:tr>
      <w:tr w:rsidR="0041719A" w:rsidRPr="00F85DCF" w14:paraId="0B7EC325" w14:textId="77777777" w:rsidTr="00A62A60">
        <w:tc>
          <w:tcPr>
            <w:tcW w:w="3545" w:type="dxa"/>
            <w:vAlign w:val="center"/>
          </w:tcPr>
          <w:p w14:paraId="7ED2F330" w14:textId="466162C7" w:rsidR="0041719A" w:rsidRPr="00F85DCF" w:rsidRDefault="0041719A" w:rsidP="0006277A">
            <w:pPr>
              <w:rPr>
                <w:sz w:val="20"/>
                <w:szCs w:val="20"/>
                <w:lang w:val="en-GB" w:eastAsia="en-AU"/>
              </w:rPr>
            </w:pPr>
            <w:r w:rsidRPr="00F85DCF">
              <w:rPr>
                <w:sz w:val="20"/>
                <w:szCs w:val="20"/>
                <w:lang w:val="en-GB" w:eastAsia="en-AU"/>
              </w:rPr>
              <w:t xml:space="preserve">Lowest </w:t>
            </w:r>
            <w:r w:rsidR="0006277A" w:rsidRPr="00F85DCF">
              <w:rPr>
                <w:sz w:val="20"/>
                <w:szCs w:val="20"/>
                <w:lang w:val="en-GB" w:eastAsia="en-AU"/>
              </w:rPr>
              <w:t xml:space="preserve">plant commodity </w:t>
            </w:r>
            <w:r w:rsidRPr="00F85DCF">
              <w:rPr>
                <w:sz w:val="20"/>
                <w:szCs w:val="20"/>
                <w:lang w:val="en-GB" w:eastAsia="en-AU"/>
              </w:rPr>
              <w:t>MRL</w:t>
            </w:r>
            <w:r w:rsidR="00275086" w:rsidRPr="00F85DCF">
              <w:rPr>
                <w:sz w:val="20"/>
                <w:szCs w:val="20"/>
                <w:lang w:val="en-GB"/>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7DC862AF" w14:textId="5A8C256D" w:rsidR="0041719A" w:rsidRPr="00F85DCF" w:rsidRDefault="0041719A" w:rsidP="0006277A">
            <w:pPr>
              <w:rPr>
                <w:sz w:val="20"/>
                <w:szCs w:val="20"/>
                <w:lang w:val="en-GB"/>
              </w:rPr>
            </w:pPr>
            <w:r w:rsidRPr="00F85DCF">
              <w:rPr>
                <w:sz w:val="20"/>
                <w:szCs w:val="20"/>
                <w:lang w:val="en-GB" w:eastAsia="en-AU"/>
              </w:rPr>
              <w:t xml:space="preserve">0.1 </w:t>
            </w:r>
            <w:r w:rsidRPr="00F85DCF">
              <w:rPr>
                <w:sz w:val="20"/>
                <w:szCs w:val="20"/>
                <w:lang w:val="en-GB"/>
              </w:rPr>
              <w:t>mg/kg (</w:t>
            </w:r>
            <w:r w:rsidR="00EC66C5" w:rsidRPr="00F85DCF">
              <w:rPr>
                <w:sz w:val="20"/>
                <w:szCs w:val="20"/>
                <w:lang w:val="en-GB" w:eastAsia="en-AU"/>
              </w:rPr>
              <w:t>o</w:t>
            </w:r>
            <w:r w:rsidRPr="00F85DCF">
              <w:rPr>
                <w:sz w:val="20"/>
                <w:szCs w:val="20"/>
                <w:lang w:val="en-GB" w:eastAsia="en-AU"/>
              </w:rPr>
              <w:t xml:space="preserve">nion, bulb; </w:t>
            </w:r>
            <w:r w:rsidR="00EC66C5" w:rsidRPr="00F85DCF">
              <w:rPr>
                <w:sz w:val="20"/>
                <w:szCs w:val="20"/>
                <w:lang w:val="en-GB" w:eastAsia="en-AU"/>
              </w:rPr>
              <w:t>s</w:t>
            </w:r>
            <w:r w:rsidRPr="00F85DCF">
              <w:rPr>
                <w:sz w:val="20"/>
                <w:szCs w:val="20"/>
                <w:lang w:val="en-GB" w:eastAsia="en-AU"/>
              </w:rPr>
              <w:t>pices</w:t>
            </w:r>
            <w:r w:rsidRPr="00F85DCF">
              <w:rPr>
                <w:sz w:val="20"/>
                <w:szCs w:val="20"/>
                <w:lang w:val="en-GB"/>
              </w:rPr>
              <w:t>)</w:t>
            </w:r>
          </w:p>
        </w:tc>
      </w:tr>
      <w:tr w:rsidR="0041719A" w:rsidRPr="00F85DCF" w14:paraId="1838B35E" w14:textId="77777777" w:rsidTr="00A62A60">
        <w:tc>
          <w:tcPr>
            <w:tcW w:w="3545" w:type="dxa"/>
            <w:vAlign w:val="center"/>
          </w:tcPr>
          <w:p w14:paraId="191127C1" w14:textId="3AE03DF0" w:rsidR="0041719A" w:rsidRPr="00F85DCF" w:rsidRDefault="0041719A" w:rsidP="0006277A">
            <w:pPr>
              <w:rPr>
                <w:sz w:val="20"/>
                <w:szCs w:val="20"/>
                <w:lang w:val="en-GB" w:eastAsia="en-AU"/>
              </w:rPr>
            </w:pPr>
            <w:r w:rsidRPr="00F85DCF">
              <w:rPr>
                <w:sz w:val="20"/>
                <w:szCs w:val="20"/>
                <w:lang w:val="en-GB" w:eastAsia="en-AU"/>
              </w:rPr>
              <w:t xml:space="preserve">Most relevant reference point to </w:t>
            </w:r>
            <w:r w:rsidR="005B2E19"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422ECB43" w14:textId="04DC3C4C" w:rsidR="0041719A" w:rsidRPr="00F85DCF" w:rsidRDefault="0041719A" w:rsidP="0006277A">
            <w:pPr>
              <w:rPr>
                <w:sz w:val="20"/>
                <w:szCs w:val="20"/>
                <w:lang w:val="en-GB"/>
              </w:rPr>
            </w:pPr>
            <w:r w:rsidRPr="00F85DCF">
              <w:rPr>
                <w:sz w:val="20"/>
                <w:szCs w:val="20"/>
                <w:lang w:val="en-GB" w:eastAsia="en-AU"/>
              </w:rPr>
              <w:t xml:space="preserve">0.1 </w:t>
            </w:r>
            <w:r w:rsidRPr="00F85DCF">
              <w:rPr>
                <w:sz w:val="20"/>
                <w:szCs w:val="20"/>
                <w:lang w:val="en-GB"/>
              </w:rPr>
              <w:t>mg/kg</w:t>
            </w:r>
          </w:p>
        </w:tc>
      </w:tr>
      <w:tr w:rsidR="0041719A" w:rsidRPr="00F85DCF" w14:paraId="7E12074B" w14:textId="77777777" w:rsidTr="00A62A60">
        <w:tc>
          <w:tcPr>
            <w:tcW w:w="3545" w:type="dxa"/>
            <w:vAlign w:val="center"/>
          </w:tcPr>
          <w:p w14:paraId="5245D173" w14:textId="77777777" w:rsidR="0041719A" w:rsidRPr="00F85DCF" w:rsidRDefault="0041719A" w:rsidP="0006277A">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5B80FA5F" w14:textId="1BC01706" w:rsidR="0041719A" w:rsidRPr="00F85DCF" w:rsidRDefault="0041719A" w:rsidP="0006277A">
            <w:pPr>
              <w:rPr>
                <w:sz w:val="20"/>
                <w:szCs w:val="20"/>
                <w:lang w:val="en-GB"/>
              </w:rPr>
            </w:pPr>
            <w:r w:rsidRPr="00F85DCF">
              <w:rPr>
                <w:sz w:val="20"/>
                <w:szCs w:val="20"/>
                <w:lang w:val="en-GB" w:eastAsia="en-AU"/>
              </w:rPr>
              <w:t>24</w:t>
            </w:r>
            <w:r w:rsidRPr="00F85DCF">
              <w:rPr>
                <w:sz w:val="20"/>
                <w:szCs w:val="20"/>
                <w:lang w:val="en-GB"/>
              </w:rPr>
              <w:t>% of the ADI</w:t>
            </w:r>
            <w:r w:rsidR="00F8678D" w:rsidRPr="00F85DCF">
              <w:rPr>
                <w:sz w:val="20"/>
                <w:szCs w:val="20"/>
                <w:lang w:val="en-GB"/>
              </w:rPr>
              <w:t>.</w:t>
            </w:r>
          </w:p>
        </w:tc>
      </w:tr>
      <w:tr w:rsidR="00961329" w:rsidRPr="00F85DCF" w14:paraId="03F84098" w14:textId="77777777" w:rsidTr="00A62A60">
        <w:tc>
          <w:tcPr>
            <w:tcW w:w="3545" w:type="dxa"/>
            <w:vAlign w:val="center"/>
          </w:tcPr>
          <w:p w14:paraId="12137273" w14:textId="02702B60" w:rsidR="00961329" w:rsidRPr="00F85DCF" w:rsidRDefault="00961329" w:rsidP="00E35F1B">
            <w:pPr>
              <w:rPr>
                <w:sz w:val="20"/>
                <w:szCs w:val="20"/>
                <w:lang w:val="en-GB"/>
              </w:rPr>
            </w:pPr>
            <w:r w:rsidRPr="00F85DCF">
              <w:rPr>
                <w:sz w:val="20"/>
                <w:szCs w:val="20"/>
                <w:lang w:val="en-GB"/>
              </w:rPr>
              <w:t xml:space="preserve">Proposed </w:t>
            </w:r>
            <w:r w:rsidR="00E35F1B" w:rsidRPr="00F85DCF">
              <w:rPr>
                <w:i/>
                <w:sz w:val="20"/>
                <w:szCs w:val="20"/>
                <w:lang w:val="en-GB"/>
              </w:rPr>
              <w:t>A</w:t>
            </w:r>
            <w:r w:rsidR="00452F0F" w:rsidRPr="00F85DCF">
              <w:rPr>
                <w:i/>
                <w:sz w:val="20"/>
                <w:szCs w:val="20"/>
                <w:lang w:val="en-GB"/>
              </w:rPr>
              <w:t xml:space="preserve">ll other foods </w:t>
            </w:r>
            <w:r w:rsidR="0003601D" w:rsidRPr="00F85DCF">
              <w:rPr>
                <w:i/>
                <w:sz w:val="20"/>
                <w:szCs w:val="20"/>
                <w:lang w:val="en-GB"/>
              </w:rPr>
              <w:t xml:space="preserve">except animal </w:t>
            </w:r>
            <w:r w:rsidR="006C226A">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r w:rsidR="000C07E7" w:rsidRPr="00F85DCF">
              <w:rPr>
                <w:lang w:val="en-GB"/>
              </w:rPr>
              <w:t xml:space="preserve"> </w:t>
            </w:r>
          </w:p>
        </w:tc>
        <w:tc>
          <w:tcPr>
            <w:tcW w:w="6520" w:type="dxa"/>
            <w:vAlign w:val="center"/>
          </w:tcPr>
          <w:p w14:paraId="0F1A6DF0" w14:textId="0E06951D" w:rsidR="00961329" w:rsidRPr="00F85DCF" w:rsidRDefault="00961329" w:rsidP="0006277A">
            <w:pPr>
              <w:rPr>
                <w:sz w:val="20"/>
                <w:szCs w:val="20"/>
                <w:lang w:val="en-GB"/>
              </w:rPr>
            </w:pPr>
            <w:r w:rsidRPr="00F85DCF">
              <w:rPr>
                <w:sz w:val="20"/>
                <w:szCs w:val="20"/>
                <w:lang w:val="en-GB"/>
              </w:rPr>
              <w:t xml:space="preserve">0.1 mg/kg </w:t>
            </w:r>
          </w:p>
        </w:tc>
      </w:tr>
      <w:tr w:rsidR="00961329" w:rsidRPr="00F85DCF" w14:paraId="4B71A9AF" w14:textId="77777777" w:rsidTr="00A62A60">
        <w:tc>
          <w:tcPr>
            <w:tcW w:w="3545" w:type="dxa"/>
            <w:vAlign w:val="center"/>
          </w:tcPr>
          <w:p w14:paraId="03B9E6BB" w14:textId="6E552EBB" w:rsidR="00961329" w:rsidRPr="00F85DCF" w:rsidRDefault="00961329" w:rsidP="00E35F1B">
            <w:pPr>
              <w:rPr>
                <w:sz w:val="20"/>
                <w:szCs w:val="20"/>
                <w:lang w:val="en-GB"/>
              </w:rPr>
            </w:pPr>
            <w:r w:rsidRPr="00F85DCF">
              <w:rPr>
                <w:sz w:val="20"/>
                <w:szCs w:val="20"/>
                <w:lang w:val="en-GB" w:eastAsia="en-AU"/>
              </w:rPr>
              <w:t xml:space="preserve">NEDI including </w:t>
            </w:r>
            <w:r w:rsidR="00E35F1B" w:rsidRPr="00F85DCF">
              <w:rPr>
                <w:i/>
                <w:sz w:val="20"/>
                <w:szCs w:val="20"/>
                <w:lang w:val="en-GB" w:eastAsia="en-AU"/>
              </w:rPr>
              <w:t>A</w:t>
            </w:r>
            <w:r w:rsidR="00452F0F"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0DD5502E" w14:textId="77777777" w:rsidR="00961329" w:rsidRPr="00F85DCF" w:rsidRDefault="00961329" w:rsidP="0006277A">
            <w:pPr>
              <w:rPr>
                <w:sz w:val="20"/>
                <w:szCs w:val="20"/>
                <w:lang w:val="en-GB"/>
              </w:rPr>
            </w:pPr>
            <w:r w:rsidRPr="00F85DCF">
              <w:rPr>
                <w:sz w:val="20"/>
                <w:szCs w:val="20"/>
                <w:lang w:val="en-GB" w:eastAsia="en-AU"/>
              </w:rPr>
              <w:t>26% of the ADI.</w:t>
            </w:r>
          </w:p>
        </w:tc>
      </w:tr>
      <w:tr w:rsidR="0041719A" w:rsidRPr="00F85DCF" w14:paraId="7DB54783" w14:textId="77777777" w:rsidTr="00A62A60">
        <w:tc>
          <w:tcPr>
            <w:tcW w:w="3545" w:type="dxa"/>
            <w:vAlign w:val="center"/>
          </w:tcPr>
          <w:p w14:paraId="58FD0DA7" w14:textId="7BF742AD" w:rsidR="0041719A" w:rsidRPr="00F85DCF" w:rsidRDefault="00D7195E" w:rsidP="00E35F1B">
            <w:pPr>
              <w:rPr>
                <w:sz w:val="20"/>
                <w:szCs w:val="20"/>
                <w:lang w:val="en-GB" w:eastAsia="en-AU"/>
              </w:rPr>
            </w:pPr>
            <w:r w:rsidRPr="00F85DCF">
              <w:rPr>
                <w:sz w:val="20"/>
                <w:szCs w:val="20"/>
                <w:lang w:val="en-GB" w:eastAsia="en-AU"/>
              </w:rPr>
              <w:t xml:space="preserve">Percentage contribution of </w:t>
            </w:r>
            <w:r w:rsidR="00E35F1B" w:rsidRPr="00F85DCF">
              <w:rPr>
                <w:i/>
                <w:sz w:val="20"/>
                <w:szCs w:val="20"/>
                <w:lang w:val="en-GB" w:eastAsia="en-AU"/>
              </w:rPr>
              <w:t>A</w:t>
            </w:r>
            <w:r w:rsidR="00452F0F"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w:t>
            </w:r>
            <w:r w:rsidR="005B2E19"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7F01A8CA" w14:textId="04921310" w:rsidR="0041719A" w:rsidRPr="00F85DCF" w:rsidRDefault="0041719A" w:rsidP="00E35F1B">
            <w:pPr>
              <w:rPr>
                <w:sz w:val="20"/>
                <w:szCs w:val="20"/>
                <w:lang w:val="en-GB" w:eastAsia="en-AU"/>
              </w:rPr>
            </w:pPr>
            <w:r w:rsidRPr="00F85DCF">
              <w:rPr>
                <w:sz w:val="20"/>
                <w:szCs w:val="20"/>
                <w:lang w:val="en-GB" w:eastAsia="en-AU"/>
              </w:rPr>
              <w:t xml:space="preserve">An </w:t>
            </w:r>
            <w:r w:rsidR="00E35F1B" w:rsidRPr="00F85DCF">
              <w:rPr>
                <w:i/>
                <w:sz w:val="20"/>
                <w:szCs w:val="20"/>
                <w:lang w:val="en-GB" w:eastAsia="en-AU"/>
              </w:rPr>
              <w:t>A</w:t>
            </w:r>
            <w:r w:rsidR="00452F0F"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0.4 mg/kg could have been used as this represent</w:t>
            </w:r>
            <w:r w:rsidR="0086673E" w:rsidRPr="00F85DCF">
              <w:rPr>
                <w:sz w:val="20"/>
                <w:szCs w:val="20"/>
                <w:lang w:val="en-GB" w:eastAsia="en-AU"/>
              </w:rPr>
              <w:t>s</w:t>
            </w:r>
            <w:r w:rsidRPr="00F85DCF">
              <w:rPr>
                <w:sz w:val="20"/>
                <w:szCs w:val="20"/>
                <w:lang w:val="en-GB" w:eastAsia="en-AU"/>
              </w:rPr>
              <w:t xml:space="preserve"> </w:t>
            </w:r>
            <w:r w:rsidR="005B2E19" w:rsidRPr="00F85DCF">
              <w:rPr>
                <w:sz w:val="20"/>
                <w:szCs w:val="20"/>
                <w:lang w:val="en-GB" w:eastAsia="en-AU"/>
              </w:rPr>
              <w:t xml:space="preserve">a contribution of </w:t>
            </w:r>
            <w:r w:rsidRPr="00F85DCF">
              <w:rPr>
                <w:sz w:val="20"/>
                <w:szCs w:val="20"/>
                <w:lang w:val="en-GB" w:eastAsia="en-AU"/>
              </w:rPr>
              <w:t xml:space="preserve">19% </w:t>
            </w:r>
            <w:r w:rsidR="005B2E19" w:rsidRPr="00F85DCF">
              <w:rPr>
                <w:sz w:val="20"/>
                <w:szCs w:val="20"/>
                <w:lang w:val="en-GB" w:eastAsia="en-AU"/>
              </w:rPr>
              <w:t>to</w:t>
            </w:r>
            <w:r w:rsidRPr="00F85DCF">
              <w:rPr>
                <w:sz w:val="20"/>
                <w:szCs w:val="20"/>
                <w:lang w:val="en-GB" w:eastAsia="en-AU"/>
              </w:rPr>
              <w:t xml:space="preserve"> total dietary exposure. However, this level </w:t>
            </w:r>
            <w:r w:rsidR="0086673E" w:rsidRPr="00F85DCF">
              <w:rPr>
                <w:sz w:val="20"/>
                <w:szCs w:val="20"/>
                <w:lang w:val="en-GB" w:eastAsia="en-AU"/>
              </w:rPr>
              <w:t>is</w:t>
            </w:r>
            <w:r w:rsidRPr="00F85DCF">
              <w:rPr>
                <w:sz w:val="20"/>
                <w:szCs w:val="20"/>
                <w:lang w:val="en-GB" w:eastAsia="en-AU"/>
              </w:rPr>
              <w:t xml:space="preserve"> considered unacceptable as it </w:t>
            </w:r>
            <w:r w:rsidR="0086673E" w:rsidRPr="00F85DCF">
              <w:rPr>
                <w:sz w:val="20"/>
                <w:szCs w:val="20"/>
                <w:lang w:val="en-GB" w:eastAsia="en-AU"/>
              </w:rPr>
              <w:t>i</w:t>
            </w:r>
            <w:r w:rsidRPr="00F85DCF">
              <w:rPr>
                <w:sz w:val="20"/>
                <w:szCs w:val="20"/>
                <w:lang w:val="en-GB" w:eastAsia="en-AU"/>
              </w:rPr>
              <w:t xml:space="preserve">s considerably higher than the lowest existing MRLs for Pyrimethanil </w:t>
            </w:r>
            <w:r w:rsidR="00415D25" w:rsidRPr="00F85DCF">
              <w:rPr>
                <w:sz w:val="20"/>
                <w:szCs w:val="20"/>
                <w:lang w:val="en-GB" w:eastAsia="en-AU"/>
              </w:rPr>
              <w:t>and</w:t>
            </w:r>
            <w:r w:rsidRPr="00F85DCF">
              <w:rPr>
                <w:sz w:val="20"/>
                <w:szCs w:val="20"/>
                <w:lang w:val="en-GB" w:eastAsia="en-AU"/>
              </w:rPr>
              <w:t xml:space="preserve"> may encourage off-label use. Establishing the </w:t>
            </w:r>
            <w:r w:rsidR="00E35F1B" w:rsidRPr="00F85DCF">
              <w:rPr>
                <w:i/>
                <w:sz w:val="20"/>
                <w:szCs w:val="20"/>
                <w:lang w:val="en-GB" w:eastAsia="en-AU"/>
              </w:rPr>
              <w:t>A</w:t>
            </w:r>
            <w:r w:rsidR="00452F0F"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at 0.1 mg/kg, represents </w:t>
            </w:r>
            <w:r w:rsidR="005B2E19" w:rsidRPr="00F85DCF">
              <w:rPr>
                <w:sz w:val="20"/>
                <w:szCs w:val="20"/>
                <w:lang w:val="en-GB" w:eastAsia="en-AU"/>
              </w:rPr>
              <w:t xml:space="preserve">a contribution of </w:t>
            </w:r>
            <w:r w:rsidRPr="00F85DCF">
              <w:rPr>
                <w:sz w:val="20"/>
                <w:szCs w:val="20"/>
                <w:lang w:val="en-GB" w:eastAsia="en-AU"/>
              </w:rPr>
              <w:t xml:space="preserve">6% </w:t>
            </w:r>
            <w:r w:rsidR="005B2E19" w:rsidRPr="00F85DCF">
              <w:rPr>
                <w:sz w:val="20"/>
                <w:szCs w:val="20"/>
                <w:lang w:val="en-GB" w:eastAsia="en-AU"/>
              </w:rPr>
              <w:t>to</w:t>
            </w:r>
            <w:r w:rsidRPr="00F85DCF">
              <w:rPr>
                <w:sz w:val="20"/>
                <w:szCs w:val="20"/>
                <w:lang w:val="en-GB" w:eastAsia="en-AU"/>
              </w:rPr>
              <w:t xml:space="preserve"> total dietary exposure and is well within the target and considered acceptable.</w:t>
            </w:r>
          </w:p>
        </w:tc>
      </w:tr>
      <w:tr w:rsidR="005B2E19" w:rsidRPr="00F85DCF" w14:paraId="63BB6E18" w14:textId="77777777" w:rsidTr="00A62A60">
        <w:tc>
          <w:tcPr>
            <w:tcW w:w="3545" w:type="dxa"/>
            <w:vMerge w:val="restart"/>
            <w:vAlign w:val="center"/>
          </w:tcPr>
          <w:p w14:paraId="2F44826A" w14:textId="2ABF9FB3" w:rsidR="005B2E19" w:rsidRPr="00F85DCF" w:rsidRDefault="005B2E19" w:rsidP="0006277A">
            <w:pPr>
              <w:rPr>
                <w:sz w:val="20"/>
                <w:szCs w:val="20"/>
                <w:lang w:val="en-GB" w:eastAsia="en-AU"/>
              </w:rPr>
            </w:pPr>
            <w:r w:rsidRPr="00F85DCF" w:rsidDel="007A76C6">
              <w:rPr>
                <w:sz w:val="20"/>
                <w:szCs w:val="20"/>
                <w:lang w:val="en-GB" w:eastAsia="en-AU"/>
              </w:rPr>
              <w:t>Acute dietary exposure assessment</w:t>
            </w:r>
            <w:r w:rsidRPr="00F85DCF" w:rsidDel="007A76C6">
              <w:rPr>
                <w:sz w:val="20"/>
                <w:szCs w:val="20"/>
                <w:lang w:val="en-GB"/>
              </w:rPr>
              <w:t xml:space="preserve"> (NESTI)</w:t>
            </w:r>
          </w:p>
        </w:tc>
        <w:tc>
          <w:tcPr>
            <w:tcW w:w="6520" w:type="dxa"/>
            <w:vAlign w:val="center"/>
          </w:tcPr>
          <w:p w14:paraId="724BDF1E" w14:textId="031CE572" w:rsidR="005B2E19" w:rsidRPr="00F85DCF" w:rsidRDefault="005B2E19" w:rsidP="0006277A">
            <w:pPr>
              <w:rPr>
                <w:sz w:val="20"/>
                <w:szCs w:val="20"/>
                <w:lang w:val="en-GB"/>
              </w:rPr>
            </w:pPr>
            <w:r w:rsidRPr="00F85DCF" w:rsidDel="007A76C6">
              <w:rPr>
                <w:sz w:val="20"/>
                <w:szCs w:val="20"/>
                <w:lang w:val="en-GB" w:eastAsia="en-AU"/>
              </w:rPr>
              <w:t>Children 2-6 years of age (worse case - pineapples), 1% of the ARfD</w:t>
            </w:r>
          </w:p>
        </w:tc>
      </w:tr>
      <w:tr w:rsidR="005B2E19" w:rsidRPr="00F85DCF" w14:paraId="3856F0FD" w14:textId="77777777" w:rsidTr="00A62A60">
        <w:tc>
          <w:tcPr>
            <w:tcW w:w="3545" w:type="dxa"/>
            <w:vMerge/>
            <w:vAlign w:val="center"/>
          </w:tcPr>
          <w:p w14:paraId="63CEF608" w14:textId="1268B0BB" w:rsidR="005B2E19" w:rsidRPr="00F85DCF" w:rsidRDefault="005B2E19" w:rsidP="0006277A">
            <w:pPr>
              <w:rPr>
                <w:sz w:val="20"/>
                <w:szCs w:val="20"/>
                <w:lang w:val="en-GB" w:eastAsia="en-AU"/>
              </w:rPr>
            </w:pPr>
          </w:p>
        </w:tc>
        <w:tc>
          <w:tcPr>
            <w:tcW w:w="6520" w:type="dxa"/>
            <w:vAlign w:val="center"/>
          </w:tcPr>
          <w:p w14:paraId="15C16BF2" w14:textId="60E6D94E" w:rsidR="005B2E19" w:rsidRPr="00F85DCF" w:rsidRDefault="005B2E19" w:rsidP="0006277A">
            <w:pPr>
              <w:rPr>
                <w:sz w:val="20"/>
                <w:szCs w:val="20"/>
                <w:lang w:val="en-GB"/>
              </w:rPr>
            </w:pPr>
            <w:r w:rsidRPr="00F85DCF" w:rsidDel="007A76C6">
              <w:rPr>
                <w:sz w:val="20"/>
                <w:szCs w:val="20"/>
                <w:lang w:val="en-GB" w:eastAsia="en-AU"/>
              </w:rPr>
              <w:t>Population aged 2 years and above, all commodities resulted in &lt;1% of the ARfD.</w:t>
            </w:r>
            <w:r w:rsidRPr="00F85DCF" w:rsidDel="007A76C6">
              <w:rPr>
                <w:sz w:val="20"/>
                <w:szCs w:val="20"/>
                <w:highlight w:val="yellow"/>
                <w:lang w:val="en-GB" w:eastAsia="en-AU"/>
              </w:rPr>
              <w:t xml:space="preserve"> </w:t>
            </w:r>
          </w:p>
        </w:tc>
      </w:tr>
      <w:tr w:rsidR="0041719A" w:rsidRPr="00F85DCF" w14:paraId="5ED46EFA" w14:textId="77777777" w:rsidTr="00A62A60">
        <w:tc>
          <w:tcPr>
            <w:tcW w:w="3545" w:type="dxa"/>
            <w:vAlign w:val="center"/>
          </w:tcPr>
          <w:p w14:paraId="2E856FA4" w14:textId="77777777" w:rsidR="0041719A" w:rsidRPr="00F85DCF" w:rsidRDefault="0041719A" w:rsidP="0006277A">
            <w:pPr>
              <w:rPr>
                <w:sz w:val="20"/>
                <w:szCs w:val="20"/>
                <w:lang w:val="en-GB" w:eastAsia="en-AU"/>
              </w:rPr>
            </w:pPr>
            <w:r w:rsidRPr="00F85DCF">
              <w:rPr>
                <w:sz w:val="20"/>
                <w:szCs w:val="20"/>
                <w:lang w:val="en-GB" w:eastAsia="en-AU"/>
              </w:rPr>
              <w:t>Conclusion</w:t>
            </w:r>
          </w:p>
        </w:tc>
        <w:tc>
          <w:tcPr>
            <w:tcW w:w="6520" w:type="dxa"/>
            <w:vAlign w:val="center"/>
          </w:tcPr>
          <w:p w14:paraId="5018B494" w14:textId="0406EF2E" w:rsidR="0041719A" w:rsidRPr="00F85DCF" w:rsidRDefault="0041719A" w:rsidP="00E35F1B">
            <w:pPr>
              <w:rPr>
                <w:sz w:val="20"/>
                <w:szCs w:val="20"/>
                <w:lang w:val="en-GB" w:eastAsia="en-AU"/>
              </w:rPr>
            </w:pPr>
            <w:r w:rsidRPr="00F85DCF">
              <w:rPr>
                <w:sz w:val="20"/>
                <w:szCs w:val="20"/>
                <w:lang w:val="en-GB"/>
              </w:rPr>
              <w:t xml:space="preserve">After considering the principles set out above an </w:t>
            </w:r>
            <w:r w:rsidR="00E35F1B" w:rsidRPr="00F85DCF">
              <w:rPr>
                <w:b/>
                <w:i/>
                <w:sz w:val="20"/>
                <w:szCs w:val="20"/>
                <w:lang w:val="en-GB"/>
              </w:rPr>
              <w:t>A</w:t>
            </w:r>
            <w:r w:rsidR="00452F0F" w:rsidRPr="00F85DCF">
              <w:rPr>
                <w:b/>
                <w:i/>
                <w:sz w:val="20"/>
                <w:szCs w:val="20"/>
                <w:lang w:val="en-GB"/>
              </w:rPr>
              <w:t xml:space="preserve">ll other foods </w:t>
            </w:r>
            <w:r w:rsidR="0003601D" w:rsidRPr="00F85DCF">
              <w:rPr>
                <w:b/>
                <w:i/>
                <w:sz w:val="20"/>
                <w:szCs w:val="20"/>
                <w:lang w:val="en-GB"/>
              </w:rPr>
              <w:t xml:space="preserve">except animal </w:t>
            </w:r>
            <w:r w:rsidR="006C226A">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0.1 </w:t>
            </w:r>
            <w:r w:rsidRPr="00F85DCF">
              <w:rPr>
                <w:b/>
                <w:sz w:val="20"/>
                <w:szCs w:val="20"/>
                <w:lang w:val="en-GB"/>
              </w:rPr>
              <w:t xml:space="preserve">mg/kg </w:t>
            </w:r>
            <w:r w:rsidRPr="00F85DCF">
              <w:rPr>
                <w:sz w:val="20"/>
                <w:szCs w:val="20"/>
                <w:lang w:val="en-GB"/>
              </w:rPr>
              <w:t xml:space="preserve">for </w:t>
            </w:r>
            <w:r w:rsidRPr="00F85DCF">
              <w:rPr>
                <w:sz w:val="20"/>
                <w:szCs w:val="20"/>
                <w:lang w:val="en-GB" w:eastAsia="en-AU"/>
              </w:rPr>
              <w:t xml:space="preserve">Pyrimethanil </w:t>
            </w:r>
            <w:r w:rsidRPr="00F85DCF">
              <w:rPr>
                <w:sz w:val="20"/>
                <w:szCs w:val="20"/>
                <w:lang w:val="en-GB"/>
              </w:rPr>
              <w:t xml:space="preserve">is acceptable because it has been shown to be practical, adequately manages the risk of off-label use and does not increase the </w:t>
            </w:r>
            <w:r w:rsidR="005A4649" w:rsidRPr="00F85DCF">
              <w:rPr>
                <w:sz w:val="20"/>
                <w:szCs w:val="20"/>
                <w:lang w:val="en-GB"/>
              </w:rPr>
              <w:t>level of concern about</w:t>
            </w:r>
            <w:r w:rsidRPr="00F85DCF">
              <w:rPr>
                <w:sz w:val="20"/>
                <w:szCs w:val="20"/>
                <w:lang w:val="en-GB"/>
              </w:rPr>
              <w:t xml:space="preserve"> risk to public health</w:t>
            </w:r>
            <w:r w:rsidR="00E35F1B" w:rsidRPr="00F85DCF">
              <w:rPr>
                <w:sz w:val="20"/>
                <w:szCs w:val="20"/>
                <w:lang w:val="en-GB"/>
              </w:rPr>
              <w:t>.</w:t>
            </w:r>
          </w:p>
        </w:tc>
      </w:tr>
    </w:tbl>
    <w:p w14:paraId="7BF8EC97" w14:textId="66356390" w:rsidR="00391ED3" w:rsidRPr="00F85DCF" w:rsidRDefault="0049652A" w:rsidP="00391ED3">
      <w:pPr>
        <w:rPr>
          <w:sz w:val="20"/>
          <w:szCs w:val="20"/>
          <w:lang w:val="en-GB" w:eastAsia="en-AU"/>
        </w:rPr>
      </w:pPr>
      <w:r w:rsidRPr="00F85DCF">
        <w:rPr>
          <w:sz w:val="20"/>
          <w:szCs w:val="20"/>
          <w:lang w:val="en-GB" w:eastAsia="en-AU"/>
        </w:rPr>
        <w:br w:type="page"/>
      </w:r>
    </w:p>
    <w:p w14:paraId="713C0485" w14:textId="77777777" w:rsidR="00F6750E" w:rsidRPr="00F85DCF" w:rsidRDefault="00F6750E" w:rsidP="00A62A60">
      <w:pPr>
        <w:pStyle w:val="Heading3"/>
      </w:pPr>
      <w:r w:rsidRPr="00F85DCF">
        <w:lastRenderedPageBreak/>
        <w:t>Spinosad</w:t>
      </w:r>
    </w:p>
    <w:tbl>
      <w:tblPr>
        <w:tblStyle w:val="TableGrid"/>
        <w:tblW w:w="9072" w:type="dxa"/>
        <w:tblLook w:val="04A0" w:firstRow="1" w:lastRow="0" w:firstColumn="1" w:lastColumn="0" w:noHBand="0" w:noVBand="1"/>
      </w:tblPr>
      <w:tblGrid>
        <w:gridCol w:w="3277"/>
        <w:gridCol w:w="5795"/>
      </w:tblGrid>
      <w:tr w:rsidR="00415D25" w:rsidRPr="00F85DCF" w14:paraId="0D8DFF60" w14:textId="77777777" w:rsidTr="00A62A60">
        <w:tc>
          <w:tcPr>
            <w:tcW w:w="3545" w:type="dxa"/>
            <w:vAlign w:val="center"/>
          </w:tcPr>
          <w:p w14:paraId="606E3A52" w14:textId="2F66FA04" w:rsidR="00415D25" w:rsidRPr="00F85DCF" w:rsidRDefault="006D5974" w:rsidP="0006277A">
            <w:pPr>
              <w:rPr>
                <w:b/>
                <w:sz w:val="20"/>
                <w:szCs w:val="20"/>
                <w:lang w:val="en-GB"/>
              </w:rPr>
            </w:pPr>
            <w:r w:rsidRPr="006D5974">
              <w:rPr>
                <w:b/>
                <w:sz w:val="20"/>
                <w:szCs w:val="20"/>
                <w:lang w:val="en-GB"/>
              </w:rPr>
              <w:t>Considerations</w:t>
            </w:r>
          </w:p>
        </w:tc>
        <w:tc>
          <w:tcPr>
            <w:tcW w:w="6520" w:type="dxa"/>
            <w:vAlign w:val="center"/>
          </w:tcPr>
          <w:p w14:paraId="7FC04117" w14:textId="77777777" w:rsidR="00415D25" w:rsidRPr="00F85DCF" w:rsidRDefault="00415D25" w:rsidP="0006277A">
            <w:pPr>
              <w:rPr>
                <w:b/>
                <w:sz w:val="20"/>
                <w:szCs w:val="20"/>
                <w:lang w:val="en-GB" w:eastAsia="en-AU"/>
              </w:rPr>
            </w:pPr>
            <w:r w:rsidRPr="00F85DCF">
              <w:rPr>
                <w:b/>
                <w:sz w:val="20"/>
                <w:szCs w:val="20"/>
                <w:lang w:val="en-GB" w:eastAsia="en-AU"/>
              </w:rPr>
              <w:t>Comments</w:t>
            </w:r>
          </w:p>
        </w:tc>
      </w:tr>
      <w:tr w:rsidR="00415D25" w:rsidRPr="00F85DCF" w14:paraId="42DAFF7D" w14:textId="77777777" w:rsidTr="00A62A60">
        <w:tc>
          <w:tcPr>
            <w:tcW w:w="3545" w:type="dxa"/>
            <w:vAlign w:val="center"/>
          </w:tcPr>
          <w:p w14:paraId="1B8ACEA2" w14:textId="2117393F" w:rsidR="00415D25" w:rsidRPr="00F85DCF" w:rsidRDefault="004710D5" w:rsidP="0006277A">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3725DEA4" w14:textId="77777777" w:rsidR="00415D25" w:rsidRPr="00F85DCF" w:rsidRDefault="00415D25" w:rsidP="0006277A">
            <w:pPr>
              <w:rPr>
                <w:sz w:val="20"/>
                <w:szCs w:val="20"/>
                <w:lang w:val="en-GB"/>
              </w:rPr>
            </w:pPr>
            <w:r w:rsidRPr="00F85DCF">
              <w:rPr>
                <w:sz w:val="20"/>
                <w:szCs w:val="20"/>
                <w:lang w:val="en-GB" w:eastAsia="en-AU"/>
              </w:rPr>
              <w:t>0.01 mg/kg</w:t>
            </w:r>
          </w:p>
        </w:tc>
      </w:tr>
      <w:tr w:rsidR="00415D25" w:rsidRPr="00F85DCF" w14:paraId="37C6DF9F" w14:textId="77777777" w:rsidTr="00A62A60">
        <w:tc>
          <w:tcPr>
            <w:tcW w:w="3545" w:type="dxa"/>
            <w:vAlign w:val="center"/>
          </w:tcPr>
          <w:p w14:paraId="051A5718" w14:textId="77777777" w:rsidR="00415D25" w:rsidRPr="00F85DCF" w:rsidRDefault="00415D25" w:rsidP="0006277A">
            <w:pPr>
              <w:rPr>
                <w:sz w:val="20"/>
                <w:szCs w:val="20"/>
                <w:lang w:val="en-GB"/>
              </w:rPr>
            </w:pPr>
            <w:r w:rsidRPr="00F85DCF">
              <w:rPr>
                <w:sz w:val="20"/>
                <w:szCs w:val="20"/>
                <w:lang w:val="en-GB"/>
              </w:rPr>
              <w:t>Lowest plant commodity MRL</w:t>
            </w:r>
          </w:p>
        </w:tc>
        <w:tc>
          <w:tcPr>
            <w:tcW w:w="6520" w:type="dxa"/>
            <w:vAlign w:val="center"/>
          </w:tcPr>
          <w:p w14:paraId="5E8BE46C" w14:textId="583DCA97" w:rsidR="00415D25" w:rsidRPr="00F85DCF" w:rsidRDefault="00415D25" w:rsidP="0006277A">
            <w:pPr>
              <w:rPr>
                <w:sz w:val="20"/>
                <w:szCs w:val="20"/>
                <w:lang w:val="en-GB"/>
              </w:rPr>
            </w:pPr>
            <w:r w:rsidRPr="00F85DCF">
              <w:rPr>
                <w:sz w:val="20"/>
                <w:szCs w:val="20"/>
                <w:lang w:val="en-GB" w:eastAsia="en-AU"/>
              </w:rPr>
              <w:t>0.01 mg/kg (</w:t>
            </w:r>
            <w:r w:rsidR="00961329" w:rsidRPr="00F85DCF">
              <w:rPr>
                <w:sz w:val="20"/>
                <w:szCs w:val="20"/>
                <w:lang w:val="en-GB" w:eastAsia="en-AU"/>
              </w:rPr>
              <w:t>p</w:t>
            </w:r>
            <w:r w:rsidRPr="00F85DCF">
              <w:rPr>
                <w:sz w:val="20"/>
                <w:szCs w:val="20"/>
                <w:lang w:val="en-GB" w:eastAsia="en-AU"/>
              </w:rPr>
              <w:t xml:space="preserve">ulses; </w:t>
            </w:r>
            <w:r w:rsidR="00961329" w:rsidRPr="00F85DCF">
              <w:rPr>
                <w:sz w:val="20"/>
                <w:szCs w:val="20"/>
                <w:lang w:val="en-GB" w:eastAsia="en-AU"/>
              </w:rPr>
              <w:t>c</w:t>
            </w:r>
            <w:r w:rsidRPr="00F85DCF">
              <w:rPr>
                <w:sz w:val="20"/>
                <w:szCs w:val="20"/>
                <w:lang w:val="en-GB" w:eastAsia="en-AU"/>
              </w:rPr>
              <w:t xml:space="preserve">offee beans; </w:t>
            </w:r>
            <w:r w:rsidR="00961329" w:rsidRPr="00F85DCF">
              <w:rPr>
                <w:sz w:val="20"/>
                <w:szCs w:val="20"/>
                <w:lang w:val="en-GB" w:eastAsia="en-AU"/>
              </w:rPr>
              <w:t>c</w:t>
            </w:r>
            <w:r w:rsidRPr="00F85DCF">
              <w:rPr>
                <w:sz w:val="20"/>
                <w:szCs w:val="20"/>
                <w:lang w:val="en-GB" w:eastAsia="en-AU"/>
              </w:rPr>
              <w:t xml:space="preserve">otton seed; </w:t>
            </w:r>
            <w:r w:rsidR="00961329" w:rsidRPr="00F85DCF">
              <w:rPr>
                <w:sz w:val="20"/>
                <w:szCs w:val="20"/>
                <w:lang w:val="en-GB" w:eastAsia="en-AU"/>
              </w:rPr>
              <w:t>s</w:t>
            </w:r>
            <w:r w:rsidRPr="00F85DCF">
              <w:rPr>
                <w:sz w:val="20"/>
                <w:szCs w:val="20"/>
                <w:lang w:val="en-GB" w:eastAsia="en-AU"/>
              </w:rPr>
              <w:t xml:space="preserve">afflower seed; </w:t>
            </w:r>
            <w:r w:rsidR="00961329" w:rsidRPr="00F85DCF">
              <w:rPr>
                <w:sz w:val="20"/>
                <w:szCs w:val="20"/>
                <w:lang w:val="en-GB" w:eastAsia="en-AU"/>
              </w:rPr>
              <w:t>t</w:t>
            </w:r>
            <w:r w:rsidRPr="00F85DCF">
              <w:rPr>
                <w:sz w:val="20"/>
                <w:szCs w:val="20"/>
                <w:lang w:val="en-GB" w:eastAsia="en-AU"/>
              </w:rPr>
              <w:t>ree nuts)</w:t>
            </w:r>
          </w:p>
        </w:tc>
      </w:tr>
      <w:tr w:rsidR="00415D25" w:rsidRPr="00F85DCF" w14:paraId="097E945C" w14:textId="77777777" w:rsidTr="00A62A60">
        <w:tc>
          <w:tcPr>
            <w:tcW w:w="3545" w:type="dxa"/>
            <w:vAlign w:val="center"/>
          </w:tcPr>
          <w:p w14:paraId="67B63812" w14:textId="5CBB91C7" w:rsidR="00415D25" w:rsidRPr="00F85DCF" w:rsidRDefault="00A05F0F" w:rsidP="0006277A">
            <w:pPr>
              <w:rPr>
                <w:sz w:val="20"/>
                <w:szCs w:val="20"/>
                <w:lang w:val="en-GB"/>
              </w:rPr>
            </w:pPr>
            <w:r w:rsidRPr="00F85DCF">
              <w:rPr>
                <w:sz w:val="20"/>
                <w:szCs w:val="20"/>
                <w:lang w:val="en-GB" w:eastAsia="en-AU"/>
              </w:rPr>
              <w:t xml:space="preserve">Magnitude of existing </w:t>
            </w:r>
            <w:r w:rsidR="0006277A"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3E4F766A" w14:textId="3F090442" w:rsidR="00415D25" w:rsidRPr="00F85DCF" w:rsidRDefault="00415D25" w:rsidP="0006277A">
            <w:pPr>
              <w:rPr>
                <w:sz w:val="20"/>
                <w:szCs w:val="20"/>
                <w:lang w:val="en-GB"/>
              </w:rPr>
            </w:pPr>
            <w:r w:rsidRPr="00F85DCF">
              <w:rPr>
                <w:sz w:val="20"/>
                <w:szCs w:val="20"/>
                <w:lang w:val="en-GB"/>
              </w:rPr>
              <w:t xml:space="preserve">The range of existing MRLs </w:t>
            </w:r>
            <w:r w:rsidR="0086673E" w:rsidRPr="00F85DCF">
              <w:rPr>
                <w:sz w:val="20"/>
                <w:szCs w:val="20"/>
                <w:lang w:val="en-GB"/>
              </w:rPr>
              <w:t xml:space="preserve">is </w:t>
            </w:r>
            <w:r w:rsidRPr="00F85DCF">
              <w:rPr>
                <w:sz w:val="20"/>
                <w:szCs w:val="20"/>
                <w:lang w:val="en-GB" w:eastAsia="en-AU"/>
              </w:rPr>
              <w:t>0.01</w:t>
            </w:r>
            <w:r w:rsidR="00BE64C9" w:rsidRPr="00F85DCF">
              <w:rPr>
                <w:sz w:val="20"/>
                <w:szCs w:val="20"/>
                <w:lang w:val="en-GB" w:eastAsia="en-AU"/>
              </w:rPr>
              <w:t> </w:t>
            </w:r>
            <w:r w:rsidRPr="00F85DCF">
              <w:rPr>
                <w:sz w:val="20"/>
                <w:szCs w:val="20"/>
                <w:lang w:val="en-GB"/>
              </w:rPr>
              <w:t>mg/kg (</w:t>
            </w:r>
            <w:r w:rsidR="00961329" w:rsidRPr="00F85DCF">
              <w:rPr>
                <w:sz w:val="20"/>
                <w:szCs w:val="20"/>
                <w:lang w:val="en-GB" w:eastAsia="en-AU"/>
              </w:rPr>
              <w:t>p</w:t>
            </w:r>
            <w:r w:rsidRPr="00F85DCF">
              <w:rPr>
                <w:sz w:val="20"/>
                <w:szCs w:val="20"/>
                <w:lang w:val="en-GB" w:eastAsia="en-AU"/>
              </w:rPr>
              <w:t xml:space="preserve">ulses; </w:t>
            </w:r>
            <w:r w:rsidR="00961329" w:rsidRPr="00F85DCF">
              <w:rPr>
                <w:sz w:val="20"/>
                <w:szCs w:val="20"/>
                <w:lang w:val="en-GB" w:eastAsia="en-AU"/>
              </w:rPr>
              <w:t>c</w:t>
            </w:r>
            <w:r w:rsidRPr="00F85DCF">
              <w:rPr>
                <w:sz w:val="20"/>
                <w:szCs w:val="20"/>
                <w:lang w:val="en-GB" w:eastAsia="en-AU"/>
              </w:rPr>
              <w:t xml:space="preserve">offee beans; </w:t>
            </w:r>
            <w:r w:rsidR="00961329" w:rsidRPr="00F85DCF">
              <w:rPr>
                <w:sz w:val="20"/>
                <w:szCs w:val="20"/>
                <w:lang w:val="en-GB" w:eastAsia="en-AU"/>
              </w:rPr>
              <w:t>c</w:t>
            </w:r>
            <w:r w:rsidRPr="00F85DCF">
              <w:rPr>
                <w:sz w:val="20"/>
                <w:szCs w:val="20"/>
                <w:lang w:val="en-GB" w:eastAsia="en-AU"/>
              </w:rPr>
              <w:t xml:space="preserve">otton seed; </w:t>
            </w:r>
            <w:r w:rsidR="00961329" w:rsidRPr="00F85DCF">
              <w:rPr>
                <w:sz w:val="20"/>
                <w:szCs w:val="20"/>
                <w:lang w:val="en-GB" w:eastAsia="en-AU"/>
              </w:rPr>
              <w:t>s</w:t>
            </w:r>
            <w:r w:rsidRPr="00F85DCF">
              <w:rPr>
                <w:sz w:val="20"/>
                <w:szCs w:val="20"/>
                <w:lang w:val="en-GB" w:eastAsia="en-AU"/>
              </w:rPr>
              <w:t xml:space="preserve">afflower seed; </w:t>
            </w:r>
            <w:r w:rsidR="00961329" w:rsidRPr="00F85DCF">
              <w:rPr>
                <w:sz w:val="20"/>
                <w:szCs w:val="20"/>
                <w:lang w:val="en-GB" w:eastAsia="en-AU"/>
              </w:rPr>
              <w:t>t</w:t>
            </w:r>
            <w:r w:rsidRPr="00F85DCF">
              <w:rPr>
                <w:sz w:val="20"/>
                <w:szCs w:val="20"/>
                <w:lang w:val="en-GB" w:eastAsia="en-AU"/>
              </w:rPr>
              <w:t>ree nuts</w:t>
            </w:r>
            <w:r w:rsidRPr="00F85DCF">
              <w:rPr>
                <w:sz w:val="20"/>
                <w:szCs w:val="20"/>
                <w:lang w:val="en-GB"/>
              </w:rPr>
              <w:t>) to 5</w:t>
            </w:r>
            <w:r w:rsidRPr="00F85DCF">
              <w:rPr>
                <w:sz w:val="20"/>
                <w:szCs w:val="20"/>
                <w:lang w:val="en-GB" w:eastAsia="en-AU"/>
              </w:rPr>
              <w:t xml:space="preserve"> </w:t>
            </w:r>
            <w:r w:rsidRPr="00F85DCF">
              <w:rPr>
                <w:sz w:val="20"/>
                <w:szCs w:val="20"/>
                <w:lang w:val="en-GB"/>
              </w:rPr>
              <w:t>mg/kg (</w:t>
            </w:r>
            <w:r w:rsidR="00961329" w:rsidRPr="00F85DCF">
              <w:rPr>
                <w:sz w:val="20"/>
                <w:szCs w:val="20"/>
                <w:lang w:val="en-GB" w:eastAsia="en-AU"/>
              </w:rPr>
              <w:t>b</w:t>
            </w:r>
            <w:r w:rsidRPr="00F85DCF">
              <w:rPr>
                <w:sz w:val="20"/>
                <w:szCs w:val="20"/>
                <w:lang w:val="en-GB" w:eastAsia="en-AU"/>
              </w:rPr>
              <w:t xml:space="preserve">ergamot; </w:t>
            </w:r>
            <w:r w:rsidR="00961329" w:rsidRPr="00F85DCF">
              <w:rPr>
                <w:sz w:val="20"/>
                <w:szCs w:val="20"/>
                <w:lang w:val="en-GB" w:eastAsia="en-AU"/>
              </w:rPr>
              <w:t>b</w:t>
            </w:r>
            <w:r w:rsidRPr="00F85DCF">
              <w:rPr>
                <w:sz w:val="20"/>
                <w:szCs w:val="20"/>
                <w:lang w:val="en-GB" w:eastAsia="en-AU"/>
              </w:rPr>
              <w:t xml:space="preserve">urnet, </w:t>
            </w:r>
            <w:r w:rsidR="00961329" w:rsidRPr="00F85DCF">
              <w:rPr>
                <w:sz w:val="20"/>
                <w:szCs w:val="20"/>
                <w:lang w:val="en-GB" w:eastAsia="en-AU"/>
              </w:rPr>
              <w:t>s</w:t>
            </w:r>
            <w:r w:rsidRPr="00F85DCF">
              <w:rPr>
                <w:sz w:val="20"/>
                <w:szCs w:val="20"/>
                <w:lang w:val="en-GB" w:eastAsia="en-AU"/>
              </w:rPr>
              <w:t xml:space="preserve">alad; </w:t>
            </w:r>
            <w:r w:rsidR="00961329" w:rsidRPr="00F85DCF">
              <w:rPr>
                <w:sz w:val="20"/>
                <w:szCs w:val="20"/>
                <w:lang w:val="en-GB" w:eastAsia="en-AU"/>
              </w:rPr>
              <w:t>c</w:t>
            </w:r>
            <w:r w:rsidRPr="00F85DCF">
              <w:rPr>
                <w:sz w:val="20"/>
                <w:szCs w:val="20"/>
                <w:lang w:val="en-GB" w:eastAsia="en-AU"/>
              </w:rPr>
              <w:t xml:space="preserve">hervil; </w:t>
            </w:r>
            <w:r w:rsidR="00961329" w:rsidRPr="00F85DCF">
              <w:rPr>
                <w:sz w:val="20"/>
                <w:szCs w:val="20"/>
                <w:lang w:val="en-GB" w:eastAsia="en-AU"/>
              </w:rPr>
              <w:t>c</w:t>
            </w:r>
            <w:r w:rsidRPr="00F85DCF">
              <w:rPr>
                <w:sz w:val="20"/>
                <w:szCs w:val="20"/>
                <w:lang w:val="en-GB" w:eastAsia="en-AU"/>
              </w:rPr>
              <w:t xml:space="preserve">hervil; </w:t>
            </w:r>
            <w:r w:rsidR="00961329" w:rsidRPr="00F85DCF">
              <w:rPr>
                <w:sz w:val="20"/>
                <w:szCs w:val="20"/>
                <w:lang w:val="en-GB" w:eastAsia="en-AU"/>
              </w:rPr>
              <w:t>c</w:t>
            </w:r>
            <w:r w:rsidRPr="00F85DCF">
              <w:rPr>
                <w:sz w:val="20"/>
                <w:szCs w:val="20"/>
                <w:lang w:val="en-GB" w:eastAsia="en-AU"/>
              </w:rPr>
              <w:t xml:space="preserve">oriander (leaves, stem, roots); </w:t>
            </w:r>
            <w:r w:rsidR="00961329" w:rsidRPr="00F85DCF">
              <w:rPr>
                <w:sz w:val="20"/>
                <w:szCs w:val="20"/>
                <w:lang w:val="en-GB" w:eastAsia="en-AU"/>
              </w:rPr>
              <w:t>d</w:t>
            </w:r>
            <w:r w:rsidRPr="00F85DCF">
              <w:rPr>
                <w:sz w:val="20"/>
                <w:szCs w:val="20"/>
                <w:lang w:val="en-GB" w:eastAsia="en-AU"/>
              </w:rPr>
              <w:t xml:space="preserve">ill, seed; </w:t>
            </w:r>
            <w:r w:rsidR="00961329" w:rsidRPr="00F85DCF">
              <w:rPr>
                <w:sz w:val="20"/>
                <w:szCs w:val="20"/>
                <w:lang w:val="en-GB" w:eastAsia="en-AU"/>
              </w:rPr>
              <w:t>f</w:t>
            </w:r>
            <w:r w:rsidRPr="00F85DCF">
              <w:rPr>
                <w:sz w:val="20"/>
                <w:szCs w:val="20"/>
                <w:lang w:val="en-GB" w:eastAsia="en-AU"/>
              </w:rPr>
              <w:t xml:space="preserve">ennel, seed; </w:t>
            </w:r>
            <w:r w:rsidR="00961329" w:rsidRPr="00F85DCF">
              <w:rPr>
                <w:sz w:val="20"/>
                <w:szCs w:val="20"/>
                <w:lang w:val="en-GB" w:eastAsia="en-AU"/>
              </w:rPr>
              <w:t>h</w:t>
            </w:r>
            <w:r w:rsidRPr="00F85DCF">
              <w:rPr>
                <w:sz w:val="20"/>
                <w:szCs w:val="20"/>
                <w:lang w:val="en-GB" w:eastAsia="en-AU"/>
              </w:rPr>
              <w:t xml:space="preserve">erbs; Japanese greens; </w:t>
            </w:r>
            <w:r w:rsidR="00961329" w:rsidRPr="00F85DCF">
              <w:rPr>
                <w:sz w:val="20"/>
                <w:szCs w:val="20"/>
                <w:lang w:val="en-GB" w:eastAsia="en-AU"/>
              </w:rPr>
              <w:t>k</w:t>
            </w:r>
            <w:r w:rsidRPr="00F85DCF">
              <w:rPr>
                <w:sz w:val="20"/>
                <w:szCs w:val="20"/>
                <w:lang w:val="en-GB" w:eastAsia="en-AU"/>
              </w:rPr>
              <w:t xml:space="preserve">affir lime leaves; </w:t>
            </w:r>
            <w:r w:rsidR="00961329" w:rsidRPr="00F85DCF">
              <w:rPr>
                <w:sz w:val="20"/>
                <w:szCs w:val="20"/>
                <w:lang w:val="en-GB" w:eastAsia="en-AU"/>
              </w:rPr>
              <w:t>l</w:t>
            </w:r>
            <w:r w:rsidRPr="00F85DCF">
              <w:rPr>
                <w:sz w:val="20"/>
                <w:szCs w:val="20"/>
                <w:lang w:val="en-GB" w:eastAsia="en-AU"/>
              </w:rPr>
              <w:t xml:space="preserve">eafy vegetables; </w:t>
            </w:r>
            <w:r w:rsidR="00961329" w:rsidRPr="00F85DCF">
              <w:rPr>
                <w:sz w:val="20"/>
                <w:szCs w:val="20"/>
                <w:lang w:val="en-GB" w:eastAsia="en-AU"/>
              </w:rPr>
              <w:t>l</w:t>
            </w:r>
            <w:r w:rsidRPr="00F85DCF">
              <w:rPr>
                <w:sz w:val="20"/>
                <w:szCs w:val="20"/>
                <w:lang w:val="en-GB" w:eastAsia="en-AU"/>
              </w:rPr>
              <w:t xml:space="preserve">emon grass; </w:t>
            </w:r>
            <w:r w:rsidR="00961329" w:rsidRPr="00F85DCF">
              <w:rPr>
                <w:sz w:val="20"/>
                <w:szCs w:val="20"/>
                <w:lang w:val="en-GB" w:eastAsia="en-AU"/>
              </w:rPr>
              <w:t>l</w:t>
            </w:r>
            <w:r w:rsidRPr="00F85DCF">
              <w:rPr>
                <w:sz w:val="20"/>
                <w:szCs w:val="20"/>
                <w:lang w:val="en-GB" w:eastAsia="en-AU"/>
              </w:rPr>
              <w:t xml:space="preserve">emon verbena (dry leaves); </w:t>
            </w:r>
            <w:r w:rsidR="00961329" w:rsidRPr="00F85DCF">
              <w:rPr>
                <w:sz w:val="20"/>
                <w:szCs w:val="20"/>
                <w:lang w:val="en-GB" w:eastAsia="en-AU"/>
              </w:rPr>
              <w:t>r</w:t>
            </w:r>
            <w:r w:rsidRPr="00F85DCF">
              <w:rPr>
                <w:sz w:val="20"/>
                <w:szCs w:val="20"/>
                <w:lang w:val="en-GB" w:eastAsia="en-AU"/>
              </w:rPr>
              <w:t>ucola (rocket)</w:t>
            </w:r>
            <w:r w:rsidRPr="00F85DCF">
              <w:rPr>
                <w:sz w:val="20"/>
                <w:szCs w:val="20"/>
                <w:lang w:val="en-GB"/>
              </w:rPr>
              <w:t>).</w:t>
            </w:r>
          </w:p>
        </w:tc>
      </w:tr>
      <w:tr w:rsidR="00415D25" w:rsidRPr="00F85DCF" w14:paraId="082EB38E" w14:textId="77777777" w:rsidTr="00A62A60">
        <w:tc>
          <w:tcPr>
            <w:tcW w:w="3545" w:type="dxa"/>
            <w:vAlign w:val="center"/>
          </w:tcPr>
          <w:p w14:paraId="580E3B5A" w14:textId="12FBEE45" w:rsidR="00415D25" w:rsidRPr="00F85DCF" w:rsidRDefault="00415D25" w:rsidP="0006277A">
            <w:pPr>
              <w:rPr>
                <w:sz w:val="20"/>
                <w:szCs w:val="20"/>
                <w:lang w:val="en-GB" w:eastAsia="en-AU"/>
              </w:rPr>
            </w:pPr>
            <w:r w:rsidRPr="00F85DCF">
              <w:rPr>
                <w:sz w:val="20"/>
                <w:szCs w:val="20"/>
                <w:lang w:val="en-GB" w:eastAsia="en-AU"/>
              </w:rPr>
              <w:t xml:space="preserve">Lowest </w:t>
            </w:r>
            <w:r w:rsidR="0006277A"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3507D2CC" w14:textId="5B664DB5" w:rsidR="00415D25" w:rsidRPr="00F85DCF" w:rsidRDefault="00415D25" w:rsidP="0006277A">
            <w:pPr>
              <w:rPr>
                <w:sz w:val="20"/>
                <w:szCs w:val="20"/>
                <w:lang w:val="en-GB"/>
              </w:rPr>
            </w:pPr>
            <w:r w:rsidRPr="00F85DCF">
              <w:rPr>
                <w:sz w:val="20"/>
                <w:szCs w:val="20"/>
                <w:lang w:val="en-GB" w:eastAsia="en-AU"/>
              </w:rPr>
              <w:t xml:space="preserve">0.01 </w:t>
            </w:r>
            <w:r w:rsidRPr="00F85DCF">
              <w:rPr>
                <w:sz w:val="20"/>
                <w:szCs w:val="20"/>
                <w:lang w:val="en-GB"/>
              </w:rPr>
              <w:t>mg/kg (</w:t>
            </w:r>
            <w:r w:rsidR="00961329" w:rsidRPr="00F85DCF">
              <w:rPr>
                <w:sz w:val="20"/>
                <w:szCs w:val="20"/>
                <w:lang w:val="en-GB" w:eastAsia="en-AU"/>
              </w:rPr>
              <w:t>p</w:t>
            </w:r>
            <w:r w:rsidRPr="00F85DCF">
              <w:rPr>
                <w:sz w:val="20"/>
                <w:szCs w:val="20"/>
                <w:lang w:val="en-GB" w:eastAsia="en-AU"/>
              </w:rPr>
              <w:t>ulses</w:t>
            </w:r>
            <w:r w:rsidRPr="00F85DCF">
              <w:rPr>
                <w:sz w:val="20"/>
                <w:szCs w:val="20"/>
                <w:lang w:val="en-GB"/>
              </w:rPr>
              <w:t>)</w:t>
            </w:r>
          </w:p>
        </w:tc>
      </w:tr>
      <w:tr w:rsidR="00415D25" w:rsidRPr="00F85DCF" w14:paraId="6EFB9ADC" w14:textId="77777777" w:rsidTr="00A62A60">
        <w:tc>
          <w:tcPr>
            <w:tcW w:w="3545" w:type="dxa"/>
            <w:vAlign w:val="center"/>
          </w:tcPr>
          <w:p w14:paraId="02AB0117" w14:textId="0A2516F9" w:rsidR="00415D25" w:rsidRPr="00F85DCF" w:rsidRDefault="00415D25" w:rsidP="0006277A">
            <w:pPr>
              <w:rPr>
                <w:sz w:val="20"/>
                <w:szCs w:val="20"/>
                <w:lang w:val="en-GB" w:eastAsia="en-AU"/>
              </w:rPr>
            </w:pPr>
            <w:r w:rsidRPr="00F85DCF">
              <w:rPr>
                <w:sz w:val="20"/>
                <w:szCs w:val="20"/>
                <w:lang w:val="en-GB" w:eastAsia="en-AU"/>
              </w:rPr>
              <w:t>Most relevant reference point to minimize off-label use</w:t>
            </w:r>
          </w:p>
        </w:tc>
        <w:tc>
          <w:tcPr>
            <w:tcW w:w="6520" w:type="dxa"/>
            <w:vAlign w:val="center"/>
          </w:tcPr>
          <w:p w14:paraId="7555932A" w14:textId="64401591" w:rsidR="00415D25" w:rsidRPr="00F85DCF" w:rsidRDefault="00415D25" w:rsidP="0006277A">
            <w:pPr>
              <w:rPr>
                <w:sz w:val="20"/>
                <w:szCs w:val="20"/>
                <w:lang w:val="en-GB"/>
              </w:rPr>
            </w:pPr>
            <w:r w:rsidRPr="00F85DCF">
              <w:rPr>
                <w:sz w:val="20"/>
                <w:szCs w:val="20"/>
                <w:lang w:val="en-GB" w:eastAsia="en-AU"/>
              </w:rPr>
              <w:t xml:space="preserve">0.01 </w:t>
            </w:r>
            <w:r w:rsidRPr="00F85DCF">
              <w:rPr>
                <w:sz w:val="20"/>
                <w:szCs w:val="20"/>
                <w:lang w:val="en-GB"/>
              </w:rPr>
              <w:t>mg/kg)</w:t>
            </w:r>
          </w:p>
        </w:tc>
      </w:tr>
      <w:tr w:rsidR="00415D25" w:rsidRPr="00F85DCF" w14:paraId="050CAA73" w14:textId="77777777" w:rsidTr="00A62A60">
        <w:tc>
          <w:tcPr>
            <w:tcW w:w="3545" w:type="dxa"/>
            <w:vAlign w:val="center"/>
          </w:tcPr>
          <w:p w14:paraId="4570CA34" w14:textId="77777777" w:rsidR="00415D25" w:rsidRPr="00F85DCF" w:rsidRDefault="00415D25" w:rsidP="0006277A">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130A1678" w14:textId="0579BEBE" w:rsidR="00415D25" w:rsidRPr="00F85DCF" w:rsidRDefault="00415D25" w:rsidP="0006277A">
            <w:pPr>
              <w:rPr>
                <w:sz w:val="20"/>
                <w:szCs w:val="20"/>
                <w:lang w:val="en-GB"/>
              </w:rPr>
            </w:pPr>
            <w:r w:rsidRPr="00F85DCF">
              <w:rPr>
                <w:sz w:val="20"/>
                <w:szCs w:val="20"/>
                <w:lang w:val="en-GB"/>
              </w:rPr>
              <w:t>41% of the ADI</w:t>
            </w:r>
            <w:r w:rsidR="006A793E" w:rsidRPr="00F85DCF">
              <w:rPr>
                <w:sz w:val="20"/>
                <w:szCs w:val="20"/>
                <w:lang w:val="en-GB"/>
              </w:rPr>
              <w:t>.</w:t>
            </w:r>
          </w:p>
        </w:tc>
      </w:tr>
      <w:tr w:rsidR="00961329" w:rsidRPr="00F85DCF" w14:paraId="2D2437AE" w14:textId="77777777" w:rsidTr="00A62A60">
        <w:tc>
          <w:tcPr>
            <w:tcW w:w="3545" w:type="dxa"/>
            <w:vAlign w:val="center"/>
          </w:tcPr>
          <w:p w14:paraId="4FFB3D9E" w14:textId="76923459" w:rsidR="00961329" w:rsidRPr="00F85DCF" w:rsidRDefault="00961329" w:rsidP="00E35F1B">
            <w:pPr>
              <w:rPr>
                <w:sz w:val="20"/>
                <w:szCs w:val="20"/>
                <w:lang w:val="en-GB"/>
              </w:rPr>
            </w:pPr>
            <w:r w:rsidRPr="00F85DCF">
              <w:rPr>
                <w:sz w:val="20"/>
                <w:szCs w:val="20"/>
                <w:lang w:val="en-GB"/>
              </w:rPr>
              <w:t xml:space="preserve">Proposed </w:t>
            </w:r>
            <w:r w:rsidR="00E35F1B" w:rsidRPr="00F85DCF">
              <w:rPr>
                <w:i/>
                <w:sz w:val="20"/>
                <w:szCs w:val="20"/>
                <w:lang w:val="en-GB"/>
              </w:rPr>
              <w:t>A</w:t>
            </w:r>
            <w:r w:rsidR="001103D7" w:rsidRPr="00F85DCF">
              <w:rPr>
                <w:i/>
                <w:sz w:val="20"/>
                <w:szCs w:val="20"/>
                <w:lang w:val="en-GB"/>
              </w:rPr>
              <w:t xml:space="preserve">ll other foods except animal </w:t>
            </w:r>
            <w:r w:rsidR="006C226A">
              <w:rPr>
                <w:i/>
                <w:sz w:val="20"/>
                <w:szCs w:val="20"/>
                <w:lang w:val="en-GB"/>
              </w:rPr>
              <w:t xml:space="preserve">food </w:t>
            </w:r>
            <w:r w:rsidR="001103D7" w:rsidRPr="00F85DCF">
              <w:rPr>
                <w:i/>
                <w:sz w:val="20"/>
                <w:szCs w:val="20"/>
                <w:lang w:val="en-GB"/>
              </w:rPr>
              <w:t>commodities</w:t>
            </w:r>
            <w:r w:rsidRPr="00F85DCF">
              <w:rPr>
                <w:sz w:val="20"/>
                <w:szCs w:val="20"/>
                <w:lang w:val="en-GB"/>
              </w:rPr>
              <w:t xml:space="preserve"> MRL</w:t>
            </w:r>
          </w:p>
        </w:tc>
        <w:tc>
          <w:tcPr>
            <w:tcW w:w="6520" w:type="dxa"/>
            <w:vAlign w:val="center"/>
          </w:tcPr>
          <w:p w14:paraId="7477A5E5" w14:textId="77777777" w:rsidR="00961329" w:rsidRPr="00F85DCF" w:rsidRDefault="00961329" w:rsidP="0006277A">
            <w:pPr>
              <w:rPr>
                <w:sz w:val="20"/>
                <w:szCs w:val="20"/>
                <w:lang w:val="en-GB"/>
              </w:rPr>
            </w:pPr>
            <w:r w:rsidRPr="00F85DCF">
              <w:rPr>
                <w:sz w:val="20"/>
                <w:szCs w:val="20"/>
                <w:lang w:val="en-GB"/>
              </w:rPr>
              <w:t>0.01 mg/kg</w:t>
            </w:r>
          </w:p>
        </w:tc>
      </w:tr>
      <w:tr w:rsidR="00961329" w:rsidRPr="00F85DCF" w14:paraId="27BD82E4" w14:textId="77777777" w:rsidTr="00A62A60">
        <w:tc>
          <w:tcPr>
            <w:tcW w:w="3545" w:type="dxa"/>
            <w:vAlign w:val="center"/>
          </w:tcPr>
          <w:p w14:paraId="367AC956" w14:textId="45C24F81" w:rsidR="00961329" w:rsidRPr="00F85DCF" w:rsidRDefault="00961329" w:rsidP="00E35F1B">
            <w:pPr>
              <w:rPr>
                <w:sz w:val="20"/>
                <w:szCs w:val="20"/>
                <w:lang w:val="en-GB"/>
              </w:rPr>
            </w:pPr>
            <w:r w:rsidRPr="00F85DCF">
              <w:rPr>
                <w:sz w:val="20"/>
                <w:szCs w:val="20"/>
                <w:lang w:val="en-GB" w:eastAsia="en-AU"/>
              </w:rPr>
              <w:t xml:space="preserve">NEDI including </w:t>
            </w:r>
            <w:r w:rsidR="00E35F1B" w:rsidRPr="00F85DCF">
              <w:rPr>
                <w:i/>
                <w:sz w:val="20"/>
                <w:szCs w:val="20"/>
                <w:lang w:val="en-GB" w:eastAsia="en-AU"/>
              </w:rPr>
              <w:t>A</w:t>
            </w:r>
            <w:r w:rsidR="001103D7"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1F8AB7E5" w14:textId="77777777" w:rsidR="00961329" w:rsidRPr="00F85DCF" w:rsidRDefault="00961329" w:rsidP="0006277A">
            <w:pPr>
              <w:rPr>
                <w:sz w:val="20"/>
                <w:szCs w:val="20"/>
                <w:lang w:val="en-GB"/>
              </w:rPr>
            </w:pPr>
            <w:r w:rsidRPr="00F85DCF">
              <w:rPr>
                <w:sz w:val="20"/>
                <w:szCs w:val="20"/>
                <w:lang w:val="en-GB" w:eastAsia="en-AU"/>
              </w:rPr>
              <w:t>43% of the ADI</w:t>
            </w:r>
          </w:p>
        </w:tc>
      </w:tr>
      <w:tr w:rsidR="00415D25" w:rsidRPr="00F85DCF" w14:paraId="2662168C" w14:textId="77777777" w:rsidTr="00A62A60">
        <w:tc>
          <w:tcPr>
            <w:tcW w:w="3545" w:type="dxa"/>
            <w:vAlign w:val="center"/>
          </w:tcPr>
          <w:p w14:paraId="3BC93201" w14:textId="2B8BB303" w:rsidR="00415D25" w:rsidRPr="00F85DCF" w:rsidRDefault="00D7195E" w:rsidP="00E35F1B">
            <w:pPr>
              <w:rPr>
                <w:sz w:val="20"/>
                <w:szCs w:val="20"/>
                <w:lang w:val="en-GB" w:eastAsia="en-AU"/>
              </w:rPr>
            </w:pPr>
            <w:r w:rsidRPr="00F85DCF">
              <w:rPr>
                <w:sz w:val="20"/>
                <w:szCs w:val="20"/>
                <w:lang w:val="en-GB" w:eastAsia="en-AU"/>
              </w:rPr>
              <w:t xml:space="preserve">Percentage contribution of </w:t>
            </w:r>
            <w:r w:rsidR="00E35F1B" w:rsidRPr="00F85DCF">
              <w:rPr>
                <w:i/>
                <w:sz w:val="20"/>
                <w:szCs w:val="20"/>
                <w:lang w:val="en-GB" w:eastAsia="en-AU"/>
              </w:rPr>
              <w:t>A</w:t>
            </w:r>
            <w:r w:rsidR="0003601D" w:rsidRPr="00F85DCF">
              <w:rPr>
                <w:i/>
                <w:sz w:val="20"/>
                <w:szCs w:val="20"/>
                <w:lang w:val="en-GB" w:eastAsia="en-AU"/>
              </w:rPr>
              <w:t>ll other</w:t>
            </w:r>
            <w:r w:rsidR="001103D7" w:rsidRPr="00F85DCF">
              <w:rPr>
                <w:i/>
                <w:sz w:val="20"/>
                <w:szCs w:val="20"/>
                <w:lang w:val="en-GB" w:eastAsia="en-AU"/>
              </w:rPr>
              <w:t xml:space="preserve">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to total exposure</w:t>
            </w:r>
          </w:p>
        </w:tc>
        <w:tc>
          <w:tcPr>
            <w:tcW w:w="6520" w:type="dxa"/>
            <w:vAlign w:val="center"/>
          </w:tcPr>
          <w:p w14:paraId="30902ED9" w14:textId="5B90E59D" w:rsidR="00415D25" w:rsidRPr="00F85DCF" w:rsidRDefault="00415D25" w:rsidP="00E35F1B">
            <w:pPr>
              <w:rPr>
                <w:sz w:val="20"/>
                <w:szCs w:val="20"/>
                <w:lang w:val="en-GB" w:eastAsia="en-AU"/>
              </w:rPr>
            </w:pPr>
            <w:r w:rsidRPr="00F85DCF">
              <w:rPr>
                <w:sz w:val="20"/>
                <w:szCs w:val="20"/>
                <w:lang w:val="en-GB" w:eastAsia="en-AU"/>
              </w:rPr>
              <w:t xml:space="preserve">An </w:t>
            </w:r>
            <w:r w:rsidR="00E35F1B" w:rsidRPr="00F85DCF">
              <w:rPr>
                <w:i/>
                <w:sz w:val="20"/>
                <w:szCs w:val="20"/>
                <w:lang w:val="en-GB" w:eastAsia="en-AU"/>
              </w:rPr>
              <w:t>A</w:t>
            </w:r>
            <w:r w:rsidR="001103D7"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0.1 mg/kg could have been used as this </w:t>
            </w:r>
            <w:r w:rsidR="00BE64C9" w:rsidRPr="00F85DCF" w:rsidDel="00486335">
              <w:rPr>
                <w:sz w:val="20"/>
                <w:szCs w:val="20"/>
                <w:lang w:val="en-GB" w:eastAsia="en-AU"/>
              </w:rPr>
              <w:t>represent</w:t>
            </w:r>
            <w:r w:rsidR="00BE64C9" w:rsidRPr="00F85DCF">
              <w:rPr>
                <w:sz w:val="20"/>
                <w:szCs w:val="20"/>
                <w:lang w:val="en-GB" w:eastAsia="en-AU"/>
              </w:rPr>
              <w:t xml:space="preserve">s a contribution of </w:t>
            </w:r>
            <w:r w:rsidRPr="00F85DCF">
              <w:rPr>
                <w:sz w:val="20"/>
                <w:szCs w:val="20"/>
                <w:lang w:val="en-GB" w:eastAsia="en-AU"/>
              </w:rPr>
              <w:t xml:space="preserve">23% </w:t>
            </w:r>
            <w:r w:rsidR="00BE64C9" w:rsidRPr="00F85DCF">
              <w:rPr>
                <w:sz w:val="20"/>
                <w:szCs w:val="20"/>
                <w:lang w:val="en-GB" w:eastAsia="en-AU"/>
              </w:rPr>
              <w:t>to</w:t>
            </w:r>
            <w:r w:rsidRPr="00F85DCF">
              <w:rPr>
                <w:sz w:val="20"/>
                <w:szCs w:val="20"/>
                <w:lang w:val="en-GB" w:eastAsia="en-AU"/>
              </w:rPr>
              <w:t xml:space="preserve"> total dietary exposure. However, this level </w:t>
            </w:r>
            <w:r w:rsidR="00BE64C9" w:rsidRPr="00F85DCF">
              <w:rPr>
                <w:sz w:val="20"/>
                <w:szCs w:val="20"/>
                <w:lang w:val="en-GB" w:eastAsia="en-AU"/>
              </w:rPr>
              <w:t xml:space="preserve">is </w:t>
            </w:r>
            <w:r w:rsidRPr="00F85DCF">
              <w:rPr>
                <w:sz w:val="20"/>
                <w:szCs w:val="20"/>
                <w:lang w:val="en-GB" w:eastAsia="en-AU"/>
              </w:rPr>
              <w:t xml:space="preserve">considered unacceptable as it </w:t>
            </w:r>
            <w:r w:rsidR="0086673E" w:rsidRPr="00F85DCF">
              <w:rPr>
                <w:sz w:val="20"/>
                <w:szCs w:val="20"/>
                <w:lang w:val="en-GB" w:eastAsia="en-AU"/>
              </w:rPr>
              <w:t xml:space="preserve">is </w:t>
            </w:r>
            <w:r w:rsidRPr="00F85DCF">
              <w:rPr>
                <w:sz w:val="20"/>
                <w:szCs w:val="20"/>
                <w:lang w:val="en-GB" w:eastAsia="en-AU"/>
              </w:rPr>
              <w:t xml:space="preserve">considerably higher than the lowest existing MRLs for Spinosad and may encourage off-label use. Establishing the </w:t>
            </w:r>
            <w:r w:rsidR="00E35F1B" w:rsidRPr="00F85DCF">
              <w:rPr>
                <w:i/>
                <w:sz w:val="20"/>
                <w:szCs w:val="20"/>
                <w:lang w:val="en-GB" w:eastAsia="en-AU"/>
              </w:rPr>
              <w:t>A</w:t>
            </w:r>
            <w:r w:rsidR="001103D7" w:rsidRPr="00F85DCF">
              <w:rPr>
                <w:i/>
                <w:sz w:val="20"/>
                <w:szCs w:val="20"/>
                <w:lang w:val="en-GB" w:eastAsia="en-AU"/>
              </w:rPr>
              <w:t xml:space="preserve">ll other foods </w:t>
            </w:r>
            <w:r w:rsidR="0003601D" w:rsidRPr="00F85DCF">
              <w:rPr>
                <w:i/>
                <w:sz w:val="20"/>
                <w:szCs w:val="20"/>
                <w:lang w:val="en-GB" w:eastAsia="en-AU"/>
              </w:rPr>
              <w:t xml:space="preserve">except animal </w:t>
            </w:r>
            <w:r w:rsidR="006C226A">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at 0.01 mg/kg, represents </w:t>
            </w:r>
            <w:r w:rsidR="00BE64C9" w:rsidRPr="00F85DCF">
              <w:rPr>
                <w:sz w:val="20"/>
                <w:szCs w:val="20"/>
                <w:lang w:val="en-GB" w:eastAsia="en-AU"/>
              </w:rPr>
              <w:t xml:space="preserve">a contribution of </w:t>
            </w:r>
            <w:r w:rsidRPr="00F85DCF">
              <w:rPr>
                <w:sz w:val="20"/>
                <w:szCs w:val="20"/>
                <w:lang w:val="en-GB" w:eastAsia="en-AU"/>
              </w:rPr>
              <w:t xml:space="preserve">3% </w:t>
            </w:r>
            <w:r w:rsidR="00BE64C9" w:rsidRPr="00F85DCF">
              <w:rPr>
                <w:sz w:val="20"/>
                <w:szCs w:val="20"/>
                <w:lang w:val="en-GB" w:eastAsia="en-AU"/>
              </w:rPr>
              <w:t>to</w:t>
            </w:r>
            <w:r w:rsidRPr="00F85DCF">
              <w:rPr>
                <w:sz w:val="20"/>
                <w:szCs w:val="20"/>
                <w:lang w:val="en-GB" w:eastAsia="en-AU"/>
              </w:rPr>
              <w:t xml:space="preserve"> total dietary exposure and is well within the target and considered acceptable.</w:t>
            </w:r>
          </w:p>
        </w:tc>
      </w:tr>
      <w:tr w:rsidR="00BE64C9" w:rsidRPr="00F85DCF" w14:paraId="505929F5" w14:textId="77777777" w:rsidTr="00A62A60">
        <w:tc>
          <w:tcPr>
            <w:tcW w:w="3545" w:type="dxa"/>
            <w:vAlign w:val="center"/>
          </w:tcPr>
          <w:p w14:paraId="1F01C48A" w14:textId="61CD7DA1" w:rsidR="00BE64C9" w:rsidRPr="00F85DCF" w:rsidRDefault="00BE64C9" w:rsidP="0006277A">
            <w:pPr>
              <w:rPr>
                <w:sz w:val="20"/>
                <w:szCs w:val="20"/>
                <w:lang w:val="en-GB" w:eastAsia="en-AU"/>
              </w:rPr>
            </w:pPr>
            <w:r w:rsidRPr="00F85DCF" w:rsidDel="00486335">
              <w:rPr>
                <w:sz w:val="20"/>
                <w:szCs w:val="20"/>
                <w:lang w:val="en-GB" w:eastAsia="en-AU"/>
              </w:rPr>
              <w:t>Acute dietary exposure assessment</w:t>
            </w:r>
            <w:r w:rsidRPr="00F85DCF" w:rsidDel="00486335">
              <w:rPr>
                <w:sz w:val="20"/>
                <w:szCs w:val="20"/>
                <w:lang w:val="en-GB"/>
              </w:rPr>
              <w:t xml:space="preserve"> (NESTI)</w:t>
            </w:r>
          </w:p>
        </w:tc>
        <w:tc>
          <w:tcPr>
            <w:tcW w:w="6520" w:type="dxa"/>
            <w:vAlign w:val="center"/>
          </w:tcPr>
          <w:p w14:paraId="21DDAD96" w14:textId="5101EE79" w:rsidR="00BE64C9" w:rsidRPr="00F85DCF" w:rsidRDefault="00BE64C9" w:rsidP="0006277A">
            <w:pPr>
              <w:rPr>
                <w:sz w:val="20"/>
                <w:szCs w:val="20"/>
                <w:lang w:val="en-GB"/>
              </w:rPr>
            </w:pPr>
            <w:r w:rsidRPr="00F85DCF" w:rsidDel="00486335">
              <w:rPr>
                <w:sz w:val="20"/>
                <w:szCs w:val="20"/>
                <w:lang w:val="en-GB" w:eastAsia="en-AU"/>
              </w:rPr>
              <w:t xml:space="preserve">An acute dietary exposure assessment </w:t>
            </w:r>
            <w:r w:rsidR="0086673E" w:rsidRPr="00F85DCF">
              <w:rPr>
                <w:sz w:val="20"/>
                <w:szCs w:val="20"/>
                <w:lang w:val="en-GB" w:eastAsia="en-AU"/>
              </w:rPr>
              <w:t xml:space="preserve">is </w:t>
            </w:r>
            <w:r w:rsidRPr="00F85DCF">
              <w:rPr>
                <w:sz w:val="20"/>
                <w:szCs w:val="20"/>
                <w:lang w:val="en-GB" w:eastAsia="en-AU"/>
              </w:rPr>
              <w:t>considered un</w:t>
            </w:r>
            <w:r w:rsidRPr="00F85DCF" w:rsidDel="00486335">
              <w:rPr>
                <w:sz w:val="20"/>
                <w:szCs w:val="20"/>
                <w:lang w:val="en-GB" w:eastAsia="en-AU"/>
              </w:rPr>
              <w:t xml:space="preserve">necessary for </w:t>
            </w:r>
            <w:r w:rsidRPr="00F85DCF" w:rsidDel="00486335">
              <w:rPr>
                <w:sz w:val="20"/>
                <w:lang w:val="en-GB"/>
              </w:rPr>
              <w:t xml:space="preserve">Spinosad </w:t>
            </w:r>
            <w:r w:rsidRPr="00F85DCF" w:rsidDel="00486335">
              <w:rPr>
                <w:sz w:val="20"/>
                <w:szCs w:val="20"/>
                <w:lang w:val="en-GB"/>
              </w:rPr>
              <w:t xml:space="preserve">because </w:t>
            </w:r>
            <w:r w:rsidR="00AC21A8" w:rsidRPr="00F85DCF">
              <w:rPr>
                <w:sz w:val="20"/>
                <w:szCs w:val="20"/>
                <w:lang w:val="en-GB"/>
              </w:rPr>
              <w:t>the OCS has not established an</w:t>
            </w:r>
            <w:r w:rsidRPr="00F85DCF" w:rsidDel="00486335">
              <w:rPr>
                <w:sz w:val="20"/>
                <w:szCs w:val="20"/>
                <w:lang w:val="en-GB"/>
              </w:rPr>
              <w:t xml:space="preserve"> acute reference dose </w:t>
            </w:r>
            <w:r w:rsidR="00AC21A8" w:rsidRPr="00F85DCF">
              <w:rPr>
                <w:sz w:val="20"/>
                <w:szCs w:val="20"/>
                <w:lang w:val="en-GB"/>
              </w:rPr>
              <w:t>and JMPR consider an ARfD unnecessary</w:t>
            </w:r>
            <w:r w:rsidRPr="00F85DCF" w:rsidDel="00486335">
              <w:rPr>
                <w:sz w:val="20"/>
                <w:szCs w:val="20"/>
                <w:lang w:val="en-GB"/>
              </w:rPr>
              <w:t>.</w:t>
            </w:r>
          </w:p>
        </w:tc>
      </w:tr>
      <w:tr w:rsidR="00415D25" w:rsidRPr="00F85DCF" w14:paraId="2275D808" w14:textId="77777777" w:rsidTr="00A62A60">
        <w:tc>
          <w:tcPr>
            <w:tcW w:w="3545" w:type="dxa"/>
            <w:vAlign w:val="center"/>
          </w:tcPr>
          <w:p w14:paraId="1C07B8ED" w14:textId="77777777" w:rsidR="00415D25" w:rsidRPr="00F85DCF" w:rsidRDefault="00415D25" w:rsidP="0006277A">
            <w:pPr>
              <w:rPr>
                <w:sz w:val="20"/>
                <w:szCs w:val="20"/>
                <w:lang w:val="en-GB" w:eastAsia="en-AU"/>
              </w:rPr>
            </w:pPr>
            <w:r w:rsidRPr="00F85DCF">
              <w:rPr>
                <w:sz w:val="20"/>
                <w:szCs w:val="20"/>
                <w:lang w:val="en-GB" w:eastAsia="en-AU"/>
              </w:rPr>
              <w:t>Conclusion</w:t>
            </w:r>
          </w:p>
        </w:tc>
        <w:tc>
          <w:tcPr>
            <w:tcW w:w="6520" w:type="dxa"/>
            <w:vAlign w:val="center"/>
          </w:tcPr>
          <w:p w14:paraId="6F4E1B2F" w14:textId="226062F0" w:rsidR="00415D25" w:rsidRPr="00F85DCF" w:rsidRDefault="00415D25" w:rsidP="00E35F1B">
            <w:pPr>
              <w:rPr>
                <w:sz w:val="20"/>
                <w:szCs w:val="20"/>
                <w:lang w:val="en-GB" w:eastAsia="en-AU"/>
              </w:rPr>
            </w:pPr>
            <w:r w:rsidRPr="00F85DCF">
              <w:rPr>
                <w:sz w:val="20"/>
                <w:szCs w:val="20"/>
                <w:lang w:val="en-GB"/>
              </w:rPr>
              <w:t xml:space="preserve">After considering the principles set out above an </w:t>
            </w:r>
            <w:r w:rsidR="00E35F1B" w:rsidRPr="00F85DCF">
              <w:rPr>
                <w:b/>
                <w:i/>
                <w:sz w:val="20"/>
                <w:szCs w:val="20"/>
                <w:lang w:val="en-GB"/>
              </w:rPr>
              <w:t>A</w:t>
            </w:r>
            <w:r w:rsidR="001103D7" w:rsidRPr="00F85DCF">
              <w:rPr>
                <w:b/>
                <w:i/>
                <w:sz w:val="20"/>
                <w:szCs w:val="20"/>
                <w:lang w:val="en-GB"/>
              </w:rPr>
              <w:t xml:space="preserve">ll other foods </w:t>
            </w:r>
            <w:r w:rsidR="0003601D" w:rsidRPr="00F85DCF">
              <w:rPr>
                <w:b/>
                <w:i/>
                <w:sz w:val="20"/>
                <w:szCs w:val="20"/>
                <w:lang w:val="en-GB"/>
              </w:rPr>
              <w:t xml:space="preserve">except animal </w:t>
            </w:r>
            <w:r w:rsidR="006C226A">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0.01 </w:t>
            </w:r>
            <w:r w:rsidRPr="00F85DCF">
              <w:rPr>
                <w:b/>
                <w:sz w:val="20"/>
                <w:szCs w:val="20"/>
                <w:lang w:val="en-GB"/>
              </w:rPr>
              <w:t xml:space="preserve">mg/kg </w:t>
            </w:r>
            <w:r w:rsidRPr="00F85DCF">
              <w:rPr>
                <w:sz w:val="20"/>
                <w:szCs w:val="20"/>
                <w:lang w:val="en-GB"/>
              </w:rPr>
              <w:t xml:space="preserve">for </w:t>
            </w:r>
            <w:r w:rsidRPr="00F85DCF">
              <w:rPr>
                <w:sz w:val="20"/>
                <w:szCs w:val="20"/>
                <w:lang w:val="en-GB" w:eastAsia="en-AU"/>
              </w:rPr>
              <w:t>Spinosad</w:t>
            </w:r>
            <w:r w:rsidRPr="00F85DCF">
              <w:rPr>
                <w:sz w:val="20"/>
                <w:szCs w:val="20"/>
                <w:lang w:val="en-GB"/>
              </w:rPr>
              <w:t xml:space="preserve"> is acceptable because it has been shown to be practical, adequately manages the risk of off-label use and does not increase the </w:t>
            </w:r>
            <w:r w:rsidR="005A4649" w:rsidRPr="00F85DCF">
              <w:rPr>
                <w:sz w:val="20"/>
                <w:szCs w:val="20"/>
                <w:lang w:val="en-GB"/>
              </w:rPr>
              <w:t>level of concern about</w:t>
            </w:r>
            <w:r w:rsidRPr="00F85DCF">
              <w:rPr>
                <w:sz w:val="20"/>
                <w:szCs w:val="20"/>
                <w:lang w:val="en-GB"/>
              </w:rPr>
              <w:t xml:space="preserve"> risk to public health</w:t>
            </w:r>
            <w:r w:rsidR="00E35F1B" w:rsidRPr="00F85DCF">
              <w:rPr>
                <w:sz w:val="20"/>
                <w:szCs w:val="20"/>
                <w:lang w:val="en-GB"/>
              </w:rPr>
              <w:t>.</w:t>
            </w:r>
          </w:p>
        </w:tc>
      </w:tr>
    </w:tbl>
    <w:p w14:paraId="3688233D" w14:textId="61AA2207" w:rsidR="007E5449" w:rsidRPr="00F85DCF" w:rsidRDefault="0049652A" w:rsidP="007C2E1D">
      <w:pPr>
        <w:rPr>
          <w:sz w:val="20"/>
          <w:szCs w:val="20"/>
          <w:lang w:val="en-GB" w:eastAsia="en-AU"/>
        </w:rPr>
      </w:pPr>
      <w:r w:rsidRPr="00F85DCF">
        <w:rPr>
          <w:sz w:val="20"/>
          <w:szCs w:val="20"/>
          <w:lang w:val="en-GB" w:eastAsia="en-AU"/>
        </w:rPr>
        <w:br w:type="page"/>
      </w:r>
    </w:p>
    <w:p w14:paraId="26865C87" w14:textId="77777777" w:rsidR="00F6750E" w:rsidRPr="00F85DCF" w:rsidRDefault="00F6750E" w:rsidP="00A62A60">
      <w:pPr>
        <w:pStyle w:val="Heading3"/>
      </w:pPr>
      <w:r w:rsidRPr="00F85DCF">
        <w:lastRenderedPageBreak/>
        <w:t>Thiabendazole</w:t>
      </w:r>
    </w:p>
    <w:tbl>
      <w:tblPr>
        <w:tblStyle w:val="TableGrid"/>
        <w:tblW w:w="9072" w:type="dxa"/>
        <w:tblLook w:val="04A0" w:firstRow="1" w:lastRow="0" w:firstColumn="1" w:lastColumn="0" w:noHBand="0" w:noVBand="1"/>
      </w:tblPr>
      <w:tblGrid>
        <w:gridCol w:w="3274"/>
        <w:gridCol w:w="5798"/>
      </w:tblGrid>
      <w:tr w:rsidR="00494BF9" w:rsidRPr="00F85DCF" w14:paraId="67B22EEB" w14:textId="77777777" w:rsidTr="00A62A60">
        <w:trPr>
          <w:tblHeader/>
        </w:trPr>
        <w:tc>
          <w:tcPr>
            <w:tcW w:w="3545" w:type="dxa"/>
            <w:vAlign w:val="center"/>
          </w:tcPr>
          <w:p w14:paraId="4A154179" w14:textId="7732B206" w:rsidR="00494BF9" w:rsidRPr="00F85DCF" w:rsidRDefault="006D5974" w:rsidP="007B2A38">
            <w:pPr>
              <w:rPr>
                <w:b/>
                <w:sz w:val="20"/>
                <w:szCs w:val="20"/>
                <w:lang w:val="en-GB"/>
              </w:rPr>
            </w:pPr>
            <w:r w:rsidRPr="006D5974">
              <w:rPr>
                <w:b/>
                <w:sz w:val="20"/>
                <w:szCs w:val="20"/>
                <w:lang w:val="en-GB"/>
              </w:rPr>
              <w:t>Considerations</w:t>
            </w:r>
          </w:p>
        </w:tc>
        <w:tc>
          <w:tcPr>
            <w:tcW w:w="6520" w:type="dxa"/>
            <w:vAlign w:val="center"/>
          </w:tcPr>
          <w:p w14:paraId="2C7D8DB5" w14:textId="77777777" w:rsidR="00494BF9" w:rsidRPr="00F85DCF" w:rsidRDefault="00494BF9" w:rsidP="007B2A38">
            <w:pPr>
              <w:rPr>
                <w:b/>
                <w:sz w:val="20"/>
                <w:szCs w:val="20"/>
                <w:lang w:val="en-GB" w:eastAsia="en-AU"/>
              </w:rPr>
            </w:pPr>
            <w:r w:rsidRPr="00F85DCF">
              <w:rPr>
                <w:b/>
                <w:sz w:val="20"/>
                <w:szCs w:val="20"/>
                <w:lang w:val="en-GB" w:eastAsia="en-AU"/>
              </w:rPr>
              <w:t>Comments</w:t>
            </w:r>
          </w:p>
        </w:tc>
      </w:tr>
      <w:tr w:rsidR="00494BF9" w:rsidRPr="00F85DCF" w14:paraId="227772D9" w14:textId="77777777" w:rsidTr="00A62A60">
        <w:tc>
          <w:tcPr>
            <w:tcW w:w="3545" w:type="dxa"/>
            <w:vAlign w:val="center"/>
          </w:tcPr>
          <w:p w14:paraId="15618BCA" w14:textId="65F09260" w:rsidR="00494BF9" w:rsidRPr="00F85DCF" w:rsidRDefault="004710D5" w:rsidP="007B2A38">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5A3C7D2D" w14:textId="77777777" w:rsidR="00494BF9" w:rsidRPr="00F85DCF" w:rsidRDefault="00494BF9" w:rsidP="007B2A38">
            <w:pPr>
              <w:rPr>
                <w:sz w:val="20"/>
                <w:szCs w:val="20"/>
                <w:lang w:val="en-GB" w:eastAsia="en-AU"/>
              </w:rPr>
            </w:pPr>
            <w:r w:rsidRPr="00F85DCF">
              <w:rPr>
                <w:sz w:val="20"/>
                <w:szCs w:val="20"/>
                <w:lang w:val="en-GB" w:eastAsia="en-AU"/>
              </w:rPr>
              <w:t>0.01 mg/kg</w:t>
            </w:r>
          </w:p>
          <w:p w14:paraId="5D9B1B69" w14:textId="74670610" w:rsidR="00494BF9" w:rsidRPr="00F85DCF" w:rsidRDefault="00494BF9" w:rsidP="00442CE4">
            <w:pPr>
              <w:rPr>
                <w:sz w:val="20"/>
                <w:szCs w:val="20"/>
                <w:lang w:val="en-GB"/>
              </w:rPr>
            </w:pPr>
            <w:r w:rsidRPr="00F85DCF">
              <w:rPr>
                <w:sz w:val="20"/>
                <w:szCs w:val="20"/>
                <w:lang w:val="en-GB" w:eastAsia="en-AU"/>
              </w:rPr>
              <w:t xml:space="preserve">However, at this level the </w:t>
            </w:r>
            <w:r w:rsidR="00442CE4" w:rsidRPr="00F85DCF">
              <w:rPr>
                <w:i/>
                <w:sz w:val="20"/>
                <w:szCs w:val="20"/>
                <w:lang w:val="en-GB" w:eastAsia="en-AU"/>
              </w:rPr>
              <w:t xml:space="preserve">All other foods except animal </w:t>
            </w:r>
            <w:r w:rsidR="004E6D0F">
              <w:rPr>
                <w:i/>
                <w:sz w:val="20"/>
                <w:szCs w:val="20"/>
                <w:lang w:val="en-GB" w:eastAsia="en-AU"/>
              </w:rPr>
              <w:t xml:space="preserve">food </w:t>
            </w:r>
            <w:r w:rsidR="00442CE4" w:rsidRPr="00F85DCF">
              <w:rPr>
                <w:i/>
                <w:sz w:val="20"/>
                <w:szCs w:val="20"/>
                <w:lang w:val="en-GB" w:eastAsia="en-AU"/>
              </w:rPr>
              <w:t>commodities</w:t>
            </w:r>
            <w:r w:rsidRPr="00F85DCF">
              <w:rPr>
                <w:sz w:val="20"/>
                <w:szCs w:val="20"/>
                <w:lang w:val="en-GB" w:eastAsia="en-AU"/>
              </w:rPr>
              <w:t xml:space="preserve"> MRL is not high enough to allow for </w:t>
            </w:r>
            <w:r w:rsidR="004F76AA" w:rsidRPr="00F85DCF">
              <w:rPr>
                <w:sz w:val="20"/>
                <w:szCs w:val="20"/>
                <w:lang w:val="en-GB" w:eastAsia="en-AU"/>
              </w:rPr>
              <w:t>inadvertent</w:t>
            </w:r>
            <w:r w:rsidRPr="00F85DCF">
              <w:rPr>
                <w:sz w:val="20"/>
                <w:szCs w:val="20"/>
                <w:lang w:val="en-GB" w:eastAsia="en-AU"/>
              </w:rPr>
              <w:t xml:space="preserve"> presence of pesticide residues in a food commodity</w:t>
            </w:r>
          </w:p>
        </w:tc>
      </w:tr>
      <w:tr w:rsidR="00494BF9" w:rsidRPr="00F85DCF" w14:paraId="366424D5" w14:textId="77777777" w:rsidTr="00A62A60">
        <w:tc>
          <w:tcPr>
            <w:tcW w:w="3545" w:type="dxa"/>
            <w:vAlign w:val="center"/>
          </w:tcPr>
          <w:p w14:paraId="044878F5" w14:textId="77777777" w:rsidR="00494BF9" w:rsidRPr="00F85DCF" w:rsidRDefault="00494BF9" w:rsidP="007B2A38">
            <w:pPr>
              <w:rPr>
                <w:sz w:val="20"/>
                <w:szCs w:val="20"/>
                <w:lang w:val="en-GB"/>
              </w:rPr>
            </w:pPr>
            <w:r w:rsidRPr="00F85DCF">
              <w:rPr>
                <w:sz w:val="20"/>
                <w:szCs w:val="20"/>
                <w:lang w:val="en-GB"/>
              </w:rPr>
              <w:t>Lowest plant commodity MRL</w:t>
            </w:r>
          </w:p>
        </w:tc>
        <w:tc>
          <w:tcPr>
            <w:tcW w:w="6520" w:type="dxa"/>
            <w:vAlign w:val="center"/>
          </w:tcPr>
          <w:p w14:paraId="6B54FC68" w14:textId="592C4763" w:rsidR="00494BF9" w:rsidRPr="00F85DCF" w:rsidRDefault="00494BF9" w:rsidP="007B2A38">
            <w:pPr>
              <w:rPr>
                <w:sz w:val="20"/>
                <w:szCs w:val="20"/>
                <w:lang w:val="en-GB"/>
              </w:rPr>
            </w:pPr>
            <w:r w:rsidRPr="00F85DCF">
              <w:rPr>
                <w:sz w:val="20"/>
                <w:szCs w:val="20"/>
                <w:lang w:val="en-GB" w:eastAsia="en-AU"/>
              </w:rPr>
              <w:t>T*0.01 mg/kg (peanuts) (*Denotes MRL set</w:t>
            </w:r>
            <w:r w:rsidR="00B85D03" w:rsidRPr="00F85DCF">
              <w:rPr>
                <w:sz w:val="20"/>
                <w:szCs w:val="20"/>
                <w:lang w:val="en-GB" w:eastAsia="en-AU"/>
              </w:rPr>
              <w:t xml:space="preserve"> a</w:t>
            </w:r>
            <w:r w:rsidRPr="00F85DCF">
              <w:rPr>
                <w:sz w:val="20"/>
                <w:szCs w:val="20"/>
                <w:lang w:val="en-GB" w:eastAsia="en-AU"/>
              </w:rPr>
              <w:t xml:space="preserve">t or about the </w:t>
            </w:r>
            <w:r w:rsidR="004710D5" w:rsidRPr="00F85DCF">
              <w:rPr>
                <w:sz w:val="20"/>
                <w:szCs w:val="20"/>
                <w:lang w:val="en-GB" w:eastAsia="en-AU"/>
              </w:rPr>
              <w:t>Limit</w:t>
            </w:r>
            <w:r w:rsidR="000025E0" w:rsidRPr="00F85DCF">
              <w:rPr>
                <w:sz w:val="20"/>
                <w:szCs w:val="20"/>
                <w:lang w:val="en-GB" w:eastAsia="en-AU"/>
              </w:rPr>
              <w:t xml:space="preserve"> of Determination</w:t>
            </w:r>
            <w:r w:rsidRPr="00F85DCF">
              <w:rPr>
                <w:sz w:val="20"/>
                <w:szCs w:val="20"/>
                <w:lang w:val="en-GB" w:eastAsia="en-AU"/>
              </w:rPr>
              <w:t>)</w:t>
            </w:r>
          </w:p>
        </w:tc>
      </w:tr>
      <w:tr w:rsidR="00494BF9" w:rsidRPr="00F85DCF" w14:paraId="1C1B411E" w14:textId="77777777" w:rsidTr="00A62A60">
        <w:tc>
          <w:tcPr>
            <w:tcW w:w="3545" w:type="dxa"/>
            <w:vAlign w:val="center"/>
          </w:tcPr>
          <w:p w14:paraId="1D04DF74" w14:textId="06043A84" w:rsidR="00494BF9" w:rsidRPr="00F85DCF" w:rsidRDefault="00A05F0F" w:rsidP="007B2A38">
            <w:pPr>
              <w:rPr>
                <w:sz w:val="20"/>
                <w:szCs w:val="20"/>
                <w:lang w:val="en-GB"/>
              </w:rPr>
            </w:pPr>
            <w:r w:rsidRPr="00F85DCF">
              <w:rPr>
                <w:sz w:val="20"/>
                <w:szCs w:val="20"/>
                <w:lang w:val="en-GB" w:eastAsia="en-AU"/>
              </w:rPr>
              <w:t xml:space="preserve">Magnitude of existing </w:t>
            </w:r>
            <w:r w:rsidR="0006277A"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2E6CB9A8" w14:textId="2BFC8CE5" w:rsidR="00494BF9" w:rsidRPr="00F85DCF" w:rsidRDefault="00494BF9" w:rsidP="007B2A38">
            <w:pPr>
              <w:rPr>
                <w:sz w:val="20"/>
                <w:szCs w:val="20"/>
                <w:lang w:val="en-GB"/>
              </w:rPr>
            </w:pPr>
            <w:r w:rsidRPr="00F85DCF">
              <w:rPr>
                <w:sz w:val="20"/>
                <w:szCs w:val="20"/>
                <w:lang w:val="en-GB"/>
              </w:rPr>
              <w:t xml:space="preserve">The range of existing MRLs </w:t>
            </w:r>
            <w:r w:rsidR="0086673E" w:rsidRPr="00F85DCF">
              <w:rPr>
                <w:sz w:val="20"/>
                <w:szCs w:val="20"/>
                <w:lang w:val="en-GB"/>
              </w:rPr>
              <w:t xml:space="preserve">is </w:t>
            </w:r>
            <w:r w:rsidRPr="00F85DCF">
              <w:rPr>
                <w:sz w:val="20"/>
                <w:szCs w:val="20"/>
                <w:lang w:val="en-GB"/>
              </w:rPr>
              <w:t>T*</w:t>
            </w:r>
            <w:r w:rsidRPr="00F85DCF">
              <w:rPr>
                <w:sz w:val="20"/>
                <w:szCs w:val="20"/>
                <w:lang w:val="en-GB" w:eastAsia="en-AU"/>
              </w:rPr>
              <w:t xml:space="preserve">0.01 </w:t>
            </w:r>
            <w:r w:rsidRPr="00F85DCF">
              <w:rPr>
                <w:sz w:val="20"/>
                <w:szCs w:val="20"/>
                <w:lang w:val="en-GB"/>
              </w:rPr>
              <w:t>mg/kg (</w:t>
            </w:r>
            <w:r w:rsidRPr="00F85DCF">
              <w:rPr>
                <w:sz w:val="20"/>
                <w:szCs w:val="20"/>
                <w:lang w:val="en-GB" w:eastAsia="en-AU"/>
              </w:rPr>
              <w:t>peanuts</w:t>
            </w:r>
            <w:r w:rsidRPr="00F85DCF">
              <w:rPr>
                <w:sz w:val="20"/>
                <w:szCs w:val="20"/>
                <w:lang w:val="en-GB"/>
              </w:rPr>
              <w:t xml:space="preserve">) to </w:t>
            </w:r>
            <w:r w:rsidRPr="00F85DCF">
              <w:rPr>
                <w:sz w:val="20"/>
                <w:szCs w:val="20"/>
                <w:lang w:val="en-GB" w:eastAsia="en-AU"/>
              </w:rPr>
              <w:t xml:space="preserve">10 </w:t>
            </w:r>
            <w:r w:rsidRPr="00F85DCF">
              <w:rPr>
                <w:sz w:val="20"/>
                <w:szCs w:val="20"/>
                <w:lang w:val="en-GB"/>
              </w:rPr>
              <w:t>mg/kg (</w:t>
            </w:r>
            <w:r w:rsidR="008A535A" w:rsidRPr="00F85DCF">
              <w:rPr>
                <w:sz w:val="20"/>
                <w:szCs w:val="20"/>
                <w:lang w:val="en-GB" w:eastAsia="en-AU"/>
              </w:rPr>
              <w:t>a</w:t>
            </w:r>
            <w:r w:rsidRPr="00F85DCF">
              <w:rPr>
                <w:sz w:val="20"/>
                <w:szCs w:val="20"/>
                <w:lang w:val="en-GB" w:eastAsia="en-AU"/>
              </w:rPr>
              <w:t xml:space="preserve">pple; </w:t>
            </w:r>
            <w:r w:rsidR="008A535A" w:rsidRPr="00F85DCF">
              <w:rPr>
                <w:sz w:val="20"/>
                <w:szCs w:val="20"/>
                <w:lang w:val="en-GB" w:eastAsia="en-AU"/>
              </w:rPr>
              <w:t>c</w:t>
            </w:r>
            <w:r w:rsidRPr="00F85DCF">
              <w:rPr>
                <w:sz w:val="20"/>
                <w:szCs w:val="20"/>
                <w:lang w:val="en-GB" w:eastAsia="en-AU"/>
              </w:rPr>
              <w:t xml:space="preserve">itrus fruits; </w:t>
            </w:r>
            <w:r w:rsidR="008A535A" w:rsidRPr="00F85DCF">
              <w:rPr>
                <w:sz w:val="20"/>
                <w:szCs w:val="20"/>
                <w:lang w:val="en-GB" w:eastAsia="en-AU"/>
              </w:rPr>
              <w:t>p</w:t>
            </w:r>
            <w:r w:rsidRPr="00F85DCF">
              <w:rPr>
                <w:sz w:val="20"/>
                <w:szCs w:val="20"/>
                <w:lang w:val="en-GB" w:eastAsia="en-AU"/>
              </w:rPr>
              <w:t>ear</w:t>
            </w:r>
            <w:r w:rsidR="0006277A" w:rsidRPr="00F85DCF">
              <w:rPr>
                <w:sz w:val="20"/>
                <w:szCs w:val="20"/>
                <w:lang w:val="en-GB"/>
              </w:rPr>
              <w:t>).\</w:t>
            </w:r>
          </w:p>
        </w:tc>
      </w:tr>
      <w:tr w:rsidR="00494BF9" w:rsidRPr="00F85DCF" w14:paraId="5D268D26" w14:textId="77777777" w:rsidTr="00A62A60">
        <w:tc>
          <w:tcPr>
            <w:tcW w:w="3545" w:type="dxa"/>
            <w:vAlign w:val="center"/>
          </w:tcPr>
          <w:p w14:paraId="5C9DE2A1" w14:textId="12BB8AFE" w:rsidR="00494BF9" w:rsidRPr="00F85DCF" w:rsidRDefault="00494BF9" w:rsidP="007B2A38">
            <w:pPr>
              <w:rPr>
                <w:sz w:val="20"/>
                <w:szCs w:val="20"/>
                <w:lang w:val="en-GB" w:eastAsia="en-AU"/>
              </w:rPr>
            </w:pPr>
            <w:r w:rsidRPr="00F85DCF">
              <w:rPr>
                <w:sz w:val="20"/>
                <w:szCs w:val="20"/>
                <w:lang w:val="en-GB" w:eastAsia="en-AU"/>
              </w:rPr>
              <w:t xml:space="preserve">Lowest </w:t>
            </w:r>
            <w:r w:rsidR="0006277A" w:rsidRPr="00F85DCF">
              <w:rPr>
                <w:sz w:val="20"/>
                <w:szCs w:val="20"/>
                <w:lang w:val="en-GB" w:eastAsia="en-AU"/>
              </w:rPr>
              <w:t xml:space="preserve">plant commodity </w:t>
            </w:r>
            <w:r w:rsidRPr="00F85DCF">
              <w:rPr>
                <w:sz w:val="20"/>
                <w:szCs w:val="20"/>
                <w:lang w:val="en-GB" w:eastAsia="en-AU"/>
              </w:rPr>
              <w:t xml:space="preserve">MRL 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300C2650" w14:textId="6ACBE27E" w:rsidR="00494BF9" w:rsidRPr="00F85DCF" w:rsidRDefault="00494BF9" w:rsidP="007B2A38">
            <w:pPr>
              <w:rPr>
                <w:sz w:val="20"/>
                <w:szCs w:val="20"/>
                <w:lang w:val="en-GB"/>
              </w:rPr>
            </w:pPr>
            <w:r w:rsidRPr="00F85DCF">
              <w:rPr>
                <w:sz w:val="20"/>
                <w:szCs w:val="20"/>
                <w:lang w:val="en-GB" w:eastAsia="en-AU"/>
              </w:rPr>
              <w:t xml:space="preserve">0.05 </w:t>
            </w:r>
            <w:r w:rsidRPr="00F85DCF">
              <w:rPr>
                <w:sz w:val="20"/>
                <w:szCs w:val="20"/>
                <w:lang w:val="en-GB"/>
              </w:rPr>
              <w:t>mg/kg (</w:t>
            </w:r>
            <w:r w:rsidR="008A535A" w:rsidRPr="00F85DCF">
              <w:rPr>
                <w:sz w:val="20"/>
                <w:szCs w:val="20"/>
                <w:lang w:val="en-GB" w:eastAsia="en-AU"/>
              </w:rPr>
              <w:t>o</w:t>
            </w:r>
            <w:r w:rsidRPr="00F85DCF">
              <w:rPr>
                <w:sz w:val="20"/>
                <w:szCs w:val="20"/>
                <w:lang w:val="en-GB" w:eastAsia="en-AU"/>
              </w:rPr>
              <w:t xml:space="preserve">nion, bulb; </w:t>
            </w:r>
            <w:r w:rsidR="008A535A" w:rsidRPr="00F85DCF">
              <w:rPr>
                <w:sz w:val="20"/>
                <w:szCs w:val="20"/>
                <w:lang w:val="en-GB" w:eastAsia="en-AU"/>
              </w:rPr>
              <w:t>s</w:t>
            </w:r>
            <w:r w:rsidRPr="00F85DCF">
              <w:rPr>
                <w:sz w:val="20"/>
                <w:szCs w:val="20"/>
                <w:lang w:val="en-GB" w:eastAsia="en-AU"/>
              </w:rPr>
              <w:t>weet potato</w:t>
            </w:r>
            <w:r w:rsidRPr="00F85DCF">
              <w:rPr>
                <w:sz w:val="20"/>
                <w:szCs w:val="20"/>
                <w:lang w:val="en-GB"/>
              </w:rPr>
              <w:t>)</w:t>
            </w:r>
          </w:p>
        </w:tc>
      </w:tr>
      <w:tr w:rsidR="00494BF9" w:rsidRPr="00F85DCF" w14:paraId="01A89BD7" w14:textId="77777777" w:rsidTr="00A62A60">
        <w:tc>
          <w:tcPr>
            <w:tcW w:w="3545" w:type="dxa"/>
            <w:vAlign w:val="center"/>
          </w:tcPr>
          <w:p w14:paraId="2B01CC96" w14:textId="3E347F68" w:rsidR="00494BF9" w:rsidRPr="00F85DCF" w:rsidRDefault="00494BF9" w:rsidP="007B2A38">
            <w:pPr>
              <w:rPr>
                <w:sz w:val="20"/>
                <w:szCs w:val="20"/>
                <w:lang w:val="en-GB" w:eastAsia="en-AU"/>
              </w:rPr>
            </w:pPr>
            <w:r w:rsidRPr="00F85DCF">
              <w:rPr>
                <w:sz w:val="20"/>
                <w:szCs w:val="20"/>
                <w:lang w:val="en-GB" w:eastAsia="en-AU"/>
              </w:rPr>
              <w:t xml:space="preserve">Most relevant reference point to </w:t>
            </w:r>
            <w:r w:rsidR="00BD0039"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7F1271E7" w14:textId="4CED51F5" w:rsidR="00494BF9" w:rsidRPr="00F85DCF" w:rsidRDefault="00494BF9" w:rsidP="007B2A38">
            <w:pPr>
              <w:rPr>
                <w:sz w:val="20"/>
                <w:szCs w:val="20"/>
                <w:lang w:val="en-GB"/>
              </w:rPr>
            </w:pPr>
            <w:r w:rsidRPr="00F85DCF">
              <w:rPr>
                <w:sz w:val="20"/>
                <w:szCs w:val="20"/>
                <w:lang w:val="en-GB" w:eastAsia="en-AU"/>
              </w:rPr>
              <w:t xml:space="preserve">0.05 </w:t>
            </w:r>
            <w:r w:rsidRPr="00F85DCF">
              <w:rPr>
                <w:sz w:val="20"/>
                <w:szCs w:val="20"/>
                <w:lang w:val="en-GB"/>
              </w:rPr>
              <w:t>mg/kg</w:t>
            </w:r>
          </w:p>
        </w:tc>
      </w:tr>
      <w:tr w:rsidR="00494BF9" w:rsidRPr="00F85DCF" w14:paraId="702C5731" w14:textId="77777777" w:rsidTr="00A62A60">
        <w:tc>
          <w:tcPr>
            <w:tcW w:w="3545" w:type="dxa"/>
            <w:vAlign w:val="center"/>
          </w:tcPr>
          <w:p w14:paraId="3C6F3064" w14:textId="77777777" w:rsidR="00494BF9" w:rsidRPr="00F85DCF" w:rsidRDefault="00494BF9" w:rsidP="007B2A38">
            <w:pPr>
              <w:rPr>
                <w:sz w:val="20"/>
                <w:szCs w:val="20"/>
                <w:lang w:val="en-GB"/>
              </w:rPr>
            </w:pPr>
            <w:r w:rsidRPr="00F85DCF">
              <w:rPr>
                <w:sz w:val="20"/>
                <w:szCs w:val="20"/>
                <w:lang w:val="en-GB" w:eastAsia="en-AU"/>
              </w:rPr>
              <w:t>Chronic dietary exposure (NEDI) considering existing permissions only</w:t>
            </w:r>
          </w:p>
        </w:tc>
        <w:tc>
          <w:tcPr>
            <w:tcW w:w="6520" w:type="dxa"/>
            <w:vAlign w:val="center"/>
          </w:tcPr>
          <w:p w14:paraId="10A04965" w14:textId="04FCC2E5" w:rsidR="00494BF9" w:rsidRPr="00F85DCF" w:rsidRDefault="000B731A" w:rsidP="007B2A38">
            <w:pPr>
              <w:rPr>
                <w:sz w:val="20"/>
                <w:szCs w:val="20"/>
                <w:lang w:val="en-GB"/>
              </w:rPr>
            </w:pPr>
            <w:r w:rsidRPr="00F85DCF">
              <w:rPr>
                <w:sz w:val="20"/>
                <w:szCs w:val="20"/>
                <w:lang w:val="en-GB" w:eastAsia="en-AU"/>
              </w:rPr>
              <w:t>49</w:t>
            </w:r>
            <w:r w:rsidR="00494BF9" w:rsidRPr="00F85DCF">
              <w:rPr>
                <w:sz w:val="20"/>
                <w:szCs w:val="20"/>
                <w:lang w:val="en-GB"/>
              </w:rPr>
              <w:t>% of the ADI</w:t>
            </w:r>
            <w:r w:rsidR="00B85D03" w:rsidRPr="00F85DCF">
              <w:rPr>
                <w:sz w:val="20"/>
                <w:szCs w:val="20"/>
                <w:lang w:val="en-GB" w:eastAsia="en-AU"/>
              </w:rPr>
              <w:t xml:space="preserve"> (using the JMPR </w:t>
            </w:r>
            <w:r w:rsidR="00BD0039" w:rsidRPr="00F85DCF">
              <w:rPr>
                <w:sz w:val="20"/>
                <w:szCs w:val="20"/>
                <w:lang w:val="en-GB" w:eastAsia="en-AU"/>
              </w:rPr>
              <w:t xml:space="preserve">ADI </w:t>
            </w:r>
            <w:r w:rsidR="00B85D03" w:rsidRPr="00F85DCF">
              <w:rPr>
                <w:sz w:val="20"/>
                <w:szCs w:val="20"/>
                <w:lang w:val="en-GB" w:eastAsia="en-AU"/>
              </w:rPr>
              <w:t>value for women of childbearing age as a worst case)</w:t>
            </w:r>
            <w:r w:rsidR="00B85D03" w:rsidRPr="00F85DCF">
              <w:rPr>
                <w:sz w:val="20"/>
                <w:szCs w:val="20"/>
                <w:lang w:val="en-GB"/>
              </w:rPr>
              <w:t>.</w:t>
            </w:r>
          </w:p>
        </w:tc>
      </w:tr>
      <w:tr w:rsidR="00494BF9" w:rsidRPr="00F85DCF" w14:paraId="27EBE0A4" w14:textId="77777777" w:rsidTr="00A62A60">
        <w:tc>
          <w:tcPr>
            <w:tcW w:w="3545" w:type="dxa"/>
            <w:vAlign w:val="center"/>
          </w:tcPr>
          <w:p w14:paraId="7019F925" w14:textId="713E4C89" w:rsidR="00494BF9" w:rsidRPr="00F85DCF" w:rsidRDefault="00494BF9" w:rsidP="00442CE4">
            <w:pPr>
              <w:rPr>
                <w:sz w:val="20"/>
                <w:szCs w:val="20"/>
                <w:lang w:val="en-GB"/>
              </w:rPr>
            </w:pPr>
            <w:r w:rsidRPr="00F85DCF">
              <w:rPr>
                <w:sz w:val="20"/>
                <w:szCs w:val="20"/>
                <w:lang w:val="en-GB"/>
              </w:rPr>
              <w:t xml:space="preserve">Proposed </w:t>
            </w:r>
            <w:r w:rsidR="00442CE4" w:rsidRPr="00F85DCF">
              <w:rPr>
                <w:i/>
                <w:sz w:val="20"/>
                <w:szCs w:val="20"/>
                <w:lang w:val="en-GB"/>
              </w:rPr>
              <w:t>A</w:t>
            </w:r>
            <w:r w:rsidR="003636AF" w:rsidRPr="00F85DCF">
              <w:rPr>
                <w:i/>
                <w:sz w:val="20"/>
                <w:szCs w:val="20"/>
                <w:lang w:val="en-GB"/>
              </w:rPr>
              <w:t xml:space="preserve">ll other foods </w:t>
            </w:r>
            <w:r w:rsidR="0003601D" w:rsidRPr="00F85DCF">
              <w:rPr>
                <w:i/>
                <w:sz w:val="20"/>
                <w:szCs w:val="20"/>
                <w:lang w:val="en-GB"/>
              </w:rPr>
              <w:t xml:space="preserve">except animal </w:t>
            </w:r>
            <w:r w:rsidR="002E16F6">
              <w:rPr>
                <w:i/>
                <w:sz w:val="20"/>
                <w:szCs w:val="20"/>
                <w:lang w:val="en-GB"/>
              </w:rPr>
              <w:t xml:space="preserve">food </w:t>
            </w:r>
            <w:r w:rsidR="0003601D" w:rsidRPr="00F85DCF">
              <w:rPr>
                <w:i/>
                <w:sz w:val="20"/>
                <w:szCs w:val="20"/>
                <w:lang w:val="en-GB"/>
              </w:rPr>
              <w:t>commodities</w:t>
            </w:r>
            <w:r w:rsidRPr="00F85DCF">
              <w:rPr>
                <w:sz w:val="20"/>
                <w:szCs w:val="20"/>
                <w:lang w:val="en-GB" w:eastAsia="en-AU"/>
              </w:rPr>
              <w:t xml:space="preserve"> </w:t>
            </w:r>
            <w:r w:rsidRPr="00F85DCF">
              <w:rPr>
                <w:sz w:val="20"/>
                <w:szCs w:val="20"/>
                <w:lang w:val="en-GB"/>
              </w:rPr>
              <w:t>MRL</w:t>
            </w:r>
            <w:r w:rsidR="000C07E7" w:rsidRPr="00F85DCF">
              <w:rPr>
                <w:lang w:val="en-GB"/>
              </w:rPr>
              <w:t xml:space="preserve"> </w:t>
            </w:r>
          </w:p>
        </w:tc>
        <w:tc>
          <w:tcPr>
            <w:tcW w:w="6520" w:type="dxa"/>
            <w:vAlign w:val="center"/>
          </w:tcPr>
          <w:p w14:paraId="2F77F482" w14:textId="380E6697" w:rsidR="00494BF9" w:rsidRPr="00F85DCF" w:rsidRDefault="00494BF9" w:rsidP="007B2A38">
            <w:pPr>
              <w:rPr>
                <w:sz w:val="20"/>
                <w:szCs w:val="20"/>
                <w:lang w:val="en-GB"/>
              </w:rPr>
            </w:pPr>
            <w:r w:rsidRPr="00F85DCF">
              <w:rPr>
                <w:sz w:val="20"/>
                <w:szCs w:val="20"/>
                <w:lang w:val="en-GB"/>
              </w:rPr>
              <w:t>0.03 mg/kg</w:t>
            </w:r>
            <w:r w:rsidR="003E1F82" w:rsidRPr="00F85DCF">
              <w:rPr>
                <w:sz w:val="20"/>
                <w:szCs w:val="20"/>
                <w:lang w:val="en-GB"/>
              </w:rPr>
              <w:t xml:space="preserve"> </w:t>
            </w:r>
          </w:p>
        </w:tc>
      </w:tr>
      <w:tr w:rsidR="00494BF9" w:rsidRPr="00F85DCF" w14:paraId="3549C068" w14:textId="77777777" w:rsidTr="00A62A60">
        <w:tc>
          <w:tcPr>
            <w:tcW w:w="3545" w:type="dxa"/>
            <w:vAlign w:val="center"/>
          </w:tcPr>
          <w:p w14:paraId="594579FE" w14:textId="0869D30C" w:rsidR="00494BF9" w:rsidRPr="00F85DCF" w:rsidRDefault="00494BF9" w:rsidP="00442CE4">
            <w:pPr>
              <w:rPr>
                <w:sz w:val="20"/>
                <w:szCs w:val="20"/>
                <w:lang w:val="en-GB"/>
              </w:rPr>
            </w:pPr>
            <w:r w:rsidRPr="00F85DCF">
              <w:rPr>
                <w:sz w:val="20"/>
                <w:szCs w:val="20"/>
                <w:lang w:val="en-GB" w:eastAsia="en-AU"/>
              </w:rPr>
              <w:t xml:space="preserve">NEDI including </w:t>
            </w:r>
            <w:r w:rsidR="00442CE4" w:rsidRPr="00F85DCF">
              <w:rPr>
                <w:i/>
                <w:sz w:val="20"/>
                <w:szCs w:val="20"/>
                <w:lang w:val="en-GB" w:eastAsia="en-AU"/>
              </w:rPr>
              <w:t>A</w:t>
            </w:r>
            <w:r w:rsidR="003636AF"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5965E687" w14:textId="5030632A" w:rsidR="00494BF9" w:rsidRPr="00F85DCF" w:rsidRDefault="00494BF9" w:rsidP="007B2A38">
            <w:pPr>
              <w:rPr>
                <w:sz w:val="20"/>
                <w:szCs w:val="20"/>
                <w:lang w:val="en-GB"/>
              </w:rPr>
            </w:pPr>
            <w:r w:rsidRPr="00F85DCF">
              <w:rPr>
                <w:sz w:val="20"/>
                <w:szCs w:val="20"/>
                <w:lang w:val="en-GB" w:eastAsia="en-AU"/>
              </w:rPr>
              <w:t xml:space="preserve">49% of the ADI </w:t>
            </w:r>
            <w:r w:rsidR="00B85D03" w:rsidRPr="00F85DCF">
              <w:rPr>
                <w:sz w:val="20"/>
                <w:szCs w:val="20"/>
                <w:lang w:val="en-GB" w:eastAsia="en-AU"/>
              </w:rPr>
              <w:t>(</w:t>
            </w:r>
            <w:r w:rsidRPr="00F85DCF">
              <w:rPr>
                <w:sz w:val="20"/>
                <w:szCs w:val="20"/>
                <w:lang w:val="en-GB" w:eastAsia="en-AU"/>
              </w:rPr>
              <w:t>using the JMPR value for women of childbearing age</w:t>
            </w:r>
            <w:r w:rsidR="00B85D03" w:rsidRPr="00F85DCF">
              <w:rPr>
                <w:sz w:val="20"/>
                <w:szCs w:val="20"/>
                <w:lang w:val="en-GB" w:eastAsia="en-AU"/>
              </w:rPr>
              <w:t xml:space="preserve"> as a worst case)</w:t>
            </w:r>
            <w:r w:rsidRPr="00F85DCF">
              <w:rPr>
                <w:sz w:val="20"/>
                <w:szCs w:val="20"/>
                <w:lang w:val="en-GB" w:eastAsia="en-AU"/>
              </w:rPr>
              <w:t>.</w:t>
            </w:r>
          </w:p>
        </w:tc>
      </w:tr>
      <w:tr w:rsidR="00494BF9" w:rsidRPr="00F85DCF" w14:paraId="539769E7" w14:textId="77777777" w:rsidTr="00A62A60">
        <w:tc>
          <w:tcPr>
            <w:tcW w:w="3545" w:type="dxa"/>
            <w:vAlign w:val="center"/>
          </w:tcPr>
          <w:p w14:paraId="696716D1" w14:textId="38CBF416" w:rsidR="00494BF9" w:rsidRPr="00F85DCF" w:rsidRDefault="00D7195E" w:rsidP="00442CE4">
            <w:pPr>
              <w:rPr>
                <w:sz w:val="20"/>
                <w:szCs w:val="20"/>
                <w:lang w:val="en-GB" w:eastAsia="en-AU"/>
              </w:rPr>
            </w:pPr>
            <w:r w:rsidRPr="00F85DCF">
              <w:rPr>
                <w:sz w:val="20"/>
                <w:szCs w:val="20"/>
                <w:lang w:val="en-GB" w:eastAsia="en-AU"/>
              </w:rPr>
              <w:t xml:space="preserve">Percentage contribution of </w:t>
            </w:r>
            <w:r w:rsidR="00442CE4" w:rsidRPr="00F85DCF">
              <w:rPr>
                <w:i/>
                <w:sz w:val="20"/>
                <w:lang w:val="en-GB" w:eastAsia="en-AU"/>
              </w:rPr>
              <w:t>A</w:t>
            </w:r>
            <w:r w:rsidR="003636AF" w:rsidRPr="00F85DCF">
              <w:rPr>
                <w:i/>
                <w:sz w:val="20"/>
                <w:lang w:val="en-GB" w:eastAsia="en-AU"/>
              </w:rPr>
              <w:t xml:space="preserve">ll other foods </w:t>
            </w:r>
            <w:r w:rsidR="0003601D" w:rsidRPr="00F85DCF">
              <w:rPr>
                <w:i/>
                <w:sz w:val="20"/>
                <w:lang w:val="en-GB" w:eastAsia="en-AU"/>
              </w:rPr>
              <w:t xml:space="preserve">except animal </w:t>
            </w:r>
            <w:r w:rsidR="002E16F6">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BD0039"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32E3433E" w14:textId="798B1E4D" w:rsidR="00D7195E" w:rsidRPr="00F85DCF" w:rsidRDefault="00494BF9" w:rsidP="00442CE4">
            <w:pPr>
              <w:rPr>
                <w:sz w:val="20"/>
                <w:szCs w:val="20"/>
                <w:lang w:val="en-GB" w:eastAsia="en-AU"/>
              </w:rPr>
            </w:pPr>
            <w:r w:rsidRPr="00F85DCF">
              <w:rPr>
                <w:sz w:val="20"/>
                <w:szCs w:val="20"/>
                <w:lang w:val="en-GB" w:eastAsia="en-AU"/>
              </w:rPr>
              <w:t xml:space="preserve">An </w:t>
            </w:r>
            <w:r w:rsidR="00442CE4" w:rsidRPr="00F85DCF">
              <w:rPr>
                <w:i/>
                <w:sz w:val="20"/>
                <w:szCs w:val="20"/>
                <w:lang w:val="en-GB" w:eastAsia="en-AU"/>
              </w:rPr>
              <w:t>A</w:t>
            </w:r>
            <w:r w:rsidR="003636AF"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0.4 mg/kg could have been used as this </w:t>
            </w:r>
            <w:r w:rsidR="00BD0039" w:rsidRPr="00F85DCF">
              <w:rPr>
                <w:sz w:val="20"/>
                <w:szCs w:val="20"/>
                <w:lang w:val="en-GB" w:eastAsia="en-AU"/>
              </w:rPr>
              <w:t xml:space="preserve">represents a contribution of </w:t>
            </w:r>
            <w:r w:rsidRPr="00F85DCF">
              <w:rPr>
                <w:sz w:val="20"/>
                <w:szCs w:val="20"/>
                <w:lang w:val="en-GB" w:eastAsia="en-AU"/>
              </w:rPr>
              <w:t xml:space="preserve">21% </w:t>
            </w:r>
            <w:r w:rsidR="00BD0039" w:rsidRPr="00F85DCF">
              <w:rPr>
                <w:sz w:val="20"/>
                <w:szCs w:val="20"/>
                <w:lang w:val="en-GB" w:eastAsia="en-AU"/>
              </w:rPr>
              <w:t>to</w:t>
            </w:r>
            <w:r w:rsidRPr="00F85DCF">
              <w:rPr>
                <w:sz w:val="20"/>
                <w:szCs w:val="20"/>
                <w:lang w:val="en-GB" w:eastAsia="en-AU"/>
              </w:rPr>
              <w:t xml:space="preserve"> </w:t>
            </w:r>
            <w:r w:rsidR="00BD0039" w:rsidRPr="00F85DCF">
              <w:rPr>
                <w:sz w:val="20"/>
                <w:szCs w:val="20"/>
                <w:lang w:val="en-GB" w:eastAsia="en-AU"/>
              </w:rPr>
              <w:t>total</w:t>
            </w:r>
            <w:r w:rsidR="000537FF" w:rsidRPr="00F85DCF">
              <w:rPr>
                <w:sz w:val="20"/>
                <w:szCs w:val="20"/>
                <w:lang w:val="en-GB" w:eastAsia="en-AU"/>
              </w:rPr>
              <w:t xml:space="preserve"> </w:t>
            </w:r>
            <w:r w:rsidR="00BD0039" w:rsidRPr="00F85DCF">
              <w:rPr>
                <w:sz w:val="20"/>
                <w:szCs w:val="20"/>
                <w:lang w:val="en-GB" w:eastAsia="en-AU"/>
              </w:rPr>
              <w:t xml:space="preserve">dietary </w:t>
            </w:r>
            <w:r w:rsidRPr="00F85DCF">
              <w:rPr>
                <w:sz w:val="20"/>
                <w:szCs w:val="20"/>
                <w:lang w:val="en-GB" w:eastAsia="en-AU"/>
              </w:rPr>
              <w:t xml:space="preserve">exposure. However, this level </w:t>
            </w:r>
            <w:r w:rsidR="00BD0039" w:rsidRPr="00F85DCF">
              <w:rPr>
                <w:sz w:val="20"/>
                <w:szCs w:val="20"/>
                <w:lang w:val="en-GB" w:eastAsia="en-AU"/>
              </w:rPr>
              <w:t xml:space="preserve">is </w:t>
            </w:r>
            <w:r w:rsidRPr="00F85DCF">
              <w:rPr>
                <w:sz w:val="20"/>
                <w:szCs w:val="20"/>
                <w:lang w:val="en-GB" w:eastAsia="en-AU"/>
              </w:rPr>
              <w:t xml:space="preserve">considered unacceptable as it </w:t>
            </w:r>
            <w:r w:rsidR="00BD0039" w:rsidRPr="00F85DCF">
              <w:rPr>
                <w:sz w:val="20"/>
                <w:szCs w:val="20"/>
                <w:lang w:val="en-GB" w:eastAsia="en-AU"/>
              </w:rPr>
              <w:t xml:space="preserve">is </w:t>
            </w:r>
            <w:r w:rsidRPr="00F85DCF">
              <w:rPr>
                <w:sz w:val="20"/>
                <w:szCs w:val="20"/>
                <w:lang w:val="en-GB" w:eastAsia="en-AU"/>
              </w:rPr>
              <w:t xml:space="preserve">considerably higher than the lowest existing MRLs for Thiabendazole and may encourage off-label use. Establishing the </w:t>
            </w:r>
            <w:r w:rsidR="00442CE4" w:rsidRPr="00F85DCF">
              <w:rPr>
                <w:i/>
                <w:sz w:val="20"/>
                <w:szCs w:val="20"/>
                <w:lang w:val="en-GB" w:eastAsia="en-AU"/>
              </w:rPr>
              <w:t>A</w:t>
            </w:r>
            <w:r w:rsidR="003636AF"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i/>
                <w:sz w:val="20"/>
                <w:szCs w:val="20"/>
                <w:lang w:val="en-GB" w:eastAsia="en-AU"/>
              </w:rPr>
              <w:t xml:space="preserve"> </w:t>
            </w:r>
            <w:r w:rsidR="00CC48FF" w:rsidRPr="00F85DCF">
              <w:rPr>
                <w:sz w:val="20"/>
                <w:szCs w:val="20"/>
                <w:lang w:val="en-GB" w:eastAsia="en-AU"/>
              </w:rPr>
              <w:t>(MRL at 0.03 mg/kg)</w:t>
            </w:r>
            <w:r w:rsidRPr="00F85DCF">
              <w:rPr>
                <w:sz w:val="20"/>
                <w:szCs w:val="20"/>
                <w:lang w:val="en-GB" w:eastAsia="en-AU"/>
              </w:rPr>
              <w:t xml:space="preserve"> represents </w:t>
            </w:r>
            <w:r w:rsidR="00BD0039" w:rsidRPr="00F85DCF">
              <w:rPr>
                <w:sz w:val="20"/>
                <w:szCs w:val="20"/>
                <w:lang w:val="en-GB" w:eastAsia="en-AU"/>
              </w:rPr>
              <w:t xml:space="preserve">a contribution of </w:t>
            </w:r>
            <w:r w:rsidRPr="00F85DCF">
              <w:rPr>
                <w:sz w:val="20"/>
                <w:szCs w:val="20"/>
                <w:lang w:val="en-GB" w:eastAsia="en-AU"/>
              </w:rPr>
              <w:t xml:space="preserve">2% </w:t>
            </w:r>
            <w:r w:rsidR="00BD0039" w:rsidRPr="00F85DCF">
              <w:rPr>
                <w:sz w:val="20"/>
                <w:szCs w:val="20"/>
                <w:lang w:val="en-GB" w:eastAsia="en-AU"/>
              </w:rPr>
              <w:t>to</w:t>
            </w:r>
            <w:r w:rsidRPr="00F85DCF">
              <w:rPr>
                <w:sz w:val="20"/>
                <w:szCs w:val="20"/>
                <w:lang w:val="en-GB" w:eastAsia="en-AU"/>
              </w:rPr>
              <w:t xml:space="preserve"> total dietary exposure and is well within the target and considered acceptable. </w:t>
            </w:r>
          </w:p>
        </w:tc>
      </w:tr>
      <w:tr w:rsidR="00BD0039" w:rsidRPr="00F85DCF" w14:paraId="214979D3" w14:textId="77777777" w:rsidTr="00A62A60">
        <w:tc>
          <w:tcPr>
            <w:tcW w:w="3545" w:type="dxa"/>
            <w:vAlign w:val="center"/>
          </w:tcPr>
          <w:p w14:paraId="507F051A" w14:textId="79E2CF0E" w:rsidR="00BD0039" w:rsidRPr="00F85DCF" w:rsidRDefault="00BD0039" w:rsidP="007B2A38">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33F38BDD" w14:textId="711093C9" w:rsidR="00BD0039" w:rsidRPr="00F85DCF" w:rsidRDefault="00BD0039" w:rsidP="007B2A38">
            <w:pPr>
              <w:rPr>
                <w:sz w:val="20"/>
                <w:szCs w:val="20"/>
                <w:lang w:val="en-GB"/>
              </w:rPr>
            </w:pPr>
            <w:r w:rsidRPr="00F85DCF">
              <w:rPr>
                <w:sz w:val="20"/>
                <w:szCs w:val="20"/>
                <w:lang w:val="en-GB" w:eastAsia="en-AU"/>
              </w:rPr>
              <w:t>The ARfD for the general population has been established at 1 mg/kg bw, while an ARfD of 0.3 mg/kg bw for Thiabendazole has been established for women of child bearing age. This lower ARfD has been used in the NESTI calculations, together with the estimated food consumption for Australians aged 2 years and above, to provide a conservative estimate of acute exposure.</w:t>
            </w:r>
          </w:p>
        </w:tc>
      </w:tr>
      <w:tr w:rsidR="008637D7" w:rsidRPr="00F85DCF" w14:paraId="5ED07AC5" w14:textId="77777777" w:rsidTr="00A62A60">
        <w:tc>
          <w:tcPr>
            <w:tcW w:w="3545" w:type="dxa"/>
            <w:vMerge w:val="restart"/>
            <w:vAlign w:val="center"/>
          </w:tcPr>
          <w:p w14:paraId="2C23FD88" w14:textId="3C5B4F97" w:rsidR="008637D7" w:rsidRPr="00F85DCF" w:rsidRDefault="008637D7" w:rsidP="007B2A38">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7BC20F43" w14:textId="1CD54240" w:rsidR="008637D7" w:rsidRPr="00F85DCF" w:rsidRDefault="008637D7" w:rsidP="007B2A38">
            <w:pPr>
              <w:rPr>
                <w:sz w:val="20"/>
                <w:szCs w:val="20"/>
                <w:lang w:val="en-GB"/>
              </w:rPr>
            </w:pPr>
            <w:r w:rsidRPr="00F85DCF">
              <w:rPr>
                <w:sz w:val="20"/>
                <w:szCs w:val="20"/>
                <w:lang w:val="en-GB" w:eastAsia="en-AU"/>
              </w:rPr>
              <w:t xml:space="preserve">Children 2-6 years of age (worse case - pineapples), 2% of the ARfD </w:t>
            </w:r>
          </w:p>
        </w:tc>
      </w:tr>
      <w:tr w:rsidR="008637D7" w:rsidRPr="00F85DCF" w14:paraId="675E5E9B" w14:textId="77777777" w:rsidTr="00A62A60">
        <w:tc>
          <w:tcPr>
            <w:tcW w:w="3545" w:type="dxa"/>
            <w:vMerge/>
            <w:vAlign w:val="center"/>
          </w:tcPr>
          <w:p w14:paraId="5232DAC1" w14:textId="15F2C0A5" w:rsidR="008637D7" w:rsidRPr="00F85DCF" w:rsidRDefault="008637D7" w:rsidP="007B2A38">
            <w:pPr>
              <w:rPr>
                <w:sz w:val="20"/>
                <w:szCs w:val="20"/>
                <w:lang w:val="en-GB" w:eastAsia="en-AU"/>
              </w:rPr>
            </w:pPr>
          </w:p>
        </w:tc>
        <w:tc>
          <w:tcPr>
            <w:tcW w:w="6520" w:type="dxa"/>
            <w:vAlign w:val="center"/>
          </w:tcPr>
          <w:p w14:paraId="03FEF735" w14:textId="0FD91477" w:rsidR="008637D7" w:rsidRPr="00F85DCF" w:rsidRDefault="008637D7" w:rsidP="007B2A38">
            <w:pPr>
              <w:rPr>
                <w:sz w:val="20"/>
                <w:szCs w:val="20"/>
                <w:lang w:val="en-GB"/>
              </w:rPr>
            </w:pPr>
            <w:r w:rsidRPr="00F85DCF">
              <w:rPr>
                <w:sz w:val="20"/>
                <w:szCs w:val="20"/>
                <w:lang w:val="en-GB" w:eastAsia="en-AU"/>
              </w:rPr>
              <w:t>Population aged 2 years and above (worse case – watermelon), 2% of the ARfD</w:t>
            </w:r>
          </w:p>
        </w:tc>
      </w:tr>
      <w:tr w:rsidR="00494BF9" w:rsidRPr="00F85DCF" w14:paraId="59B54D2C" w14:textId="77777777" w:rsidTr="00A62A60">
        <w:tc>
          <w:tcPr>
            <w:tcW w:w="3545" w:type="dxa"/>
            <w:vAlign w:val="center"/>
          </w:tcPr>
          <w:p w14:paraId="72C6AE96" w14:textId="77777777" w:rsidR="00494BF9" w:rsidRPr="00F85DCF" w:rsidRDefault="00494BF9" w:rsidP="007B2A38">
            <w:pPr>
              <w:rPr>
                <w:sz w:val="20"/>
                <w:szCs w:val="20"/>
                <w:lang w:val="en-GB" w:eastAsia="en-AU"/>
              </w:rPr>
            </w:pPr>
            <w:r w:rsidRPr="00F85DCF">
              <w:rPr>
                <w:sz w:val="20"/>
                <w:szCs w:val="20"/>
                <w:lang w:val="en-GB" w:eastAsia="en-AU"/>
              </w:rPr>
              <w:t>Conclusion</w:t>
            </w:r>
          </w:p>
        </w:tc>
        <w:tc>
          <w:tcPr>
            <w:tcW w:w="6520" w:type="dxa"/>
            <w:vAlign w:val="center"/>
          </w:tcPr>
          <w:p w14:paraId="4B24B15E" w14:textId="27C5313F" w:rsidR="00494BF9" w:rsidRPr="00F85DCF" w:rsidRDefault="00494BF9" w:rsidP="00442CE4">
            <w:pPr>
              <w:rPr>
                <w:sz w:val="20"/>
                <w:szCs w:val="20"/>
                <w:lang w:val="en-GB" w:eastAsia="en-AU"/>
              </w:rPr>
            </w:pPr>
            <w:r w:rsidRPr="00F85DCF">
              <w:rPr>
                <w:sz w:val="20"/>
                <w:szCs w:val="20"/>
                <w:lang w:val="en-GB"/>
              </w:rPr>
              <w:t xml:space="preserve">After considering the principles set out above an </w:t>
            </w:r>
            <w:r w:rsidR="00442CE4" w:rsidRPr="00F85DCF">
              <w:rPr>
                <w:b/>
                <w:i/>
                <w:sz w:val="20"/>
                <w:szCs w:val="20"/>
                <w:lang w:val="en-GB"/>
              </w:rPr>
              <w:t>A</w:t>
            </w:r>
            <w:r w:rsidR="003636AF" w:rsidRPr="00F85DCF">
              <w:rPr>
                <w:b/>
                <w:i/>
                <w:sz w:val="20"/>
                <w:szCs w:val="20"/>
                <w:lang w:val="en-GB"/>
              </w:rPr>
              <w:t xml:space="preserve">ll other foods </w:t>
            </w:r>
            <w:r w:rsidR="0003601D" w:rsidRPr="00F85DCF">
              <w:rPr>
                <w:b/>
                <w:i/>
                <w:sz w:val="20"/>
                <w:szCs w:val="20"/>
                <w:lang w:val="en-GB"/>
              </w:rPr>
              <w:t xml:space="preserve">except animal </w:t>
            </w:r>
            <w:r w:rsidR="002E16F6">
              <w:rPr>
                <w:b/>
                <w:i/>
                <w:sz w:val="20"/>
                <w:szCs w:val="20"/>
                <w:lang w:val="en-GB"/>
              </w:rPr>
              <w:t xml:space="preserve">food </w:t>
            </w:r>
            <w:r w:rsidR="0003601D" w:rsidRPr="00F85DCF">
              <w:rPr>
                <w:b/>
                <w:i/>
                <w:sz w:val="20"/>
                <w:szCs w:val="20"/>
                <w:lang w:val="en-GB"/>
              </w:rPr>
              <w:t>commodities</w:t>
            </w:r>
            <w:r w:rsidRPr="00F85DCF">
              <w:rPr>
                <w:b/>
                <w:i/>
                <w:sz w:val="20"/>
                <w:szCs w:val="20"/>
                <w:lang w:val="en-GB"/>
              </w:rPr>
              <w:t xml:space="preserve"> </w:t>
            </w:r>
            <w:r w:rsidRPr="00F85DCF">
              <w:rPr>
                <w:b/>
                <w:sz w:val="20"/>
                <w:szCs w:val="20"/>
                <w:lang w:val="en-GB"/>
              </w:rPr>
              <w:t xml:space="preserve">MRL of </w:t>
            </w:r>
            <w:r w:rsidRPr="00F85DCF">
              <w:rPr>
                <w:b/>
                <w:sz w:val="20"/>
                <w:szCs w:val="20"/>
                <w:lang w:val="en-GB" w:eastAsia="en-AU"/>
              </w:rPr>
              <w:t xml:space="preserve">0.03 </w:t>
            </w:r>
            <w:r w:rsidRPr="00F85DCF">
              <w:rPr>
                <w:b/>
                <w:sz w:val="20"/>
                <w:szCs w:val="20"/>
                <w:lang w:val="en-GB"/>
              </w:rPr>
              <w:t>mg/kg</w:t>
            </w:r>
            <w:r w:rsidRPr="00F85DCF">
              <w:rPr>
                <w:sz w:val="20"/>
                <w:szCs w:val="20"/>
                <w:lang w:val="en-GB"/>
              </w:rPr>
              <w:t xml:space="preserve"> for </w:t>
            </w:r>
            <w:r w:rsidRPr="00F85DCF">
              <w:rPr>
                <w:sz w:val="20"/>
                <w:szCs w:val="20"/>
                <w:lang w:val="en-GB" w:eastAsia="en-AU"/>
              </w:rPr>
              <w:t>Thiabendazole</w:t>
            </w:r>
            <w:r w:rsidRPr="00F85DCF">
              <w:rPr>
                <w:sz w:val="20"/>
                <w:szCs w:val="20"/>
                <w:lang w:val="en-GB"/>
              </w:rPr>
              <w:t xml:space="preserve"> is acceptable because it has been shown to be practical, adequately manages the risk of off-label use and does not increase the </w:t>
            </w:r>
            <w:r w:rsidR="005A4649" w:rsidRPr="00F85DCF">
              <w:rPr>
                <w:sz w:val="20"/>
                <w:szCs w:val="20"/>
                <w:lang w:val="en-GB"/>
              </w:rPr>
              <w:t>level of concern about</w:t>
            </w:r>
            <w:r w:rsidRPr="00F85DCF">
              <w:rPr>
                <w:sz w:val="20"/>
                <w:szCs w:val="20"/>
                <w:lang w:val="en-GB"/>
              </w:rPr>
              <w:t xml:space="preserve"> risk to public health.</w:t>
            </w:r>
          </w:p>
        </w:tc>
      </w:tr>
    </w:tbl>
    <w:p w14:paraId="7733FAF4" w14:textId="77777777" w:rsidR="0049652A" w:rsidRPr="00F85DCF" w:rsidRDefault="0049652A">
      <w:pPr>
        <w:rPr>
          <w:lang w:val="en-GB" w:eastAsia="en-AU"/>
        </w:rPr>
      </w:pPr>
      <w:r w:rsidRPr="00F85DCF">
        <w:rPr>
          <w:lang w:val="en-GB" w:eastAsia="en-AU"/>
        </w:rPr>
        <w:br w:type="page"/>
      </w:r>
    </w:p>
    <w:p w14:paraId="7D0FFBB1" w14:textId="156AE422" w:rsidR="00F6750E" w:rsidRPr="00F85DCF" w:rsidRDefault="00F6750E" w:rsidP="00A62A60">
      <w:pPr>
        <w:pStyle w:val="Heading3"/>
      </w:pPr>
      <w:r w:rsidRPr="00F85DCF">
        <w:lastRenderedPageBreak/>
        <w:t>Triadimefon</w:t>
      </w:r>
      <w:r w:rsidR="00D90961" w:rsidRPr="00F85DCF">
        <w:t xml:space="preserve"> and Triadimenol</w:t>
      </w:r>
    </w:p>
    <w:tbl>
      <w:tblPr>
        <w:tblStyle w:val="TableGrid"/>
        <w:tblW w:w="9072" w:type="dxa"/>
        <w:tblLook w:val="04A0" w:firstRow="1" w:lastRow="0" w:firstColumn="1" w:lastColumn="0" w:noHBand="0" w:noVBand="1"/>
      </w:tblPr>
      <w:tblGrid>
        <w:gridCol w:w="3277"/>
        <w:gridCol w:w="5795"/>
      </w:tblGrid>
      <w:tr w:rsidR="00C26453" w:rsidRPr="00F85DCF" w14:paraId="56AA1CBA" w14:textId="77777777" w:rsidTr="00A62A60">
        <w:trPr>
          <w:trHeight w:val="57"/>
          <w:tblHeader/>
        </w:trPr>
        <w:tc>
          <w:tcPr>
            <w:tcW w:w="3545" w:type="dxa"/>
            <w:vAlign w:val="center"/>
          </w:tcPr>
          <w:p w14:paraId="331EAEF0" w14:textId="09DE9345" w:rsidR="00C26453" w:rsidRPr="00F85DCF" w:rsidRDefault="006D5974" w:rsidP="007B2A38">
            <w:pPr>
              <w:rPr>
                <w:b/>
                <w:sz w:val="20"/>
                <w:szCs w:val="20"/>
                <w:lang w:val="en-GB"/>
              </w:rPr>
            </w:pPr>
            <w:r w:rsidRPr="006D5974">
              <w:rPr>
                <w:b/>
                <w:sz w:val="20"/>
                <w:szCs w:val="20"/>
                <w:lang w:val="en-GB"/>
              </w:rPr>
              <w:t>Considerations</w:t>
            </w:r>
          </w:p>
        </w:tc>
        <w:tc>
          <w:tcPr>
            <w:tcW w:w="6520" w:type="dxa"/>
            <w:vAlign w:val="center"/>
          </w:tcPr>
          <w:p w14:paraId="3B2A090D" w14:textId="77777777" w:rsidR="00C26453" w:rsidRPr="00F85DCF" w:rsidRDefault="00C26453" w:rsidP="007B2A38">
            <w:pPr>
              <w:rPr>
                <w:b/>
                <w:sz w:val="20"/>
                <w:szCs w:val="20"/>
                <w:lang w:val="en-GB" w:eastAsia="en-AU"/>
              </w:rPr>
            </w:pPr>
            <w:r w:rsidRPr="00F85DCF">
              <w:rPr>
                <w:b/>
                <w:sz w:val="20"/>
                <w:szCs w:val="20"/>
                <w:lang w:val="en-GB" w:eastAsia="en-AU"/>
              </w:rPr>
              <w:t>Comments</w:t>
            </w:r>
          </w:p>
        </w:tc>
      </w:tr>
      <w:tr w:rsidR="00C26453" w:rsidRPr="00F85DCF" w14:paraId="23DAEF3E" w14:textId="77777777" w:rsidTr="00A62A60">
        <w:trPr>
          <w:trHeight w:val="57"/>
        </w:trPr>
        <w:tc>
          <w:tcPr>
            <w:tcW w:w="3545" w:type="dxa"/>
            <w:vAlign w:val="center"/>
          </w:tcPr>
          <w:p w14:paraId="571CDFB7" w14:textId="0DFEFBB0" w:rsidR="00C26453" w:rsidRPr="00F85DCF" w:rsidRDefault="00B85D03" w:rsidP="007B2A38">
            <w:pPr>
              <w:rPr>
                <w:sz w:val="20"/>
                <w:szCs w:val="20"/>
                <w:lang w:val="en-GB"/>
              </w:rPr>
            </w:pPr>
            <w:r w:rsidRPr="00F85DCF">
              <w:rPr>
                <w:sz w:val="20"/>
                <w:szCs w:val="20"/>
                <w:lang w:val="en-GB"/>
              </w:rPr>
              <w:t>Combined assessment</w:t>
            </w:r>
          </w:p>
        </w:tc>
        <w:tc>
          <w:tcPr>
            <w:tcW w:w="6520" w:type="dxa"/>
            <w:vAlign w:val="center"/>
          </w:tcPr>
          <w:p w14:paraId="0A52C1A1" w14:textId="0E1A5BFE" w:rsidR="00C26453" w:rsidRPr="00F85DCF" w:rsidRDefault="00C26453" w:rsidP="00896077">
            <w:pPr>
              <w:rPr>
                <w:sz w:val="20"/>
                <w:szCs w:val="20"/>
                <w:lang w:val="en-GB" w:eastAsia="en-AU"/>
              </w:rPr>
            </w:pPr>
            <w:r w:rsidRPr="00F85DCF">
              <w:rPr>
                <w:sz w:val="20"/>
                <w:szCs w:val="20"/>
                <w:lang w:val="en-GB" w:eastAsia="en-AU"/>
              </w:rPr>
              <w:t xml:space="preserve">Triadimefon is the parent compound of Triadimenol and therefore the establishment of an </w:t>
            </w:r>
            <w:r w:rsidR="00896077" w:rsidRPr="00F85DCF">
              <w:rPr>
                <w:i/>
                <w:sz w:val="20"/>
                <w:szCs w:val="20"/>
                <w:lang w:val="en-GB" w:eastAsia="en-AU"/>
              </w:rPr>
              <w:t>A</w:t>
            </w:r>
            <w:r w:rsidR="007B1A72" w:rsidRPr="00F85DCF">
              <w:rPr>
                <w:i/>
                <w:sz w:val="20"/>
                <w:szCs w:val="20"/>
                <w:lang w:val="en-GB" w:eastAsia="en-AU"/>
              </w:rPr>
              <w:t xml:space="preserve">ll other foods </w:t>
            </w:r>
            <w:r w:rsidR="0003601D" w:rsidRPr="00F85DCF">
              <w:rPr>
                <w:i/>
                <w:sz w:val="20"/>
                <w:szCs w:val="20"/>
                <w:lang w:val="en-GB" w:eastAsia="en-AU"/>
              </w:rPr>
              <w:t xml:space="preserve">except animal </w:t>
            </w:r>
            <w:r w:rsidR="00792B43">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for Triadimefon needs to also consider </w:t>
            </w:r>
            <w:r w:rsidR="00AE2D67" w:rsidRPr="00F85DCF">
              <w:rPr>
                <w:sz w:val="20"/>
                <w:szCs w:val="20"/>
                <w:lang w:val="en-GB" w:eastAsia="en-AU"/>
              </w:rPr>
              <w:t xml:space="preserve">dietary </w:t>
            </w:r>
            <w:r w:rsidRPr="00F85DCF">
              <w:rPr>
                <w:sz w:val="20"/>
                <w:szCs w:val="20"/>
                <w:lang w:val="en-GB" w:eastAsia="en-AU"/>
              </w:rPr>
              <w:t xml:space="preserve">exposure from the </w:t>
            </w:r>
            <w:r w:rsidR="00793116" w:rsidRPr="00F85DCF">
              <w:rPr>
                <w:sz w:val="20"/>
                <w:szCs w:val="20"/>
                <w:lang w:val="en-GB" w:eastAsia="en-AU"/>
              </w:rPr>
              <w:t xml:space="preserve">registered uses of Triadimenol. </w:t>
            </w:r>
            <w:r w:rsidRPr="00F85DCF">
              <w:rPr>
                <w:sz w:val="20"/>
                <w:szCs w:val="20"/>
                <w:lang w:val="en-GB" w:eastAsia="en-AU"/>
              </w:rPr>
              <w:t xml:space="preserve">Where the same commodity has an MRL for both </w:t>
            </w:r>
            <w:r w:rsidR="007F594F" w:rsidRPr="00F85DCF">
              <w:rPr>
                <w:sz w:val="20"/>
                <w:szCs w:val="20"/>
                <w:lang w:val="en-GB" w:eastAsia="en-AU"/>
              </w:rPr>
              <w:t xml:space="preserve">agvet </w:t>
            </w:r>
            <w:r w:rsidRPr="00F85DCF">
              <w:rPr>
                <w:sz w:val="20"/>
                <w:szCs w:val="20"/>
                <w:lang w:val="en-GB" w:eastAsia="en-AU"/>
              </w:rPr>
              <w:t xml:space="preserve">chemicals, the commodity with the highest MRL </w:t>
            </w:r>
            <w:r w:rsidR="0086673E" w:rsidRPr="00F85DCF">
              <w:rPr>
                <w:sz w:val="20"/>
                <w:szCs w:val="20"/>
                <w:lang w:val="en-GB" w:eastAsia="en-AU"/>
              </w:rPr>
              <w:t>i</w:t>
            </w:r>
            <w:r w:rsidRPr="00F85DCF">
              <w:rPr>
                <w:sz w:val="20"/>
                <w:szCs w:val="20"/>
                <w:lang w:val="en-GB" w:eastAsia="en-AU"/>
              </w:rPr>
              <w:t xml:space="preserve">s used in the exposure estimate. This assumes that Triadimefon breaks down to mostly Triadimenol and is likely to be an overestimate of </w:t>
            </w:r>
            <w:r w:rsidR="00AE2D67" w:rsidRPr="00F85DCF">
              <w:rPr>
                <w:sz w:val="20"/>
                <w:szCs w:val="20"/>
                <w:lang w:val="en-GB" w:eastAsia="en-AU"/>
              </w:rPr>
              <w:t xml:space="preserve">dietary </w:t>
            </w:r>
            <w:r w:rsidRPr="00F85DCF">
              <w:rPr>
                <w:sz w:val="20"/>
                <w:szCs w:val="20"/>
                <w:lang w:val="en-GB" w:eastAsia="en-AU"/>
              </w:rPr>
              <w:t>exposure.</w:t>
            </w:r>
          </w:p>
        </w:tc>
      </w:tr>
      <w:tr w:rsidR="00C26453" w:rsidRPr="00F85DCF" w14:paraId="796EB3C2" w14:textId="77777777" w:rsidTr="00A62A60">
        <w:trPr>
          <w:trHeight w:val="57"/>
        </w:trPr>
        <w:tc>
          <w:tcPr>
            <w:tcW w:w="3545" w:type="dxa"/>
            <w:vAlign w:val="center"/>
          </w:tcPr>
          <w:p w14:paraId="2118E861" w14:textId="3FCFE693" w:rsidR="00C26453" w:rsidRPr="00F85DCF" w:rsidRDefault="004710D5" w:rsidP="007B2A38">
            <w:pPr>
              <w:rPr>
                <w:sz w:val="20"/>
                <w:szCs w:val="20"/>
                <w:lang w:val="en-GB"/>
              </w:rPr>
            </w:pPr>
            <w:r w:rsidRPr="00F85DCF">
              <w:rPr>
                <w:sz w:val="20"/>
                <w:szCs w:val="20"/>
                <w:lang w:val="en-GB"/>
              </w:rPr>
              <w:t>Limit</w:t>
            </w:r>
            <w:r w:rsidR="000025E0" w:rsidRPr="00F85DCF">
              <w:rPr>
                <w:sz w:val="20"/>
                <w:szCs w:val="20"/>
                <w:lang w:val="en-GB"/>
              </w:rPr>
              <w:t xml:space="preserve"> of Determination</w:t>
            </w:r>
          </w:p>
        </w:tc>
        <w:tc>
          <w:tcPr>
            <w:tcW w:w="6520" w:type="dxa"/>
            <w:vAlign w:val="center"/>
          </w:tcPr>
          <w:p w14:paraId="53979652" w14:textId="77777777" w:rsidR="00C26453" w:rsidRPr="00F85DCF" w:rsidRDefault="00C26453" w:rsidP="007B2A38">
            <w:pPr>
              <w:rPr>
                <w:sz w:val="20"/>
                <w:szCs w:val="20"/>
                <w:lang w:val="en-GB"/>
              </w:rPr>
            </w:pPr>
            <w:r w:rsidRPr="00F85DCF">
              <w:rPr>
                <w:sz w:val="20"/>
                <w:szCs w:val="20"/>
                <w:lang w:val="en-GB" w:eastAsia="en-AU"/>
              </w:rPr>
              <w:t>0.01 mg/kg</w:t>
            </w:r>
          </w:p>
        </w:tc>
      </w:tr>
      <w:tr w:rsidR="00C26453" w:rsidRPr="00F85DCF" w14:paraId="5398C269" w14:textId="77777777" w:rsidTr="00A62A60">
        <w:trPr>
          <w:trHeight w:val="57"/>
        </w:trPr>
        <w:tc>
          <w:tcPr>
            <w:tcW w:w="3545" w:type="dxa"/>
            <w:vAlign w:val="center"/>
          </w:tcPr>
          <w:p w14:paraId="61F6335E" w14:textId="77777777" w:rsidR="00C26453" w:rsidRPr="00F85DCF" w:rsidRDefault="00C26453" w:rsidP="007B2A38">
            <w:pPr>
              <w:rPr>
                <w:sz w:val="20"/>
                <w:szCs w:val="20"/>
                <w:lang w:val="en-GB"/>
              </w:rPr>
            </w:pPr>
            <w:r w:rsidRPr="00F85DCF">
              <w:rPr>
                <w:sz w:val="20"/>
                <w:szCs w:val="20"/>
                <w:lang w:val="en-GB"/>
              </w:rPr>
              <w:t>Lowest plant commodity MRL</w:t>
            </w:r>
          </w:p>
        </w:tc>
        <w:tc>
          <w:tcPr>
            <w:tcW w:w="6520" w:type="dxa"/>
            <w:vAlign w:val="center"/>
          </w:tcPr>
          <w:p w14:paraId="3D1D97F5" w14:textId="3E5E4B69" w:rsidR="00C26453" w:rsidRPr="00F85DCF" w:rsidRDefault="00C26453" w:rsidP="007B2A38">
            <w:pPr>
              <w:rPr>
                <w:sz w:val="20"/>
                <w:szCs w:val="20"/>
                <w:lang w:val="en-GB" w:eastAsia="en-AU"/>
              </w:rPr>
            </w:pPr>
            <w:r w:rsidRPr="00F85DCF">
              <w:rPr>
                <w:sz w:val="20"/>
                <w:szCs w:val="20"/>
                <w:lang w:val="en-GB"/>
              </w:rPr>
              <w:t xml:space="preserve">Triadimefon: </w:t>
            </w:r>
            <w:r w:rsidRPr="00F85DCF">
              <w:rPr>
                <w:sz w:val="20"/>
                <w:szCs w:val="20"/>
                <w:lang w:val="en-GB" w:eastAsia="en-AU"/>
              </w:rPr>
              <w:t>*0.05 mg/kg (</w:t>
            </w:r>
            <w:r w:rsidR="00BA491A" w:rsidRPr="00F85DCF">
              <w:rPr>
                <w:sz w:val="20"/>
                <w:szCs w:val="20"/>
                <w:lang w:val="en-GB" w:eastAsia="en-AU"/>
              </w:rPr>
              <w:t>s</w:t>
            </w:r>
            <w:r w:rsidRPr="00F85DCF">
              <w:rPr>
                <w:sz w:val="20"/>
                <w:szCs w:val="20"/>
                <w:lang w:val="en-GB" w:eastAsia="en-AU"/>
              </w:rPr>
              <w:t>ugar cane)</w:t>
            </w:r>
          </w:p>
          <w:p w14:paraId="335B60AE" w14:textId="3EA46780" w:rsidR="00C26453" w:rsidRPr="00F85DCF" w:rsidRDefault="00C26453" w:rsidP="007B2A38">
            <w:pPr>
              <w:rPr>
                <w:sz w:val="20"/>
                <w:szCs w:val="20"/>
                <w:lang w:val="en-GB"/>
              </w:rPr>
            </w:pPr>
            <w:r w:rsidRPr="00F85DCF">
              <w:rPr>
                <w:sz w:val="20"/>
                <w:szCs w:val="20"/>
                <w:lang w:val="en-GB"/>
              </w:rPr>
              <w:t>Triadimenol:</w:t>
            </w:r>
            <w:r w:rsidRPr="00F85DCF">
              <w:rPr>
                <w:sz w:val="20"/>
                <w:szCs w:val="20"/>
                <w:lang w:val="en-GB" w:eastAsia="en-AU"/>
              </w:rPr>
              <w:t xml:space="preserve"> *0.01 mg/kg (</w:t>
            </w:r>
            <w:r w:rsidR="00BA491A" w:rsidRPr="00F85DCF">
              <w:rPr>
                <w:sz w:val="20"/>
                <w:szCs w:val="20"/>
                <w:lang w:val="en-GB" w:eastAsia="en-AU"/>
              </w:rPr>
              <w:t>c</w:t>
            </w:r>
            <w:r w:rsidRPr="00F85DCF">
              <w:rPr>
                <w:sz w:val="20"/>
                <w:szCs w:val="20"/>
                <w:lang w:val="en-GB" w:eastAsia="en-AU"/>
              </w:rPr>
              <w:t xml:space="preserve">ereal grains [except sorghum]; </w:t>
            </w:r>
            <w:r w:rsidR="00BA491A" w:rsidRPr="00F85DCF">
              <w:rPr>
                <w:sz w:val="20"/>
                <w:szCs w:val="20"/>
                <w:lang w:val="en-GB" w:eastAsia="en-AU"/>
              </w:rPr>
              <w:t>c</w:t>
            </w:r>
            <w:r w:rsidRPr="00F85DCF">
              <w:rPr>
                <w:sz w:val="20"/>
                <w:szCs w:val="20"/>
                <w:lang w:val="en-GB" w:eastAsia="en-AU"/>
              </w:rPr>
              <w:t>otton seed)</w:t>
            </w:r>
          </w:p>
        </w:tc>
      </w:tr>
      <w:tr w:rsidR="00C26453" w:rsidRPr="00F85DCF" w14:paraId="47271A2E" w14:textId="77777777" w:rsidTr="00A62A60">
        <w:trPr>
          <w:trHeight w:val="57"/>
        </w:trPr>
        <w:tc>
          <w:tcPr>
            <w:tcW w:w="3545" w:type="dxa"/>
            <w:vAlign w:val="center"/>
          </w:tcPr>
          <w:p w14:paraId="5AD4689B" w14:textId="1E0BE68F" w:rsidR="00C26453" w:rsidRPr="00F85DCF" w:rsidRDefault="00A05F0F" w:rsidP="007B2A38">
            <w:pPr>
              <w:rPr>
                <w:sz w:val="20"/>
                <w:szCs w:val="20"/>
                <w:lang w:val="en-GB"/>
              </w:rPr>
            </w:pPr>
            <w:r w:rsidRPr="00F85DCF">
              <w:rPr>
                <w:sz w:val="20"/>
                <w:szCs w:val="20"/>
                <w:lang w:val="en-GB" w:eastAsia="en-AU"/>
              </w:rPr>
              <w:t xml:space="preserve">Magnitude of existing </w:t>
            </w:r>
            <w:r w:rsidR="007B2A38" w:rsidRPr="00F85DCF">
              <w:rPr>
                <w:sz w:val="20"/>
                <w:szCs w:val="20"/>
                <w:lang w:val="en-GB" w:eastAsia="en-AU"/>
              </w:rPr>
              <w:t xml:space="preserve">plant commodity </w:t>
            </w:r>
            <w:r w:rsidRPr="00F85DCF">
              <w:rPr>
                <w:sz w:val="20"/>
                <w:szCs w:val="20"/>
                <w:lang w:val="en-GB" w:eastAsia="en-AU"/>
              </w:rPr>
              <w:t xml:space="preserve">MRLs </w:t>
            </w:r>
          </w:p>
        </w:tc>
        <w:tc>
          <w:tcPr>
            <w:tcW w:w="6520" w:type="dxa"/>
            <w:vAlign w:val="center"/>
          </w:tcPr>
          <w:p w14:paraId="558E1777" w14:textId="25CD6700" w:rsidR="00C26453" w:rsidRPr="00F85DCF" w:rsidRDefault="00C26453" w:rsidP="007B2A38">
            <w:pPr>
              <w:rPr>
                <w:sz w:val="20"/>
                <w:szCs w:val="20"/>
                <w:lang w:val="en-GB"/>
              </w:rPr>
            </w:pPr>
            <w:r w:rsidRPr="00F85DCF">
              <w:rPr>
                <w:sz w:val="20"/>
                <w:szCs w:val="20"/>
                <w:lang w:val="en-GB"/>
              </w:rPr>
              <w:t xml:space="preserve">The range of existing Triadimefon MRLs </w:t>
            </w:r>
            <w:r w:rsidR="00B85D03" w:rsidRPr="00F85DCF">
              <w:rPr>
                <w:sz w:val="20"/>
                <w:szCs w:val="20"/>
                <w:lang w:val="en-GB"/>
              </w:rPr>
              <w:t xml:space="preserve">is </w:t>
            </w:r>
            <w:r w:rsidRPr="00F85DCF">
              <w:rPr>
                <w:sz w:val="20"/>
                <w:szCs w:val="20"/>
                <w:lang w:val="en-GB"/>
              </w:rPr>
              <w:t>0.05mg/kg (</w:t>
            </w:r>
            <w:r w:rsidR="00BA491A" w:rsidRPr="00F85DCF">
              <w:rPr>
                <w:sz w:val="20"/>
                <w:szCs w:val="20"/>
                <w:lang w:val="en-GB" w:eastAsia="en-AU"/>
              </w:rPr>
              <w:t>s</w:t>
            </w:r>
            <w:r w:rsidRPr="00F85DCF">
              <w:rPr>
                <w:sz w:val="20"/>
                <w:szCs w:val="20"/>
                <w:lang w:val="en-GB" w:eastAsia="en-AU"/>
              </w:rPr>
              <w:t>ugar cane</w:t>
            </w:r>
            <w:r w:rsidRPr="00F85DCF">
              <w:rPr>
                <w:sz w:val="20"/>
                <w:szCs w:val="20"/>
                <w:lang w:val="en-GB"/>
              </w:rPr>
              <w:t xml:space="preserve">) to </w:t>
            </w:r>
            <w:r w:rsidRPr="00F85DCF">
              <w:rPr>
                <w:sz w:val="20"/>
                <w:szCs w:val="20"/>
                <w:lang w:val="en-GB" w:eastAsia="en-AU"/>
              </w:rPr>
              <w:t xml:space="preserve">1 </w:t>
            </w:r>
            <w:r w:rsidRPr="00F85DCF">
              <w:rPr>
                <w:sz w:val="20"/>
                <w:szCs w:val="20"/>
                <w:lang w:val="en-GB"/>
              </w:rPr>
              <w:t>mg/kg (</w:t>
            </w:r>
            <w:r w:rsidR="00BA491A" w:rsidRPr="00F85DCF">
              <w:rPr>
                <w:sz w:val="20"/>
                <w:szCs w:val="20"/>
                <w:lang w:val="en-GB" w:eastAsia="en-AU"/>
              </w:rPr>
              <w:t>a</w:t>
            </w:r>
            <w:r w:rsidRPr="00F85DCF">
              <w:rPr>
                <w:sz w:val="20"/>
                <w:szCs w:val="20"/>
                <w:lang w:val="en-GB" w:eastAsia="en-AU"/>
              </w:rPr>
              <w:t xml:space="preserve">pples; </w:t>
            </w:r>
            <w:r w:rsidR="00BA491A" w:rsidRPr="00F85DCF">
              <w:rPr>
                <w:sz w:val="20"/>
                <w:szCs w:val="20"/>
                <w:lang w:val="en-GB" w:eastAsia="en-AU"/>
              </w:rPr>
              <w:t>g</w:t>
            </w:r>
            <w:r w:rsidRPr="00F85DCF">
              <w:rPr>
                <w:sz w:val="20"/>
                <w:szCs w:val="20"/>
                <w:lang w:val="en-GB" w:eastAsia="en-AU"/>
              </w:rPr>
              <w:t>rapes</w:t>
            </w:r>
            <w:r w:rsidRPr="00F85DCF">
              <w:rPr>
                <w:sz w:val="20"/>
                <w:szCs w:val="20"/>
                <w:lang w:val="en-GB"/>
              </w:rPr>
              <w:t>).</w:t>
            </w:r>
            <w:r w:rsidR="007B2A38" w:rsidRPr="00F85DCF">
              <w:rPr>
                <w:sz w:val="20"/>
                <w:szCs w:val="20"/>
                <w:lang w:val="en-GB"/>
              </w:rPr>
              <w:t xml:space="preserve"> </w:t>
            </w:r>
            <w:r w:rsidRPr="00F85DCF">
              <w:rPr>
                <w:sz w:val="20"/>
                <w:szCs w:val="20"/>
                <w:lang w:val="en-GB"/>
              </w:rPr>
              <w:t>The ran</w:t>
            </w:r>
            <w:r w:rsidR="007B2A38" w:rsidRPr="00F85DCF">
              <w:rPr>
                <w:sz w:val="20"/>
                <w:szCs w:val="20"/>
                <w:lang w:val="en-GB"/>
              </w:rPr>
              <w:t>ge of existing Triadimenol MRLs</w:t>
            </w:r>
            <w:r w:rsidRPr="00F85DCF">
              <w:rPr>
                <w:sz w:val="20"/>
                <w:szCs w:val="20"/>
                <w:lang w:val="en-GB"/>
              </w:rPr>
              <w:t xml:space="preserve"> </w:t>
            </w:r>
            <w:r w:rsidR="007B2A38" w:rsidRPr="00F85DCF">
              <w:rPr>
                <w:sz w:val="20"/>
                <w:szCs w:val="20"/>
                <w:lang w:val="en-GB"/>
              </w:rPr>
              <w:t xml:space="preserve">is </w:t>
            </w:r>
            <w:r w:rsidR="00AE0546" w:rsidRPr="00F85DCF">
              <w:rPr>
                <w:sz w:val="20"/>
                <w:szCs w:val="20"/>
                <w:lang w:val="en-GB"/>
              </w:rPr>
              <w:t>*</w:t>
            </w:r>
            <w:r w:rsidRPr="00F85DCF">
              <w:rPr>
                <w:sz w:val="20"/>
                <w:szCs w:val="20"/>
                <w:lang w:val="en-GB"/>
              </w:rPr>
              <w:t>0.01mg/kg (</w:t>
            </w:r>
            <w:r w:rsidR="00BA491A" w:rsidRPr="00F85DCF">
              <w:rPr>
                <w:sz w:val="20"/>
                <w:szCs w:val="20"/>
                <w:lang w:val="en-GB"/>
              </w:rPr>
              <w:t>c</w:t>
            </w:r>
            <w:r w:rsidRPr="00F85DCF">
              <w:rPr>
                <w:sz w:val="20"/>
                <w:szCs w:val="20"/>
                <w:lang w:val="en-GB"/>
              </w:rPr>
              <w:t>ereal grains [except sorghum])</w:t>
            </w:r>
            <w:r w:rsidR="00AE0546" w:rsidRPr="00F85DCF">
              <w:rPr>
                <w:sz w:val="20"/>
                <w:szCs w:val="20"/>
                <w:lang w:val="en-GB"/>
              </w:rPr>
              <w:t xml:space="preserve"> and T0.01 (</w:t>
            </w:r>
            <w:r w:rsidR="00BA491A" w:rsidRPr="00F85DCF">
              <w:rPr>
                <w:sz w:val="20"/>
                <w:szCs w:val="20"/>
                <w:lang w:val="en-GB"/>
              </w:rPr>
              <w:t>c</w:t>
            </w:r>
            <w:r w:rsidR="00AE0546" w:rsidRPr="00F85DCF">
              <w:rPr>
                <w:sz w:val="20"/>
                <w:szCs w:val="20"/>
                <w:lang w:val="en-GB"/>
              </w:rPr>
              <w:t>otton seed)</w:t>
            </w:r>
            <w:r w:rsidRPr="00F85DCF">
              <w:rPr>
                <w:sz w:val="20"/>
                <w:szCs w:val="20"/>
                <w:lang w:val="en-GB"/>
              </w:rPr>
              <w:t xml:space="preserve"> to </w:t>
            </w:r>
            <w:r w:rsidRPr="00F85DCF">
              <w:rPr>
                <w:sz w:val="20"/>
                <w:szCs w:val="20"/>
                <w:lang w:val="en-GB" w:eastAsia="en-AU"/>
              </w:rPr>
              <w:t xml:space="preserve">T3 </w:t>
            </w:r>
            <w:r w:rsidRPr="00F85DCF">
              <w:rPr>
                <w:sz w:val="20"/>
                <w:szCs w:val="20"/>
                <w:lang w:val="en-GB"/>
              </w:rPr>
              <w:t>mg/kg (</w:t>
            </w:r>
            <w:r w:rsidR="00BA491A" w:rsidRPr="00F85DCF">
              <w:rPr>
                <w:sz w:val="20"/>
                <w:szCs w:val="20"/>
                <w:lang w:val="en-GB" w:eastAsia="en-AU"/>
              </w:rPr>
              <w:t>c</w:t>
            </w:r>
            <w:r w:rsidRPr="00F85DCF">
              <w:rPr>
                <w:sz w:val="20"/>
                <w:szCs w:val="20"/>
                <w:lang w:val="en-GB" w:eastAsia="en-AU"/>
              </w:rPr>
              <w:t xml:space="preserve">hives; </w:t>
            </w:r>
            <w:r w:rsidR="00BA491A" w:rsidRPr="00F85DCF">
              <w:rPr>
                <w:sz w:val="20"/>
                <w:szCs w:val="20"/>
                <w:lang w:val="en-GB" w:eastAsia="en-AU"/>
              </w:rPr>
              <w:t>l</w:t>
            </w:r>
            <w:r w:rsidRPr="00F85DCF">
              <w:rPr>
                <w:sz w:val="20"/>
                <w:szCs w:val="20"/>
                <w:lang w:val="en-GB" w:eastAsia="en-AU"/>
              </w:rPr>
              <w:t xml:space="preserve">eek; </w:t>
            </w:r>
            <w:r w:rsidR="00BA491A" w:rsidRPr="00F85DCF">
              <w:rPr>
                <w:sz w:val="20"/>
                <w:szCs w:val="20"/>
                <w:lang w:val="en-GB" w:eastAsia="en-AU"/>
              </w:rPr>
              <w:t>o</w:t>
            </w:r>
            <w:r w:rsidRPr="00F85DCF">
              <w:rPr>
                <w:sz w:val="20"/>
                <w:szCs w:val="20"/>
                <w:lang w:val="en-GB" w:eastAsia="en-AU"/>
              </w:rPr>
              <w:t xml:space="preserve">nion, Chinese; </w:t>
            </w:r>
            <w:r w:rsidR="00BA491A" w:rsidRPr="00F85DCF">
              <w:rPr>
                <w:sz w:val="20"/>
                <w:szCs w:val="20"/>
                <w:lang w:val="en-GB" w:eastAsia="en-AU"/>
              </w:rPr>
              <w:t>o</w:t>
            </w:r>
            <w:r w:rsidRPr="00F85DCF">
              <w:rPr>
                <w:sz w:val="20"/>
                <w:szCs w:val="20"/>
                <w:lang w:val="en-GB" w:eastAsia="en-AU"/>
              </w:rPr>
              <w:t xml:space="preserve">nion, Welsh; </w:t>
            </w:r>
            <w:r w:rsidR="00BA491A" w:rsidRPr="00F85DCF">
              <w:rPr>
                <w:sz w:val="20"/>
                <w:szCs w:val="20"/>
                <w:lang w:val="en-GB" w:eastAsia="en-AU"/>
              </w:rPr>
              <w:t>s</w:t>
            </w:r>
            <w:r w:rsidRPr="00F85DCF">
              <w:rPr>
                <w:sz w:val="20"/>
                <w:szCs w:val="20"/>
                <w:lang w:val="en-GB" w:eastAsia="en-AU"/>
              </w:rPr>
              <w:t xml:space="preserve">hallot; </w:t>
            </w:r>
            <w:r w:rsidR="00BA491A" w:rsidRPr="00F85DCF">
              <w:rPr>
                <w:sz w:val="20"/>
                <w:szCs w:val="20"/>
                <w:lang w:val="en-GB" w:eastAsia="en-AU"/>
              </w:rPr>
              <w:t>s</w:t>
            </w:r>
            <w:r w:rsidRPr="00F85DCF">
              <w:rPr>
                <w:sz w:val="20"/>
                <w:szCs w:val="20"/>
                <w:lang w:val="en-GB" w:eastAsia="en-AU"/>
              </w:rPr>
              <w:t>pring onion</w:t>
            </w:r>
            <w:r w:rsidRPr="00F85DCF">
              <w:rPr>
                <w:sz w:val="20"/>
                <w:szCs w:val="20"/>
                <w:lang w:val="en-GB"/>
              </w:rPr>
              <w:t>). (</w:t>
            </w:r>
            <w:r w:rsidR="00AE0546" w:rsidRPr="00F85DCF">
              <w:rPr>
                <w:sz w:val="20"/>
                <w:szCs w:val="20"/>
                <w:lang w:val="en-GB"/>
              </w:rPr>
              <w:t xml:space="preserve">* denotes MRL set at or about the </w:t>
            </w:r>
            <w:r w:rsidR="004710D5" w:rsidRPr="00F85DCF">
              <w:rPr>
                <w:sz w:val="20"/>
                <w:szCs w:val="20"/>
                <w:lang w:val="en-GB"/>
              </w:rPr>
              <w:t>Limit</w:t>
            </w:r>
            <w:r w:rsidR="000025E0" w:rsidRPr="00F85DCF">
              <w:rPr>
                <w:sz w:val="20"/>
                <w:szCs w:val="20"/>
                <w:lang w:val="en-GB"/>
              </w:rPr>
              <w:t xml:space="preserve"> of Determination</w:t>
            </w:r>
            <w:r w:rsidR="00AE0546" w:rsidRPr="00F85DCF">
              <w:rPr>
                <w:sz w:val="20"/>
                <w:szCs w:val="20"/>
                <w:lang w:val="en-GB"/>
              </w:rPr>
              <w:t xml:space="preserve"> and </w:t>
            </w:r>
            <w:r w:rsidRPr="00F85DCF">
              <w:rPr>
                <w:sz w:val="20"/>
                <w:szCs w:val="20"/>
                <w:lang w:val="en-GB"/>
              </w:rPr>
              <w:t xml:space="preserve">T </w:t>
            </w:r>
            <w:r w:rsidR="00AE0546" w:rsidRPr="00F85DCF">
              <w:rPr>
                <w:sz w:val="20"/>
                <w:szCs w:val="20"/>
                <w:lang w:val="en-GB"/>
              </w:rPr>
              <w:t>d</w:t>
            </w:r>
            <w:r w:rsidRPr="00F85DCF">
              <w:rPr>
                <w:sz w:val="20"/>
                <w:szCs w:val="20"/>
                <w:lang w:val="en-GB"/>
              </w:rPr>
              <w:t>enotes temporary MRL).</w:t>
            </w:r>
            <w:r w:rsidR="00793116" w:rsidRPr="00F85DCF">
              <w:rPr>
                <w:sz w:val="20"/>
                <w:szCs w:val="20"/>
                <w:lang w:val="en-GB"/>
              </w:rPr>
              <w:t xml:space="preserve"> </w:t>
            </w:r>
          </w:p>
        </w:tc>
      </w:tr>
      <w:tr w:rsidR="00C26453" w:rsidRPr="00F85DCF" w14:paraId="7895A5BA" w14:textId="77777777" w:rsidTr="00A62A60">
        <w:trPr>
          <w:trHeight w:val="57"/>
        </w:trPr>
        <w:tc>
          <w:tcPr>
            <w:tcW w:w="3545" w:type="dxa"/>
            <w:vAlign w:val="center"/>
          </w:tcPr>
          <w:p w14:paraId="42242A68" w14:textId="53F53D6C" w:rsidR="00C26453" w:rsidRPr="00F85DCF" w:rsidRDefault="00C26453" w:rsidP="007B2A38">
            <w:pPr>
              <w:rPr>
                <w:sz w:val="20"/>
                <w:szCs w:val="20"/>
                <w:lang w:val="en-GB" w:eastAsia="en-AU"/>
              </w:rPr>
            </w:pPr>
            <w:r w:rsidRPr="00F85DCF">
              <w:rPr>
                <w:sz w:val="20"/>
                <w:szCs w:val="20"/>
                <w:lang w:val="en-GB" w:eastAsia="en-AU"/>
              </w:rPr>
              <w:t xml:space="preserve">Lowest </w:t>
            </w:r>
            <w:r w:rsidR="007B2A38" w:rsidRPr="00F85DCF">
              <w:rPr>
                <w:sz w:val="20"/>
                <w:szCs w:val="20"/>
                <w:lang w:val="en-GB" w:eastAsia="en-AU"/>
              </w:rPr>
              <w:t xml:space="preserve">plant commodity </w:t>
            </w:r>
            <w:r w:rsidRPr="00F85DCF">
              <w:rPr>
                <w:sz w:val="20"/>
                <w:szCs w:val="20"/>
                <w:lang w:val="en-GB" w:eastAsia="en-AU"/>
              </w:rPr>
              <w:t>MRL</w:t>
            </w:r>
            <w:r w:rsidR="00AE0546" w:rsidRPr="00F85DCF">
              <w:rPr>
                <w:sz w:val="20"/>
                <w:szCs w:val="20"/>
                <w:lang w:val="en-GB" w:eastAsia="en-AU"/>
              </w:rPr>
              <w:t xml:space="preserve"> </w:t>
            </w:r>
            <w:r w:rsidRPr="00F85DCF">
              <w:rPr>
                <w:sz w:val="20"/>
                <w:szCs w:val="20"/>
                <w:lang w:val="en-GB" w:eastAsia="en-AU"/>
              </w:rPr>
              <w:t xml:space="preserve">that is not the </w:t>
            </w:r>
            <w:r w:rsidR="004710D5" w:rsidRPr="00F85DCF">
              <w:rPr>
                <w:sz w:val="20"/>
                <w:szCs w:val="20"/>
                <w:lang w:val="en-GB" w:eastAsia="en-AU"/>
              </w:rPr>
              <w:t>Limit</w:t>
            </w:r>
            <w:r w:rsidR="000025E0" w:rsidRPr="00F85DCF">
              <w:rPr>
                <w:sz w:val="20"/>
                <w:szCs w:val="20"/>
                <w:lang w:val="en-GB" w:eastAsia="en-AU"/>
              </w:rPr>
              <w:t xml:space="preserve"> of Determination</w:t>
            </w:r>
          </w:p>
        </w:tc>
        <w:tc>
          <w:tcPr>
            <w:tcW w:w="6520" w:type="dxa"/>
            <w:vAlign w:val="center"/>
          </w:tcPr>
          <w:p w14:paraId="007BAD81" w14:textId="1A3A367D" w:rsidR="00C26453" w:rsidRPr="00F85DCF" w:rsidRDefault="00C26453" w:rsidP="007B2A38">
            <w:pPr>
              <w:rPr>
                <w:sz w:val="20"/>
                <w:szCs w:val="20"/>
                <w:lang w:val="en-GB"/>
              </w:rPr>
            </w:pPr>
            <w:r w:rsidRPr="00F85DCF">
              <w:rPr>
                <w:sz w:val="20"/>
                <w:szCs w:val="20"/>
                <w:lang w:val="en-GB"/>
              </w:rPr>
              <w:t xml:space="preserve">Triadimefon: </w:t>
            </w:r>
            <w:r w:rsidRPr="00F85DCF">
              <w:rPr>
                <w:sz w:val="20"/>
                <w:szCs w:val="20"/>
                <w:lang w:val="en-GB" w:eastAsia="en-AU"/>
              </w:rPr>
              <w:t xml:space="preserve">0.1 </w:t>
            </w:r>
            <w:r w:rsidRPr="00F85DCF">
              <w:rPr>
                <w:sz w:val="20"/>
                <w:szCs w:val="20"/>
                <w:lang w:val="en-GB"/>
              </w:rPr>
              <w:t>mg/kg (</w:t>
            </w:r>
            <w:r w:rsidR="00BA491A" w:rsidRPr="00F85DCF">
              <w:rPr>
                <w:sz w:val="20"/>
                <w:szCs w:val="20"/>
                <w:lang w:val="en-GB" w:eastAsia="en-AU"/>
              </w:rPr>
              <w:t>f</w:t>
            </w:r>
            <w:r w:rsidRPr="00F85DCF">
              <w:rPr>
                <w:sz w:val="20"/>
                <w:szCs w:val="20"/>
                <w:lang w:val="en-GB" w:eastAsia="en-AU"/>
              </w:rPr>
              <w:t xml:space="preserve">ield pea (dry); </w:t>
            </w:r>
            <w:r w:rsidR="00BA491A" w:rsidRPr="00F85DCF">
              <w:rPr>
                <w:sz w:val="20"/>
                <w:szCs w:val="20"/>
                <w:lang w:val="en-GB" w:eastAsia="en-AU"/>
              </w:rPr>
              <w:t>g</w:t>
            </w:r>
            <w:r w:rsidRPr="00F85DCF">
              <w:rPr>
                <w:sz w:val="20"/>
                <w:szCs w:val="20"/>
                <w:lang w:val="en-GB" w:eastAsia="en-AU"/>
              </w:rPr>
              <w:t xml:space="preserve">arden pea (shelled succulent seeds); </w:t>
            </w:r>
            <w:r w:rsidR="00BA491A" w:rsidRPr="00F85DCF">
              <w:rPr>
                <w:sz w:val="20"/>
                <w:szCs w:val="20"/>
                <w:lang w:val="en-GB" w:eastAsia="en-AU"/>
              </w:rPr>
              <w:t>g</w:t>
            </w:r>
            <w:r w:rsidRPr="00F85DCF">
              <w:rPr>
                <w:sz w:val="20"/>
                <w:szCs w:val="20"/>
                <w:lang w:val="en-GB" w:eastAsia="en-AU"/>
              </w:rPr>
              <w:t>arden pea (young pods, succulent seeds)</w:t>
            </w:r>
            <w:r w:rsidRPr="00F85DCF">
              <w:rPr>
                <w:sz w:val="20"/>
                <w:szCs w:val="20"/>
                <w:lang w:val="en-GB"/>
              </w:rPr>
              <w:t>)</w:t>
            </w:r>
          </w:p>
          <w:p w14:paraId="23BBD98C" w14:textId="7BE1EDBC" w:rsidR="00C26453" w:rsidRPr="00F85DCF" w:rsidRDefault="00C26453" w:rsidP="007B2A38">
            <w:pPr>
              <w:rPr>
                <w:sz w:val="20"/>
                <w:szCs w:val="20"/>
                <w:lang w:val="en-GB"/>
              </w:rPr>
            </w:pPr>
            <w:r w:rsidRPr="00F85DCF">
              <w:rPr>
                <w:sz w:val="20"/>
                <w:szCs w:val="20"/>
                <w:lang w:val="en-GB"/>
              </w:rPr>
              <w:t xml:space="preserve">Triadimenol: </w:t>
            </w:r>
            <w:r w:rsidR="00AE0546" w:rsidRPr="00F85DCF">
              <w:rPr>
                <w:sz w:val="20"/>
                <w:szCs w:val="20"/>
                <w:lang w:val="en-GB"/>
              </w:rPr>
              <w:t>0.05 mg/kg (</w:t>
            </w:r>
            <w:r w:rsidR="00BA491A" w:rsidRPr="00F85DCF">
              <w:rPr>
                <w:sz w:val="20"/>
                <w:szCs w:val="20"/>
                <w:lang w:val="en-GB"/>
              </w:rPr>
              <w:t>o</w:t>
            </w:r>
            <w:r w:rsidR="00AE0546" w:rsidRPr="00F85DCF">
              <w:rPr>
                <w:sz w:val="20"/>
                <w:szCs w:val="20"/>
                <w:lang w:val="en-GB"/>
              </w:rPr>
              <w:t xml:space="preserve">nion, bulb; </w:t>
            </w:r>
            <w:r w:rsidR="00BA491A" w:rsidRPr="00F85DCF">
              <w:rPr>
                <w:sz w:val="20"/>
                <w:szCs w:val="20"/>
                <w:lang w:val="en-GB"/>
              </w:rPr>
              <w:t>c</w:t>
            </w:r>
            <w:r w:rsidR="00AE0546" w:rsidRPr="00F85DCF">
              <w:rPr>
                <w:sz w:val="20"/>
                <w:szCs w:val="20"/>
                <w:lang w:val="en-GB"/>
              </w:rPr>
              <w:t>otton seed oil, crude)</w:t>
            </w:r>
          </w:p>
        </w:tc>
      </w:tr>
      <w:tr w:rsidR="00C26453" w:rsidRPr="00F85DCF" w14:paraId="457D2A75" w14:textId="77777777" w:rsidTr="00A62A60">
        <w:trPr>
          <w:trHeight w:val="57"/>
        </w:trPr>
        <w:tc>
          <w:tcPr>
            <w:tcW w:w="3545" w:type="dxa"/>
            <w:vAlign w:val="center"/>
          </w:tcPr>
          <w:p w14:paraId="2003BC0F" w14:textId="3E549512" w:rsidR="00C26453" w:rsidRPr="00F85DCF" w:rsidRDefault="00C26453" w:rsidP="007B2A38">
            <w:pPr>
              <w:rPr>
                <w:sz w:val="20"/>
                <w:szCs w:val="20"/>
                <w:lang w:val="en-GB" w:eastAsia="en-AU"/>
              </w:rPr>
            </w:pPr>
            <w:r w:rsidRPr="00F85DCF">
              <w:rPr>
                <w:sz w:val="20"/>
                <w:szCs w:val="20"/>
                <w:lang w:val="en-GB" w:eastAsia="en-AU"/>
              </w:rPr>
              <w:t xml:space="preserve">Most relevant reference point to </w:t>
            </w:r>
            <w:r w:rsidR="007E048A" w:rsidRPr="00F85DCF">
              <w:rPr>
                <w:sz w:val="20"/>
                <w:szCs w:val="20"/>
                <w:lang w:val="en-GB" w:eastAsia="en-AU"/>
              </w:rPr>
              <w:t xml:space="preserve">minimise </w:t>
            </w:r>
            <w:r w:rsidRPr="00F85DCF">
              <w:rPr>
                <w:sz w:val="20"/>
                <w:szCs w:val="20"/>
                <w:lang w:val="en-GB" w:eastAsia="en-AU"/>
              </w:rPr>
              <w:t>off-label use</w:t>
            </w:r>
          </w:p>
        </w:tc>
        <w:tc>
          <w:tcPr>
            <w:tcW w:w="6520" w:type="dxa"/>
            <w:vAlign w:val="center"/>
          </w:tcPr>
          <w:p w14:paraId="4A524153" w14:textId="4F341BED" w:rsidR="00C26453" w:rsidRPr="00F85DCF" w:rsidRDefault="00C26453" w:rsidP="007B2A38">
            <w:pPr>
              <w:rPr>
                <w:sz w:val="20"/>
                <w:szCs w:val="20"/>
                <w:lang w:val="en-GB"/>
              </w:rPr>
            </w:pPr>
            <w:r w:rsidRPr="00F85DCF">
              <w:rPr>
                <w:sz w:val="20"/>
                <w:szCs w:val="20"/>
                <w:lang w:val="en-GB"/>
              </w:rPr>
              <w:t>Triadimefon: 0.1 mg/kg</w:t>
            </w:r>
          </w:p>
          <w:p w14:paraId="50A0D7A1" w14:textId="256A5264" w:rsidR="00C26453" w:rsidRPr="00F85DCF" w:rsidRDefault="00C26453" w:rsidP="007B2A38">
            <w:pPr>
              <w:rPr>
                <w:sz w:val="20"/>
                <w:szCs w:val="20"/>
                <w:lang w:val="en-GB"/>
              </w:rPr>
            </w:pPr>
            <w:r w:rsidRPr="00F85DCF">
              <w:rPr>
                <w:sz w:val="20"/>
                <w:szCs w:val="20"/>
                <w:lang w:val="en-GB"/>
              </w:rPr>
              <w:t>Triadimenol: 0.</w:t>
            </w:r>
            <w:r w:rsidR="00502DF6" w:rsidRPr="00F85DCF">
              <w:rPr>
                <w:sz w:val="20"/>
                <w:szCs w:val="20"/>
                <w:lang w:val="en-GB"/>
              </w:rPr>
              <w:t xml:space="preserve">05 </w:t>
            </w:r>
            <w:r w:rsidRPr="00F85DCF">
              <w:rPr>
                <w:sz w:val="20"/>
                <w:szCs w:val="20"/>
                <w:lang w:val="en-GB"/>
              </w:rPr>
              <w:t>mg/kg (</w:t>
            </w:r>
            <w:r w:rsidR="00BA491A" w:rsidRPr="00F85DCF">
              <w:rPr>
                <w:sz w:val="20"/>
                <w:szCs w:val="20"/>
                <w:lang w:val="en-GB"/>
              </w:rPr>
              <w:t>c</w:t>
            </w:r>
            <w:r w:rsidRPr="00F85DCF">
              <w:rPr>
                <w:sz w:val="20"/>
                <w:szCs w:val="20"/>
                <w:lang w:val="en-GB"/>
              </w:rPr>
              <w:t xml:space="preserve">otton </w:t>
            </w:r>
            <w:r w:rsidR="00AE0546" w:rsidRPr="00F85DCF">
              <w:rPr>
                <w:sz w:val="20"/>
                <w:szCs w:val="20"/>
                <w:lang w:val="en-GB"/>
              </w:rPr>
              <w:t>seed oil, crude</w:t>
            </w:r>
            <w:r w:rsidRPr="00F85DCF">
              <w:rPr>
                <w:sz w:val="20"/>
                <w:szCs w:val="20"/>
                <w:lang w:val="en-GB"/>
              </w:rPr>
              <w:t>)</w:t>
            </w:r>
          </w:p>
        </w:tc>
      </w:tr>
      <w:tr w:rsidR="00C26453" w:rsidRPr="00F85DCF" w14:paraId="10949F80" w14:textId="77777777" w:rsidTr="00A62A60">
        <w:trPr>
          <w:trHeight w:val="57"/>
        </w:trPr>
        <w:tc>
          <w:tcPr>
            <w:tcW w:w="3545" w:type="dxa"/>
            <w:vAlign w:val="center"/>
          </w:tcPr>
          <w:p w14:paraId="6DD2A4B7" w14:textId="010B0F26" w:rsidR="00C26453" w:rsidRPr="00F85DCF" w:rsidRDefault="00C26453" w:rsidP="007B2A38">
            <w:pPr>
              <w:rPr>
                <w:sz w:val="20"/>
                <w:szCs w:val="20"/>
                <w:lang w:val="en-GB"/>
              </w:rPr>
            </w:pPr>
            <w:r w:rsidRPr="00F85DCF">
              <w:rPr>
                <w:sz w:val="20"/>
                <w:szCs w:val="20"/>
                <w:lang w:val="en-GB" w:eastAsia="en-AU"/>
              </w:rPr>
              <w:t>C</w:t>
            </w:r>
            <w:r w:rsidR="00793116" w:rsidRPr="00F85DCF">
              <w:rPr>
                <w:sz w:val="20"/>
                <w:szCs w:val="20"/>
                <w:lang w:val="en-GB" w:eastAsia="en-AU"/>
              </w:rPr>
              <w:t xml:space="preserve">hronic dietary exposure (NEDI) </w:t>
            </w:r>
            <w:r w:rsidRPr="00F85DCF">
              <w:rPr>
                <w:sz w:val="20"/>
                <w:szCs w:val="20"/>
                <w:lang w:val="en-GB" w:eastAsia="en-AU"/>
              </w:rPr>
              <w:t xml:space="preserve">(sum of exposure to </w:t>
            </w:r>
            <w:r w:rsidRPr="00F85DCF">
              <w:rPr>
                <w:sz w:val="20"/>
                <w:szCs w:val="20"/>
                <w:lang w:val="en-GB"/>
              </w:rPr>
              <w:t>Triadimefon and Triadimenol)</w:t>
            </w:r>
            <w:r w:rsidRPr="00F85DCF">
              <w:rPr>
                <w:sz w:val="20"/>
                <w:szCs w:val="20"/>
                <w:lang w:val="en-GB" w:eastAsia="en-AU"/>
              </w:rPr>
              <w:t xml:space="preserve"> considering existing permissions only </w:t>
            </w:r>
          </w:p>
        </w:tc>
        <w:tc>
          <w:tcPr>
            <w:tcW w:w="6520" w:type="dxa"/>
            <w:vAlign w:val="center"/>
          </w:tcPr>
          <w:p w14:paraId="4505F4FE" w14:textId="13DB52A6" w:rsidR="00C26453" w:rsidRPr="00F85DCF" w:rsidRDefault="00C26453" w:rsidP="007B2A38">
            <w:pPr>
              <w:rPr>
                <w:sz w:val="20"/>
                <w:szCs w:val="20"/>
                <w:lang w:val="en-GB"/>
              </w:rPr>
            </w:pPr>
            <w:r w:rsidRPr="00F85DCF">
              <w:rPr>
                <w:sz w:val="20"/>
                <w:szCs w:val="20"/>
                <w:lang w:val="en-GB" w:eastAsia="en-AU"/>
              </w:rPr>
              <w:t>25</w:t>
            </w:r>
            <w:r w:rsidRPr="00F85DCF">
              <w:rPr>
                <w:sz w:val="20"/>
                <w:szCs w:val="20"/>
                <w:lang w:val="en-GB"/>
              </w:rPr>
              <w:t>% of the ADI</w:t>
            </w:r>
            <w:r w:rsidR="00502DF6" w:rsidRPr="00F85DCF">
              <w:rPr>
                <w:sz w:val="20"/>
                <w:szCs w:val="20"/>
                <w:lang w:val="en-GB"/>
              </w:rPr>
              <w:t xml:space="preserve"> </w:t>
            </w:r>
            <w:r w:rsidRPr="00F85DCF">
              <w:rPr>
                <w:sz w:val="20"/>
                <w:szCs w:val="20"/>
                <w:lang w:val="en-GB"/>
              </w:rPr>
              <w:t>(9% from Triadimefon).</w:t>
            </w:r>
          </w:p>
        </w:tc>
      </w:tr>
      <w:tr w:rsidR="00C26453" w:rsidRPr="00F85DCF" w14:paraId="332A5936" w14:textId="77777777" w:rsidTr="00A62A60">
        <w:trPr>
          <w:trHeight w:val="57"/>
        </w:trPr>
        <w:tc>
          <w:tcPr>
            <w:tcW w:w="3545" w:type="dxa"/>
            <w:vAlign w:val="center"/>
          </w:tcPr>
          <w:p w14:paraId="30B7A234" w14:textId="5DD17ADA" w:rsidR="00C26453" w:rsidRPr="00F85DCF" w:rsidRDefault="00C26453" w:rsidP="00896077">
            <w:pPr>
              <w:rPr>
                <w:sz w:val="20"/>
                <w:szCs w:val="20"/>
                <w:lang w:val="en-GB"/>
              </w:rPr>
            </w:pPr>
            <w:r w:rsidRPr="00F85DCF">
              <w:rPr>
                <w:sz w:val="20"/>
                <w:szCs w:val="20"/>
                <w:lang w:val="en-GB"/>
              </w:rPr>
              <w:t xml:space="preserve">Proposed </w:t>
            </w:r>
            <w:r w:rsidR="00896077" w:rsidRPr="00F85DCF">
              <w:rPr>
                <w:i/>
                <w:sz w:val="20"/>
                <w:szCs w:val="20"/>
                <w:lang w:val="en-GB"/>
              </w:rPr>
              <w:t>A</w:t>
            </w:r>
            <w:r w:rsidR="007B1A72" w:rsidRPr="00F85DCF">
              <w:rPr>
                <w:i/>
                <w:sz w:val="20"/>
                <w:szCs w:val="20"/>
                <w:lang w:val="en-GB"/>
              </w:rPr>
              <w:t xml:space="preserve">ll other foods </w:t>
            </w:r>
            <w:r w:rsidR="0003601D" w:rsidRPr="00F85DCF">
              <w:rPr>
                <w:i/>
                <w:sz w:val="20"/>
                <w:szCs w:val="20"/>
                <w:lang w:val="en-GB"/>
              </w:rPr>
              <w:t xml:space="preserve">except animal </w:t>
            </w:r>
            <w:r w:rsidR="002E16F6">
              <w:rPr>
                <w:i/>
                <w:sz w:val="20"/>
                <w:szCs w:val="20"/>
                <w:lang w:val="en-GB"/>
              </w:rPr>
              <w:t xml:space="preserve">food </w:t>
            </w:r>
            <w:r w:rsidR="0003601D" w:rsidRPr="00F85DCF">
              <w:rPr>
                <w:i/>
                <w:sz w:val="20"/>
                <w:szCs w:val="20"/>
                <w:lang w:val="en-GB"/>
              </w:rPr>
              <w:t>commodities</w:t>
            </w:r>
            <w:r w:rsidRPr="00F85DCF">
              <w:rPr>
                <w:sz w:val="20"/>
                <w:szCs w:val="20"/>
                <w:lang w:val="en-GB"/>
              </w:rPr>
              <w:t xml:space="preserve"> MRL</w:t>
            </w:r>
          </w:p>
        </w:tc>
        <w:tc>
          <w:tcPr>
            <w:tcW w:w="6520" w:type="dxa"/>
            <w:vAlign w:val="center"/>
          </w:tcPr>
          <w:p w14:paraId="0FD68148" w14:textId="3E1D56F4" w:rsidR="00C26453" w:rsidRPr="00F85DCF" w:rsidRDefault="00C26453" w:rsidP="00896077">
            <w:pPr>
              <w:rPr>
                <w:sz w:val="20"/>
                <w:szCs w:val="20"/>
                <w:lang w:val="en-GB" w:eastAsia="en-AU"/>
              </w:rPr>
            </w:pPr>
            <w:r w:rsidRPr="00F85DCF">
              <w:rPr>
                <w:sz w:val="20"/>
                <w:szCs w:val="20"/>
                <w:lang w:val="en-GB"/>
              </w:rPr>
              <w:t xml:space="preserve">0.05 mg/kg </w:t>
            </w:r>
            <w:r w:rsidR="00AE2D67" w:rsidRPr="00F85DCF">
              <w:rPr>
                <w:sz w:val="20"/>
                <w:szCs w:val="20"/>
                <w:lang w:val="en-GB" w:eastAsia="en-AU"/>
              </w:rPr>
              <w:t xml:space="preserve">establishing </w:t>
            </w:r>
            <w:r w:rsidRPr="00F85DCF">
              <w:rPr>
                <w:sz w:val="20"/>
                <w:szCs w:val="20"/>
                <w:lang w:val="en-GB" w:eastAsia="en-AU"/>
              </w:rPr>
              <w:t xml:space="preserve">the </w:t>
            </w:r>
            <w:r w:rsidR="00896077" w:rsidRPr="00F85DCF">
              <w:rPr>
                <w:i/>
                <w:sz w:val="20"/>
                <w:szCs w:val="20"/>
                <w:lang w:val="en-GB" w:eastAsia="en-AU"/>
              </w:rPr>
              <w:t>A</w:t>
            </w:r>
            <w:r w:rsidR="007B1A72"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at the same level for both </w:t>
            </w:r>
            <w:r w:rsidR="007F594F" w:rsidRPr="00F85DCF">
              <w:rPr>
                <w:sz w:val="20"/>
                <w:szCs w:val="20"/>
                <w:lang w:val="en-GB" w:eastAsia="en-AU"/>
              </w:rPr>
              <w:t xml:space="preserve">agvet </w:t>
            </w:r>
            <w:r w:rsidRPr="00F85DCF">
              <w:rPr>
                <w:sz w:val="20"/>
                <w:szCs w:val="20"/>
                <w:lang w:val="en-GB" w:eastAsia="en-AU"/>
              </w:rPr>
              <w:t>chemicals is considered appropriate.</w:t>
            </w:r>
          </w:p>
        </w:tc>
      </w:tr>
      <w:tr w:rsidR="00C26453" w:rsidRPr="00F85DCF" w14:paraId="16C298BF" w14:textId="77777777" w:rsidTr="00A62A60">
        <w:trPr>
          <w:trHeight w:val="57"/>
        </w:trPr>
        <w:tc>
          <w:tcPr>
            <w:tcW w:w="3545" w:type="dxa"/>
            <w:vAlign w:val="center"/>
          </w:tcPr>
          <w:p w14:paraId="4F37C528" w14:textId="6A770CA5" w:rsidR="00C26453" w:rsidRPr="00F85DCF" w:rsidRDefault="00C26453" w:rsidP="00896077">
            <w:pPr>
              <w:rPr>
                <w:sz w:val="20"/>
                <w:szCs w:val="20"/>
                <w:lang w:val="en-GB"/>
              </w:rPr>
            </w:pPr>
            <w:r w:rsidRPr="00F85DCF">
              <w:rPr>
                <w:sz w:val="20"/>
                <w:szCs w:val="20"/>
                <w:lang w:val="en-GB" w:eastAsia="en-AU"/>
              </w:rPr>
              <w:t xml:space="preserve">NEDI including </w:t>
            </w:r>
            <w:r w:rsidR="00896077" w:rsidRPr="00F85DCF">
              <w:rPr>
                <w:i/>
                <w:sz w:val="20"/>
                <w:szCs w:val="20"/>
                <w:lang w:val="en-GB" w:eastAsia="en-AU"/>
              </w:rPr>
              <w:t>A</w:t>
            </w:r>
            <w:r w:rsidR="007B1A72"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and existing permissions</w:t>
            </w:r>
          </w:p>
        </w:tc>
        <w:tc>
          <w:tcPr>
            <w:tcW w:w="6520" w:type="dxa"/>
            <w:vAlign w:val="center"/>
          </w:tcPr>
          <w:p w14:paraId="29936626" w14:textId="0405F4B9" w:rsidR="00C26453" w:rsidRPr="00F85DCF" w:rsidRDefault="00C111CE" w:rsidP="007B2A38">
            <w:pPr>
              <w:rPr>
                <w:sz w:val="20"/>
                <w:szCs w:val="20"/>
                <w:lang w:val="en-GB"/>
              </w:rPr>
            </w:pPr>
            <w:r w:rsidRPr="00F85DCF">
              <w:rPr>
                <w:sz w:val="20"/>
                <w:szCs w:val="20"/>
                <w:lang w:val="en-GB" w:eastAsia="en-AU"/>
              </w:rPr>
              <w:t xml:space="preserve">Sum of </w:t>
            </w:r>
            <w:r w:rsidRPr="00F85DCF">
              <w:rPr>
                <w:sz w:val="20"/>
                <w:szCs w:val="20"/>
                <w:lang w:val="en-GB"/>
              </w:rPr>
              <w:t>Triadimefon and Triadimenol:</w:t>
            </w:r>
            <w:r w:rsidRPr="00F85DCF" w:rsidDel="00C111CE">
              <w:rPr>
                <w:sz w:val="20"/>
                <w:szCs w:val="20"/>
                <w:lang w:val="en-GB" w:eastAsia="en-AU"/>
              </w:rPr>
              <w:t xml:space="preserve"> </w:t>
            </w:r>
            <w:r w:rsidR="00C26453" w:rsidRPr="00F85DCF">
              <w:rPr>
                <w:sz w:val="20"/>
                <w:szCs w:val="20"/>
                <w:lang w:val="en-GB" w:eastAsia="en-AU"/>
              </w:rPr>
              <w:t>34% of the ADI</w:t>
            </w:r>
            <w:r w:rsidRPr="00F85DCF">
              <w:rPr>
                <w:sz w:val="20"/>
                <w:szCs w:val="20"/>
                <w:lang w:val="en-GB" w:eastAsia="en-AU"/>
              </w:rPr>
              <w:t>.</w:t>
            </w:r>
          </w:p>
        </w:tc>
      </w:tr>
      <w:tr w:rsidR="00C26453" w:rsidRPr="00F85DCF" w14:paraId="076E6165" w14:textId="77777777" w:rsidTr="00A62A60">
        <w:trPr>
          <w:trHeight w:val="57"/>
        </w:trPr>
        <w:tc>
          <w:tcPr>
            <w:tcW w:w="3545" w:type="dxa"/>
            <w:vAlign w:val="center"/>
          </w:tcPr>
          <w:p w14:paraId="426AA22A" w14:textId="5EB5AE7E" w:rsidR="00C26453" w:rsidRPr="00F85DCF" w:rsidRDefault="00D7195E" w:rsidP="00896077">
            <w:pPr>
              <w:rPr>
                <w:sz w:val="20"/>
                <w:szCs w:val="20"/>
                <w:lang w:val="en-GB" w:eastAsia="en-AU"/>
              </w:rPr>
            </w:pPr>
            <w:r w:rsidRPr="00F85DCF">
              <w:rPr>
                <w:sz w:val="20"/>
                <w:szCs w:val="20"/>
                <w:lang w:val="en-GB" w:eastAsia="en-AU"/>
              </w:rPr>
              <w:t xml:space="preserve">Percentage contribution of </w:t>
            </w:r>
            <w:r w:rsidR="00896077" w:rsidRPr="00F85DCF">
              <w:rPr>
                <w:i/>
                <w:sz w:val="20"/>
                <w:lang w:val="en-GB" w:eastAsia="en-AU"/>
              </w:rPr>
              <w:t>A</w:t>
            </w:r>
            <w:r w:rsidR="007B1A72" w:rsidRPr="00F85DCF">
              <w:rPr>
                <w:i/>
                <w:sz w:val="20"/>
                <w:lang w:val="en-GB" w:eastAsia="en-AU"/>
              </w:rPr>
              <w:t xml:space="preserve">ll other foods </w:t>
            </w:r>
            <w:r w:rsidR="0003601D" w:rsidRPr="00F85DCF">
              <w:rPr>
                <w:i/>
                <w:sz w:val="20"/>
                <w:lang w:val="en-GB" w:eastAsia="en-AU"/>
              </w:rPr>
              <w:t xml:space="preserve">except animal </w:t>
            </w:r>
            <w:r w:rsidR="002E16F6">
              <w:rPr>
                <w:i/>
                <w:sz w:val="20"/>
                <w:lang w:val="en-GB" w:eastAsia="en-AU"/>
              </w:rPr>
              <w:t xml:space="preserve">food </w:t>
            </w:r>
            <w:r w:rsidR="0003601D" w:rsidRPr="00F85DCF">
              <w:rPr>
                <w:i/>
                <w:sz w:val="20"/>
                <w:lang w:val="en-GB" w:eastAsia="en-AU"/>
              </w:rPr>
              <w:t>commodities</w:t>
            </w:r>
            <w:r w:rsidRPr="00F85DCF">
              <w:rPr>
                <w:sz w:val="20"/>
                <w:szCs w:val="20"/>
                <w:lang w:val="en-GB" w:eastAsia="en-AU"/>
              </w:rPr>
              <w:t xml:space="preserve"> to total </w:t>
            </w:r>
            <w:r w:rsidR="007E048A" w:rsidRPr="00F85DCF">
              <w:rPr>
                <w:sz w:val="20"/>
                <w:szCs w:val="20"/>
                <w:lang w:val="en-GB" w:eastAsia="en-AU"/>
              </w:rPr>
              <w:t xml:space="preserve">chronic </w:t>
            </w:r>
            <w:r w:rsidRPr="00F85DCF">
              <w:rPr>
                <w:sz w:val="20"/>
                <w:szCs w:val="20"/>
                <w:lang w:val="en-GB" w:eastAsia="en-AU"/>
              </w:rPr>
              <w:t>exposure</w:t>
            </w:r>
          </w:p>
        </w:tc>
        <w:tc>
          <w:tcPr>
            <w:tcW w:w="6520" w:type="dxa"/>
            <w:vAlign w:val="center"/>
          </w:tcPr>
          <w:p w14:paraId="0FDC09BD" w14:textId="01F02B5B" w:rsidR="00C26453" w:rsidRPr="00F85DCF" w:rsidRDefault="00C26453" w:rsidP="002C2143">
            <w:pPr>
              <w:rPr>
                <w:sz w:val="20"/>
                <w:szCs w:val="20"/>
                <w:lang w:val="en-GB" w:eastAsia="en-AU"/>
              </w:rPr>
            </w:pPr>
            <w:r w:rsidRPr="00F85DCF">
              <w:rPr>
                <w:sz w:val="20"/>
                <w:szCs w:val="20"/>
                <w:lang w:val="en-GB" w:eastAsia="en-AU"/>
              </w:rPr>
              <w:t xml:space="preserve">An </w:t>
            </w:r>
            <w:r w:rsidR="002C2143" w:rsidRPr="00F85DCF">
              <w:rPr>
                <w:i/>
                <w:sz w:val="20"/>
                <w:szCs w:val="20"/>
                <w:lang w:val="en-GB" w:eastAsia="en-AU"/>
              </w:rPr>
              <w:t>A</w:t>
            </w:r>
            <w:r w:rsidR="007B1A72" w:rsidRPr="00F85DCF">
              <w:rPr>
                <w:i/>
                <w:sz w:val="20"/>
                <w:szCs w:val="20"/>
                <w:lang w:val="en-GB" w:eastAsia="en-AU"/>
              </w:rPr>
              <w:t xml:space="preserve">ll other foods </w:t>
            </w:r>
            <w:r w:rsidR="0003601D" w:rsidRPr="00F85DCF">
              <w:rPr>
                <w:i/>
                <w:sz w:val="20"/>
                <w:szCs w:val="20"/>
                <w:lang w:val="en-GB" w:eastAsia="en-AU"/>
              </w:rPr>
              <w:t xml:space="preserve">except animal </w:t>
            </w:r>
            <w:r w:rsidR="006F1963">
              <w:rPr>
                <w:i/>
                <w:sz w:val="20"/>
                <w:szCs w:val="20"/>
                <w:lang w:val="en-GB" w:eastAsia="en-AU"/>
              </w:rPr>
              <w:t xml:space="preserve">food </w:t>
            </w:r>
            <w:r w:rsidR="0003601D" w:rsidRPr="00F85DCF">
              <w:rPr>
                <w:i/>
                <w:sz w:val="20"/>
                <w:szCs w:val="20"/>
                <w:lang w:val="en-GB" w:eastAsia="en-AU"/>
              </w:rPr>
              <w:t>commodities</w:t>
            </w:r>
            <w:r w:rsidRPr="00F85DCF">
              <w:rPr>
                <w:sz w:val="20"/>
                <w:szCs w:val="20"/>
                <w:lang w:val="en-GB" w:eastAsia="en-AU"/>
              </w:rPr>
              <w:t xml:space="preserve"> MRL of 0.01 mg/kg could have been used as this </w:t>
            </w:r>
            <w:r w:rsidR="00AE2D67" w:rsidRPr="00F85DCF">
              <w:rPr>
                <w:sz w:val="20"/>
                <w:szCs w:val="20"/>
                <w:lang w:val="en-GB" w:eastAsia="en-AU"/>
              </w:rPr>
              <w:t xml:space="preserve">represents a contribution of </w:t>
            </w:r>
            <w:r w:rsidRPr="00F85DCF">
              <w:rPr>
                <w:sz w:val="20"/>
                <w:szCs w:val="20"/>
                <w:lang w:val="en-GB" w:eastAsia="en-AU"/>
              </w:rPr>
              <w:t xml:space="preserve">4% </w:t>
            </w:r>
            <w:r w:rsidR="00AE2D67" w:rsidRPr="00F85DCF">
              <w:rPr>
                <w:sz w:val="20"/>
                <w:szCs w:val="20"/>
                <w:lang w:val="en-GB" w:eastAsia="en-AU"/>
              </w:rPr>
              <w:t>to</w:t>
            </w:r>
            <w:r w:rsidRPr="00F85DCF">
              <w:rPr>
                <w:sz w:val="20"/>
                <w:szCs w:val="20"/>
                <w:lang w:val="en-GB" w:eastAsia="en-AU"/>
              </w:rPr>
              <w:t xml:space="preserve"> total dietary exposure (sum of exposure to </w:t>
            </w:r>
            <w:r w:rsidRPr="00F85DCF">
              <w:rPr>
                <w:sz w:val="20"/>
                <w:szCs w:val="20"/>
                <w:lang w:val="en-GB"/>
              </w:rPr>
              <w:t>Triadimefon and Triadimenol)</w:t>
            </w:r>
            <w:r w:rsidRPr="00F85DCF">
              <w:rPr>
                <w:sz w:val="20"/>
                <w:szCs w:val="20"/>
                <w:lang w:val="en-GB" w:eastAsia="en-AU"/>
              </w:rPr>
              <w:t xml:space="preserve">. Increasing the </w:t>
            </w:r>
            <w:r w:rsidR="00896077" w:rsidRPr="00F85DCF">
              <w:rPr>
                <w:i/>
                <w:sz w:val="20"/>
                <w:szCs w:val="20"/>
                <w:lang w:val="en-GB" w:eastAsia="en-AU"/>
              </w:rPr>
              <w:t>A</w:t>
            </w:r>
            <w:r w:rsidR="002E12B8" w:rsidRPr="00F85DCF">
              <w:rPr>
                <w:i/>
                <w:sz w:val="20"/>
                <w:szCs w:val="20"/>
                <w:lang w:val="en-GB" w:eastAsia="en-AU"/>
              </w:rPr>
              <w:t xml:space="preserve">ll other foods </w:t>
            </w:r>
            <w:r w:rsidR="0003601D" w:rsidRPr="00F85DCF">
              <w:rPr>
                <w:i/>
                <w:sz w:val="20"/>
                <w:szCs w:val="20"/>
                <w:lang w:val="en-GB" w:eastAsia="en-AU"/>
              </w:rPr>
              <w:t xml:space="preserve">except animal </w:t>
            </w:r>
            <w:r w:rsidR="002E16F6">
              <w:rPr>
                <w:i/>
                <w:sz w:val="20"/>
                <w:szCs w:val="20"/>
                <w:lang w:val="en-GB" w:eastAsia="en-AU"/>
              </w:rPr>
              <w:t xml:space="preserve">food </w:t>
            </w:r>
            <w:r w:rsidR="0003601D" w:rsidRPr="00F85DCF">
              <w:rPr>
                <w:i/>
                <w:sz w:val="20"/>
                <w:szCs w:val="20"/>
                <w:lang w:val="en-GB" w:eastAsia="en-AU"/>
              </w:rPr>
              <w:t>commodities</w:t>
            </w:r>
            <w:r w:rsidRPr="00F85DCF">
              <w:rPr>
                <w:i/>
                <w:sz w:val="20"/>
                <w:szCs w:val="20"/>
                <w:lang w:val="en-GB" w:eastAsia="en-AU"/>
              </w:rPr>
              <w:t xml:space="preserve"> </w:t>
            </w:r>
            <w:r w:rsidRPr="00F85DCF">
              <w:rPr>
                <w:sz w:val="20"/>
                <w:szCs w:val="20"/>
                <w:lang w:val="en-GB" w:eastAsia="en-AU"/>
              </w:rPr>
              <w:t xml:space="preserve">MRL to 0.05 mg/kg is still within the target and represents </w:t>
            </w:r>
            <w:r w:rsidR="00AE2D67" w:rsidRPr="00F85DCF">
              <w:rPr>
                <w:sz w:val="20"/>
                <w:szCs w:val="20"/>
                <w:lang w:val="en-GB" w:eastAsia="en-AU"/>
              </w:rPr>
              <w:t xml:space="preserve">a contribution of </w:t>
            </w:r>
            <w:r w:rsidRPr="00F85DCF">
              <w:rPr>
                <w:sz w:val="20"/>
                <w:szCs w:val="20"/>
                <w:lang w:val="en-GB" w:eastAsia="en-AU"/>
              </w:rPr>
              <w:t xml:space="preserve">18% </w:t>
            </w:r>
            <w:r w:rsidR="00AE2D67" w:rsidRPr="00F85DCF">
              <w:rPr>
                <w:sz w:val="20"/>
                <w:szCs w:val="20"/>
                <w:lang w:val="en-GB" w:eastAsia="en-AU"/>
              </w:rPr>
              <w:t xml:space="preserve">to </w:t>
            </w:r>
            <w:r w:rsidRPr="00F85DCF">
              <w:rPr>
                <w:sz w:val="20"/>
                <w:szCs w:val="20"/>
                <w:lang w:val="en-GB" w:eastAsia="en-AU"/>
              </w:rPr>
              <w:t xml:space="preserve">total dietary exposure. Considering the total dietary exposure for </w:t>
            </w:r>
            <w:r w:rsidRPr="00F85DCF">
              <w:rPr>
                <w:sz w:val="20"/>
                <w:szCs w:val="20"/>
                <w:lang w:val="en-GB"/>
              </w:rPr>
              <w:t>Triadimefon and Triadimenol</w:t>
            </w:r>
            <w:r w:rsidRPr="00F85DCF">
              <w:rPr>
                <w:sz w:val="20"/>
                <w:szCs w:val="20"/>
                <w:lang w:val="en-GB" w:eastAsia="en-AU"/>
              </w:rPr>
              <w:t xml:space="preserve"> is relatively low at 35% of the HBGV, this </w:t>
            </w:r>
            <w:r w:rsidR="0086673E" w:rsidRPr="00F85DCF">
              <w:rPr>
                <w:sz w:val="20"/>
                <w:szCs w:val="20"/>
                <w:lang w:val="en-GB" w:eastAsia="en-AU"/>
              </w:rPr>
              <w:t xml:space="preserve">is </w:t>
            </w:r>
            <w:r w:rsidRPr="00F85DCF">
              <w:rPr>
                <w:sz w:val="20"/>
                <w:szCs w:val="20"/>
                <w:lang w:val="en-GB" w:eastAsia="en-AU"/>
              </w:rPr>
              <w:t>considered acceptable.</w:t>
            </w:r>
          </w:p>
        </w:tc>
      </w:tr>
      <w:tr w:rsidR="00AE2D67" w:rsidRPr="00F85DCF" w14:paraId="35E6C9D2" w14:textId="77777777" w:rsidTr="00A62A60">
        <w:trPr>
          <w:trHeight w:val="57"/>
        </w:trPr>
        <w:tc>
          <w:tcPr>
            <w:tcW w:w="3545" w:type="dxa"/>
            <w:vAlign w:val="center"/>
          </w:tcPr>
          <w:p w14:paraId="125424DF" w14:textId="22906219" w:rsidR="00AE2D67" w:rsidRPr="00F85DCF" w:rsidRDefault="00AE2D67" w:rsidP="007B2A38">
            <w:pPr>
              <w:rPr>
                <w:sz w:val="20"/>
                <w:szCs w:val="20"/>
                <w:lang w:val="en-GB" w:eastAsia="en-AU"/>
              </w:rPr>
            </w:pPr>
            <w:r w:rsidRPr="00F85DCF">
              <w:rPr>
                <w:sz w:val="20"/>
                <w:szCs w:val="20"/>
                <w:lang w:val="en-GB" w:eastAsia="en-AU"/>
              </w:rPr>
              <w:t>Acute dietary exposure assessment</w:t>
            </w:r>
            <w:r w:rsidRPr="00F85DCF">
              <w:rPr>
                <w:sz w:val="20"/>
                <w:szCs w:val="20"/>
                <w:lang w:val="en-GB"/>
              </w:rPr>
              <w:t xml:space="preserve"> (NESTI)</w:t>
            </w:r>
          </w:p>
        </w:tc>
        <w:tc>
          <w:tcPr>
            <w:tcW w:w="6520" w:type="dxa"/>
            <w:vAlign w:val="center"/>
          </w:tcPr>
          <w:p w14:paraId="41174CB6" w14:textId="22ACE6C3" w:rsidR="00AE2D67" w:rsidRPr="00F85DCF" w:rsidRDefault="00AE2D67" w:rsidP="007B2A38">
            <w:pPr>
              <w:rPr>
                <w:sz w:val="20"/>
                <w:szCs w:val="20"/>
                <w:lang w:val="en-GB"/>
              </w:rPr>
            </w:pPr>
            <w:r w:rsidRPr="00F85DCF">
              <w:rPr>
                <w:sz w:val="20"/>
                <w:szCs w:val="20"/>
                <w:lang w:val="en-GB"/>
              </w:rPr>
              <w:t xml:space="preserve">The JMPR established the same ARfD for both Triadimefon and Triadimenol. The acute exposure for Triadimefon </w:t>
            </w:r>
            <w:r w:rsidR="0086673E" w:rsidRPr="00F85DCF">
              <w:rPr>
                <w:sz w:val="20"/>
                <w:szCs w:val="20"/>
                <w:lang w:val="en-GB"/>
              </w:rPr>
              <w:t xml:space="preserve">is </w:t>
            </w:r>
            <w:r w:rsidRPr="00F85DCF">
              <w:rPr>
                <w:sz w:val="20"/>
                <w:szCs w:val="20"/>
                <w:lang w:val="en-GB"/>
              </w:rPr>
              <w:t>considered as the parent compound.</w:t>
            </w:r>
          </w:p>
        </w:tc>
      </w:tr>
      <w:tr w:rsidR="00AE2D67" w:rsidRPr="00F85DCF" w14:paraId="71646034" w14:textId="77777777" w:rsidTr="00A62A60">
        <w:trPr>
          <w:trHeight w:val="57"/>
        </w:trPr>
        <w:tc>
          <w:tcPr>
            <w:tcW w:w="3545" w:type="dxa"/>
            <w:vMerge w:val="restart"/>
            <w:vAlign w:val="center"/>
          </w:tcPr>
          <w:p w14:paraId="19A8BACE" w14:textId="2096F030" w:rsidR="00AE2D67" w:rsidRPr="00F85DCF" w:rsidRDefault="00AE2D67" w:rsidP="007B2A38">
            <w:pPr>
              <w:rPr>
                <w:sz w:val="20"/>
                <w:szCs w:val="20"/>
                <w:lang w:val="en-GB" w:eastAsia="en-AU"/>
              </w:rPr>
            </w:pPr>
            <w:r w:rsidRPr="00F85DCF">
              <w:rPr>
                <w:sz w:val="20"/>
                <w:szCs w:val="20"/>
                <w:lang w:val="en-GB" w:eastAsia="en-AU"/>
              </w:rPr>
              <w:t>Acute dietary exposure assessment</w:t>
            </w:r>
            <w:r w:rsidR="00793116" w:rsidRPr="00F85DCF">
              <w:rPr>
                <w:sz w:val="20"/>
                <w:szCs w:val="20"/>
                <w:lang w:val="en-GB"/>
              </w:rPr>
              <w:t xml:space="preserve"> (NESTI)</w:t>
            </w:r>
          </w:p>
        </w:tc>
        <w:tc>
          <w:tcPr>
            <w:tcW w:w="6520" w:type="dxa"/>
            <w:vAlign w:val="center"/>
          </w:tcPr>
          <w:p w14:paraId="79133850" w14:textId="3E3250AC" w:rsidR="00AE2D67" w:rsidRPr="00F85DCF" w:rsidRDefault="00AE2D67" w:rsidP="007B2A38">
            <w:pPr>
              <w:rPr>
                <w:sz w:val="20"/>
                <w:szCs w:val="20"/>
                <w:lang w:val="en-GB"/>
              </w:rPr>
            </w:pPr>
            <w:r w:rsidRPr="00F85DCF">
              <w:rPr>
                <w:sz w:val="20"/>
                <w:szCs w:val="20"/>
                <w:lang w:val="en-GB" w:eastAsia="en-AU"/>
              </w:rPr>
              <w:t xml:space="preserve">Children 2-6 years of age (worse case - pineapples), 6% of the ARfD. </w:t>
            </w:r>
          </w:p>
        </w:tc>
      </w:tr>
      <w:tr w:rsidR="00AE2D67" w:rsidRPr="00F85DCF" w14:paraId="22C7A84A" w14:textId="77777777" w:rsidTr="00A62A60">
        <w:trPr>
          <w:trHeight w:val="57"/>
        </w:trPr>
        <w:tc>
          <w:tcPr>
            <w:tcW w:w="3545" w:type="dxa"/>
            <w:vMerge/>
            <w:vAlign w:val="center"/>
          </w:tcPr>
          <w:p w14:paraId="6D3A539D" w14:textId="5ABCEDF5" w:rsidR="00AE2D67" w:rsidRPr="00F85DCF" w:rsidRDefault="00AE2D67" w:rsidP="007B2A38">
            <w:pPr>
              <w:rPr>
                <w:sz w:val="20"/>
                <w:szCs w:val="20"/>
                <w:lang w:val="en-GB" w:eastAsia="en-AU"/>
              </w:rPr>
            </w:pPr>
          </w:p>
        </w:tc>
        <w:tc>
          <w:tcPr>
            <w:tcW w:w="6520" w:type="dxa"/>
            <w:vAlign w:val="center"/>
          </w:tcPr>
          <w:p w14:paraId="71A6B055" w14:textId="4416E899" w:rsidR="00AE2D67" w:rsidRPr="00F85DCF" w:rsidRDefault="00AE2D67" w:rsidP="007B2A38">
            <w:pPr>
              <w:rPr>
                <w:sz w:val="20"/>
                <w:szCs w:val="20"/>
                <w:lang w:val="en-GB"/>
              </w:rPr>
            </w:pPr>
            <w:r w:rsidRPr="00F85DCF">
              <w:rPr>
                <w:sz w:val="20"/>
                <w:szCs w:val="20"/>
                <w:lang w:val="en-GB" w:eastAsia="en-AU"/>
              </w:rPr>
              <w:t>Population aged 2 years and above (worse case – watermelon), 4% of the ARfD.</w:t>
            </w:r>
          </w:p>
        </w:tc>
      </w:tr>
      <w:tr w:rsidR="00C26453" w:rsidRPr="00F85DCF" w14:paraId="0B6A1782" w14:textId="77777777" w:rsidTr="00A62A60">
        <w:trPr>
          <w:trHeight w:val="57"/>
        </w:trPr>
        <w:tc>
          <w:tcPr>
            <w:tcW w:w="3545" w:type="dxa"/>
            <w:vAlign w:val="center"/>
          </w:tcPr>
          <w:p w14:paraId="309B08FA" w14:textId="77777777" w:rsidR="00C26453" w:rsidRPr="00F85DCF" w:rsidRDefault="00C26453" w:rsidP="007B2A38">
            <w:pPr>
              <w:rPr>
                <w:sz w:val="20"/>
                <w:szCs w:val="20"/>
                <w:lang w:val="en-GB" w:eastAsia="en-AU"/>
              </w:rPr>
            </w:pPr>
            <w:r w:rsidRPr="00F85DCF">
              <w:rPr>
                <w:sz w:val="20"/>
                <w:szCs w:val="20"/>
                <w:lang w:val="en-GB" w:eastAsia="en-AU"/>
              </w:rPr>
              <w:t>Conclusion</w:t>
            </w:r>
          </w:p>
        </w:tc>
        <w:tc>
          <w:tcPr>
            <w:tcW w:w="6520" w:type="dxa"/>
            <w:vAlign w:val="center"/>
          </w:tcPr>
          <w:p w14:paraId="46B43BE2" w14:textId="140EB45D" w:rsidR="00C26453" w:rsidRPr="00F85DCF" w:rsidRDefault="00C26453" w:rsidP="00896077">
            <w:pPr>
              <w:rPr>
                <w:sz w:val="20"/>
                <w:szCs w:val="20"/>
                <w:lang w:val="en-GB" w:eastAsia="en-AU"/>
              </w:rPr>
            </w:pPr>
            <w:r w:rsidRPr="00F85DCF">
              <w:rPr>
                <w:sz w:val="20"/>
                <w:szCs w:val="20"/>
                <w:lang w:val="en-GB"/>
              </w:rPr>
              <w:t xml:space="preserve">After considering the principles set out above an </w:t>
            </w:r>
            <w:r w:rsidR="00896077" w:rsidRPr="00F85DCF">
              <w:rPr>
                <w:b/>
                <w:i/>
                <w:sz w:val="20"/>
                <w:szCs w:val="20"/>
                <w:lang w:val="en-GB"/>
              </w:rPr>
              <w:t>A</w:t>
            </w:r>
            <w:r w:rsidR="007B1A72" w:rsidRPr="00F85DCF">
              <w:rPr>
                <w:b/>
                <w:i/>
                <w:sz w:val="20"/>
                <w:szCs w:val="20"/>
                <w:lang w:val="en-GB"/>
              </w:rPr>
              <w:t xml:space="preserve">ll other foods </w:t>
            </w:r>
            <w:r w:rsidR="0003601D" w:rsidRPr="00F85DCF">
              <w:rPr>
                <w:b/>
                <w:i/>
                <w:sz w:val="20"/>
                <w:szCs w:val="20"/>
                <w:lang w:val="en-GB"/>
              </w:rPr>
              <w:t xml:space="preserve">except animal </w:t>
            </w:r>
            <w:r w:rsidR="002E16F6">
              <w:rPr>
                <w:b/>
                <w:i/>
                <w:sz w:val="20"/>
                <w:szCs w:val="20"/>
                <w:lang w:val="en-GB"/>
              </w:rPr>
              <w:t xml:space="preserve">food </w:t>
            </w:r>
            <w:r w:rsidR="0003601D" w:rsidRPr="00F85DCF">
              <w:rPr>
                <w:b/>
                <w:i/>
                <w:sz w:val="20"/>
                <w:szCs w:val="20"/>
                <w:lang w:val="en-GB"/>
              </w:rPr>
              <w:t>commodities</w:t>
            </w:r>
            <w:r w:rsidRPr="00F85DCF">
              <w:rPr>
                <w:b/>
                <w:sz w:val="20"/>
                <w:szCs w:val="20"/>
                <w:lang w:val="en-GB"/>
              </w:rPr>
              <w:t xml:space="preserve"> MRL of </w:t>
            </w:r>
            <w:r w:rsidRPr="00F85DCF">
              <w:rPr>
                <w:b/>
                <w:sz w:val="20"/>
                <w:szCs w:val="20"/>
                <w:lang w:val="en-GB" w:eastAsia="en-AU"/>
              </w:rPr>
              <w:t xml:space="preserve">0.05 </w:t>
            </w:r>
            <w:r w:rsidRPr="00F85DCF">
              <w:rPr>
                <w:b/>
                <w:sz w:val="20"/>
                <w:szCs w:val="20"/>
                <w:lang w:val="en-GB"/>
              </w:rPr>
              <w:t xml:space="preserve">mg/kg for Triadimefon and Triadimenol </w:t>
            </w:r>
            <w:r w:rsidRPr="00F85DCF">
              <w:rPr>
                <w:sz w:val="20"/>
                <w:szCs w:val="20"/>
                <w:lang w:val="en-GB"/>
              </w:rPr>
              <w:t xml:space="preserve">is acceptable because it has been shown to be practical, adequately manages the risk of off-label use and does not increase the </w:t>
            </w:r>
            <w:r w:rsidR="005A4649" w:rsidRPr="00F85DCF">
              <w:rPr>
                <w:sz w:val="20"/>
                <w:szCs w:val="20"/>
                <w:lang w:val="en-GB"/>
              </w:rPr>
              <w:t xml:space="preserve">level of concern about </w:t>
            </w:r>
            <w:r w:rsidRPr="00F85DCF">
              <w:rPr>
                <w:sz w:val="20"/>
                <w:szCs w:val="20"/>
                <w:lang w:val="en-GB"/>
              </w:rPr>
              <w:t>risk to public health</w:t>
            </w:r>
            <w:r w:rsidR="00896077" w:rsidRPr="00F85DCF">
              <w:rPr>
                <w:sz w:val="20"/>
                <w:szCs w:val="20"/>
                <w:lang w:val="en-GB"/>
              </w:rPr>
              <w:t>.</w:t>
            </w:r>
          </w:p>
        </w:tc>
      </w:tr>
    </w:tbl>
    <w:p w14:paraId="23CD7C84" w14:textId="77777777" w:rsidR="000D3602" w:rsidRPr="00F85DCF" w:rsidRDefault="000D3602">
      <w:pPr>
        <w:rPr>
          <w:lang w:val="en-GB"/>
        </w:rPr>
        <w:sectPr w:rsidR="000D3602" w:rsidRPr="00F85DCF" w:rsidSect="00420F9C">
          <w:pgSz w:w="11906" w:h="16838"/>
          <w:pgMar w:top="1418" w:right="1418" w:bottom="1418" w:left="1418" w:header="709" w:footer="709" w:gutter="0"/>
          <w:pgNumType w:start="1"/>
          <w:cols w:space="708"/>
          <w:docGrid w:linePitch="360"/>
        </w:sectPr>
      </w:pPr>
      <w:bookmarkStart w:id="55" w:name="_Attachment_1"/>
      <w:bookmarkStart w:id="56" w:name="_Appendix_1"/>
      <w:bookmarkEnd w:id="55"/>
      <w:bookmarkEnd w:id="56"/>
    </w:p>
    <w:p w14:paraId="53299015" w14:textId="2C1A4AE6" w:rsidR="000D3602" w:rsidRPr="00F85DCF" w:rsidRDefault="000D3602" w:rsidP="00FC0DB1">
      <w:pPr>
        <w:pStyle w:val="Heading2"/>
        <w:ind w:left="0" w:firstLine="0"/>
      </w:pPr>
      <w:bookmarkStart w:id="57" w:name="_Toc448848093"/>
      <w:r w:rsidRPr="00F85DCF">
        <w:lastRenderedPageBreak/>
        <w:t xml:space="preserve">Appendix </w:t>
      </w:r>
      <w:r w:rsidR="00C40BB1" w:rsidRPr="00F85DCF">
        <w:t>A</w:t>
      </w:r>
      <w:r w:rsidR="00FA53CB" w:rsidRPr="00F85DCF">
        <w:t>3</w:t>
      </w:r>
      <w:r w:rsidR="00310F50" w:rsidRPr="00F85DCF">
        <w:t xml:space="preserve"> – </w:t>
      </w:r>
      <w:r w:rsidRPr="00F85DCF">
        <w:t xml:space="preserve">Summary of Dietary Exposure Assessments including </w:t>
      </w:r>
      <w:r w:rsidR="00982E0E" w:rsidRPr="00F85DCF">
        <w:rPr>
          <w:i/>
        </w:rPr>
        <w:t>A</w:t>
      </w:r>
      <w:r w:rsidR="008A5731" w:rsidRPr="00F85DCF">
        <w:rPr>
          <w:i/>
        </w:rPr>
        <w:t xml:space="preserve">ll other foods </w:t>
      </w:r>
      <w:r w:rsidR="0003601D" w:rsidRPr="00F85DCF">
        <w:rPr>
          <w:i/>
        </w:rPr>
        <w:t xml:space="preserve">except animal </w:t>
      </w:r>
      <w:r w:rsidR="00FF2EE3">
        <w:rPr>
          <w:i/>
        </w:rPr>
        <w:t xml:space="preserve">food </w:t>
      </w:r>
      <w:r w:rsidR="0003601D" w:rsidRPr="00F85DCF">
        <w:rPr>
          <w:i/>
        </w:rPr>
        <w:t>commodities</w:t>
      </w:r>
      <w:r w:rsidRPr="00F85DCF">
        <w:t xml:space="preserve"> MRLs</w:t>
      </w:r>
      <w:bookmarkEnd w:id="57"/>
    </w:p>
    <w:tbl>
      <w:tblPr>
        <w:tblStyle w:val="LightShading"/>
        <w:tblW w:w="0" w:type="auto"/>
        <w:tblLook w:val="04A0" w:firstRow="1" w:lastRow="0" w:firstColumn="1" w:lastColumn="0" w:noHBand="0" w:noVBand="1"/>
      </w:tblPr>
      <w:tblGrid>
        <w:gridCol w:w="1668"/>
        <w:gridCol w:w="1559"/>
        <w:gridCol w:w="2693"/>
        <w:gridCol w:w="1406"/>
        <w:gridCol w:w="1701"/>
        <w:gridCol w:w="1701"/>
        <w:gridCol w:w="1701"/>
        <w:gridCol w:w="1701"/>
      </w:tblGrid>
      <w:tr w:rsidR="000D3602" w:rsidRPr="00F85DCF" w14:paraId="7DF5830D" w14:textId="77777777" w:rsidTr="00FC0D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tcPr>
          <w:p w14:paraId="3B2C2AC8" w14:textId="39A0EE5F" w:rsidR="000D3602" w:rsidRPr="00F85DCF" w:rsidRDefault="00987C37" w:rsidP="00D33C73">
            <w:pPr>
              <w:rPr>
                <w:color w:val="auto"/>
                <w:sz w:val="20"/>
                <w:szCs w:val="20"/>
                <w:lang w:val="en-GB"/>
              </w:rPr>
            </w:pPr>
            <w:r w:rsidRPr="00F85DCF">
              <w:rPr>
                <w:color w:val="auto"/>
                <w:sz w:val="20"/>
                <w:szCs w:val="20"/>
                <w:lang w:val="en-GB"/>
              </w:rPr>
              <w:t xml:space="preserve">Agvet </w:t>
            </w:r>
            <w:r w:rsidR="000D3602" w:rsidRPr="00F85DCF">
              <w:rPr>
                <w:color w:val="auto"/>
                <w:sz w:val="20"/>
                <w:szCs w:val="20"/>
                <w:lang w:val="en-GB"/>
              </w:rPr>
              <w:t>Chemical</w:t>
            </w:r>
          </w:p>
        </w:tc>
        <w:tc>
          <w:tcPr>
            <w:tcW w:w="1559" w:type="dxa"/>
          </w:tcPr>
          <w:p w14:paraId="28721E16"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ADI (mg/kg bw) (Source)</w:t>
            </w:r>
          </w:p>
        </w:tc>
        <w:tc>
          <w:tcPr>
            <w:tcW w:w="2693" w:type="dxa"/>
          </w:tcPr>
          <w:p w14:paraId="3CF90D41"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ARfD (mg/kg bw) (Source)</w:t>
            </w:r>
          </w:p>
        </w:tc>
        <w:tc>
          <w:tcPr>
            <w:tcW w:w="1406" w:type="dxa"/>
          </w:tcPr>
          <w:p w14:paraId="397E5998"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NEDI (%ADI)</w:t>
            </w:r>
          </w:p>
        </w:tc>
        <w:tc>
          <w:tcPr>
            <w:tcW w:w="1701" w:type="dxa"/>
          </w:tcPr>
          <w:p w14:paraId="3F3FF409"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 xml:space="preserve">NESTI (%ARfD) </w:t>
            </w:r>
            <w:r w:rsidRPr="00F85DCF">
              <w:rPr>
                <w:rFonts w:cs="Arial"/>
                <w:color w:val="auto"/>
                <w:sz w:val="20"/>
                <w:szCs w:val="20"/>
                <w:lang w:val="en-GB" w:eastAsia="en-GB"/>
              </w:rPr>
              <w:t>2-6 years</w:t>
            </w:r>
          </w:p>
        </w:tc>
        <w:tc>
          <w:tcPr>
            <w:tcW w:w="1701" w:type="dxa"/>
          </w:tcPr>
          <w:p w14:paraId="1381D29E"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 xml:space="preserve">NESTI (%ARfD) </w:t>
            </w:r>
            <w:r w:rsidRPr="00F85DCF">
              <w:rPr>
                <w:rFonts w:cs="Arial"/>
                <w:color w:val="auto"/>
                <w:sz w:val="20"/>
                <w:szCs w:val="20"/>
                <w:lang w:val="en-GB" w:eastAsia="en-GB"/>
              </w:rPr>
              <w:t>2+ years</w:t>
            </w:r>
          </w:p>
        </w:tc>
        <w:tc>
          <w:tcPr>
            <w:tcW w:w="1701" w:type="dxa"/>
          </w:tcPr>
          <w:p w14:paraId="7679A69A" w14:textId="37BB2C5E" w:rsidR="000D3602" w:rsidRPr="00F85DCF" w:rsidRDefault="000D3602" w:rsidP="00411DE6">
            <w:pPr>
              <w:cnfStyle w:val="100000000000" w:firstRow="1" w:lastRow="0" w:firstColumn="0" w:lastColumn="0" w:oddVBand="0" w:evenVBand="0" w:oddHBand="0" w:evenHBand="0" w:firstRowFirstColumn="0" w:firstRowLastColumn="0" w:lastRowFirstColumn="0" w:lastRowLastColumn="0"/>
              <w:rPr>
                <w:sz w:val="20"/>
                <w:lang w:val="en-GB"/>
              </w:rPr>
            </w:pPr>
            <w:r w:rsidRPr="00F85DCF">
              <w:rPr>
                <w:color w:val="auto"/>
                <w:sz w:val="20"/>
                <w:szCs w:val="20"/>
                <w:lang w:val="en-GB"/>
              </w:rPr>
              <w:t>Propose</w:t>
            </w:r>
            <w:r w:rsidR="00983B56" w:rsidRPr="00F85DCF">
              <w:rPr>
                <w:color w:val="auto"/>
                <w:sz w:val="20"/>
                <w:szCs w:val="20"/>
                <w:lang w:val="en-GB"/>
              </w:rPr>
              <w:t>d</w:t>
            </w:r>
            <w:r w:rsidRPr="00F85DCF">
              <w:rPr>
                <w:color w:val="auto"/>
                <w:sz w:val="20"/>
                <w:szCs w:val="20"/>
                <w:lang w:val="en-GB"/>
              </w:rPr>
              <w:t xml:space="preserve"> </w:t>
            </w:r>
            <w:r w:rsidR="00411DE6" w:rsidRPr="00F85DCF">
              <w:rPr>
                <w:i/>
                <w:color w:val="auto"/>
                <w:sz w:val="20"/>
                <w:szCs w:val="20"/>
                <w:lang w:val="en-GB"/>
              </w:rPr>
              <w:t>A</w:t>
            </w:r>
            <w:r w:rsidR="008A5731" w:rsidRPr="00F85DCF">
              <w:rPr>
                <w:i/>
                <w:color w:val="auto"/>
                <w:sz w:val="20"/>
                <w:szCs w:val="20"/>
                <w:lang w:val="en-GB"/>
              </w:rPr>
              <w:t xml:space="preserve">ll other foods </w:t>
            </w:r>
            <w:r w:rsidR="0003601D" w:rsidRPr="00F85DCF">
              <w:rPr>
                <w:i/>
                <w:color w:val="auto"/>
                <w:sz w:val="20"/>
                <w:szCs w:val="20"/>
                <w:lang w:val="en-GB"/>
              </w:rPr>
              <w:t xml:space="preserve">except animal </w:t>
            </w:r>
            <w:r w:rsidR="00BF6021">
              <w:rPr>
                <w:i/>
                <w:color w:val="auto"/>
                <w:sz w:val="20"/>
                <w:szCs w:val="20"/>
                <w:lang w:val="en-GB"/>
              </w:rPr>
              <w:t xml:space="preserve">food </w:t>
            </w:r>
            <w:r w:rsidR="0003601D" w:rsidRPr="00F85DCF">
              <w:rPr>
                <w:i/>
                <w:color w:val="auto"/>
                <w:sz w:val="20"/>
                <w:szCs w:val="20"/>
                <w:lang w:val="en-GB"/>
              </w:rPr>
              <w:t>commodities</w:t>
            </w:r>
            <w:r w:rsidRPr="00F85DCF">
              <w:rPr>
                <w:color w:val="auto"/>
                <w:sz w:val="20"/>
                <w:szCs w:val="20"/>
                <w:lang w:val="en-GB"/>
              </w:rPr>
              <w:t xml:space="preserve"> MRL (mg/kg)</w:t>
            </w:r>
          </w:p>
        </w:tc>
        <w:tc>
          <w:tcPr>
            <w:tcW w:w="1701" w:type="dxa"/>
          </w:tcPr>
          <w:p w14:paraId="33F94C6B" w14:textId="77777777" w:rsidR="000D3602" w:rsidRPr="00F85DCF" w:rsidRDefault="000D3602" w:rsidP="00D33C73">
            <w:pPr>
              <w:cnfStyle w:val="100000000000" w:firstRow="1" w:lastRow="0" w:firstColumn="0" w:lastColumn="0" w:oddVBand="0" w:evenVBand="0" w:oddHBand="0" w:evenHBand="0" w:firstRowFirstColumn="0" w:firstRowLastColumn="0" w:lastRowFirstColumn="0" w:lastRowLastColumn="0"/>
              <w:rPr>
                <w:color w:val="auto"/>
                <w:sz w:val="20"/>
                <w:szCs w:val="20"/>
                <w:lang w:val="en-GB"/>
              </w:rPr>
            </w:pPr>
            <w:r w:rsidRPr="00F85DCF">
              <w:rPr>
                <w:color w:val="auto"/>
                <w:sz w:val="20"/>
                <w:szCs w:val="20"/>
                <w:lang w:val="en-GB"/>
              </w:rPr>
              <w:t>Existing MRL range (mg/kg) (1.4.2 v158)</w:t>
            </w:r>
          </w:p>
        </w:tc>
      </w:tr>
      <w:tr w:rsidR="000D3602" w:rsidRPr="00F85DCF" w14:paraId="43D2096D" w14:textId="77777777" w:rsidTr="00FC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EB1964A"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2 -Phenylphenol</w:t>
            </w:r>
          </w:p>
        </w:tc>
        <w:tc>
          <w:tcPr>
            <w:tcW w:w="1559" w:type="dxa"/>
          </w:tcPr>
          <w:p w14:paraId="0DDF656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0.4 (OCS)</w:t>
            </w:r>
          </w:p>
        </w:tc>
        <w:tc>
          <w:tcPr>
            <w:tcW w:w="2693" w:type="dxa"/>
          </w:tcPr>
          <w:p w14:paraId="4E4310E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Considered Unnecessary (OCS)</w:t>
            </w:r>
          </w:p>
        </w:tc>
        <w:tc>
          <w:tcPr>
            <w:tcW w:w="1406" w:type="dxa"/>
          </w:tcPr>
          <w:p w14:paraId="7DECC6AF" w14:textId="5443AD1C" w:rsidR="000D3602" w:rsidRPr="00F85DCF" w:rsidRDefault="003C11A3"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15</w:t>
            </w:r>
            <w:r w:rsidR="000D3602" w:rsidRPr="00F85DCF">
              <w:rPr>
                <w:rFonts w:cs="Arial"/>
                <w:color w:val="auto"/>
                <w:sz w:val="20"/>
                <w:szCs w:val="20"/>
                <w:lang w:val="en-GB"/>
              </w:rPr>
              <w:t>% (including current FSC commodities)</w:t>
            </w:r>
          </w:p>
          <w:p w14:paraId="7F8F141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7% (citrus fruit only)</w:t>
            </w:r>
          </w:p>
        </w:tc>
        <w:tc>
          <w:tcPr>
            <w:tcW w:w="1701" w:type="dxa"/>
          </w:tcPr>
          <w:p w14:paraId="2F01D0F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73BAE9F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64ADF50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009E010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10</w:t>
            </w:r>
          </w:p>
          <w:p w14:paraId="4899800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All registered uses, except citrus fruits, are being withdrawn. Only citrus fruit will remain in APVMA Standard, however, currently other commodities in FSC (current range 3 – 5 mg/kg).</w:t>
            </w:r>
          </w:p>
        </w:tc>
      </w:tr>
      <w:tr w:rsidR="000D3602" w:rsidRPr="00F85DCF" w14:paraId="6CB71F85" w14:textId="77777777" w:rsidTr="00FC0DB1">
        <w:tc>
          <w:tcPr>
            <w:cnfStyle w:val="001000000000" w:firstRow="0" w:lastRow="0" w:firstColumn="1" w:lastColumn="0" w:oddVBand="0" w:evenVBand="0" w:oddHBand="0" w:evenHBand="0" w:firstRowFirstColumn="0" w:firstRowLastColumn="0" w:lastRowFirstColumn="0" w:lastRowLastColumn="0"/>
            <w:tcW w:w="1668" w:type="dxa"/>
          </w:tcPr>
          <w:p w14:paraId="6BC08152"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Ametoctradin</w:t>
            </w:r>
          </w:p>
        </w:tc>
        <w:tc>
          <w:tcPr>
            <w:tcW w:w="1559" w:type="dxa"/>
          </w:tcPr>
          <w:p w14:paraId="532E281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10 (OCS)</w:t>
            </w:r>
          </w:p>
        </w:tc>
        <w:tc>
          <w:tcPr>
            <w:tcW w:w="2693" w:type="dxa"/>
          </w:tcPr>
          <w:p w14:paraId="2CC5CE02"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3B7CE4A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&lt;1%</w:t>
            </w:r>
          </w:p>
        </w:tc>
        <w:tc>
          <w:tcPr>
            <w:tcW w:w="1701" w:type="dxa"/>
          </w:tcPr>
          <w:p w14:paraId="415D219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2CDEF49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005A81C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0.2</w:t>
            </w:r>
          </w:p>
        </w:tc>
        <w:tc>
          <w:tcPr>
            <w:tcW w:w="1701" w:type="dxa"/>
          </w:tcPr>
          <w:p w14:paraId="2B30795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 xml:space="preserve">Animal: *0.02 </w:t>
            </w:r>
          </w:p>
          <w:p w14:paraId="7DACE416"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0.05 - 50</w:t>
            </w:r>
          </w:p>
        </w:tc>
      </w:tr>
      <w:tr w:rsidR="000D3602" w:rsidRPr="00F85DCF" w14:paraId="2D2FF65E" w14:textId="77777777" w:rsidTr="00FC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8411100"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Azoxystrobin</w:t>
            </w:r>
          </w:p>
        </w:tc>
        <w:tc>
          <w:tcPr>
            <w:tcW w:w="1559" w:type="dxa"/>
          </w:tcPr>
          <w:p w14:paraId="03360532"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(OCS)</w:t>
            </w:r>
          </w:p>
        </w:tc>
        <w:tc>
          <w:tcPr>
            <w:tcW w:w="2693" w:type="dxa"/>
          </w:tcPr>
          <w:p w14:paraId="4A71FA9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11A88D1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35%</w:t>
            </w:r>
          </w:p>
        </w:tc>
        <w:tc>
          <w:tcPr>
            <w:tcW w:w="1701" w:type="dxa"/>
          </w:tcPr>
          <w:p w14:paraId="0A39885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5C305B6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462F6A8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24170E1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0.005 – *0.01</w:t>
            </w:r>
          </w:p>
          <w:p w14:paraId="2384800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T50</w:t>
            </w:r>
          </w:p>
        </w:tc>
      </w:tr>
      <w:tr w:rsidR="000D3602" w:rsidRPr="00F85DCF" w14:paraId="7E4069DD" w14:textId="77777777" w:rsidTr="00FC0DB1">
        <w:tc>
          <w:tcPr>
            <w:cnfStyle w:val="001000000000" w:firstRow="0" w:lastRow="0" w:firstColumn="1" w:lastColumn="0" w:oddVBand="0" w:evenVBand="0" w:oddHBand="0" w:evenHBand="0" w:firstRowFirstColumn="0" w:firstRowLastColumn="0" w:lastRowFirstColumn="0" w:lastRowLastColumn="0"/>
            <w:tcW w:w="1668" w:type="dxa"/>
          </w:tcPr>
          <w:p w14:paraId="240B309E"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Bifenthrin</w:t>
            </w:r>
          </w:p>
        </w:tc>
        <w:tc>
          <w:tcPr>
            <w:tcW w:w="1559" w:type="dxa"/>
          </w:tcPr>
          <w:p w14:paraId="5C54E747" w14:textId="77777777" w:rsidR="000D3602" w:rsidRPr="00F85DCF" w:rsidRDefault="000D3602" w:rsidP="00D33C73">
            <w:pPr>
              <w:tabs>
                <w:tab w:val="left" w:pos="689"/>
              </w:tabs>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0.01 (JMPR)</w:t>
            </w:r>
          </w:p>
        </w:tc>
        <w:tc>
          <w:tcPr>
            <w:tcW w:w="2693" w:type="dxa"/>
          </w:tcPr>
          <w:p w14:paraId="40396C6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0.01 (JMPR)</w:t>
            </w:r>
          </w:p>
        </w:tc>
        <w:tc>
          <w:tcPr>
            <w:tcW w:w="1406" w:type="dxa"/>
          </w:tcPr>
          <w:p w14:paraId="75FF9A0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51%</w:t>
            </w:r>
          </w:p>
        </w:tc>
        <w:tc>
          <w:tcPr>
            <w:tcW w:w="1701" w:type="dxa"/>
          </w:tcPr>
          <w:p w14:paraId="69C5FC9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1 - 4%</w:t>
            </w:r>
          </w:p>
          <w:p w14:paraId="6B7880F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7%</w:t>
            </w:r>
          </w:p>
          <w:p w14:paraId="08F8D94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10%</w:t>
            </w:r>
          </w:p>
          <w:p w14:paraId="4DB44632"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8%</w:t>
            </w:r>
          </w:p>
        </w:tc>
        <w:tc>
          <w:tcPr>
            <w:tcW w:w="1701" w:type="dxa"/>
          </w:tcPr>
          <w:p w14:paraId="17F5B7F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1 - 2%</w:t>
            </w:r>
          </w:p>
          <w:p w14:paraId="48A05E3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2%</w:t>
            </w:r>
          </w:p>
          <w:p w14:paraId="4B4B671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–6%</w:t>
            </w:r>
          </w:p>
          <w:p w14:paraId="26BF4BB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3%</w:t>
            </w:r>
          </w:p>
        </w:tc>
        <w:tc>
          <w:tcPr>
            <w:tcW w:w="1701" w:type="dxa"/>
          </w:tcPr>
          <w:p w14:paraId="13C80A8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0.03</w:t>
            </w:r>
          </w:p>
        </w:tc>
        <w:tc>
          <w:tcPr>
            <w:tcW w:w="1701" w:type="dxa"/>
          </w:tcPr>
          <w:p w14:paraId="7C48206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2</w:t>
            </w:r>
          </w:p>
          <w:p w14:paraId="7610D175"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T10</w:t>
            </w:r>
          </w:p>
        </w:tc>
      </w:tr>
      <w:tr w:rsidR="000D3602" w:rsidRPr="00F85DCF" w14:paraId="0E880377" w14:textId="77777777" w:rsidTr="00FC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F47502D"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Captan</w:t>
            </w:r>
          </w:p>
        </w:tc>
        <w:tc>
          <w:tcPr>
            <w:tcW w:w="1559" w:type="dxa"/>
          </w:tcPr>
          <w:p w14:paraId="7DDBB08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(OCS)</w:t>
            </w:r>
          </w:p>
        </w:tc>
        <w:tc>
          <w:tcPr>
            <w:tcW w:w="2693" w:type="dxa"/>
          </w:tcPr>
          <w:p w14:paraId="700F1CC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(OCS)</w:t>
            </w:r>
          </w:p>
        </w:tc>
        <w:tc>
          <w:tcPr>
            <w:tcW w:w="1406" w:type="dxa"/>
          </w:tcPr>
          <w:p w14:paraId="0ECEF48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34%</w:t>
            </w:r>
          </w:p>
        </w:tc>
        <w:tc>
          <w:tcPr>
            <w:tcW w:w="1701" w:type="dxa"/>
          </w:tcPr>
          <w:p w14:paraId="3486AAF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1 - 4%</w:t>
            </w:r>
          </w:p>
          <w:p w14:paraId="2D5A999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7%</w:t>
            </w:r>
          </w:p>
          <w:p w14:paraId="07C3A62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10%</w:t>
            </w:r>
          </w:p>
          <w:p w14:paraId="77C9EDA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8%</w:t>
            </w:r>
          </w:p>
        </w:tc>
        <w:tc>
          <w:tcPr>
            <w:tcW w:w="1701" w:type="dxa"/>
          </w:tcPr>
          <w:p w14:paraId="18AEDE1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1 - 2%</w:t>
            </w:r>
          </w:p>
          <w:p w14:paraId="078AB14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2%</w:t>
            </w:r>
          </w:p>
          <w:p w14:paraId="6EC0E9D4"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–6%</w:t>
            </w:r>
          </w:p>
          <w:p w14:paraId="79D76AD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3%</w:t>
            </w:r>
          </w:p>
        </w:tc>
        <w:tc>
          <w:tcPr>
            <w:tcW w:w="1701" w:type="dxa"/>
          </w:tcPr>
          <w:p w14:paraId="5829B70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536079E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*0.05</w:t>
            </w:r>
          </w:p>
          <w:p w14:paraId="3731DA14"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T0.1 - T30</w:t>
            </w:r>
          </w:p>
        </w:tc>
      </w:tr>
      <w:tr w:rsidR="000D3602" w:rsidRPr="00F85DCF" w14:paraId="60D8E08E" w14:textId="77777777" w:rsidTr="00FC0DB1">
        <w:tc>
          <w:tcPr>
            <w:cnfStyle w:val="001000000000" w:firstRow="0" w:lastRow="0" w:firstColumn="1" w:lastColumn="0" w:oddVBand="0" w:evenVBand="0" w:oddHBand="0" w:evenHBand="0" w:firstRowFirstColumn="0" w:firstRowLastColumn="0" w:lastRowFirstColumn="0" w:lastRowLastColumn="0"/>
            <w:tcW w:w="1668" w:type="dxa"/>
          </w:tcPr>
          <w:p w14:paraId="12F9A9AD"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lastRenderedPageBreak/>
              <w:t>Cyfluthrin</w:t>
            </w:r>
          </w:p>
        </w:tc>
        <w:tc>
          <w:tcPr>
            <w:tcW w:w="1559" w:type="dxa"/>
          </w:tcPr>
          <w:p w14:paraId="0EEF033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0.04 (JMPR)</w:t>
            </w:r>
          </w:p>
        </w:tc>
        <w:tc>
          <w:tcPr>
            <w:tcW w:w="2693" w:type="dxa"/>
          </w:tcPr>
          <w:p w14:paraId="025B967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0.04 (JMPR)</w:t>
            </w:r>
          </w:p>
        </w:tc>
        <w:tc>
          <w:tcPr>
            <w:tcW w:w="1406" w:type="dxa"/>
          </w:tcPr>
          <w:p w14:paraId="0EA76D1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26%</w:t>
            </w:r>
          </w:p>
        </w:tc>
        <w:tc>
          <w:tcPr>
            <w:tcW w:w="1701" w:type="dxa"/>
          </w:tcPr>
          <w:p w14:paraId="4811688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1 - 5%</w:t>
            </w:r>
          </w:p>
          <w:p w14:paraId="5EE4952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- 8%</w:t>
            </w:r>
          </w:p>
          <w:p w14:paraId="0239FDC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- 13%</w:t>
            </w:r>
          </w:p>
          <w:p w14:paraId="05C8F577"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3 - 10%</w:t>
            </w:r>
          </w:p>
        </w:tc>
        <w:tc>
          <w:tcPr>
            <w:tcW w:w="1701" w:type="dxa"/>
          </w:tcPr>
          <w:p w14:paraId="097D7E9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1 - 2%</w:t>
            </w:r>
          </w:p>
          <w:p w14:paraId="2E6F609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- 3%</w:t>
            </w:r>
          </w:p>
          <w:p w14:paraId="01D85F7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- 8%</w:t>
            </w:r>
          </w:p>
          <w:p w14:paraId="64D3B9F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3 - 4%</w:t>
            </w:r>
          </w:p>
        </w:tc>
        <w:tc>
          <w:tcPr>
            <w:tcW w:w="1701" w:type="dxa"/>
          </w:tcPr>
          <w:p w14:paraId="299193A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w:t>
            </w:r>
          </w:p>
        </w:tc>
        <w:tc>
          <w:tcPr>
            <w:tcW w:w="1701" w:type="dxa"/>
          </w:tcPr>
          <w:p w14:paraId="50DB5EB0"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0.5</w:t>
            </w:r>
          </w:p>
          <w:p w14:paraId="0ACC760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5</w:t>
            </w:r>
          </w:p>
        </w:tc>
      </w:tr>
      <w:tr w:rsidR="000D3602" w:rsidRPr="00F85DCF" w14:paraId="3430D4AB" w14:textId="77777777" w:rsidTr="00FC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EE3A404"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Deltamethrin</w:t>
            </w:r>
          </w:p>
        </w:tc>
        <w:tc>
          <w:tcPr>
            <w:tcW w:w="1559" w:type="dxa"/>
          </w:tcPr>
          <w:p w14:paraId="4E17F5E9"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 (JMPR)</w:t>
            </w:r>
          </w:p>
        </w:tc>
        <w:tc>
          <w:tcPr>
            <w:tcW w:w="2693" w:type="dxa"/>
          </w:tcPr>
          <w:p w14:paraId="0841B7E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1.5 (JMPR)</w:t>
            </w:r>
          </w:p>
        </w:tc>
        <w:tc>
          <w:tcPr>
            <w:tcW w:w="1406" w:type="dxa"/>
          </w:tcPr>
          <w:p w14:paraId="5C39AF20" w14:textId="62E1FAC0" w:rsidR="000D3602" w:rsidRPr="00F85DCF" w:rsidRDefault="006462B2" w:rsidP="006462B2">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86</w:t>
            </w:r>
            <w:r w:rsidR="000D3602" w:rsidRPr="00F85DCF">
              <w:rPr>
                <w:rFonts w:cs="Arial"/>
                <w:color w:val="auto"/>
                <w:sz w:val="20"/>
                <w:szCs w:val="20"/>
                <w:lang w:val="en-GB"/>
              </w:rPr>
              <w:t>%</w:t>
            </w:r>
          </w:p>
        </w:tc>
        <w:tc>
          <w:tcPr>
            <w:tcW w:w="1701" w:type="dxa"/>
          </w:tcPr>
          <w:p w14:paraId="2C00490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1 - 2%</w:t>
            </w:r>
          </w:p>
          <w:p w14:paraId="21FE425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- 4%</w:t>
            </w:r>
          </w:p>
          <w:p w14:paraId="3243272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- 6%</w:t>
            </w:r>
          </w:p>
          <w:p w14:paraId="55418AB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&lt;1%</w:t>
            </w:r>
          </w:p>
        </w:tc>
        <w:tc>
          <w:tcPr>
            <w:tcW w:w="1701" w:type="dxa"/>
          </w:tcPr>
          <w:p w14:paraId="4E74356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1 - 1%</w:t>
            </w:r>
          </w:p>
          <w:p w14:paraId="5B31617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- 1%</w:t>
            </w:r>
          </w:p>
          <w:p w14:paraId="10761E0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- 4%</w:t>
            </w:r>
          </w:p>
          <w:p w14:paraId="1E69D02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&lt;1%</w:t>
            </w:r>
          </w:p>
        </w:tc>
        <w:tc>
          <w:tcPr>
            <w:tcW w:w="1701" w:type="dxa"/>
          </w:tcPr>
          <w:p w14:paraId="5C641095" w14:textId="6CCFD2F3" w:rsidR="000D3602" w:rsidRPr="00F85DCF" w:rsidRDefault="000D3602" w:rsidP="00854C44">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w:t>
            </w:r>
            <w:r w:rsidR="006462B2" w:rsidRPr="00F85DCF">
              <w:rPr>
                <w:rFonts w:cs="Arial"/>
                <w:color w:val="auto"/>
                <w:sz w:val="20"/>
                <w:szCs w:val="20"/>
                <w:lang w:val="en-GB"/>
              </w:rPr>
              <w:t>5</w:t>
            </w:r>
          </w:p>
        </w:tc>
        <w:tc>
          <w:tcPr>
            <w:tcW w:w="1701" w:type="dxa"/>
          </w:tcPr>
          <w:p w14:paraId="05DD13D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0.5</w:t>
            </w:r>
          </w:p>
          <w:p w14:paraId="0D4F3F0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*0.05 - 5</w:t>
            </w:r>
          </w:p>
        </w:tc>
      </w:tr>
      <w:tr w:rsidR="000D3602" w:rsidRPr="00F85DCF" w14:paraId="0A5163FA" w14:textId="77777777" w:rsidTr="00FC0DB1">
        <w:tc>
          <w:tcPr>
            <w:cnfStyle w:val="001000000000" w:firstRow="0" w:lastRow="0" w:firstColumn="1" w:lastColumn="0" w:oddVBand="0" w:evenVBand="0" w:oddHBand="0" w:evenHBand="0" w:firstRowFirstColumn="0" w:firstRowLastColumn="0" w:lastRowFirstColumn="0" w:lastRowLastColumn="0"/>
            <w:tcW w:w="1668" w:type="dxa"/>
          </w:tcPr>
          <w:p w14:paraId="505B6CA7"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Fenhexamid</w:t>
            </w:r>
          </w:p>
        </w:tc>
        <w:tc>
          <w:tcPr>
            <w:tcW w:w="1559" w:type="dxa"/>
          </w:tcPr>
          <w:p w14:paraId="5E6415E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0.2 (OCS)</w:t>
            </w:r>
          </w:p>
        </w:tc>
        <w:tc>
          <w:tcPr>
            <w:tcW w:w="2693" w:type="dxa"/>
          </w:tcPr>
          <w:p w14:paraId="40A9844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4244829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11%</w:t>
            </w:r>
          </w:p>
        </w:tc>
        <w:tc>
          <w:tcPr>
            <w:tcW w:w="1701" w:type="dxa"/>
          </w:tcPr>
          <w:p w14:paraId="5951C84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317DDA5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442ED197"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532B635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2</w:t>
            </w:r>
          </w:p>
          <w:p w14:paraId="428F30D6"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 xml:space="preserve">Plant: T2 – T50 </w:t>
            </w:r>
          </w:p>
        </w:tc>
      </w:tr>
      <w:tr w:rsidR="000D3602" w:rsidRPr="00F85DCF" w14:paraId="14E5EE00" w14:textId="77777777" w:rsidTr="00FC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F752650"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Fludioxonil</w:t>
            </w:r>
          </w:p>
        </w:tc>
        <w:tc>
          <w:tcPr>
            <w:tcW w:w="1559" w:type="dxa"/>
          </w:tcPr>
          <w:p w14:paraId="7C4BC99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0.03 (OCS)</w:t>
            </w:r>
          </w:p>
        </w:tc>
        <w:tc>
          <w:tcPr>
            <w:tcW w:w="2693" w:type="dxa"/>
          </w:tcPr>
          <w:p w14:paraId="0282844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641A1F9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32%</w:t>
            </w:r>
          </w:p>
        </w:tc>
        <w:tc>
          <w:tcPr>
            <w:tcW w:w="1701" w:type="dxa"/>
          </w:tcPr>
          <w:p w14:paraId="593BB93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633DEC3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599AF2E2"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0.02</w:t>
            </w:r>
          </w:p>
        </w:tc>
        <w:tc>
          <w:tcPr>
            <w:tcW w:w="1701" w:type="dxa"/>
          </w:tcPr>
          <w:p w14:paraId="2864B53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0.1</w:t>
            </w:r>
          </w:p>
          <w:p w14:paraId="3A882AF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*0.01 - 15</w:t>
            </w:r>
          </w:p>
        </w:tc>
      </w:tr>
      <w:tr w:rsidR="000D3602" w:rsidRPr="00F85DCF" w14:paraId="65DBAFA3" w14:textId="77777777" w:rsidTr="00FC0DB1">
        <w:tc>
          <w:tcPr>
            <w:cnfStyle w:val="001000000000" w:firstRow="0" w:lastRow="0" w:firstColumn="1" w:lastColumn="0" w:oddVBand="0" w:evenVBand="0" w:oddHBand="0" w:evenHBand="0" w:firstRowFirstColumn="0" w:firstRowLastColumn="0" w:lastRowFirstColumn="0" w:lastRowLastColumn="0"/>
            <w:tcW w:w="1668" w:type="dxa"/>
          </w:tcPr>
          <w:p w14:paraId="53E8316B"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Glyphosate</w:t>
            </w:r>
          </w:p>
        </w:tc>
        <w:tc>
          <w:tcPr>
            <w:tcW w:w="1559" w:type="dxa"/>
          </w:tcPr>
          <w:p w14:paraId="0DBCB14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0.3 (OCS)</w:t>
            </w:r>
          </w:p>
        </w:tc>
        <w:tc>
          <w:tcPr>
            <w:tcW w:w="2693" w:type="dxa"/>
          </w:tcPr>
          <w:p w14:paraId="1AEA081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1F44907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10%</w:t>
            </w:r>
          </w:p>
        </w:tc>
        <w:tc>
          <w:tcPr>
            <w:tcW w:w="1701" w:type="dxa"/>
          </w:tcPr>
          <w:p w14:paraId="24676E6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2F03A70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3A2BC58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0.2</w:t>
            </w:r>
          </w:p>
        </w:tc>
        <w:tc>
          <w:tcPr>
            <w:tcW w:w="1701" w:type="dxa"/>
          </w:tcPr>
          <w:p w14:paraId="3C45D44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2</w:t>
            </w:r>
          </w:p>
          <w:p w14:paraId="5DECF0B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T20</w:t>
            </w:r>
          </w:p>
        </w:tc>
      </w:tr>
      <w:tr w:rsidR="000D3602" w:rsidRPr="00F85DCF" w14:paraId="332EED69" w14:textId="77777777" w:rsidTr="00FC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7EDF687"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Iprodione</w:t>
            </w:r>
          </w:p>
        </w:tc>
        <w:tc>
          <w:tcPr>
            <w:tcW w:w="1559" w:type="dxa"/>
          </w:tcPr>
          <w:p w14:paraId="3F176B9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0.04 (OCS)</w:t>
            </w:r>
          </w:p>
        </w:tc>
        <w:tc>
          <w:tcPr>
            <w:tcW w:w="2693" w:type="dxa"/>
          </w:tcPr>
          <w:p w14:paraId="00884652"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 (OCS)</w:t>
            </w:r>
          </w:p>
        </w:tc>
        <w:tc>
          <w:tcPr>
            <w:tcW w:w="1406" w:type="dxa"/>
          </w:tcPr>
          <w:p w14:paraId="06FE7AE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71%</w:t>
            </w:r>
          </w:p>
        </w:tc>
        <w:tc>
          <w:tcPr>
            <w:tcW w:w="1701" w:type="dxa"/>
          </w:tcPr>
          <w:p w14:paraId="6BBEA65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0C0077E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09052A7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263BFF7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*0.1</w:t>
            </w:r>
          </w:p>
          <w:p w14:paraId="66C51E79"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*0.01 - 20</w:t>
            </w:r>
          </w:p>
        </w:tc>
      </w:tr>
      <w:tr w:rsidR="000D3602" w:rsidRPr="00F85DCF" w14:paraId="65AF9B75" w14:textId="77777777" w:rsidTr="00FC0DB1">
        <w:tc>
          <w:tcPr>
            <w:cnfStyle w:val="001000000000" w:firstRow="0" w:lastRow="0" w:firstColumn="1" w:lastColumn="0" w:oddVBand="0" w:evenVBand="0" w:oddHBand="0" w:evenHBand="0" w:firstRowFirstColumn="0" w:firstRowLastColumn="0" w:lastRowFirstColumn="0" w:lastRowLastColumn="0"/>
            <w:tcW w:w="1668" w:type="dxa"/>
          </w:tcPr>
          <w:p w14:paraId="2A56ACBD"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Methomyl and Thiodicarb</w:t>
            </w:r>
          </w:p>
        </w:tc>
        <w:tc>
          <w:tcPr>
            <w:tcW w:w="1559" w:type="dxa"/>
          </w:tcPr>
          <w:p w14:paraId="5A2D8F1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0.02 (JMPR)</w:t>
            </w:r>
          </w:p>
        </w:tc>
        <w:tc>
          <w:tcPr>
            <w:tcW w:w="2693" w:type="dxa"/>
          </w:tcPr>
          <w:p w14:paraId="20D7940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0.02 (JMPR)</w:t>
            </w:r>
          </w:p>
        </w:tc>
        <w:tc>
          <w:tcPr>
            <w:tcW w:w="1406" w:type="dxa"/>
          </w:tcPr>
          <w:p w14:paraId="09562071" w14:textId="462FF252" w:rsidR="000D3602" w:rsidRPr="00F85DCF" w:rsidRDefault="008E39F1"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51</w:t>
            </w:r>
            <w:r w:rsidR="000D3602" w:rsidRPr="00F85DCF">
              <w:rPr>
                <w:rFonts w:cs="Arial"/>
                <w:color w:val="auto"/>
                <w:sz w:val="20"/>
                <w:szCs w:val="20"/>
                <w:lang w:val="en-GB"/>
              </w:rPr>
              <w:t>%</w:t>
            </w:r>
          </w:p>
        </w:tc>
        <w:tc>
          <w:tcPr>
            <w:tcW w:w="1701" w:type="dxa"/>
          </w:tcPr>
          <w:p w14:paraId="4827515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1 - 10%</w:t>
            </w:r>
          </w:p>
          <w:p w14:paraId="27692D1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- 17%</w:t>
            </w:r>
          </w:p>
          <w:p w14:paraId="08F45A3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- 25%</w:t>
            </w:r>
          </w:p>
          <w:p w14:paraId="2136086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20%</w:t>
            </w:r>
          </w:p>
        </w:tc>
        <w:tc>
          <w:tcPr>
            <w:tcW w:w="1701" w:type="dxa"/>
          </w:tcPr>
          <w:p w14:paraId="30EC82F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1 - 4%</w:t>
            </w:r>
          </w:p>
          <w:p w14:paraId="7C696F75"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- 5%</w:t>
            </w:r>
          </w:p>
          <w:p w14:paraId="73E5D602"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- 15%</w:t>
            </w:r>
          </w:p>
          <w:p w14:paraId="53500A5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3 - 8%</w:t>
            </w:r>
          </w:p>
        </w:tc>
        <w:tc>
          <w:tcPr>
            <w:tcW w:w="1701" w:type="dxa"/>
          </w:tcPr>
          <w:p w14:paraId="40A91F3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 (Methomyl)</w:t>
            </w:r>
          </w:p>
          <w:p w14:paraId="3320687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(Thiodicarb)</w:t>
            </w:r>
          </w:p>
        </w:tc>
        <w:tc>
          <w:tcPr>
            <w:tcW w:w="1701" w:type="dxa"/>
          </w:tcPr>
          <w:p w14:paraId="7D554A8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*0.02 – 0.05</w:t>
            </w:r>
          </w:p>
          <w:p w14:paraId="4C18924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*0.05 - T10</w:t>
            </w:r>
          </w:p>
        </w:tc>
      </w:tr>
      <w:tr w:rsidR="000D3602" w:rsidRPr="00F85DCF" w14:paraId="4E19E9A0" w14:textId="77777777" w:rsidTr="00FC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CEBBB29"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Penthiopyrad</w:t>
            </w:r>
          </w:p>
        </w:tc>
        <w:tc>
          <w:tcPr>
            <w:tcW w:w="1559" w:type="dxa"/>
          </w:tcPr>
          <w:p w14:paraId="1A77DDB4"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(OCS)</w:t>
            </w:r>
          </w:p>
        </w:tc>
        <w:tc>
          <w:tcPr>
            <w:tcW w:w="2693" w:type="dxa"/>
          </w:tcPr>
          <w:p w14:paraId="0380F2A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0.75  (OCS)</w:t>
            </w:r>
          </w:p>
        </w:tc>
        <w:tc>
          <w:tcPr>
            <w:tcW w:w="1406" w:type="dxa"/>
          </w:tcPr>
          <w:p w14:paraId="04E97CE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8%</w:t>
            </w:r>
          </w:p>
        </w:tc>
        <w:tc>
          <w:tcPr>
            <w:tcW w:w="1701" w:type="dxa"/>
          </w:tcPr>
          <w:p w14:paraId="0C68B4E2"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&lt;1%</w:t>
            </w:r>
          </w:p>
          <w:p w14:paraId="27F0003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&lt;1%</w:t>
            </w:r>
          </w:p>
          <w:p w14:paraId="3D452E1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&lt;1%</w:t>
            </w:r>
          </w:p>
          <w:p w14:paraId="22055E8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43092449"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All cases &lt;1%</w:t>
            </w:r>
          </w:p>
        </w:tc>
        <w:tc>
          <w:tcPr>
            <w:tcW w:w="1701" w:type="dxa"/>
          </w:tcPr>
          <w:p w14:paraId="50C1CEE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w:t>
            </w:r>
          </w:p>
        </w:tc>
        <w:tc>
          <w:tcPr>
            <w:tcW w:w="1701" w:type="dxa"/>
          </w:tcPr>
          <w:p w14:paraId="362C1BB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*0.02 – 0.05</w:t>
            </w:r>
          </w:p>
          <w:p w14:paraId="5530D9A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0.1 - 70</w:t>
            </w:r>
          </w:p>
        </w:tc>
      </w:tr>
      <w:tr w:rsidR="000D3602" w:rsidRPr="00F85DCF" w14:paraId="34127896" w14:textId="77777777" w:rsidTr="00FC0DB1">
        <w:tc>
          <w:tcPr>
            <w:cnfStyle w:val="001000000000" w:firstRow="0" w:lastRow="0" w:firstColumn="1" w:lastColumn="0" w:oddVBand="0" w:evenVBand="0" w:oddHBand="0" w:evenHBand="0" w:firstRowFirstColumn="0" w:firstRowLastColumn="0" w:lastRowFirstColumn="0" w:lastRowLastColumn="0"/>
            <w:tcW w:w="1668" w:type="dxa"/>
          </w:tcPr>
          <w:p w14:paraId="53248DCB"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Pyrimethanil</w:t>
            </w:r>
          </w:p>
        </w:tc>
        <w:tc>
          <w:tcPr>
            <w:tcW w:w="1559" w:type="dxa"/>
          </w:tcPr>
          <w:p w14:paraId="3C60897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0.2 (OCS)</w:t>
            </w:r>
          </w:p>
        </w:tc>
        <w:tc>
          <w:tcPr>
            <w:tcW w:w="2693" w:type="dxa"/>
          </w:tcPr>
          <w:p w14:paraId="5E85DF6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0.85 (OCS)</w:t>
            </w:r>
          </w:p>
        </w:tc>
        <w:tc>
          <w:tcPr>
            <w:tcW w:w="1406" w:type="dxa"/>
          </w:tcPr>
          <w:p w14:paraId="50D8A8C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26%</w:t>
            </w:r>
          </w:p>
        </w:tc>
        <w:tc>
          <w:tcPr>
            <w:tcW w:w="1701" w:type="dxa"/>
          </w:tcPr>
          <w:p w14:paraId="22D051E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&lt;1%</w:t>
            </w:r>
          </w:p>
          <w:p w14:paraId="2CE3FDA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&lt;1%</w:t>
            </w:r>
          </w:p>
          <w:p w14:paraId="4187334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w:t>
            </w:r>
          </w:p>
          <w:p w14:paraId="7AC81B4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69CBCB8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&lt;1%</w:t>
            </w:r>
          </w:p>
          <w:p w14:paraId="4A4D1985"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&lt;1%</w:t>
            </w:r>
          </w:p>
          <w:p w14:paraId="0AD8E4B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- 1%</w:t>
            </w:r>
          </w:p>
          <w:p w14:paraId="3DCB6C24"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4000803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w:t>
            </w:r>
          </w:p>
        </w:tc>
        <w:tc>
          <w:tcPr>
            <w:tcW w:w="1701" w:type="dxa"/>
          </w:tcPr>
          <w:p w14:paraId="6E4471D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*0.01 - *0.05</w:t>
            </w:r>
          </w:p>
          <w:p w14:paraId="52D0EC9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*0.01 - 20</w:t>
            </w:r>
          </w:p>
        </w:tc>
      </w:tr>
      <w:tr w:rsidR="000D3602" w:rsidRPr="00F85DCF" w14:paraId="1BFB523B" w14:textId="77777777" w:rsidTr="00FC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3A8F0C1"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Spinosad</w:t>
            </w:r>
          </w:p>
        </w:tc>
        <w:tc>
          <w:tcPr>
            <w:tcW w:w="1559" w:type="dxa"/>
          </w:tcPr>
          <w:p w14:paraId="4328E2E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0.02 (OCS)</w:t>
            </w:r>
          </w:p>
        </w:tc>
        <w:tc>
          <w:tcPr>
            <w:tcW w:w="2693" w:type="dxa"/>
          </w:tcPr>
          <w:p w14:paraId="1296442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established</w:t>
            </w:r>
          </w:p>
        </w:tc>
        <w:tc>
          <w:tcPr>
            <w:tcW w:w="1406" w:type="dxa"/>
          </w:tcPr>
          <w:p w14:paraId="29C1BD3A"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43%</w:t>
            </w:r>
          </w:p>
        </w:tc>
        <w:tc>
          <w:tcPr>
            <w:tcW w:w="1701" w:type="dxa"/>
          </w:tcPr>
          <w:p w14:paraId="088515DE"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74A4972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Not required</w:t>
            </w:r>
          </w:p>
        </w:tc>
        <w:tc>
          <w:tcPr>
            <w:tcW w:w="1701" w:type="dxa"/>
          </w:tcPr>
          <w:p w14:paraId="694875A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0.01</w:t>
            </w:r>
          </w:p>
        </w:tc>
        <w:tc>
          <w:tcPr>
            <w:tcW w:w="1701" w:type="dxa"/>
          </w:tcPr>
          <w:p w14:paraId="1BD6A5D8"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2</w:t>
            </w:r>
          </w:p>
          <w:p w14:paraId="14A513F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*0.01 - 5</w:t>
            </w:r>
          </w:p>
        </w:tc>
      </w:tr>
      <w:tr w:rsidR="000D3602" w:rsidRPr="00F85DCF" w14:paraId="2CDAF67D"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1668" w:type="dxa"/>
          </w:tcPr>
          <w:p w14:paraId="138E6C11"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lastRenderedPageBreak/>
              <w:t>Thiabendazole</w:t>
            </w:r>
          </w:p>
        </w:tc>
        <w:tc>
          <w:tcPr>
            <w:tcW w:w="1559" w:type="dxa"/>
          </w:tcPr>
          <w:p w14:paraId="59D4785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0.1 (JMPR)</w:t>
            </w:r>
          </w:p>
        </w:tc>
        <w:tc>
          <w:tcPr>
            <w:tcW w:w="2693" w:type="dxa"/>
          </w:tcPr>
          <w:p w14:paraId="471A0D08"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0.3 (JMPR – established for women of child bearing age) (1 mg/kg for general population)</w:t>
            </w:r>
          </w:p>
        </w:tc>
        <w:tc>
          <w:tcPr>
            <w:tcW w:w="1406" w:type="dxa"/>
          </w:tcPr>
          <w:p w14:paraId="4D72BAC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49%</w:t>
            </w:r>
          </w:p>
        </w:tc>
        <w:tc>
          <w:tcPr>
            <w:tcW w:w="1701" w:type="dxa"/>
          </w:tcPr>
          <w:p w14:paraId="457554F1"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1 - 1%</w:t>
            </w:r>
          </w:p>
          <w:p w14:paraId="41486ECD"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- 1%</w:t>
            </w:r>
          </w:p>
          <w:p w14:paraId="12CF92BB"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- 2%</w:t>
            </w:r>
          </w:p>
          <w:p w14:paraId="403CC4C2"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7655227C"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1 - 1%</w:t>
            </w:r>
          </w:p>
          <w:p w14:paraId="3B18F159"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- 1%</w:t>
            </w:r>
          </w:p>
          <w:p w14:paraId="46EFB860"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- 2%</w:t>
            </w:r>
          </w:p>
          <w:p w14:paraId="75811AEE"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3 - 1%</w:t>
            </w:r>
          </w:p>
        </w:tc>
        <w:tc>
          <w:tcPr>
            <w:tcW w:w="1701" w:type="dxa"/>
          </w:tcPr>
          <w:p w14:paraId="74F3176A"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0.03</w:t>
            </w:r>
          </w:p>
        </w:tc>
        <w:tc>
          <w:tcPr>
            <w:tcW w:w="1701" w:type="dxa"/>
          </w:tcPr>
          <w:p w14:paraId="2CD6408F"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0.2</w:t>
            </w:r>
          </w:p>
          <w:p w14:paraId="32777BF3" w14:textId="77777777" w:rsidR="000D3602" w:rsidRPr="00F85DCF" w:rsidRDefault="000D3602" w:rsidP="00D33C73">
            <w:pPr>
              <w:cnfStyle w:val="000000000000" w:firstRow="0" w:lastRow="0" w:firstColumn="0" w:lastColumn="0" w:oddVBand="0" w:evenVBand="0" w:oddHBand="0"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T*0.01 - 10</w:t>
            </w:r>
          </w:p>
        </w:tc>
      </w:tr>
      <w:tr w:rsidR="000D3602" w:rsidRPr="00F85DCF" w14:paraId="53006C2D" w14:textId="77777777" w:rsidTr="00FC0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72EF1C0" w14:textId="77777777" w:rsidR="000D3602" w:rsidRPr="00F85DCF" w:rsidRDefault="000D3602" w:rsidP="00D33C73">
            <w:pPr>
              <w:rPr>
                <w:rFonts w:cs="Arial"/>
                <w:b w:val="0"/>
                <w:color w:val="auto"/>
                <w:sz w:val="20"/>
                <w:szCs w:val="20"/>
                <w:lang w:val="en-GB"/>
              </w:rPr>
            </w:pPr>
            <w:r w:rsidRPr="00F85DCF">
              <w:rPr>
                <w:rFonts w:cs="Arial"/>
                <w:b w:val="0"/>
                <w:color w:val="auto"/>
                <w:sz w:val="20"/>
                <w:szCs w:val="20"/>
                <w:lang w:val="en-GB"/>
              </w:rPr>
              <w:t>Triadimefon and Triadimenol</w:t>
            </w:r>
          </w:p>
        </w:tc>
        <w:tc>
          <w:tcPr>
            <w:tcW w:w="1559" w:type="dxa"/>
          </w:tcPr>
          <w:p w14:paraId="0EFD3283"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0.03 (JMPR)</w:t>
            </w:r>
          </w:p>
        </w:tc>
        <w:tc>
          <w:tcPr>
            <w:tcW w:w="2693" w:type="dxa"/>
          </w:tcPr>
          <w:p w14:paraId="2287845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0.08 (JMPR)</w:t>
            </w:r>
          </w:p>
        </w:tc>
        <w:tc>
          <w:tcPr>
            <w:tcW w:w="1406" w:type="dxa"/>
          </w:tcPr>
          <w:p w14:paraId="43EBB7CB" w14:textId="185737B2" w:rsidR="000D3602" w:rsidRPr="00F85DCF" w:rsidRDefault="0045221B"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34</w:t>
            </w:r>
            <w:r w:rsidR="000D3602" w:rsidRPr="00F85DCF">
              <w:rPr>
                <w:rFonts w:cs="Arial"/>
                <w:color w:val="auto"/>
                <w:sz w:val="20"/>
                <w:szCs w:val="20"/>
                <w:lang w:val="en-GB"/>
              </w:rPr>
              <w:t xml:space="preserve">% </w:t>
            </w:r>
          </w:p>
          <w:p w14:paraId="44F6D29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(sum of exposures)</w:t>
            </w:r>
          </w:p>
        </w:tc>
        <w:tc>
          <w:tcPr>
            <w:tcW w:w="1701" w:type="dxa"/>
          </w:tcPr>
          <w:p w14:paraId="4BF8ED20"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&lt;3%</w:t>
            </w:r>
          </w:p>
          <w:p w14:paraId="27ADC669"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&lt;4%</w:t>
            </w:r>
          </w:p>
          <w:p w14:paraId="50A15F3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&lt;6%</w:t>
            </w:r>
          </w:p>
          <w:p w14:paraId="59CDCBB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3 - 5%</w:t>
            </w:r>
          </w:p>
        </w:tc>
        <w:tc>
          <w:tcPr>
            <w:tcW w:w="1701" w:type="dxa"/>
          </w:tcPr>
          <w:p w14:paraId="470D216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1 - &lt;1%</w:t>
            </w:r>
          </w:p>
          <w:p w14:paraId="5DC7DBF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2a - &lt;1%</w:t>
            </w:r>
          </w:p>
          <w:p w14:paraId="574E6141"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2b - &lt;4%</w:t>
            </w:r>
          </w:p>
          <w:p w14:paraId="74F5E23C"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Case 3 - 2%</w:t>
            </w:r>
          </w:p>
        </w:tc>
        <w:tc>
          <w:tcPr>
            <w:tcW w:w="1701" w:type="dxa"/>
          </w:tcPr>
          <w:p w14:paraId="17F52005"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0.05</w:t>
            </w:r>
          </w:p>
        </w:tc>
        <w:tc>
          <w:tcPr>
            <w:tcW w:w="1701" w:type="dxa"/>
          </w:tcPr>
          <w:p w14:paraId="31DA1BD6"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(Triadimefon)</w:t>
            </w:r>
          </w:p>
          <w:p w14:paraId="176AA72D"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*0.05 – *0.25</w:t>
            </w:r>
          </w:p>
          <w:p w14:paraId="719C394B"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*0.05 - 1</w:t>
            </w:r>
          </w:p>
          <w:p w14:paraId="114EEB2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(Triadimenol)</w:t>
            </w:r>
          </w:p>
          <w:p w14:paraId="1BA123FF"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Animal: *0.01</w:t>
            </w:r>
          </w:p>
          <w:p w14:paraId="0FEEB0C7" w14:textId="77777777" w:rsidR="000D3602" w:rsidRPr="00F85DCF" w:rsidRDefault="000D3602" w:rsidP="00D33C73">
            <w:pPr>
              <w:cnfStyle w:val="000000100000" w:firstRow="0" w:lastRow="0" w:firstColumn="0" w:lastColumn="0" w:oddVBand="0" w:evenVBand="0" w:oddHBand="1" w:evenHBand="0" w:firstRowFirstColumn="0" w:firstRowLastColumn="0" w:lastRowFirstColumn="0" w:lastRowLastColumn="0"/>
              <w:rPr>
                <w:rFonts w:cs="Arial"/>
                <w:color w:val="auto"/>
                <w:sz w:val="20"/>
                <w:szCs w:val="20"/>
                <w:lang w:val="en-GB"/>
              </w:rPr>
            </w:pPr>
            <w:r w:rsidRPr="00F85DCF">
              <w:rPr>
                <w:rFonts w:cs="Arial"/>
                <w:color w:val="auto"/>
                <w:sz w:val="20"/>
                <w:szCs w:val="20"/>
                <w:lang w:val="en-GB"/>
              </w:rPr>
              <w:t>Plant: *0.01 - T3</w:t>
            </w:r>
          </w:p>
        </w:tc>
      </w:tr>
    </w:tbl>
    <w:p w14:paraId="3D584222" w14:textId="77777777" w:rsidR="000D3602" w:rsidRPr="00F85DCF" w:rsidRDefault="000D3602" w:rsidP="000D3602">
      <w:pPr>
        <w:rPr>
          <w:lang w:val="en-GB"/>
        </w:rPr>
      </w:pPr>
    </w:p>
    <w:p w14:paraId="7DEDEAB0" w14:textId="77777777" w:rsidR="000D3602" w:rsidRPr="00F85DCF" w:rsidRDefault="000D3602" w:rsidP="000D3602">
      <w:pPr>
        <w:rPr>
          <w:lang w:val="en-GB"/>
        </w:rPr>
      </w:pPr>
    </w:p>
    <w:p w14:paraId="2B516810" w14:textId="77777777" w:rsidR="000D3602" w:rsidRPr="00F85DCF" w:rsidRDefault="000D3602" w:rsidP="000D3602">
      <w:pPr>
        <w:rPr>
          <w:lang w:val="en-GB"/>
        </w:rPr>
      </w:pPr>
    </w:p>
    <w:p w14:paraId="6BCCE5F0" w14:textId="77777777" w:rsidR="000D3602" w:rsidRPr="00F85DCF" w:rsidRDefault="000D3602" w:rsidP="000D3602">
      <w:pPr>
        <w:rPr>
          <w:lang w:val="en-GB"/>
        </w:rPr>
        <w:sectPr w:rsidR="000D3602" w:rsidRPr="00F85DCF" w:rsidSect="000D3602">
          <w:pgSz w:w="16838" w:h="11906" w:orient="landscape"/>
          <w:pgMar w:top="1418" w:right="1418" w:bottom="991" w:left="1418" w:header="709" w:footer="709" w:gutter="0"/>
          <w:cols w:space="708"/>
          <w:docGrid w:linePitch="360"/>
        </w:sectPr>
      </w:pPr>
    </w:p>
    <w:p w14:paraId="4D61B421" w14:textId="34868AB8" w:rsidR="00C71448" w:rsidRPr="00F85DCF" w:rsidRDefault="00C71448" w:rsidP="00310F50">
      <w:pPr>
        <w:pStyle w:val="Heading2"/>
        <w:ind w:left="0" w:firstLine="0"/>
      </w:pPr>
      <w:bookmarkStart w:id="58" w:name="_Toc448848094"/>
      <w:r w:rsidRPr="00F85DCF">
        <w:lastRenderedPageBreak/>
        <w:t xml:space="preserve">Appendix </w:t>
      </w:r>
      <w:r w:rsidR="00285F28" w:rsidRPr="00F85DCF">
        <w:t>A</w:t>
      </w:r>
      <w:r w:rsidR="00FA53CB" w:rsidRPr="00F85DCF">
        <w:t>4</w:t>
      </w:r>
      <w:r w:rsidR="00310F50" w:rsidRPr="00F85DCF">
        <w:t xml:space="preserve"> – </w:t>
      </w:r>
      <w:r w:rsidR="00F91C05" w:rsidRPr="00F85DCF">
        <w:t xml:space="preserve">List of </w:t>
      </w:r>
      <w:r w:rsidR="00090304" w:rsidRPr="00F85DCF">
        <w:t xml:space="preserve">agvet </w:t>
      </w:r>
      <w:r w:rsidR="00F91C05" w:rsidRPr="00F85DCF">
        <w:t xml:space="preserve">chemicals </w:t>
      </w:r>
      <w:r w:rsidR="00192240" w:rsidRPr="00F85DCF">
        <w:t>excluded from further consideration at Step 1</w:t>
      </w:r>
      <w:bookmarkEnd w:id="58"/>
    </w:p>
    <w:tbl>
      <w:tblPr>
        <w:tblStyle w:val="LightShading"/>
        <w:tblW w:w="9072" w:type="dxa"/>
        <w:tblLook w:val="04A0" w:firstRow="1" w:lastRow="0" w:firstColumn="1" w:lastColumn="0" w:noHBand="0" w:noVBand="1"/>
      </w:tblPr>
      <w:tblGrid>
        <w:gridCol w:w="2229"/>
        <w:gridCol w:w="6966"/>
      </w:tblGrid>
      <w:tr w:rsidR="00C71448" w:rsidRPr="00F85DCF" w14:paraId="33DE2169" w14:textId="77777777" w:rsidTr="00FC0DB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4268DFE" w14:textId="0A8BAE09" w:rsidR="00C71448" w:rsidRPr="00F85DCF" w:rsidRDefault="00631682" w:rsidP="00504141">
            <w:pPr>
              <w:rPr>
                <w:rFonts w:eastAsia="Times New Roman" w:cs="Arial"/>
                <w:bCs w:val="0"/>
                <w:color w:val="000000"/>
                <w:sz w:val="20"/>
                <w:szCs w:val="20"/>
                <w:lang w:val="en-GB" w:eastAsia="en-GB"/>
              </w:rPr>
            </w:pPr>
            <w:r w:rsidRPr="00F85DCF">
              <w:rPr>
                <w:rFonts w:eastAsia="Times New Roman" w:cs="Arial"/>
                <w:bCs w:val="0"/>
                <w:color w:val="000000"/>
                <w:sz w:val="20"/>
                <w:szCs w:val="20"/>
                <w:lang w:val="en-GB" w:eastAsia="en-GB"/>
              </w:rPr>
              <w:t xml:space="preserve">Agvet </w:t>
            </w:r>
            <w:r w:rsidR="00C71448" w:rsidRPr="00F85DCF">
              <w:rPr>
                <w:rFonts w:eastAsia="Times New Roman" w:cs="Arial"/>
                <w:bCs w:val="0"/>
                <w:color w:val="000000"/>
                <w:sz w:val="20"/>
                <w:szCs w:val="20"/>
                <w:lang w:val="en-GB" w:eastAsia="en-GB"/>
              </w:rPr>
              <w:t>Chemical</w:t>
            </w:r>
          </w:p>
        </w:tc>
        <w:tc>
          <w:tcPr>
            <w:tcW w:w="6966" w:type="dxa"/>
            <w:noWrap/>
            <w:hideMark/>
          </w:tcPr>
          <w:p w14:paraId="16221075" w14:textId="77777777" w:rsidR="00C71448" w:rsidRPr="00F85DCF" w:rsidRDefault="00C71448" w:rsidP="00504141">
            <w:pPr>
              <w:cnfStyle w:val="100000000000" w:firstRow="1" w:lastRow="0" w:firstColumn="0" w:lastColumn="0" w:oddVBand="0" w:evenVBand="0" w:oddHBand="0" w:evenHBand="0" w:firstRowFirstColumn="0" w:firstRowLastColumn="0" w:lastRowFirstColumn="0" w:lastRowLastColumn="0"/>
              <w:rPr>
                <w:rFonts w:eastAsia="Times New Roman" w:cs="Arial"/>
                <w:bCs w:val="0"/>
                <w:color w:val="auto"/>
                <w:sz w:val="20"/>
                <w:szCs w:val="20"/>
                <w:lang w:val="en-GB" w:eastAsia="en-GB"/>
              </w:rPr>
            </w:pPr>
            <w:r w:rsidRPr="00F85DCF">
              <w:rPr>
                <w:rFonts w:eastAsia="Times New Roman" w:cs="Arial"/>
                <w:bCs w:val="0"/>
                <w:color w:val="auto"/>
                <w:sz w:val="20"/>
                <w:szCs w:val="20"/>
                <w:lang w:val="en-GB" w:eastAsia="en-GB"/>
              </w:rPr>
              <w:t>Reason for exclusion</w:t>
            </w:r>
          </w:p>
        </w:tc>
      </w:tr>
      <w:tr w:rsidR="00C71448" w:rsidRPr="00F85DCF" w14:paraId="26022992"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BB488DE" w14:textId="3414635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2,4-Dichlorophenoxyacetic Acid (2,4-</w:t>
            </w:r>
            <w:r w:rsidR="00C71448" w:rsidRPr="00F85DCF">
              <w:rPr>
                <w:rFonts w:eastAsia="Times New Roman" w:cs="Arial"/>
                <w:b w:val="0"/>
                <w:color w:val="000000"/>
                <w:sz w:val="20"/>
                <w:szCs w:val="20"/>
                <w:lang w:val="en-GB" w:eastAsia="en-GB"/>
              </w:rPr>
              <w:t>D</w:t>
            </w:r>
            <w:r w:rsidRPr="00F85DCF">
              <w:rPr>
                <w:rFonts w:eastAsia="Times New Roman" w:cs="Arial"/>
                <w:b w:val="0"/>
                <w:color w:val="000000"/>
                <w:sz w:val="20"/>
                <w:szCs w:val="20"/>
                <w:lang w:val="en-GB" w:eastAsia="en-GB"/>
              </w:rPr>
              <w:t>)</w:t>
            </w:r>
          </w:p>
        </w:tc>
        <w:tc>
          <w:tcPr>
            <w:tcW w:w="6966" w:type="dxa"/>
            <w:noWrap/>
            <w:hideMark/>
          </w:tcPr>
          <w:p w14:paraId="07F390AE" w14:textId="757C817E" w:rsidR="00C71448" w:rsidRPr="00F85DCF" w:rsidRDefault="001A33E9" w:rsidP="00C92F4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w:t>
            </w:r>
            <w:r w:rsidR="00DA77D3" w:rsidRPr="00F85DCF">
              <w:rPr>
                <w:rFonts w:eastAsia="Times New Roman" w:cs="Arial"/>
                <w:color w:val="auto"/>
                <w:sz w:val="20"/>
                <w:szCs w:val="20"/>
                <w:lang w:val="en-GB" w:eastAsia="en-GB"/>
              </w:rPr>
              <w:t xml:space="preserve">stimated dietary exposure  </w:t>
            </w:r>
            <w:r w:rsidR="00C71448" w:rsidRPr="00F85DCF">
              <w:rPr>
                <w:rFonts w:eastAsia="Times New Roman" w:cs="Arial"/>
                <w:color w:val="auto"/>
                <w:sz w:val="20"/>
                <w:szCs w:val="20"/>
                <w:lang w:val="en-GB" w:eastAsia="en-GB"/>
              </w:rPr>
              <w:t>&gt;</w:t>
            </w:r>
            <w:r w:rsidR="00C92F47" w:rsidRPr="00F85DCF">
              <w:rPr>
                <w:rFonts w:eastAsia="Times New Roman" w:cs="Arial"/>
                <w:color w:val="auto"/>
                <w:sz w:val="20"/>
                <w:szCs w:val="20"/>
                <w:lang w:val="en-GB" w:eastAsia="en-GB"/>
              </w:rPr>
              <w:t>8</w:t>
            </w:r>
            <w:r w:rsidR="00C71448" w:rsidRPr="00F85DCF">
              <w:rPr>
                <w:rFonts w:eastAsia="Times New Roman" w:cs="Arial"/>
                <w:color w:val="auto"/>
                <w:sz w:val="20"/>
                <w:szCs w:val="20"/>
                <w:lang w:val="en-GB" w:eastAsia="en-GB"/>
              </w:rPr>
              <w:t>0%</w:t>
            </w:r>
            <w:r w:rsidR="00DA77D3" w:rsidRPr="00F85DCF">
              <w:rPr>
                <w:rFonts w:eastAsia="Times New Roman" w:cs="Arial"/>
                <w:color w:val="auto"/>
                <w:sz w:val="20"/>
                <w:szCs w:val="20"/>
                <w:lang w:val="en-GB" w:eastAsia="en-GB"/>
              </w:rPr>
              <w:t xml:space="preserve"> ADI</w:t>
            </w:r>
            <w:r w:rsidR="00C71448" w:rsidRPr="00F85DCF">
              <w:rPr>
                <w:rFonts w:eastAsia="Times New Roman" w:cs="Arial"/>
                <w:color w:val="auto"/>
                <w:sz w:val="20"/>
                <w:szCs w:val="20"/>
                <w:lang w:val="en-GB" w:eastAsia="en-GB"/>
              </w:rPr>
              <w:t xml:space="preserve"> </w:t>
            </w:r>
          </w:p>
        </w:tc>
      </w:tr>
      <w:tr w:rsidR="00C71448" w:rsidRPr="00F85DCF" w14:paraId="4653665B" w14:textId="77777777" w:rsidTr="00FC0DB1">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37DA560"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Abamectin</w:t>
            </w:r>
          </w:p>
        </w:tc>
        <w:tc>
          <w:tcPr>
            <w:tcW w:w="6966" w:type="dxa"/>
            <w:noWrap/>
            <w:hideMark/>
          </w:tcPr>
          <w:p w14:paraId="763E125D" w14:textId="14709ED6"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62CF9A4E"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88A928B" w14:textId="5A0BAC08"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Acephate</w:t>
            </w:r>
          </w:p>
        </w:tc>
        <w:tc>
          <w:tcPr>
            <w:tcW w:w="6966" w:type="dxa"/>
            <w:noWrap/>
            <w:hideMark/>
          </w:tcPr>
          <w:p w14:paraId="47249E09" w14:textId="4480AB0B" w:rsidR="00C71448" w:rsidRPr="00F85DCF" w:rsidRDefault="001A33E9" w:rsidP="00E4648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DA77D3" w:rsidRPr="00F85DCF">
              <w:rPr>
                <w:rFonts w:eastAsia="Times New Roman" w:cs="Arial"/>
                <w:color w:val="auto"/>
                <w:sz w:val="20"/>
                <w:szCs w:val="20"/>
                <w:lang w:val="en-GB" w:eastAsia="en-GB"/>
              </w:rPr>
              <w:t xml:space="preserve"> dietary exposure  &gt;80% ADI</w:t>
            </w:r>
            <w:r w:rsidR="00C71448" w:rsidRPr="00F85DCF">
              <w:rPr>
                <w:rFonts w:eastAsia="Times New Roman" w:cs="Arial"/>
                <w:color w:val="auto"/>
                <w:sz w:val="20"/>
                <w:szCs w:val="20"/>
                <w:lang w:val="en-GB" w:eastAsia="en-GB"/>
              </w:rPr>
              <w:t xml:space="preserve">, APVMA </w:t>
            </w:r>
            <w:r w:rsidR="00E46481" w:rsidRPr="00F85DCF">
              <w:rPr>
                <w:rFonts w:eastAsia="Times New Roman" w:cs="Arial"/>
                <w:color w:val="auto"/>
                <w:sz w:val="20"/>
                <w:szCs w:val="20"/>
                <w:lang w:val="en-GB" w:eastAsia="en-GB"/>
              </w:rPr>
              <w:t>review</w:t>
            </w:r>
            <w:r w:rsidR="00C71448" w:rsidRPr="00F85DCF">
              <w:rPr>
                <w:rFonts w:eastAsia="Times New Roman" w:cs="Arial"/>
                <w:color w:val="auto"/>
                <w:sz w:val="20"/>
                <w:szCs w:val="20"/>
                <w:lang w:val="en-GB" w:eastAsia="en-GB"/>
              </w:rPr>
              <w:t xml:space="preserve"> chemical</w:t>
            </w:r>
          </w:p>
        </w:tc>
      </w:tr>
      <w:tr w:rsidR="00C71448" w:rsidRPr="00F85DCF" w14:paraId="2AB21C65" w14:textId="77777777" w:rsidTr="00FC0DB1">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15F96C6" w14:textId="2D8A7285"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Acetamiprid</w:t>
            </w:r>
          </w:p>
        </w:tc>
        <w:tc>
          <w:tcPr>
            <w:tcW w:w="6966" w:type="dxa"/>
            <w:noWrap/>
            <w:hideMark/>
          </w:tcPr>
          <w:p w14:paraId="5B280E1C" w14:textId="3E33334A" w:rsidR="00C71448" w:rsidRPr="00F85DCF" w:rsidRDefault="006B40E6"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 xml:space="preserve">in a preliminary screen </w:t>
            </w:r>
            <w:r w:rsidR="00D7195E" w:rsidRPr="00F85DCF">
              <w:rPr>
                <w:rFonts w:cs="Arial"/>
                <w:color w:val="auto"/>
                <w:sz w:val="20"/>
                <w:szCs w:val="20"/>
                <w:lang w:val="en-GB"/>
              </w:rPr>
              <w:t>exceeded 20%</w:t>
            </w:r>
          </w:p>
        </w:tc>
      </w:tr>
      <w:tr w:rsidR="00C71448" w:rsidRPr="00F85DCF" w14:paraId="0B57BE74"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DF80877" w14:textId="59667BC1"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Aldrin And Dieldrin</w:t>
            </w:r>
          </w:p>
        </w:tc>
        <w:tc>
          <w:tcPr>
            <w:tcW w:w="6966" w:type="dxa"/>
            <w:noWrap/>
            <w:hideMark/>
          </w:tcPr>
          <w:p w14:paraId="7F69726D"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C71448" w:rsidRPr="00F85DCF" w14:paraId="35AD1EDB" w14:textId="77777777" w:rsidTr="00FC0DB1">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5408B9F" w14:textId="053CA12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Azinphos-Methyl</w:t>
            </w:r>
          </w:p>
        </w:tc>
        <w:tc>
          <w:tcPr>
            <w:tcW w:w="6966" w:type="dxa"/>
            <w:noWrap/>
            <w:hideMark/>
          </w:tcPr>
          <w:p w14:paraId="283934D9"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12878137"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3C8CEBE" w14:textId="1D611382"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Benalaxyl</w:t>
            </w:r>
          </w:p>
        </w:tc>
        <w:tc>
          <w:tcPr>
            <w:tcW w:w="6966" w:type="dxa"/>
            <w:noWrap/>
            <w:hideMark/>
          </w:tcPr>
          <w:p w14:paraId="19B010F7" w14:textId="317CA728"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0439045" w14:textId="77777777" w:rsidTr="00FC0DB1">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F3F9652" w14:textId="615977F3"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Bioresmethrin</w:t>
            </w:r>
          </w:p>
        </w:tc>
        <w:tc>
          <w:tcPr>
            <w:tcW w:w="6966" w:type="dxa"/>
            <w:noWrap/>
            <w:hideMark/>
          </w:tcPr>
          <w:p w14:paraId="35768E73" w14:textId="702997CF"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CFEABAC"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B026D46" w14:textId="127024D5"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Bitertanol</w:t>
            </w:r>
          </w:p>
        </w:tc>
        <w:tc>
          <w:tcPr>
            <w:tcW w:w="6966" w:type="dxa"/>
            <w:noWrap/>
            <w:hideMark/>
          </w:tcPr>
          <w:p w14:paraId="0726F7D7" w14:textId="3E2F5A28"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40F6674D" w14:textId="77777777" w:rsidTr="00FC0DB1">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919766E"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Buprofezin</w:t>
            </w:r>
          </w:p>
        </w:tc>
        <w:tc>
          <w:tcPr>
            <w:tcW w:w="6966" w:type="dxa"/>
            <w:noWrap/>
            <w:hideMark/>
          </w:tcPr>
          <w:p w14:paraId="60E15E95" w14:textId="316B1B4F"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ll other food</w:t>
            </w:r>
            <w:r w:rsidR="00D802B4" w:rsidRPr="00F85DCF">
              <w:rPr>
                <w:rFonts w:cs="Arial"/>
                <w:i/>
                <w:color w:val="auto"/>
                <w:sz w:val="20"/>
                <w:szCs w:val="20"/>
                <w:lang w:val="en-GB"/>
              </w:rPr>
              <w:t xml:space="preserve">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2DC6350"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E50B15E" w14:textId="27A6DE1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Carbaryl</w:t>
            </w:r>
          </w:p>
        </w:tc>
        <w:tc>
          <w:tcPr>
            <w:tcW w:w="6966" w:type="dxa"/>
            <w:noWrap/>
            <w:hideMark/>
          </w:tcPr>
          <w:p w14:paraId="68B13F75" w14:textId="35A58D9C"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196CA76E" w14:textId="77777777" w:rsidTr="00FC0DB1">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BDADEEA" w14:textId="60F04485"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Carbendazim</w:t>
            </w:r>
          </w:p>
        </w:tc>
        <w:tc>
          <w:tcPr>
            <w:tcW w:w="6966" w:type="dxa"/>
            <w:noWrap/>
            <w:hideMark/>
          </w:tcPr>
          <w:p w14:paraId="66A66B3B" w14:textId="6FD868D4"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F6021">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52D18B9F"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85FD723"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Chlorfenapyr</w:t>
            </w:r>
          </w:p>
        </w:tc>
        <w:tc>
          <w:tcPr>
            <w:tcW w:w="6966" w:type="dxa"/>
            <w:noWrap/>
            <w:hideMark/>
          </w:tcPr>
          <w:p w14:paraId="0FCD520E" w14:textId="787DFC03"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A5274A"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90FEECF" w14:textId="77777777" w:rsidTr="00FC0DB1">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BE636DE" w14:textId="10B842DC"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Chlorfenvinphos</w:t>
            </w:r>
          </w:p>
        </w:tc>
        <w:tc>
          <w:tcPr>
            <w:tcW w:w="6966" w:type="dxa"/>
            <w:noWrap/>
            <w:hideMark/>
          </w:tcPr>
          <w:p w14:paraId="59D3AFE6"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539A25C2"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3495663" w14:textId="29195020"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Chlorothalonil</w:t>
            </w:r>
          </w:p>
        </w:tc>
        <w:tc>
          <w:tcPr>
            <w:tcW w:w="6966" w:type="dxa"/>
            <w:noWrap/>
            <w:hideMark/>
          </w:tcPr>
          <w:p w14:paraId="0F83EFFB" w14:textId="43EC960E"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 xml:space="preserve">APVMA </w:t>
            </w:r>
            <w:r w:rsidR="00DA77D3" w:rsidRPr="00F85DCF">
              <w:rPr>
                <w:rFonts w:eastAsia="Times New Roman" w:cs="Arial"/>
                <w:color w:val="auto"/>
                <w:sz w:val="20"/>
                <w:szCs w:val="20"/>
                <w:lang w:val="en-GB" w:eastAsia="en-GB"/>
              </w:rPr>
              <w:t>review</w:t>
            </w:r>
            <w:r w:rsidRPr="00F85DCF">
              <w:rPr>
                <w:rFonts w:eastAsia="Times New Roman" w:cs="Arial"/>
                <w:color w:val="auto"/>
                <w:sz w:val="20"/>
                <w:szCs w:val="20"/>
                <w:lang w:val="en-GB" w:eastAsia="en-GB"/>
              </w:rPr>
              <w:t xml:space="preserve"> chemical</w:t>
            </w:r>
          </w:p>
        </w:tc>
      </w:tr>
      <w:tr w:rsidR="00C71448" w:rsidRPr="00F85DCF" w14:paraId="10AFBB95" w14:textId="77777777" w:rsidTr="00FC0DB1">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BA75872" w14:textId="31E47FB3"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Chlorpyrifos</w:t>
            </w:r>
          </w:p>
        </w:tc>
        <w:tc>
          <w:tcPr>
            <w:tcW w:w="6966" w:type="dxa"/>
            <w:noWrap/>
            <w:hideMark/>
          </w:tcPr>
          <w:p w14:paraId="3DF8E681" w14:textId="7ADF368E" w:rsidR="00C71448" w:rsidRPr="00F85DCF" w:rsidRDefault="001A33E9"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3BEBD813"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0BBF901" w14:textId="79E0199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Chlorpyrifos-Methyl</w:t>
            </w:r>
          </w:p>
        </w:tc>
        <w:tc>
          <w:tcPr>
            <w:tcW w:w="6966" w:type="dxa"/>
            <w:noWrap/>
            <w:hideMark/>
          </w:tcPr>
          <w:p w14:paraId="064C65D9" w14:textId="603CEC61" w:rsidR="00C71448" w:rsidRPr="00F85DCF" w:rsidRDefault="001A33E9"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C71448" w:rsidRPr="00F85DCF">
              <w:rPr>
                <w:rFonts w:eastAsia="Times New Roman" w:cs="Arial"/>
                <w:color w:val="auto"/>
                <w:sz w:val="20"/>
                <w:szCs w:val="20"/>
                <w:lang w:val="en-GB" w:eastAsia="en-GB"/>
              </w:rPr>
              <w:t xml:space="preserve"> </w:t>
            </w:r>
          </w:p>
        </w:tc>
      </w:tr>
      <w:tr w:rsidR="00C71448" w:rsidRPr="00F85DCF" w14:paraId="599B7381" w14:textId="77777777" w:rsidTr="00FC0DB1">
        <w:trPr>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1CD2B1D" w14:textId="2B10417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Chlorthal-Dimethyl</w:t>
            </w:r>
          </w:p>
        </w:tc>
        <w:tc>
          <w:tcPr>
            <w:tcW w:w="6966" w:type="dxa"/>
            <w:noWrap/>
            <w:hideMark/>
          </w:tcPr>
          <w:p w14:paraId="16FBEC0D" w14:textId="023BBB95"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48D35D6F" w14:textId="77777777" w:rsidTr="00FC0D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BAB1253"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Clofentezine</w:t>
            </w:r>
          </w:p>
        </w:tc>
        <w:tc>
          <w:tcPr>
            <w:tcW w:w="6966" w:type="dxa"/>
            <w:noWrap/>
            <w:hideMark/>
          </w:tcPr>
          <w:p w14:paraId="2CEADAA9" w14:textId="43F65EAA"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F6021">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640172FB"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FB45592" w14:textId="4E5FE935"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Cloquintocet-Mexyl</w:t>
            </w:r>
          </w:p>
        </w:tc>
        <w:tc>
          <w:tcPr>
            <w:tcW w:w="6966" w:type="dxa"/>
            <w:noWrap/>
            <w:hideMark/>
          </w:tcPr>
          <w:p w14:paraId="7443B19B" w14:textId="280162BE"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F6021">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37A4CB7E"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6A4E1C6" w14:textId="1956C054"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Coccidiostat </w:t>
            </w:r>
            <w:r w:rsidR="00EE7854" w:rsidRPr="00F85DCF">
              <w:rPr>
                <w:rFonts w:eastAsia="Times New Roman" w:cs="Arial"/>
                <w:b w:val="0"/>
                <w:color w:val="000000"/>
                <w:sz w:val="20"/>
                <w:szCs w:val="20"/>
                <w:lang w:val="en-GB" w:eastAsia="en-GB"/>
              </w:rPr>
              <w:t>Residues.</w:t>
            </w:r>
          </w:p>
        </w:tc>
        <w:tc>
          <w:tcPr>
            <w:tcW w:w="6966" w:type="dxa"/>
            <w:noWrap/>
            <w:hideMark/>
          </w:tcPr>
          <w:p w14:paraId="1E763390"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unsure if these are included/excluded</w:t>
            </w:r>
          </w:p>
        </w:tc>
      </w:tr>
      <w:tr w:rsidR="00C71448" w:rsidRPr="00F85DCF" w14:paraId="4250532D"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7AF6360" w14:textId="64D35948"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Cyhalothrin </w:t>
            </w:r>
          </w:p>
        </w:tc>
        <w:tc>
          <w:tcPr>
            <w:tcW w:w="6966" w:type="dxa"/>
            <w:noWrap/>
            <w:hideMark/>
          </w:tcPr>
          <w:p w14:paraId="4E843E21"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02C3A89B"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0A28D6C" w14:textId="197429C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Cyproconazole</w:t>
            </w:r>
          </w:p>
        </w:tc>
        <w:tc>
          <w:tcPr>
            <w:tcW w:w="6966" w:type="dxa"/>
            <w:noWrap/>
            <w:hideMark/>
          </w:tcPr>
          <w:p w14:paraId="47181AA9" w14:textId="6B4B3398"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631D781E"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727E24E" w14:textId="42B6BBE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lastRenderedPageBreak/>
              <w:t>Cyprodinil</w:t>
            </w:r>
          </w:p>
        </w:tc>
        <w:tc>
          <w:tcPr>
            <w:tcW w:w="6966" w:type="dxa"/>
            <w:noWrap/>
            <w:hideMark/>
          </w:tcPr>
          <w:p w14:paraId="40219352" w14:textId="29D266F0"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A2056A8"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C96141A" w14:textId="657C0D6B" w:rsidR="00C71448" w:rsidRPr="00F85DCF" w:rsidRDefault="004444C7" w:rsidP="004444C7">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DDT</w:t>
            </w:r>
          </w:p>
        </w:tc>
        <w:tc>
          <w:tcPr>
            <w:tcW w:w="6966" w:type="dxa"/>
            <w:noWrap/>
            <w:hideMark/>
          </w:tcPr>
          <w:p w14:paraId="248E174B"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C71448" w:rsidRPr="00F85DCF" w14:paraId="4B7633BC"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684639B" w14:textId="008D90CF"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Diazinon</w:t>
            </w:r>
          </w:p>
        </w:tc>
        <w:tc>
          <w:tcPr>
            <w:tcW w:w="6966" w:type="dxa"/>
            <w:noWrap/>
            <w:hideMark/>
          </w:tcPr>
          <w:p w14:paraId="5FEE13B0" w14:textId="1C453CC0"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33879ACA"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0AB8340" w14:textId="59222E4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Dichlorvos</w:t>
            </w:r>
          </w:p>
        </w:tc>
        <w:tc>
          <w:tcPr>
            <w:tcW w:w="6966" w:type="dxa"/>
            <w:noWrap/>
            <w:hideMark/>
          </w:tcPr>
          <w:p w14:paraId="1ED6DA76" w14:textId="4FE1621C" w:rsidR="00C71448"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43E2D2D5"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449FA84" w14:textId="7D3D8F0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Dicloran</w:t>
            </w:r>
          </w:p>
        </w:tc>
        <w:tc>
          <w:tcPr>
            <w:tcW w:w="6966" w:type="dxa"/>
            <w:noWrap/>
            <w:hideMark/>
          </w:tcPr>
          <w:p w14:paraId="551C9090" w14:textId="6605A9F8" w:rsidR="00C71448"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6A94E266"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FBF0C25" w14:textId="768249CC"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Dicofol</w:t>
            </w:r>
          </w:p>
        </w:tc>
        <w:tc>
          <w:tcPr>
            <w:tcW w:w="6966" w:type="dxa"/>
            <w:noWrap/>
            <w:hideMark/>
          </w:tcPr>
          <w:p w14:paraId="0F41CE52" w14:textId="14933D15"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 xml:space="preserve">APVMA </w:t>
            </w:r>
            <w:r w:rsidR="003F11E8" w:rsidRPr="00F85DCF">
              <w:rPr>
                <w:rFonts w:eastAsia="Times New Roman" w:cs="Arial"/>
                <w:color w:val="auto"/>
                <w:sz w:val="20"/>
                <w:szCs w:val="20"/>
                <w:lang w:val="en-GB" w:eastAsia="en-GB"/>
              </w:rPr>
              <w:t>review</w:t>
            </w:r>
            <w:r w:rsidRPr="00F85DCF">
              <w:rPr>
                <w:rFonts w:eastAsia="Times New Roman" w:cs="Arial"/>
                <w:color w:val="auto"/>
                <w:sz w:val="20"/>
                <w:szCs w:val="20"/>
                <w:lang w:val="en-GB" w:eastAsia="en-GB"/>
              </w:rPr>
              <w:t xml:space="preserve"> chemical</w:t>
            </w:r>
          </w:p>
        </w:tc>
      </w:tr>
      <w:tr w:rsidR="00D7195E" w:rsidRPr="00F85DCF" w14:paraId="1B65C4F7"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CBE4F40" w14:textId="25FCBBE6" w:rsidR="00D7195E" w:rsidRPr="00F85DCF" w:rsidRDefault="00D7195E"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Difenoconazole</w:t>
            </w:r>
          </w:p>
        </w:tc>
        <w:tc>
          <w:tcPr>
            <w:tcW w:w="6966" w:type="dxa"/>
            <w:noWrap/>
            <w:hideMark/>
          </w:tcPr>
          <w:p w14:paraId="5BF32F2D" w14:textId="507C8180" w:rsidR="00D7195E"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D7195E" w:rsidRPr="00F85DCF" w14:paraId="1402D94B"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A41F59F" w14:textId="6CEA95BA" w:rsidR="00D7195E" w:rsidRPr="00F85DCF" w:rsidRDefault="00D7195E"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Dimethoate</w:t>
            </w:r>
          </w:p>
        </w:tc>
        <w:tc>
          <w:tcPr>
            <w:tcW w:w="6966" w:type="dxa"/>
            <w:noWrap/>
            <w:hideMark/>
          </w:tcPr>
          <w:p w14:paraId="3F78AFF3" w14:textId="4CB804DA" w:rsidR="00D7195E"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ll othe</w:t>
            </w:r>
            <w:r w:rsidR="00D802B4" w:rsidRPr="00F85DCF">
              <w:rPr>
                <w:rFonts w:cs="Arial"/>
                <w:i/>
                <w:color w:val="auto"/>
                <w:sz w:val="20"/>
                <w:szCs w:val="20"/>
                <w:lang w:val="en-GB"/>
              </w:rPr>
              <w:t xml:space="preserve">r foods </w:t>
            </w:r>
            <w:r w:rsidR="0003601D" w:rsidRPr="00F85DCF">
              <w:rPr>
                <w:rFonts w:cs="Arial"/>
                <w:i/>
                <w:color w:val="auto"/>
                <w:sz w:val="20"/>
                <w:szCs w:val="20"/>
                <w:lang w:val="en-GB"/>
              </w:rPr>
              <w:t xml:space="preserve">except animal </w:t>
            </w:r>
            <w:r w:rsidR="00FC2290">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D7195E" w:rsidRPr="00F85DCF" w14:paraId="07A9F512"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C56C7D2" w14:textId="67989155" w:rsidR="00D7195E" w:rsidRPr="00F85DCF" w:rsidRDefault="00D7195E"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Dimethomorph</w:t>
            </w:r>
          </w:p>
        </w:tc>
        <w:tc>
          <w:tcPr>
            <w:tcW w:w="6966" w:type="dxa"/>
            <w:noWrap/>
            <w:hideMark/>
          </w:tcPr>
          <w:p w14:paraId="383C9842" w14:textId="610A6712" w:rsidR="00D7195E" w:rsidRPr="00F85DCF" w:rsidRDefault="00D7195E"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D7195E" w:rsidRPr="00F85DCF" w14:paraId="0AD22EA8"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2B65E5" w14:textId="174A822E" w:rsidR="00D7195E" w:rsidRPr="00F85DCF" w:rsidRDefault="00D7195E"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Diphenylamine</w:t>
            </w:r>
          </w:p>
        </w:tc>
        <w:tc>
          <w:tcPr>
            <w:tcW w:w="6966" w:type="dxa"/>
            <w:noWrap/>
            <w:hideMark/>
          </w:tcPr>
          <w:p w14:paraId="01F0B812" w14:textId="2DEDF916" w:rsidR="00D7195E" w:rsidRPr="00F85DCF" w:rsidRDefault="00D7195E"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95D7465"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C54ABA4" w14:textId="250B184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Disulfoton</w:t>
            </w:r>
          </w:p>
        </w:tc>
        <w:tc>
          <w:tcPr>
            <w:tcW w:w="6966" w:type="dxa"/>
            <w:noWrap/>
            <w:hideMark/>
          </w:tcPr>
          <w:p w14:paraId="17497D6D" w14:textId="273860BA"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0608E422"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1473091" w14:textId="2D25472F"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Diuron </w:t>
            </w:r>
          </w:p>
        </w:tc>
        <w:tc>
          <w:tcPr>
            <w:tcW w:w="6966" w:type="dxa"/>
            <w:noWrap/>
            <w:hideMark/>
          </w:tcPr>
          <w:p w14:paraId="731EF779" w14:textId="4D41C621"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8A5B842"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24938B" w14:textId="5519DF61"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Endosulfan</w:t>
            </w:r>
          </w:p>
        </w:tc>
        <w:tc>
          <w:tcPr>
            <w:tcW w:w="6966" w:type="dxa"/>
            <w:noWrap/>
            <w:hideMark/>
          </w:tcPr>
          <w:p w14:paraId="7C3CEEE5" w14:textId="35F0B00F"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D7F2982"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89A9991" w14:textId="50E9FBF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Endrin</w:t>
            </w:r>
          </w:p>
        </w:tc>
        <w:tc>
          <w:tcPr>
            <w:tcW w:w="6966" w:type="dxa"/>
            <w:noWrap/>
            <w:hideMark/>
          </w:tcPr>
          <w:p w14:paraId="7E01FE21" w14:textId="38E38448" w:rsidR="00C71448" w:rsidRPr="00F85DCF" w:rsidRDefault="001A33E9" w:rsidP="00C92F4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 dietary exposure  &gt;80% ADI</w:t>
            </w:r>
            <w:r w:rsidRPr="00F85DCF" w:rsidDel="003F11E8">
              <w:rPr>
                <w:rFonts w:eastAsia="Times New Roman" w:cs="Arial"/>
                <w:color w:val="auto"/>
                <w:sz w:val="20"/>
                <w:szCs w:val="20"/>
                <w:lang w:val="en-GB" w:eastAsia="en-GB"/>
              </w:rPr>
              <w:t xml:space="preserve"> </w:t>
            </w:r>
            <w:r w:rsidR="00C71448" w:rsidRPr="00F85DCF">
              <w:rPr>
                <w:rFonts w:eastAsia="Times New Roman" w:cs="Arial"/>
                <w:color w:val="auto"/>
                <w:sz w:val="20"/>
                <w:szCs w:val="20"/>
                <w:lang w:val="en-GB" w:eastAsia="en-GB"/>
              </w:rPr>
              <w:t>Schedule 7 Poison</w:t>
            </w:r>
          </w:p>
        </w:tc>
      </w:tr>
      <w:tr w:rsidR="00C71448" w:rsidRPr="00F85DCF" w14:paraId="21CB9EB6"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2681AE6"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Ethion</w:t>
            </w:r>
          </w:p>
        </w:tc>
        <w:tc>
          <w:tcPr>
            <w:tcW w:w="6966" w:type="dxa"/>
            <w:noWrap/>
            <w:hideMark/>
          </w:tcPr>
          <w:p w14:paraId="6EDCA5A5"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0350761A"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B946896"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Ethoprophos</w:t>
            </w:r>
          </w:p>
        </w:tc>
        <w:tc>
          <w:tcPr>
            <w:tcW w:w="6966" w:type="dxa"/>
            <w:noWrap/>
            <w:hideMark/>
          </w:tcPr>
          <w:p w14:paraId="277D0C60" w14:textId="1E2A9666" w:rsidR="00C71448"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5D2B887F"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0CF71E7" w14:textId="6B4D0EA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Fenamiphos</w:t>
            </w:r>
          </w:p>
        </w:tc>
        <w:tc>
          <w:tcPr>
            <w:tcW w:w="6966" w:type="dxa"/>
            <w:noWrap/>
            <w:hideMark/>
          </w:tcPr>
          <w:p w14:paraId="71517612" w14:textId="0B56874A"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693172E5"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A2068FE" w14:textId="2EF8285F"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Fenarimol</w:t>
            </w:r>
          </w:p>
        </w:tc>
        <w:tc>
          <w:tcPr>
            <w:tcW w:w="6966" w:type="dxa"/>
            <w:noWrap/>
            <w:hideMark/>
          </w:tcPr>
          <w:p w14:paraId="7868D7F3" w14:textId="23BF9DDD" w:rsidR="00C71448"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17501DF0"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AD271CE" w14:textId="6398424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Fenitrothion</w:t>
            </w:r>
          </w:p>
        </w:tc>
        <w:tc>
          <w:tcPr>
            <w:tcW w:w="6966" w:type="dxa"/>
            <w:noWrap/>
            <w:hideMark/>
          </w:tcPr>
          <w:p w14:paraId="7664E272" w14:textId="11508E5E" w:rsidR="00C71448" w:rsidRPr="00F85DCF" w:rsidRDefault="003F11E8"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 dietary exposure &gt;80% ADI</w:t>
            </w:r>
            <w:r w:rsidRPr="00F85DCF" w:rsidDel="003F11E8">
              <w:rPr>
                <w:rFonts w:eastAsia="Times New Roman" w:cs="Arial"/>
                <w:color w:val="auto"/>
                <w:sz w:val="20"/>
                <w:szCs w:val="20"/>
                <w:lang w:val="en-GB" w:eastAsia="en-GB"/>
              </w:rPr>
              <w:t xml:space="preserve"> </w:t>
            </w:r>
          </w:p>
        </w:tc>
      </w:tr>
      <w:tr w:rsidR="00B0752F" w:rsidRPr="00F85DCF" w14:paraId="7B1813B8"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79930AA" w14:textId="493676D7"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Fenoxycarb</w:t>
            </w:r>
          </w:p>
        </w:tc>
        <w:tc>
          <w:tcPr>
            <w:tcW w:w="6966" w:type="dxa"/>
            <w:noWrap/>
            <w:hideMark/>
          </w:tcPr>
          <w:p w14:paraId="4AECD79A" w14:textId="1E72D16A"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0FB32D22"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5B985CF" w14:textId="3943DC8B"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Fenpyroximate</w:t>
            </w:r>
          </w:p>
        </w:tc>
        <w:tc>
          <w:tcPr>
            <w:tcW w:w="6966" w:type="dxa"/>
            <w:noWrap/>
            <w:hideMark/>
          </w:tcPr>
          <w:p w14:paraId="194F3BBB" w14:textId="350E28E7"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691CA6D"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7D72DAB" w14:textId="2A56617C"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Fenthion</w:t>
            </w:r>
          </w:p>
        </w:tc>
        <w:tc>
          <w:tcPr>
            <w:tcW w:w="6966" w:type="dxa"/>
            <w:noWrap/>
            <w:hideMark/>
          </w:tcPr>
          <w:p w14:paraId="44FFDB6D" w14:textId="16A148C5"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39CF943B"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20F8BAB" w14:textId="7F5A97CB"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Fenvalerate </w:t>
            </w:r>
          </w:p>
        </w:tc>
        <w:tc>
          <w:tcPr>
            <w:tcW w:w="6966" w:type="dxa"/>
            <w:noWrap/>
            <w:hideMark/>
          </w:tcPr>
          <w:p w14:paraId="696DF151" w14:textId="6C3B029A"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77F1B9E5"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B76732C" w14:textId="732CF8C4"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Fipronil</w:t>
            </w:r>
          </w:p>
        </w:tc>
        <w:tc>
          <w:tcPr>
            <w:tcW w:w="6966" w:type="dxa"/>
            <w:noWrap/>
            <w:hideMark/>
          </w:tcPr>
          <w:p w14:paraId="3A2D53B9" w14:textId="4D230B64"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0BAA731D"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8C657C2" w14:textId="409F2401"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Flusilazole</w:t>
            </w:r>
          </w:p>
        </w:tc>
        <w:tc>
          <w:tcPr>
            <w:tcW w:w="6966" w:type="dxa"/>
            <w:noWrap/>
            <w:hideMark/>
          </w:tcPr>
          <w:p w14:paraId="5C217C4D" w14:textId="7651C25C"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3169B396"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50ECA8C" w14:textId="73CABB42"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lastRenderedPageBreak/>
              <w:t>Fluvalinate</w:t>
            </w:r>
          </w:p>
        </w:tc>
        <w:tc>
          <w:tcPr>
            <w:tcW w:w="6966" w:type="dxa"/>
            <w:noWrap/>
            <w:hideMark/>
          </w:tcPr>
          <w:p w14:paraId="437D1A60" w14:textId="111D3BDE"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36719228"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61E4217" w14:textId="711418E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Haloxyfop</w:t>
            </w:r>
          </w:p>
        </w:tc>
        <w:tc>
          <w:tcPr>
            <w:tcW w:w="6966" w:type="dxa"/>
            <w:noWrap/>
            <w:hideMark/>
          </w:tcPr>
          <w:p w14:paraId="51DA1557" w14:textId="273C4B60" w:rsidR="00C71448"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36136EE"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E00E36B" w14:textId="0777D190"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HCB </w:t>
            </w:r>
            <w:r w:rsidR="00EE7854" w:rsidRPr="00F85DCF">
              <w:rPr>
                <w:rFonts w:eastAsia="Times New Roman" w:cs="Arial"/>
                <w:b w:val="0"/>
                <w:color w:val="000000"/>
                <w:sz w:val="20"/>
                <w:szCs w:val="20"/>
                <w:lang w:val="en-GB" w:eastAsia="en-GB"/>
              </w:rPr>
              <w:t>(Hexachlorobenzene)</w:t>
            </w:r>
          </w:p>
        </w:tc>
        <w:tc>
          <w:tcPr>
            <w:tcW w:w="6966" w:type="dxa"/>
            <w:noWrap/>
            <w:hideMark/>
          </w:tcPr>
          <w:p w14:paraId="43216660"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C71448" w:rsidRPr="00F85DCF" w14:paraId="5B94F3B8"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385424B" w14:textId="4E07A0E0"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Hch (Bhc)</w:t>
            </w:r>
          </w:p>
        </w:tc>
        <w:tc>
          <w:tcPr>
            <w:tcW w:w="6966" w:type="dxa"/>
            <w:noWrap/>
            <w:hideMark/>
          </w:tcPr>
          <w:p w14:paraId="5A4D1E6C"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C71448" w:rsidRPr="00F85DCF" w14:paraId="38012B9E"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C56B58D" w14:textId="22EAFA6C"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Heptachlor</w:t>
            </w:r>
          </w:p>
        </w:tc>
        <w:tc>
          <w:tcPr>
            <w:tcW w:w="6966" w:type="dxa"/>
            <w:noWrap/>
            <w:hideMark/>
          </w:tcPr>
          <w:p w14:paraId="257FEF04"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ERL</w:t>
            </w:r>
          </w:p>
        </w:tc>
      </w:tr>
      <w:tr w:rsidR="00B0752F" w:rsidRPr="00F85DCF" w14:paraId="4ACFAAE1"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FF32AF6" w14:textId="2DA6693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Hexaconazole</w:t>
            </w:r>
          </w:p>
        </w:tc>
        <w:tc>
          <w:tcPr>
            <w:tcW w:w="6966" w:type="dxa"/>
            <w:noWrap/>
            <w:hideMark/>
          </w:tcPr>
          <w:p w14:paraId="4EC3DBAF" w14:textId="5593FDB2"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D2B9E95"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BDB5F92" w14:textId="28D87270"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Hexythiazox</w:t>
            </w:r>
          </w:p>
        </w:tc>
        <w:tc>
          <w:tcPr>
            <w:tcW w:w="6966" w:type="dxa"/>
            <w:noWrap/>
            <w:hideMark/>
          </w:tcPr>
          <w:p w14:paraId="49EE11BF" w14:textId="0722FEE0"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5B4AD60D"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D6F9DF0" w14:textId="458E19EA"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Imazalil</w:t>
            </w:r>
          </w:p>
        </w:tc>
        <w:tc>
          <w:tcPr>
            <w:tcW w:w="6966" w:type="dxa"/>
            <w:noWrap/>
            <w:hideMark/>
          </w:tcPr>
          <w:p w14:paraId="5E0AB190" w14:textId="713756E8"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3602D428"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1028A69" w14:textId="45ED4745"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Indoxacarb</w:t>
            </w:r>
          </w:p>
        </w:tc>
        <w:tc>
          <w:tcPr>
            <w:tcW w:w="6966" w:type="dxa"/>
            <w:noWrap/>
            <w:hideMark/>
          </w:tcPr>
          <w:p w14:paraId="3984C83E" w14:textId="1D47A748"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except animal</w:t>
            </w:r>
            <w:r w:rsidR="00FF2EE3">
              <w:rPr>
                <w:rFonts w:cs="Arial"/>
                <w:i/>
                <w:color w:val="auto"/>
                <w:sz w:val="20"/>
                <w:szCs w:val="20"/>
                <w:lang w:val="en-GB"/>
              </w:rPr>
              <w:t xml:space="preserve"> food</w:t>
            </w:r>
            <w:r w:rsidR="0003601D" w:rsidRPr="00F85DCF">
              <w:rPr>
                <w:rFonts w:cs="Arial"/>
                <w:i/>
                <w:color w:val="auto"/>
                <w:sz w:val="20"/>
                <w:szCs w:val="20"/>
                <w:lang w:val="en-GB"/>
              </w:rPr>
              <w:t xml:space="preserve">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00E39D65"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C4E0FFF"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Isoprothiolane</w:t>
            </w:r>
          </w:p>
        </w:tc>
        <w:tc>
          <w:tcPr>
            <w:tcW w:w="6966" w:type="dxa"/>
            <w:noWrap/>
            <w:hideMark/>
          </w:tcPr>
          <w:p w14:paraId="59C8A15F"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not listed in Schedule 1 of 1.4.2</w:t>
            </w:r>
          </w:p>
        </w:tc>
      </w:tr>
      <w:tr w:rsidR="00B0752F" w:rsidRPr="00F85DCF" w14:paraId="0ADD72FF"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719E40A" w14:textId="42E3E6F0" w:rsidR="00B0752F" w:rsidRPr="00F85DCF" w:rsidRDefault="0013481C"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Kresoxim</w:t>
            </w:r>
            <w:r w:rsidR="00B0752F" w:rsidRPr="00F85DCF">
              <w:rPr>
                <w:rFonts w:eastAsia="Times New Roman" w:cs="Arial"/>
                <w:b w:val="0"/>
                <w:color w:val="000000"/>
                <w:sz w:val="20"/>
                <w:szCs w:val="20"/>
                <w:lang w:val="en-GB" w:eastAsia="en-GB"/>
              </w:rPr>
              <w:t>-Methyl</w:t>
            </w:r>
          </w:p>
        </w:tc>
        <w:tc>
          <w:tcPr>
            <w:tcW w:w="6966" w:type="dxa"/>
            <w:noWrap/>
            <w:hideMark/>
          </w:tcPr>
          <w:p w14:paraId="774E1DE3" w14:textId="6E1AA627"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34679A5"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C9158E8" w14:textId="6E9C0C2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Lindane</w:t>
            </w:r>
          </w:p>
        </w:tc>
        <w:tc>
          <w:tcPr>
            <w:tcW w:w="6966" w:type="dxa"/>
            <w:noWrap/>
            <w:hideMark/>
          </w:tcPr>
          <w:p w14:paraId="1F0CA5EF" w14:textId="226B79ED"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3BF2D9DE"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1B59526" w14:textId="45CB3CF5"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Linuron</w:t>
            </w:r>
          </w:p>
        </w:tc>
        <w:tc>
          <w:tcPr>
            <w:tcW w:w="6966" w:type="dxa"/>
            <w:noWrap/>
            <w:hideMark/>
          </w:tcPr>
          <w:p w14:paraId="2E277CFE" w14:textId="72B2E4CF"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except animal</w:t>
            </w:r>
            <w:r w:rsidR="00FF2EE3">
              <w:rPr>
                <w:rFonts w:cs="Arial"/>
                <w:i/>
                <w:color w:val="auto"/>
                <w:sz w:val="20"/>
                <w:szCs w:val="20"/>
                <w:lang w:val="en-GB"/>
              </w:rPr>
              <w:t xml:space="preserve"> food</w:t>
            </w:r>
            <w:r w:rsidR="0003601D" w:rsidRPr="00F85DCF">
              <w:rPr>
                <w:rFonts w:cs="Arial"/>
                <w:i/>
                <w:color w:val="auto"/>
                <w:sz w:val="20"/>
                <w:szCs w:val="20"/>
                <w:lang w:val="en-GB"/>
              </w:rPr>
              <w:t xml:space="preserve">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6B28923B"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E9CEFF7" w14:textId="0E1BE055" w:rsidR="00B0752F" w:rsidRPr="00F85DCF" w:rsidRDefault="00B0752F" w:rsidP="00C22088">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Malathion (Listed In FSC as Maldison)</w:t>
            </w:r>
          </w:p>
        </w:tc>
        <w:tc>
          <w:tcPr>
            <w:tcW w:w="6966" w:type="dxa"/>
            <w:noWrap/>
            <w:hideMark/>
          </w:tcPr>
          <w:p w14:paraId="15AEBA2A" w14:textId="63ECCE2B"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7BF53353"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E7ECB63" w14:textId="246CB024"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Metalaxyl</w:t>
            </w:r>
          </w:p>
        </w:tc>
        <w:tc>
          <w:tcPr>
            <w:tcW w:w="6966" w:type="dxa"/>
            <w:noWrap/>
            <w:hideMark/>
          </w:tcPr>
          <w:p w14:paraId="314D424C" w14:textId="6A164C78"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37AFCD91"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8BEEF91" w14:textId="4BA9F1CB"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Methamidophos</w:t>
            </w:r>
          </w:p>
        </w:tc>
        <w:tc>
          <w:tcPr>
            <w:tcW w:w="6966" w:type="dxa"/>
            <w:noWrap/>
            <w:hideMark/>
          </w:tcPr>
          <w:p w14:paraId="1FF93D42" w14:textId="5A7263AB"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0BBD715A"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E6DFD2E" w14:textId="17B630A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Methidathion</w:t>
            </w:r>
          </w:p>
        </w:tc>
        <w:tc>
          <w:tcPr>
            <w:tcW w:w="6966" w:type="dxa"/>
            <w:noWrap/>
            <w:hideMark/>
          </w:tcPr>
          <w:p w14:paraId="0C96AED2"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2FBD44B8"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578D856" w14:textId="5DB9DCBD"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Mevinphos</w:t>
            </w:r>
          </w:p>
        </w:tc>
        <w:tc>
          <w:tcPr>
            <w:tcW w:w="6966" w:type="dxa"/>
            <w:noWrap/>
            <w:hideMark/>
          </w:tcPr>
          <w:p w14:paraId="48102DE3" w14:textId="716687D0" w:rsidR="00C71448" w:rsidRPr="00F85DCF" w:rsidRDefault="001A33E9"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C71448" w:rsidRPr="00F85DCF">
              <w:rPr>
                <w:rFonts w:eastAsia="Times New Roman" w:cs="Arial"/>
                <w:color w:val="auto"/>
                <w:sz w:val="20"/>
                <w:szCs w:val="20"/>
                <w:lang w:val="en-GB" w:eastAsia="en-GB"/>
              </w:rPr>
              <w:t xml:space="preserve"> Schedule 7 Poison</w:t>
            </w:r>
          </w:p>
        </w:tc>
      </w:tr>
      <w:tr w:rsidR="00B0752F" w:rsidRPr="00F85DCF" w14:paraId="23BA546C"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B0205DD" w14:textId="09F0A16A"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Milbemectin</w:t>
            </w:r>
          </w:p>
        </w:tc>
        <w:tc>
          <w:tcPr>
            <w:tcW w:w="6966" w:type="dxa"/>
            <w:noWrap/>
            <w:hideMark/>
          </w:tcPr>
          <w:p w14:paraId="67A7998B" w14:textId="0A661F88"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05452A84"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E456E6E" w14:textId="5150DED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Monensin (LOQ=1)</w:t>
            </w:r>
          </w:p>
        </w:tc>
        <w:tc>
          <w:tcPr>
            <w:tcW w:w="6966" w:type="dxa"/>
            <w:noWrap/>
            <w:hideMark/>
          </w:tcPr>
          <w:p w14:paraId="08AA3879" w14:textId="0ACAF46B"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D802B4"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1E29EDD"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97CB20A" w14:textId="6589C5B0"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Monocrotophos</w:t>
            </w:r>
          </w:p>
        </w:tc>
        <w:tc>
          <w:tcPr>
            <w:tcW w:w="6966" w:type="dxa"/>
            <w:noWrap/>
            <w:hideMark/>
          </w:tcPr>
          <w:p w14:paraId="4FC70A4A" w14:textId="05751799" w:rsidR="00C71448" w:rsidRPr="00F85DCF" w:rsidRDefault="001A33E9" w:rsidP="00C92F4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r w:rsidR="00C71448" w:rsidRPr="00F85DCF">
              <w:rPr>
                <w:rFonts w:eastAsia="Times New Roman" w:cs="Arial"/>
                <w:color w:val="auto"/>
                <w:sz w:val="20"/>
                <w:szCs w:val="20"/>
                <w:lang w:val="en-GB" w:eastAsia="en-GB"/>
              </w:rPr>
              <w:t>Schedule 7 Poison</w:t>
            </w:r>
          </w:p>
        </w:tc>
      </w:tr>
      <w:tr w:rsidR="00B0752F" w:rsidRPr="00F85DCF" w14:paraId="33006210"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DF53FEE" w14:textId="39095D1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Myclobutanil</w:t>
            </w:r>
          </w:p>
        </w:tc>
        <w:tc>
          <w:tcPr>
            <w:tcW w:w="6966" w:type="dxa"/>
            <w:noWrap/>
            <w:hideMark/>
          </w:tcPr>
          <w:p w14:paraId="14A2576B" w14:textId="4B117E7B"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1B684556"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0BED083" w14:textId="07D2BD72"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Nicarbazin (LOQ=10)</w:t>
            </w:r>
          </w:p>
        </w:tc>
        <w:tc>
          <w:tcPr>
            <w:tcW w:w="6966" w:type="dxa"/>
            <w:noWrap/>
            <w:hideMark/>
          </w:tcPr>
          <w:p w14:paraId="2351FD1F" w14:textId="16064E40"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BA83605"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A38BB21" w14:textId="01737172"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Ortho-</w:t>
            </w:r>
            <w:r w:rsidR="00C71448" w:rsidRPr="00F85DCF">
              <w:rPr>
                <w:rFonts w:eastAsia="Times New Roman" w:cs="Arial"/>
                <w:b w:val="0"/>
                <w:color w:val="000000"/>
                <w:sz w:val="20"/>
                <w:szCs w:val="20"/>
                <w:lang w:val="en-GB" w:eastAsia="en-GB"/>
              </w:rPr>
              <w:t>Phenylphenol</w:t>
            </w:r>
          </w:p>
        </w:tc>
        <w:tc>
          <w:tcPr>
            <w:tcW w:w="6966" w:type="dxa"/>
            <w:noWrap/>
            <w:hideMark/>
          </w:tcPr>
          <w:p w14:paraId="3D6F8E05"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see 2-phenylphenol</w:t>
            </w:r>
          </w:p>
        </w:tc>
      </w:tr>
      <w:tr w:rsidR="00B0752F" w:rsidRPr="00F85DCF" w14:paraId="6582EB0F"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F2D66B5" w14:textId="77777777"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Oxadixyl</w:t>
            </w:r>
          </w:p>
        </w:tc>
        <w:tc>
          <w:tcPr>
            <w:tcW w:w="6966" w:type="dxa"/>
            <w:noWrap/>
            <w:hideMark/>
          </w:tcPr>
          <w:p w14:paraId="0BCA2891" w14:textId="48AA05ED"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7011245A"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A809AFA" w14:textId="0C7F6BFD"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lastRenderedPageBreak/>
              <w:t>Oxyfluorfen</w:t>
            </w:r>
          </w:p>
        </w:tc>
        <w:tc>
          <w:tcPr>
            <w:tcW w:w="6966" w:type="dxa"/>
            <w:noWrap/>
            <w:hideMark/>
          </w:tcPr>
          <w:p w14:paraId="62C664AD" w14:textId="11A00D21"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BE38B11"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CAC72ED" w14:textId="38AB3E8F"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Paclobutrazol</w:t>
            </w:r>
          </w:p>
        </w:tc>
        <w:tc>
          <w:tcPr>
            <w:tcW w:w="6966" w:type="dxa"/>
            <w:noWrap/>
            <w:hideMark/>
          </w:tcPr>
          <w:p w14:paraId="5EC1CD08" w14:textId="489BF7B4"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CB34EBB"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35AD8E0" w14:textId="3763129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Parathion-Ethyl</w:t>
            </w:r>
          </w:p>
        </w:tc>
        <w:tc>
          <w:tcPr>
            <w:tcW w:w="6966" w:type="dxa"/>
            <w:noWrap/>
            <w:hideMark/>
          </w:tcPr>
          <w:p w14:paraId="7F3EF112" w14:textId="781704BF"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C71448" w:rsidRPr="00F85DCF" w14:paraId="32F8FCC2"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5E013E7" w14:textId="42946A68"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Parathion-Methyl</w:t>
            </w:r>
          </w:p>
        </w:tc>
        <w:tc>
          <w:tcPr>
            <w:tcW w:w="6966" w:type="dxa"/>
            <w:noWrap/>
            <w:hideMark/>
          </w:tcPr>
          <w:p w14:paraId="3068790F" w14:textId="261E0E1F" w:rsidR="00C71448" w:rsidRPr="00F85DCF" w:rsidRDefault="001A33E9" w:rsidP="00C92F4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2371039A"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5055CD2" w14:textId="1C90E8DE"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Penconazole</w:t>
            </w:r>
          </w:p>
        </w:tc>
        <w:tc>
          <w:tcPr>
            <w:tcW w:w="6966" w:type="dxa"/>
            <w:noWrap/>
            <w:hideMark/>
          </w:tcPr>
          <w:p w14:paraId="09C69C90" w14:textId="080B79E8"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653BE954"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1A3E2C4" w14:textId="4EDC5AB6"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Pendimethalin</w:t>
            </w:r>
          </w:p>
        </w:tc>
        <w:tc>
          <w:tcPr>
            <w:tcW w:w="6966" w:type="dxa"/>
            <w:noWrap/>
            <w:hideMark/>
          </w:tcPr>
          <w:p w14:paraId="473F5F68" w14:textId="208F7BA6"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665FB67D"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A5B09C0" w14:textId="45860CC2"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Permethrin </w:t>
            </w:r>
          </w:p>
        </w:tc>
        <w:tc>
          <w:tcPr>
            <w:tcW w:w="6966" w:type="dxa"/>
            <w:noWrap/>
            <w:hideMark/>
          </w:tcPr>
          <w:p w14:paraId="5191EDE1" w14:textId="44ABBB05" w:rsidR="00B0752F" w:rsidRPr="00F85DCF" w:rsidRDefault="00B0752F" w:rsidP="00F76C8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7B100BC"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0E8CCE1" w14:textId="3462D27E"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Phenothrin</w:t>
            </w:r>
          </w:p>
        </w:tc>
        <w:tc>
          <w:tcPr>
            <w:tcW w:w="6966" w:type="dxa"/>
            <w:noWrap/>
            <w:hideMark/>
          </w:tcPr>
          <w:p w14:paraId="7E0883B0" w14:textId="4441EAE6"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4E9F9287"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C75ECA9" w14:textId="71169DCE"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 xml:space="preserve">Phorate </w:t>
            </w:r>
          </w:p>
        </w:tc>
        <w:tc>
          <w:tcPr>
            <w:tcW w:w="6966" w:type="dxa"/>
            <w:noWrap/>
            <w:hideMark/>
          </w:tcPr>
          <w:p w14:paraId="6304EA5B"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B0752F" w:rsidRPr="00F85DCF" w14:paraId="3A1A7B38"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AC52D58" w14:textId="1D5DD266"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Phosmet</w:t>
            </w:r>
          </w:p>
        </w:tc>
        <w:tc>
          <w:tcPr>
            <w:tcW w:w="6966" w:type="dxa"/>
            <w:noWrap/>
            <w:hideMark/>
          </w:tcPr>
          <w:p w14:paraId="59695CD0" w14:textId="4C563F38" w:rsidR="00B0752F" w:rsidRPr="00F85DCF" w:rsidRDefault="00B0752F" w:rsidP="00F76C8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F76C87" w:rsidRPr="00F85DCF">
              <w:rPr>
                <w:rFonts w:cs="Arial"/>
                <w:i/>
                <w:color w:val="auto"/>
                <w:sz w:val="20"/>
                <w:szCs w:val="20"/>
                <w:lang w:val="en-GB"/>
              </w:rPr>
              <w:t>A</w:t>
            </w:r>
            <w:r w:rsidR="0003601D" w:rsidRPr="00F85DCF">
              <w:rPr>
                <w:rFonts w:cs="Arial"/>
                <w:i/>
                <w:color w:val="auto"/>
                <w:sz w:val="20"/>
                <w:szCs w:val="20"/>
                <w:lang w:val="en-GB"/>
              </w:rPr>
              <w:t>ll ot</w:t>
            </w:r>
            <w:r w:rsidR="00E23B23" w:rsidRPr="00F85DCF">
              <w:rPr>
                <w:rFonts w:cs="Arial"/>
                <w:i/>
                <w:color w:val="auto"/>
                <w:sz w:val="20"/>
                <w:szCs w:val="20"/>
                <w:lang w:val="en-GB"/>
              </w:rPr>
              <w:t xml:space="preserve">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1D3BF52D"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4F5DD26" w14:textId="1E86E8A3"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Piperonyl-Butoxide</w:t>
            </w:r>
          </w:p>
        </w:tc>
        <w:tc>
          <w:tcPr>
            <w:tcW w:w="6966" w:type="dxa"/>
            <w:noWrap/>
            <w:hideMark/>
          </w:tcPr>
          <w:p w14:paraId="0731D16D" w14:textId="0610D4AD" w:rsidR="00B0752F" w:rsidRPr="00F85DCF" w:rsidRDefault="00B0752F" w:rsidP="00446669">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EAD1F8A"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0398A21" w14:textId="27891295"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Pirimicarb</w:t>
            </w:r>
          </w:p>
        </w:tc>
        <w:tc>
          <w:tcPr>
            <w:tcW w:w="6966" w:type="dxa"/>
            <w:noWrap/>
            <w:hideMark/>
          </w:tcPr>
          <w:p w14:paraId="5A74D21A" w14:textId="0E228E09" w:rsidR="00B0752F"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5837E3F"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29FC0C8" w14:textId="5671863A"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Pirimiphos-Methyl</w:t>
            </w:r>
          </w:p>
        </w:tc>
        <w:tc>
          <w:tcPr>
            <w:tcW w:w="6966" w:type="dxa"/>
            <w:noWrap/>
            <w:hideMark/>
          </w:tcPr>
          <w:p w14:paraId="25B395B8" w14:textId="6A1082F7"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C71448" w:rsidRPr="00F85DCF">
              <w:rPr>
                <w:rFonts w:eastAsia="Times New Roman" w:cs="Arial"/>
                <w:color w:val="auto"/>
                <w:sz w:val="20"/>
                <w:szCs w:val="20"/>
                <w:lang w:val="en-GB" w:eastAsia="en-GB"/>
              </w:rPr>
              <w:t xml:space="preserve"> </w:t>
            </w:r>
          </w:p>
        </w:tc>
      </w:tr>
      <w:tr w:rsidR="00C71448" w:rsidRPr="00F85DCF" w14:paraId="3C442E40"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08F1EE3" w14:textId="4FED9907"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Prochloraz</w:t>
            </w:r>
          </w:p>
        </w:tc>
        <w:tc>
          <w:tcPr>
            <w:tcW w:w="6966" w:type="dxa"/>
            <w:noWrap/>
            <w:hideMark/>
          </w:tcPr>
          <w:p w14:paraId="1DA0C8CD" w14:textId="377F6498" w:rsidR="00C71448"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0E026E85"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AF158F" w14:textId="53A87AEF"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Procymidone</w:t>
            </w:r>
          </w:p>
        </w:tc>
        <w:tc>
          <w:tcPr>
            <w:tcW w:w="6966" w:type="dxa"/>
            <w:noWrap/>
            <w:hideMark/>
          </w:tcPr>
          <w:p w14:paraId="3DDACD4A"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2160E131"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E56A79B" w14:textId="187351C3"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Profenofos</w:t>
            </w:r>
          </w:p>
        </w:tc>
        <w:tc>
          <w:tcPr>
            <w:tcW w:w="6966" w:type="dxa"/>
            <w:noWrap/>
            <w:hideMark/>
          </w:tcPr>
          <w:p w14:paraId="2D689D22" w14:textId="22CE03CD" w:rsidR="00C71448"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23B23" w:rsidRPr="00F85DCF">
              <w:rPr>
                <w:rFonts w:cs="Arial"/>
                <w:i/>
                <w:color w:val="auto"/>
                <w:sz w:val="20"/>
                <w:szCs w:val="20"/>
                <w:lang w:val="en-GB"/>
              </w:rPr>
              <w:t xml:space="preserve">ll other foods </w:t>
            </w:r>
            <w:r w:rsidR="0003601D" w:rsidRPr="00F85DCF">
              <w:rPr>
                <w:rFonts w:cs="Arial"/>
                <w:i/>
                <w:color w:val="auto"/>
                <w:sz w:val="20"/>
                <w:szCs w:val="20"/>
                <w:lang w:val="en-GB"/>
              </w:rPr>
              <w:t>except animal</w:t>
            </w:r>
            <w:r w:rsidR="00FF2EE3">
              <w:rPr>
                <w:rFonts w:cs="Arial"/>
                <w:i/>
                <w:color w:val="auto"/>
                <w:sz w:val="20"/>
                <w:szCs w:val="20"/>
                <w:lang w:val="en-GB"/>
              </w:rPr>
              <w:t xml:space="preserve"> food</w:t>
            </w:r>
            <w:r w:rsidR="0003601D" w:rsidRPr="00F85DCF">
              <w:rPr>
                <w:rFonts w:cs="Arial"/>
                <w:i/>
                <w:color w:val="auto"/>
                <w:sz w:val="20"/>
                <w:szCs w:val="20"/>
                <w:lang w:val="en-GB"/>
              </w:rPr>
              <w:t xml:space="preserve">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1E42B533"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CABE55A" w14:textId="76E1480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Propargite</w:t>
            </w:r>
          </w:p>
        </w:tc>
        <w:tc>
          <w:tcPr>
            <w:tcW w:w="6966" w:type="dxa"/>
            <w:noWrap/>
            <w:hideMark/>
          </w:tcPr>
          <w:p w14:paraId="098A6B4A" w14:textId="167D376B" w:rsidR="00C71448" w:rsidRPr="00F85DCF" w:rsidRDefault="001A33E9" w:rsidP="00C92F4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71B7EA6F"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002E2BAA" w14:textId="61E24580"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Propiconazole</w:t>
            </w:r>
          </w:p>
        </w:tc>
        <w:tc>
          <w:tcPr>
            <w:tcW w:w="6966" w:type="dxa"/>
            <w:noWrap/>
            <w:hideMark/>
          </w:tcPr>
          <w:p w14:paraId="064DCCD6" w14:textId="262EF40C" w:rsidR="00B0752F"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DAE63BB"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7A9917B" w14:textId="1B82B964"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Prothioconazole</w:t>
            </w:r>
          </w:p>
        </w:tc>
        <w:tc>
          <w:tcPr>
            <w:tcW w:w="6966" w:type="dxa"/>
            <w:noWrap/>
            <w:hideMark/>
          </w:tcPr>
          <w:p w14:paraId="7F3EF79E" w14:textId="4CE9C324" w:rsidR="00B0752F" w:rsidRPr="00F85DCF" w:rsidRDefault="00B0752F" w:rsidP="00B67556">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67556">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67556">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14DB396E"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634D607" w14:textId="33472631"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Prothiofos</w:t>
            </w:r>
          </w:p>
        </w:tc>
        <w:tc>
          <w:tcPr>
            <w:tcW w:w="6966" w:type="dxa"/>
            <w:noWrap/>
            <w:hideMark/>
          </w:tcPr>
          <w:p w14:paraId="04037CE6" w14:textId="5CC3B6BF" w:rsidR="00C71448" w:rsidRPr="00F85DCF" w:rsidRDefault="001A33E9"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2695953F"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936FB71" w14:textId="11229C7E"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Pymetrozine</w:t>
            </w:r>
          </w:p>
        </w:tc>
        <w:tc>
          <w:tcPr>
            <w:tcW w:w="6966" w:type="dxa"/>
            <w:noWrap/>
            <w:hideMark/>
          </w:tcPr>
          <w:p w14:paraId="0D58E6A9" w14:textId="27040635" w:rsidR="00B0752F" w:rsidRPr="00F85DCF" w:rsidRDefault="00B0752F" w:rsidP="00FF2EE3">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FF2EE3">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BB1ECF9"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38B6009" w14:textId="0C399816"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Pyraclostrobin</w:t>
            </w:r>
          </w:p>
        </w:tc>
        <w:tc>
          <w:tcPr>
            <w:tcW w:w="6966" w:type="dxa"/>
            <w:noWrap/>
            <w:hideMark/>
          </w:tcPr>
          <w:p w14:paraId="24F0246B" w14:textId="1540F8E8" w:rsidR="00B0752F" w:rsidRPr="00F85DCF" w:rsidRDefault="00B0752F" w:rsidP="00FF2EE3">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FF2EE3">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FF2EE3">
              <w:rPr>
                <w:rFonts w:cs="Arial"/>
                <w:i/>
                <w:color w:val="auto"/>
                <w:sz w:val="20"/>
                <w:szCs w:val="20"/>
                <w:lang w:val="en-GB"/>
              </w:rPr>
              <w:t xml:space="preserve">food commodities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6CA682CB"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63DCC699" w14:textId="5912E76A"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Pyrethrins</w:t>
            </w:r>
          </w:p>
        </w:tc>
        <w:tc>
          <w:tcPr>
            <w:tcW w:w="6966" w:type="dxa"/>
            <w:noWrap/>
            <w:hideMark/>
          </w:tcPr>
          <w:p w14:paraId="27BBD9FD" w14:textId="2295073E" w:rsidR="00B0752F" w:rsidRPr="00F85DCF" w:rsidRDefault="00B0752F" w:rsidP="00EE3C97">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E3C97">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E3C97">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27D4DD1C"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BFC2E39" w14:textId="10EDD16A"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Pyriproxyfen</w:t>
            </w:r>
          </w:p>
        </w:tc>
        <w:tc>
          <w:tcPr>
            <w:tcW w:w="6966" w:type="dxa"/>
            <w:noWrap/>
            <w:hideMark/>
          </w:tcPr>
          <w:p w14:paraId="04861B60" w14:textId="24D94867" w:rsidR="00B0752F" w:rsidRPr="00F85DCF" w:rsidRDefault="00B0752F" w:rsidP="00EE3C97">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E3C97">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E3C97">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6E7900E"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C334D98" w14:textId="7E62BE9B"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lastRenderedPageBreak/>
              <w:t>Quintozene</w:t>
            </w:r>
          </w:p>
        </w:tc>
        <w:tc>
          <w:tcPr>
            <w:tcW w:w="6966" w:type="dxa"/>
            <w:noWrap/>
            <w:hideMark/>
          </w:tcPr>
          <w:p w14:paraId="47349291" w14:textId="7981D7FE" w:rsidR="00B0752F" w:rsidRPr="00F85DCF" w:rsidRDefault="00B0752F" w:rsidP="00446669">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E3C97">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E3C97">
              <w:rPr>
                <w:rFonts w:cs="Arial"/>
                <w:i/>
                <w:color w:val="auto"/>
                <w:sz w:val="20"/>
                <w:szCs w:val="20"/>
                <w:lang w:val="en-GB"/>
              </w:rPr>
              <w:t>food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06CDFD0C"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C8E3896"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Semicarbazide</w:t>
            </w:r>
          </w:p>
        </w:tc>
        <w:tc>
          <w:tcPr>
            <w:tcW w:w="6966" w:type="dxa"/>
            <w:noWrap/>
            <w:hideMark/>
          </w:tcPr>
          <w:p w14:paraId="371DA19E"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not listed in Schedule 1 of 1.4.2</w:t>
            </w:r>
          </w:p>
        </w:tc>
      </w:tr>
      <w:tr w:rsidR="00B0752F" w:rsidRPr="00F85DCF" w14:paraId="614BF35F"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4098C12" w14:textId="52332E1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Spirotetramat</w:t>
            </w:r>
          </w:p>
        </w:tc>
        <w:tc>
          <w:tcPr>
            <w:tcW w:w="6966" w:type="dxa"/>
            <w:noWrap/>
            <w:hideMark/>
          </w:tcPr>
          <w:p w14:paraId="2D4F9676" w14:textId="5C336197" w:rsidR="00B0752F" w:rsidRPr="00F85DCF" w:rsidRDefault="00B0752F" w:rsidP="00BE50AD">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E50AD">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E50AD">
              <w:rPr>
                <w:rFonts w:cs="Arial"/>
                <w:i/>
                <w:color w:val="auto"/>
                <w:sz w:val="20"/>
                <w:szCs w:val="20"/>
                <w:lang w:val="en-GB"/>
              </w:rPr>
              <w:t xml:space="preserve">food </w:t>
            </w:r>
            <w:r w:rsidR="0003601D" w:rsidRPr="00F85DCF">
              <w:rPr>
                <w:rFonts w:cs="Arial"/>
                <w:i/>
                <w:color w:val="auto"/>
                <w:sz w:val="20"/>
                <w:szCs w:val="20"/>
                <w:lang w:val="en-GB"/>
              </w:rPr>
              <w:t>commodities</w:t>
            </w:r>
            <w:r w:rsidR="00BE50AD">
              <w:rPr>
                <w:rFonts w:cs="Arial"/>
                <w:i/>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522CF0D2"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9C480CB" w14:textId="0E032D5B"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Sulfuryl Fluoride</w:t>
            </w:r>
          </w:p>
        </w:tc>
        <w:tc>
          <w:tcPr>
            <w:tcW w:w="6966" w:type="dxa"/>
            <w:noWrap/>
            <w:hideMark/>
          </w:tcPr>
          <w:p w14:paraId="428DBA32" w14:textId="54C70AE5" w:rsidR="00B0752F" w:rsidRPr="00F85DCF" w:rsidRDefault="00B0752F" w:rsidP="00446669">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E50AD">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E50AD">
              <w:rPr>
                <w:rFonts w:cs="Arial"/>
                <w:i/>
                <w:color w:val="auto"/>
                <w:sz w:val="20"/>
                <w:szCs w:val="20"/>
                <w:lang w:val="en-GB"/>
              </w:rPr>
              <w:t>food 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1ED21813"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11F8E45" w14:textId="48396BED"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Tebuconazole</w:t>
            </w:r>
          </w:p>
        </w:tc>
        <w:tc>
          <w:tcPr>
            <w:tcW w:w="6966" w:type="dxa"/>
            <w:noWrap/>
            <w:hideMark/>
          </w:tcPr>
          <w:p w14:paraId="52A1A8B5" w14:textId="1EC72BC9" w:rsidR="00B0752F" w:rsidRPr="00F85DCF" w:rsidRDefault="00B0752F" w:rsidP="00BE50AD">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E50AD">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E50AD">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F3C0079"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7CF24F17" w14:textId="151AF217"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Tebufenozide</w:t>
            </w:r>
          </w:p>
        </w:tc>
        <w:tc>
          <w:tcPr>
            <w:tcW w:w="6966" w:type="dxa"/>
            <w:noWrap/>
            <w:hideMark/>
          </w:tcPr>
          <w:p w14:paraId="76D11C6A" w14:textId="43E2EECB" w:rsidR="00B0752F" w:rsidRPr="00F85DCF" w:rsidRDefault="00B0752F" w:rsidP="00BE50AD">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BE50AD">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BE50AD">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717C9884"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BEB066F" w14:textId="5BE11E7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Tebufenpyrad</w:t>
            </w:r>
          </w:p>
        </w:tc>
        <w:tc>
          <w:tcPr>
            <w:tcW w:w="6966" w:type="dxa"/>
            <w:noWrap/>
            <w:hideMark/>
          </w:tcPr>
          <w:p w14:paraId="1262C06C" w14:textId="71AAB462" w:rsidR="00C71448" w:rsidRPr="00F85DCF" w:rsidRDefault="00B0752F" w:rsidP="00BE50AD">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03601D" w:rsidRPr="00F85DCF">
              <w:rPr>
                <w:rFonts w:cs="Arial"/>
                <w:i/>
                <w:color w:val="auto"/>
                <w:sz w:val="20"/>
                <w:szCs w:val="20"/>
                <w:lang w:val="en-GB"/>
              </w:rPr>
              <w:t xml:space="preserve">ll other foods except animal </w:t>
            </w:r>
            <w:r w:rsidR="00BE50AD">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5031FD94"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3F40360" w14:textId="38838E56"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Terbufos</w:t>
            </w:r>
          </w:p>
        </w:tc>
        <w:tc>
          <w:tcPr>
            <w:tcW w:w="6966" w:type="dxa"/>
            <w:noWrap/>
            <w:hideMark/>
          </w:tcPr>
          <w:p w14:paraId="53326AA4" w14:textId="77777777" w:rsidR="00C71448" w:rsidRPr="00F85DCF" w:rsidRDefault="00C71448" w:rsidP="00504141">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r w:rsidR="00C71448" w:rsidRPr="00F85DCF" w14:paraId="32BAB704"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28D9F51A" w14:textId="37729479"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Tetradifon</w:t>
            </w:r>
          </w:p>
        </w:tc>
        <w:tc>
          <w:tcPr>
            <w:tcW w:w="6966" w:type="dxa"/>
            <w:noWrap/>
            <w:hideMark/>
          </w:tcPr>
          <w:p w14:paraId="4C9CB438" w14:textId="5B46A40A" w:rsidR="00C71448" w:rsidRPr="00F85DCF" w:rsidRDefault="001A33E9"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estimated</w:t>
            </w:r>
            <w:r w:rsidR="003F11E8" w:rsidRPr="00F85DCF">
              <w:rPr>
                <w:rFonts w:eastAsia="Times New Roman" w:cs="Arial"/>
                <w:color w:val="auto"/>
                <w:sz w:val="20"/>
                <w:szCs w:val="20"/>
                <w:lang w:val="en-GB" w:eastAsia="en-GB"/>
              </w:rPr>
              <w:t xml:space="preserve"> dietary exposure  &gt;80% ADI</w:t>
            </w:r>
            <w:r w:rsidR="003F11E8" w:rsidRPr="00F85DCF" w:rsidDel="003F11E8">
              <w:rPr>
                <w:rFonts w:eastAsia="Times New Roman" w:cs="Arial"/>
                <w:color w:val="auto"/>
                <w:sz w:val="20"/>
                <w:szCs w:val="20"/>
                <w:lang w:val="en-GB" w:eastAsia="en-GB"/>
              </w:rPr>
              <w:t xml:space="preserve"> </w:t>
            </w:r>
          </w:p>
        </w:tc>
      </w:tr>
      <w:tr w:rsidR="00B0752F" w:rsidRPr="00F85DCF" w14:paraId="22C6B9C7"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9FD80A7" w14:textId="60E62855"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Thiacloprid</w:t>
            </w:r>
          </w:p>
        </w:tc>
        <w:tc>
          <w:tcPr>
            <w:tcW w:w="6966" w:type="dxa"/>
            <w:noWrap/>
            <w:hideMark/>
          </w:tcPr>
          <w:p w14:paraId="2D3D4682" w14:textId="7C16D958" w:rsidR="00B0752F" w:rsidRPr="00F85DCF" w:rsidRDefault="00B0752F" w:rsidP="00E50838">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50838">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50838">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468079CA"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3CD1C4E2" w14:textId="1D19CF49"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Thiamethoxam</w:t>
            </w:r>
          </w:p>
        </w:tc>
        <w:tc>
          <w:tcPr>
            <w:tcW w:w="6966" w:type="dxa"/>
            <w:noWrap/>
            <w:hideMark/>
          </w:tcPr>
          <w:p w14:paraId="567AF7C7" w14:textId="393C780C" w:rsidR="00B0752F" w:rsidRPr="00F85DCF" w:rsidRDefault="00B0752F" w:rsidP="00E50838">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50838">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50838">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B0752F" w:rsidRPr="00F85DCF" w14:paraId="161912DC"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478E32EB" w14:textId="5F87D5B7" w:rsidR="00B0752F" w:rsidRPr="00F85DCF" w:rsidRDefault="00B0752F"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Trichlorfon</w:t>
            </w:r>
          </w:p>
        </w:tc>
        <w:tc>
          <w:tcPr>
            <w:tcW w:w="6966" w:type="dxa"/>
            <w:noWrap/>
            <w:hideMark/>
          </w:tcPr>
          <w:p w14:paraId="35443E5C" w14:textId="4E189777" w:rsidR="00B0752F" w:rsidRPr="00F85DCF" w:rsidRDefault="00B0752F" w:rsidP="00E50838">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50838">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50838">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38FEB548"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5AF547AE" w14:textId="77777777" w:rsidR="00C71448" w:rsidRPr="00F85DCF" w:rsidRDefault="00C71448"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Tricyclazole</w:t>
            </w:r>
          </w:p>
        </w:tc>
        <w:tc>
          <w:tcPr>
            <w:tcW w:w="6966" w:type="dxa"/>
            <w:noWrap/>
            <w:hideMark/>
          </w:tcPr>
          <w:p w14:paraId="0ECBBC2D"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not listed in Schedule 1 of 1.4.2</w:t>
            </w:r>
          </w:p>
        </w:tc>
      </w:tr>
      <w:tr w:rsidR="00C71448" w:rsidRPr="00F85DCF" w14:paraId="5861119B" w14:textId="77777777" w:rsidTr="00FC0D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7D6812" w14:textId="277EAC8B"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Trifloxystrobin</w:t>
            </w:r>
          </w:p>
        </w:tc>
        <w:tc>
          <w:tcPr>
            <w:tcW w:w="6966" w:type="dxa"/>
            <w:noWrap/>
            <w:hideMark/>
          </w:tcPr>
          <w:p w14:paraId="4C0E3701" w14:textId="53CF4544" w:rsidR="00C71448" w:rsidRPr="00F85DCF" w:rsidRDefault="00B0752F" w:rsidP="00E50838">
            <w:pPr>
              <w:cnfStyle w:val="000000100000" w:firstRow="0" w:lastRow="0" w:firstColumn="0" w:lastColumn="0" w:oddVBand="0" w:evenVBand="0" w:oddHBand="1" w:evenHBand="0" w:firstRowFirstColumn="0" w:firstRowLastColumn="0" w:lastRowFirstColumn="0" w:lastRowLastColumn="0"/>
              <w:rPr>
                <w:rFonts w:eastAsia="Times New Roman" w:cs="Arial"/>
                <w:color w:val="auto"/>
                <w:sz w:val="20"/>
                <w:szCs w:val="20"/>
                <w:lang w:val="en-GB" w:eastAsia="en-GB"/>
              </w:rPr>
            </w:pPr>
            <w:r w:rsidRPr="00F85DCF">
              <w:rPr>
                <w:rFonts w:cs="Arial"/>
                <w:color w:val="auto"/>
                <w:sz w:val="20"/>
                <w:szCs w:val="20"/>
                <w:lang w:val="en-GB"/>
              </w:rPr>
              <w:t xml:space="preserve">the percentage contribution of </w:t>
            </w:r>
            <w:r w:rsidR="00446669" w:rsidRPr="00F85DCF">
              <w:rPr>
                <w:rFonts w:cs="Arial"/>
                <w:i/>
                <w:color w:val="auto"/>
                <w:sz w:val="20"/>
                <w:szCs w:val="20"/>
                <w:lang w:val="en-GB"/>
              </w:rPr>
              <w:t>A</w:t>
            </w:r>
            <w:r w:rsidR="00E50838">
              <w:rPr>
                <w:rFonts w:cs="Arial"/>
                <w:i/>
                <w:color w:val="auto"/>
                <w:sz w:val="20"/>
                <w:szCs w:val="20"/>
                <w:lang w:val="en-GB"/>
              </w:rPr>
              <w:t xml:space="preserve">ll other foods </w:t>
            </w:r>
            <w:r w:rsidR="0003601D" w:rsidRPr="00F85DCF">
              <w:rPr>
                <w:rFonts w:cs="Arial"/>
                <w:i/>
                <w:color w:val="auto"/>
                <w:sz w:val="20"/>
                <w:szCs w:val="20"/>
                <w:lang w:val="en-GB"/>
              </w:rPr>
              <w:t xml:space="preserve">except animal </w:t>
            </w:r>
            <w:r w:rsidR="00E50838">
              <w:rPr>
                <w:rFonts w:cs="Arial"/>
                <w:i/>
                <w:color w:val="auto"/>
                <w:sz w:val="20"/>
                <w:szCs w:val="20"/>
                <w:lang w:val="en-GB"/>
              </w:rPr>
              <w:t xml:space="preserve">food </w:t>
            </w:r>
            <w:r w:rsidR="0003601D" w:rsidRPr="00F85DCF">
              <w:rPr>
                <w:rFonts w:cs="Arial"/>
                <w:i/>
                <w:color w:val="auto"/>
                <w:sz w:val="20"/>
                <w:szCs w:val="20"/>
                <w:lang w:val="en-GB"/>
              </w:rPr>
              <w:t>commodities</w:t>
            </w:r>
            <w:r w:rsidRPr="00F85DCF">
              <w:rPr>
                <w:rFonts w:cs="Arial"/>
                <w:color w:val="auto"/>
                <w:sz w:val="20"/>
                <w:szCs w:val="20"/>
                <w:lang w:val="en-GB"/>
              </w:rPr>
              <w:t xml:space="preserve"> </w:t>
            </w:r>
            <w:r w:rsidR="00DA77D3" w:rsidRPr="00F85DCF">
              <w:rPr>
                <w:rFonts w:cs="Arial"/>
                <w:color w:val="auto"/>
                <w:sz w:val="20"/>
                <w:szCs w:val="20"/>
                <w:lang w:val="en-GB"/>
              </w:rPr>
              <w:t xml:space="preserve">to estimated total dietary exposure </w:t>
            </w:r>
            <w:r w:rsidRPr="00F85DCF">
              <w:rPr>
                <w:rFonts w:cs="Arial"/>
                <w:color w:val="auto"/>
                <w:sz w:val="20"/>
                <w:szCs w:val="20"/>
                <w:lang w:val="en-GB"/>
              </w:rPr>
              <w:t>in a preliminary screen exceeded 20%</w:t>
            </w:r>
          </w:p>
        </w:tc>
      </w:tr>
      <w:tr w:rsidR="00C71448" w:rsidRPr="00F85DCF" w14:paraId="2A50703F" w14:textId="77777777" w:rsidTr="00FC0DB1">
        <w:trPr>
          <w:cantSplit/>
        </w:trPr>
        <w:tc>
          <w:tcPr>
            <w:cnfStyle w:val="001000000000" w:firstRow="0" w:lastRow="0" w:firstColumn="1" w:lastColumn="0" w:oddVBand="0" w:evenVBand="0" w:oddHBand="0" w:evenHBand="0" w:firstRowFirstColumn="0" w:firstRowLastColumn="0" w:lastRowFirstColumn="0" w:lastRowLastColumn="0"/>
            <w:tcW w:w="2214" w:type="dxa"/>
            <w:noWrap/>
            <w:hideMark/>
          </w:tcPr>
          <w:p w14:paraId="1EED44E5" w14:textId="4C14B68B" w:rsidR="00C71448" w:rsidRPr="00F85DCF" w:rsidRDefault="00EE7854" w:rsidP="00504141">
            <w:pPr>
              <w:rPr>
                <w:rFonts w:eastAsia="Times New Roman" w:cs="Arial"/>
                <w:b w:val="0"/>
                <w:color w:val="000000"/>
                <w:sz w:val="20"/>
                <w:szCs w:val="20"/>
                <w:lang w:val="en-GB" w:eastAsia="en-GB"/>
              </w:rPr>
            </w:pPr>
            <w:r w:rsidRPr="00F85DCF">
              <w:rPr>
                <w:rFonts w:eastAsia="Times New Roman" w:cs="Arial"/>
                <w:b w:val="0"/>
                <w:color w:val="000000"/>
                <w:sz w:val="20"/>
                <w:szCs w:val="20"/>
                <w:lang w:val="en-GB" w:eastAsia="en-GB"/>
              </w:rPr>
              <w:t>Vinclozolin</w:t>
            </w:r>
          </w:p>
        </w:tc>
        <w:tc>
          <w:tcPr>
            <w:tcW w:w="6966" w:type="dxa"/>
            <w:noWrap/>
            <w:hideMark/>
          </w:tcPr>
          <w:p w14:paraId="0F78DA03" w14:textId="77777777" w:rsidR="00C71448" w:rsidRPr="00F85DCF" w:rsidRDefault="00C71448" w:rsidP="00504141">
            <w:pPr>
              <w:cnfStyle w:val="000000000000" w:firstRow="0" w:lastRow="0" w:firstColumn="0" w:lastColumn="0" w:oddVBand="0" w:evenVBand="0" w:oddHBand="0" w:evenHBand="0" w:firstRowFirstColumn="0" w:firstRowLastColumn="0" w:lastRowFirstColumn="0" w:lastRowLastColumn="0"/>
              <w:rPr>
                <w:rFonts w:eastAsia="Times New Roman" w:cs="Arial"/>
                <w:color w:val="auto"/>
                <w:sz w:val="20"/>
                <w:szCs w:val="20"/>
                <w:lang w:val="en-GB" w:eastAsia="en-GB"/>
              </w:rPr>
            </w:pPr>
            <w:r w:rsidRPr="00F85DCF">
              <w:rPr>
                <w:rFonts w:eastAsia="Times New Roman" w:cs="Arial"/>
                <w:color w:val="auto"/>
                <w:sz w:val="20"/>
                <w:szCs w:val="20"/>
                <w:lang w:val="en-GB" w:eastAsia="en-GB"/>
              </w:rPr>
              <w:t>Schedule 7 poison</w:t>
            </w:r>
          </w:p>
        </w:tc>
      </w:tr>
    </w:tbl>
    <w:p w14:paraId="111EC06F" w14:textId="77777777" w:rsidR="00F60FC3" w:rsidRPr="00F85DCF" w:rsidRDefault="00F60FC3" w:rsidP="00F91C05">
      <w:pPr>
        <w:rPr>
          <w:lang w:val="en-GB"/>
        </w:rPr>
      </w:pPr>
      <w:bookmarkStart w:id="59" w:name="_Appendix_2"/>
      <w:bookmarkStart w:id="60" w:name="_Appendix_2_1"/>
      <w:bookmarkEnd w:id="59"/>
      <w:bookmarkEnd w:id="60"/>
      <w:r w:rsidRPr="00F85DCF">
        <w:rPr>
          <w:lang w:val="en-GB"/>
        </w:rPr>
        <w:br w:type="page"/>
      </w:r>
    </w:p>
    <w:p w14:paraId="4BB8BBD8" w14:textId="74FE6F1D" w:rsidR="00647694" w:rsidRPr="00F85DCF" w:rsidRDefault="00CE0A05" w:rsidP="00F85DCF">
      <w:pPr>
        <w:pStyle w:val="Heading2"/>
        <w:ind w:left="0" w:firstLine="0"/>
      </w:pPr>
      <w:bookmarkStart w:id="61" w:name="_Toc448848095"/>
      <w:r w:rsidRPr="00F85DCF">
        <w:lastRenderedPageBreak/>
        <w:t xml:space="preserve">Appendix </w:t>
      </w:r>
      <w:r w:rsidR="00741FB6" w:rsidRPr="00F85DCF">
        <w:t>A</w:t>
      </w:r>
      <w:r w:rsidR="00FA53CB" w:rsidRPr="00F85DCF">
        <w:t>5</w:t>
      </w:r>
      <w:r w:rsidR="00F85DCF">
        <w:t xml:space="preserve"> – </w:t>
      </w:r>
      <w:r w:rsidR="00D33C73" w:rsidRPr="00F85DCF">
        <w:t>National Nutrition Surveys used in the dietary exposure assessments</w:t>
      </w:r>
      <w:bookmarkEnd w:id="61"/>
      <w:r w:rsidR="00D33C73" w:rsidRPr="00F85DCF">
        <w:t xml:space="preserve"> </w:t>
      </w:r>
    </w:p>
    <w:p w14:paraId="42D72594" w14:textId="64E7E298" w:rsidR="00DA2F95" w:rsidRPr="00F85DCF" w:rsidRDefault="00DA2F95" w:rsidP="00F85DCF">
      <w:pPr>
        <w:pStyle w:val="Heading3"/>
      </w:pPr>
      <w:r w:rsidRPr="00F85DCF">
        <w:t xml:space="preserve">2007 </w:t>
      </w:r>
      <w:r w:rsidR="00D33C73" w:rsidRPr="00F85DCF">
        <w:t>Australian National Children's Nutrition and Physical Activity Survey</w:t>
      </w:r>
      <w:r w:rsidR="004201F0">
        <w:t xml:space="preserve"> </w:t>
      </w:r>
    </w:p>
    <w:p w14:paraId="6470C57A" w14:textId="2E1118B6" w:rsidR="00CE0A05" w:rsidRPr="00F85DCF" w:rsidRDefault="00CE0A05" w:rsidP="00CE0A05">
      <w:pPr>
        <w:rPr>
          <w:lang w:val="en-GB"/>
        </w:rPr>
      </w:pPr>
      <w:r w:rsidRPr="00F85DCF">
        <w:rPr>
          <w:lang w:val="en-GB"/>
        </w:rPr>
        <w:t>The 2007 ANCNPAS collected data on nutrition and physical activity for 4,487 children aged 2</w:t>
      </w:r>
      <w:r w:rsidR="00F85DCF">
        <w:rPr>
          <w:lang w:val="en-GB"/>
        </w:rPr>
        <w:sym w:font="Symbol" w:char="F02D"/>
      </w:r>
      <w:r w:rsidRPr="00F85DCF">
        <w:rPr>
          <w:lang w:val="en-GB"/>
        </w:rPr>
        <w:t xml:space="preserve">16 years across Australia. The survey was conducted over a seven month time period, from February to August 2007. </w:t>
      </w:r>
    </w:p>
    <w:p w14:paraId="5554BF72" w14:textId="77777777" w:rsidR="00CE0A05" w:rsidRPr="00F85DCF" w:rsidRDefault="00CE0A05" w:rsidP="00CE0A05">
      <w:pPr>
        <w:rPr>
          <w:lang w:val="en-GB"/>
        </w:rPr>
      </w:pPr>
    </w:p>
    <w:p w14:paraId="0116A67F" w14:textId="60EDCC31" w:rsidR="00602A83" w:rsidRPr="00F85DCF" w:rsidRDefault="00CE0A05" w:rsidP="00602A83">
      <w:pPr>
        <w:rPr>
          <w:lang w:val="en-GB" w:eastAsia="en-AU"/>
        </w:rPr>
      </w:pPr>
      <w:r w:rsidRPr="00F85DCF">
        <w:rPr>
          <w:lang w:val="en-GB"/>
        </w:rPr>
        <w:t xml:space="preserve">In contrast to other national nutrition surveys used to date by FSANZ (the 1995 Australian and </w:t>
      </w:r>
      <w:r w:rsidR="0056353A" w:rsidRPr="00F85DCF">
        <w:rPr>
          <w:lang w:val="en-GB"/>
        </w:rPr>
        <w:t xml:space="preserve">2008 </w:t>
      </w:r>
      <w:r w:rsidRPr="00F85DCF">
        <w:rPr>
          <w:lang w:val="en-GB"/>
        </w:rPr>
        <w:t>and 2002 New Zealand surveys), for the 2007 ANCNPAS each respondent completed two 24</w:t>
      </w:r>
      <w:r w:rsidR="00F85DCF">
        <w:rPr>
          <w:lang w:val="en-GB"/>
        </w:rPr>
        <w:t>-</w:t>
      </w:r>
      <w:r w:rsidRPr="00F85DCF">
        <w:rPr>
          <w:lang w:val="en-GB"/>
        </w:rPr>
        <w:t>hour recalls on non-consecutive days. The availability of two days of food consumption data provides a more realistic estimate of long term consumption of infrequently consumed foods, because it takes account of those who may eat a food on one day of the survey but not on the other. Using one 24-hour recall may capture an unusual eating occasion for an individual that does not describe how they normally eat.</w:t>
      </w:r>
      <w:r w:rsidR="00602A83" w:rsidRPr="00F85DCF">
        <w:rPr>
          <w:lang w:val="en-GB"/>
        </w:rPr>
        <w:t xml:space="preserve"> </w:t>
      </w:r>
      <w:r w:rsidR="00602A83" w:rsidRPr="00F85DCF">
        <w:rPr>
          <w:lang w:val="en-GB" w:eastAsia="en-AU"/>
        </w:rPr>
        <w:t>These data are used weighted.</w:t>
      </w:r>
    </w:p>
    <w:p w14:paraId="63A5177C" w14:textId="6B8FCCB5" w:rsidR="00CE0A05" w:rsidRPr="00F85DCF" w:rsidRDefault="00CE0A05" w:rsidP="00F85DCF">
      <w:pPr>
        <w:pStyle w:val="Heading3"/>
      </w:pPr>
      <w:r w:rsidRPr="00F85DCF">
        <w:t>1995 NNS</w:t>
      </w:r>
    </w:p>
    <w:p w14:paraId="71790032" w14:textId="77777777" w:rsidR="00F85DCF" w:rsidRDefault="00CE0A05" w:rsidP="00CE0A05">
      <w:pPr>
        <w:rPr>
          <w:lang w:val="en-GB" w:eastAsia="en-AU"/>
        </w:rPr>
      </w:pPr>
      <w:r w:rsidRPr="00F85DCF">
        <w:rPr>
          <w:lang w:val="en-GB" w:eastAsia="en-AU"/>
        </w:rPr>
        <w:t xml:space="preserve">The 1995 NNS provides comprehensive information on dietary patterns of a sample of 13,858 Australians aged from 2 years and above. It is the most recent NNS for Australians aged </w:t>
      </w:r>
    </w:p>
    <w:p w14:paraId="3266EE57" w14:textId="4A096F75" w:rsidR="00CE0A05" w:rsidRPr="00F85DCF" w:rsidRDefault="00CE0A05" w:rsidP="00CE0A05">
      <w:pPr>
        <w:rPr>
          <w:lang w:val="en-GB" w:eastAsia="en-AU"/>
        </w:rPr>
      </w:pPr>
      <w:r w:rsidRPr="00F85DCF">
        <w:rPr>
          <w:lang w:val="en-GB" w:eastAsia="en-AU"/>
        </w:rPr>
        <w:t>17 years and above</w:t>
      </w:r>
      <w:r w:rsidR="00D33C73" w:rsidRPr="00F85DCF">
        <w:rPr>
          <w:lang w:val="en-GB" w:eastAsia="en-AU"/>
        </w:rPr>
        <w:t xml:space="preserve"> currently available to FSANZ in its dietary exposure assessment analysis database</w:t>
      </w:r>
      <w:r w:rsidRPr="00F85DCF">
        <w:rPr>
          <w:lang w:val="en-GB" w:eastAsia="en-AU"/>
        </w:rPr>
        <w:t>. The survey used a 24-hour recall method for all respondents, with 10% of respondents also completing a second 24-hour recall on a second, non-consecutive day. Food frequency data are available for a subset of the national sample (respondents aged 12 years and above) as are responses to a series of short dietary questions about food habits. These data are used unweighted</w:t>
      </w:r>
      <w:r w:rsidR="00D33C73" w:rsidRPr="00F85DCF">
        <w:rPr>
          <w:lang w:val="en-GB" w:eastAsia="en-AU"/>
        </w:rPr>
        <w:t>.</w:t>
      </w:r>
    </w:p>
    <w:p w14:paraId="708FD8D7" w14:textId="77777777" w:rsidR="00B93608" w:rsidRPr="00F85DCF" w:rsidRDefault="00B93608">
      <w:pPr>
        <w:rPr>
          <w:lang w:val="en-GB"/>
        </w:rPr>
      </w:pPr>
      <w:r w:rsidRPr="00F85DCF">
        <w:rPr>
          <w:lang w:val="en-GB"/>
        </w:rPr>
        <w:br w:type="page"/>
      </w:r>
    </w:p>
    <w:p w14:paraId="4134D828" w14:textId="0190C7B1" w:rsidR="00B93608" w:rsidRPr="00F85DCF" w:rsidRDefault="00B93608" w:rsidP="00F85DCF">
      <w:pPr>
        <w:pStyle w:val="Heading2"/>
      </w:pPr>
      <w:bookmarkStart w:id="62" w:name="_Appendix_3_NESTI"/>
      <w:bookmarkStart w:id="63" w:name="_Toc448848096"/>
      <w:bookmarkEnd w:id="62"/>
      <w:r w:rsidRPr="00F85DCF">
        <w:lastRenderedPageBreak/>
        <w:t xml:space="preserve">Appendix </w:t>
      </w:r>
      <w:r w:rsidR="00EE3867" w:rsidRPr="00F85DCF">
        <w:t>A</w:t>
      </w:r>
      <w:r w:rsidR="00FA53CB" w:rsidRPr="00F85DCF">
        <w:t>6</w:t>
      </w:r>
      <w:r w:rsidR="00F85DCF">
        <w:t xml:space="preserve"> – </w:t>
      </w:r>
      <w:r w:rsidR="00DA2F95" w:rsidRPr="00F85DCF">
        <w:t>NESTI Calculations</w:t>
      </w:r>
      <w:bookmarkEnd w:id="63"/>
    </w:p>
    <w:p w14:paraId="760CAA43" w14:textId="61BABFA2" w:rsidR="00B93608" w:rsidRPr="00F85DCF" w:rsidRDefault="000D2082" w:rsidP="003B4429">
      <w:pPr>
        <w:spacing w:after="240"/>
        <w:rPr>
          <w:lang w:val="en-GB"/>
        </w:rPr>
      </w:pPr>
      <w:r w:rsidRPr="00F85DCF">
        <w:rPr>
          <w:lang w:val="en-GB"/>
        </w:rPr>
        <w:t xml:space="preserve">This Appendix outlines the different cases used in </w:t>
      </w:r>
      <w:r w:rsidR="00D33C73" w:rsidRPr="00F85DCF">
        <w:rPr>
          <w:lang w:val="en-GB"/>
        </w:rPr>
        <w:t>National Estimates of Short Term Intake (</w:t>
      </w:r>
      <w:r w:rsidR="00B93608" w:rsidRPr="00F85DCF">
        <w:rPr>
          <w:lang w:val="en-GB"/>
        </w:rPr>
        <w:t>NESTI</w:t>
      </w:r>
      <w:r w:rsidR="00D33C73" w:rsidRPr="00F85DCF">
        <w:rPr>
          <w:lang w:val="en-GB"/>
        </w:rPr>
        <w:t>)</w:t>
      </w:r>
      <w:r w:rsidR="00B93608" w:rsidRPr="00F85DCF">
        <w:rPr>
          <w:lang w:val="en-GB"/>
        </w:rPr>
        <w:t xml:space="preserve"> Calculations</w:t>
      </w:r>
      <w:r w:rsidR="0056353A" w:rsidRPr="00F85DCF">
        <w:rPr>
          <w:lang w:val="en-GB"/>
        </w:rPr>
        <w:t>.</w:t>
      </w:r>
      <w:r w:rsidR="00B93608" w:rsidRPr="00F85DCF">
        <w:rPr>
          <w:lang w:val="en-GB"/>
        </w:rPr>
        <w:t xml:space="preserve"> </w:t>
      </w:r>
      <w:r w:rsidR="00D33C73" w:rsidRPr="00F85DCF">
        <w:rPr>
          <w:lang w:val="en-GB"/>
        </w:rPr>
        <w:t>A</w:t>
      </w:r>
      <w:r w:rsidR="00B93608" w:rsidRPr="00F85DCF">
        <w:rPr>
          <w:lang w:val="en-GB"/>
        </w:rPr>
        <w:t>ddition</w:t>
      </w:r>
      <w:r w:rsidR="00E825F6" w:rsidRPr="00F85DCF">
        <w:rPr>
          <w:lang w:val="en-GB"/>
        </w:rPr>
        <w:t>al</w:t>
      </w:r>
      <w:r w:rsidR="00B93608" w:rsidRPr="00F85DCF" w:rsidDel="00D33C73">
        <w:rPr>
          <w:lang w:val="en-GB"/>
        </w:rPr>
        <w:t xml:space="preserve"> </w:t>
      </w:r>
      <w:r w:rsidR="00B93608" w:rsidRPr="00F85DCF">
        <w:rPr>
          <w:lang w:val="en-GB"/>
        </w:rPr>
        <w:t>explanation</w:t>
      </w:r>
      <w:r w:rsidR="00D33C73" w:rsidRPr="00F85DCF">
        <w:rPr>
          <w:lang w:val="en-GB"/>
        </w:rPr>
        <w:t xml:space="preserve"> of these equations is provided by</w:t>
      </w:r>
      <w:r w:rsidR="00B93608" w:rsidRPr="00F85DCF">
        <w:rPr>
          <w:lang w:val="en-GB"/>
        </w:rPr>
        <w:t xml:space="preserve"> the </w:t>
      </w:r>
      <w:hyperlink r:id="rId19" w:history="1">
        <w:r w:rsidR="00B93608" w:rsidRPr="00F85DCF">
          <w:rPr>
            <w:lang w:val="en-GB"/>
          </w:rPr>
          <w:t>FAO</w:t>
        </w:r>
      </w:hyperlink>
      <w:r w:rsidRPr="00F85DCF">
        <w:rPr>
          <w:vertAlign w:val="superscript"/>
          <w:lang w:val="en-GB"/>
        </w:rPr>
        <w:footnoteReference w:id="10"/>
      </w:r>
      <w:r w:rsidRPr="00F85DCF">
        <w:rPr>
          <w:lang w:val="en-GB"/>
        </w:rPr>
        <w:t>.</w:t>
      </w:r>
    </w:p>
    <w:p w14:paraId="3B625113" w14:textId="1019E534" w:rsidR="00504141" w:rsidRPr="00F85DCF" w:rsidRDefault="00504141" w:rsidP="00F85DCF">
      <w:pPr>
        <w:pStyle w:val="Heading3"/>
        <w:rPr>
          <w:rFonts w:eastAsia="Times New Roman"/>
        </w:rPr>
      </w:pPr>
      <w:r w:rsidRPr="00F85DCF">
        <w:rPr>
          <w:rFonts w:eastAsia="Times New Roman"/>
        </w:rPr>
        <w:t>Case 1</w:t>
      </w:r>
    </w:p>
    <w:p w14:paraId="5EECC8DE" w14:textId="58D19DC1" w:rsidR="00B93608" w:rsidRPr="00F85DCF" w:rsidRDefault="00B93608" w:rsidP="00504141">
      <w:pPr>
        <w:rPr>
          <w:lang w:val="en-GB"/>
        </w:rPr>
      </w:pPr>
      <w:r w:rsidRPr="00F85DCF">
        <w:rPr>
          <w:lang w:val="en-GB"/>
        </w:rPr>
        <w:t>The concentration of residue in a composite sample (raw or processed) reflects that in a meal-sized portion of the commodity (unit weight is &lt;25 g</w:t>
      </w:r>
      <w:r w:rsidR="002B3ABD" w:rsidRPr="00F85DCF">
        <w:rPr>
          <w:lang w:val="en-GB"/>
        </w:rPr>
        <w:t>, for example peas or grapes</w:t>
      </w:r>
      <w:r w:rsidRPr="00F85DCF">
        <w:rPr>
          <w:lang w:val="en-GB"/>
        </w:rPr>
        <w:t xml:space="preserve">). This case also applies to meat, liver, kidney, edible offal and </w:t>
      </w:r>
      <w:r w:rsidR="00A253E3" w:rsidRPr="00F85DCF">
        <w:rPr>
          <w:lang w:val="en-GB"/>
        </w:rPr>
        <w:t>eggs</w:t>
      </w:r>
      <w:r w:rsidRPr="00F85DCF">
        <w:rPr>
          <w:lang w:val="en-GB"/>
        </w:rPr>
        <w:t xml:space="preserve"> and for grains, oil seeds and pulses when the estimate of the HR of HR-P was based on post-harvest use of the pesticide.</w:t>
      </w:r>
    </w:p>
    <w:p w14:paraId="3CE2E881" w14:textId="02693AC9" w:rsidR="00B93608" w:rsidRPr="00FC0DB1" w:rsidRDefault="00504141" w:rsidP="00F60FC3">
      <w:pPr>
        <w:spacing w:before="120"/>
        <w:rPr>
          <w:lang w:val="en-GB"/>
        </w:rPr>
      </w:pPr>
      <m:oMathPara>
        <m:oMathParaPr>
          <m:jc m:val="center"/>
        </m:oMathParaPr>
        <m:oMath>
          <m:r>
            <w:rPr>
              <w:rFonts w:ascii="Cambria Math" w:hAnsi="Cambria Math"/>
              <w:lang w:val="en-GB"/>
            </w:rPr>
            <m:t>NESTI=</m:t>
          </m:r>
          <m:f>
            <m:fPr>
              <m:ctrlPr>
                <w:rPr>
                  <w:rFonts w:ascii="Cambria Math" w:hAnsi="Cambria Math"/>
                  <w:i/>
                  <w:lang w:val="en-GB"/>
                </w:rPr>
              </m:ctrlPr>
            </m:fPr>
            <m:num>
              <m:r>
                <w:rPr>
                  <w:rFonts w:ascii="Cambria Math" w:hAnsi="Cambria Math"/>
                  <w:lang w:val="en-GB"/>
                </w:rPr>
                <m:t>LP×(HR or HR-P)</m:t>
              </m:r>
            </m:num>
            <m:den>
              <m:r>
                <w:rPr>
                  <w:rFonts w:ascii="Cambria Math" w:hAnsi="Cambria Math"/>
                  <w:lang w:val="en-GB"/>
                </w:rPr>
                <m:t>bw</m:t>
              </m:r>
            </m:den>
          </m:f>
        </m:oMath>
      </m:oMathPara>
    </w:p>
    <w:p w14:paraId="1A8DD106" w14:textId="0104E2A0" w:rsidR="00504141" w:rsidRPr="00F85DCF" w:rsidRDefault="00504141" w:rsidP="00F85DCF">
      <w:pPr>
        <w:pStyle w:val="Heading3"/>
      </w:pPr>
      <w:r w:rsidRPr="00F85DCF">
        <w:rPr>
          <w:rFonts w:eastAsia="Times New Roman"/>
        </w:rPr>
        <w:t>Case 2</w:t>
      </w:r>
    </w:p>
    <w:p w14:paraId="1AB29746" w14:textId="249CEEA2" w:rsidR="00B93608" w:rsidRPr="00F85DCF" w:rsidRDefault="00B93608" w:rsidP="00504141">
      <w:pPr>
        <w:rPr>
          <w:lang w:val="en-GB"/>
        </w:rPr>
      </w:pPr>
      <w:r w:rsidRPr="00F85DCF">
        <w:rPr>
          <w:lang w:val="en-GB"/>
        </w:rPr>
        <w:t>The meal-sized portion, such as a single piece of fruit or vegetable, might have a higher residue than the composite (unit weight of the whole portion is &gt;25 g). A default variability factor of 3 is applied in the equations. When sufficient data are available on residues in single units to calculate a more realistic variability factor for a commodity, the calculated value replaces the default value.</w:t>
      </w:r>
    </w:p>
    <w:p w14:paraId="50622A41" w14:textId="77777777" w:rsidR="00B93608" w:rsidRPr="00F85DCF" w:rsidRDefault="00B93608" w:rsidP="00504141">
      <w:pPr>
        <w:rPr>
          <w:lang w:val="en-GB"/>
        </w:rPr>
      </w:pPr>
    </w:p>
    <w:p w14:paraId="60FBCE36" w14:textId="77777777" w:rsidR="00B93608" w:rsidRPr="00F85DCF" w:rsidRDefault="00B93608" w:rsidP="00504141">
      <w:pPr>
        <w:rPr>
          <w:lang w:val="en-GB"/>
        </w:rPr>
      </w:pPr>
      <w:r w:rsidRPr="00F85DCF">
        <w:rPr>
          <w:lang w:val="en-GB"/>
        </w:rPr>
        <w:t>When data are available on residues in a single unit allowing estimation of the highest residue in a single unit, this value should be used in the first term in the numerator of the equation for case 2a, with variability factor.</w:t>
      </w:r>
    </w:p>
    <w:p w14:paraId="3722DC36" w14:textId="77777777" w:rsidR="00B93608" w:rsidRPr="00F85DCF" w:rsidRDefault="00B93608" w:rsidP="00504141">
      <w:pPr>
        <w:rPr>
          <w:lang w:val="en-GB"/>
        </w:rPr>
      </w:pPr>
    </w:p>
    <w:p w14:paraId="4F66E15A" w14:textId="77777777" w:rsidR="00B93608" w:rsidRPr="00F85DCF" w:rsidRDefault="00B93608" w:rsidP="003B4429">
      <w:pPr>
        <w:spacing w:after="240"/>
        <w:rPr>
          <w:lang w:val="en-GB"/>
        </w:rPr>
      </w:pPr>
      <w:r w:rsidRPr="00F85DCF">
        <w:rPr>
          <w:lang w:val="en-GB"/>
        </w:rPr>
        <w:t>The HR value derived from the data on composite samples should be used in the second term. For case 2b, the estimated highest residue in a single unit should be used in the equation with no variability factor.</w:t>
      </w:r>
    </w:p>
    <w:p w14:paraId="7FE6EB79" w14:textId="076105E1" w:rsidR="00504141" w:rsidRPr="00F85DCF" w:rsidRDefault="00504141" w:rsidP="00F85DCF">
      <w:pPr>
        <w:pStyle w:val="Heading3"/>
        <w:rPr>
          <w:rFonts w:eastAsia="Times New Roman"/>
        </w:rPr>
      </w:pPr>
      <w:r w:rsidRPr="00F85DCF">
        <w:rPr>
          <w:rFonts w:eastAsia="Times New Roman"/>
        </w:rPr>
        <w:t>Case 2a</w:t>
      </w:r>
    </w:p>
    <w:p w14:paraId="08B0510E" w14:textId="78E62810" w:rsidR="00B93608" w:rsidRPr="00F85DCF" w:rsidRDefault="00B93608" w:rsidP="00504141">
      <w:pPr>
        <w:rPr>
          <w:lang w:val="en-GB"/>
        </w:rPr>
      </w:pPr>
      <w:r w:rsidRPr="00F85DCF">
        <w:rPr>
          <w:lang w:val="en-GB"/>
        </w:rPr>
        <w:t xml:space="preserve">The unit weight of the whole </w:t>
      </w:r>
      <w:r w:rsidR="00602A83" w:rsidRPr="00F85DCF">
        <w:rPr>
          <w:lang w:val="en-GB"/>
        </w:rPr>
        <w:t xml:space="preserve">commodity </w:t>
      </w:r>
      <w:r w:rsidRPr="00F85DCF">
        <w:rPr>
          <w:lang w:val="en-GB"/>
        </w:rPr>
        <w:t>is lower than that of the large portion, LP</w:t>
      </w:r>
      <w:r w:rsidR="002B3ABD" w:rsidRPr="00F85DCF">
        <w:rPr>
          <w:lang w:val="en-GB"/>
        </w:rPr>
        <w:t xml:space="preserve"> (for example apples)</w:t>
      </w:r>
      <w:r w:rsidRPr="00F85DCF">
        <w:rPr>
          <w:lang w:val="en-GB"/>
        </w:rPr>
        <w:t>.</w:t>
      </w:r>
    </w:p>
    <w:p w14:paraId="0B8FA51F" w14:textId="4C1EE139" w:rsidR="0045044E" w:rsidRPr="00FC0DB1" w:rsidRDefault="0045044E" w:rsidP="003B4429">
      <w:pPr>
        <w:rPr>
          <w:lang w:val="en-GB"/>
        </w:rPr>
      </w:pPr>
      <m:oMathPara>
        <m:oMathParaPr>
          <m:jc m:val="center"/>
        </m:oMathParaPr>
        <m:oMath>
          <m:r>
            <w:rPr>
              <w:rFonts w:ascii="Cambria Math" w:hAnsi="Cambria Math"/>
              <w:lang w:val="en-GB"/>
            </w:rPr>
            <m:t>NESTI=</m:t>
          </m:r>
          <m:f>
            <m:fPr>
              <m:ctrlPr>
                <w:rPr>
                  <w:rFonts w:ascii="Cambria Math" w:hAnsi="Cambria Math"/>
                  <w:i/>
                  <w:lang w:val="en-GB"/>
                </w:rPr>
              </m:ctrlPr>
            </m:fPr>
            <m:num>
              <m:r>
                <w:rPr>
                  <w:rFonts w:ascii="Cambria Math" w:hAnsi="Cambria Math"/>
                  <w:lang w:val="en-GB"/>
                </w:rPr>
                <m:t>U×</m:t>
              </m:r>
              <m:d>
                <m:dPr>
                  <m:ctrlPr>
                    <w:rPr>
                      <w:rFonts w:ascii="Cambria Math" w:hAnsi="Cambria Math"/>
                      <w:i/>
                      <w:lang w:val="en-GB"/>
                    </w:rPr>
                  </m:ctrlPr>
                </m:dPr>
                <m:e>
                  <m:r>
                    <w:rPr>
                      <w:rFonts w:ascii="Cambria Math" w:hAnsi="Cambria Math"/>
                      <w:lang w:val="en-GB"/>
                    </w:rPr>
                    <m:t>HR or HR-P</m:t>
                  </m:r>
                </m:e>
              </m:d>
              <m:r>
                <w:rPr>
                  <w:rFonts w:ascii="Cambria Math" w:hAnsi="Cambria Math"/>
                  <w:lang w:val="en-GB"/>
                </w:rPr>
                <m:t>×v+(LP-U)×(HR or HR-P)</m:t>
              </m:r>
            </m:num>
            <m:den>
              <m:r>
                <w:rPr>
                  <w:rFonts w:ascii="Cambria Math" w:hAnsi="Cambria Math"/>
                  <w:lang w:val="en-GB"/>
                </w:rPr>
                <m:t>bw</m:t>
              </m:r>
            </m:den>
          </m:f>
        </m:oMath>
      </m:oMathPara>
    </w:p>
    <w:p w14:paraId="26E128AB" w14:textId="53EE740F" w:rsidR="00504141" w:rsidRPr="00F85DCF" w:rsidRDefault="00504141" w:rsidP="00F85DCF">
      <w:pPr>
        <w:pStyle w:val="Heading3"/>
        <w:rPr>
          <w:rFonts w:eastAsia="Times New Roman"/>
        </w:rPr>
      </w:pPr>
      <w:r w:rsidRPr="00F85DCF">
        <w:rPr>
          <w:rFonts w:eastAsia="Times New Roman"/>
        </w:rPr>
        <w:t>Case 2b</w:t>
      </w:r>
    </w:p>
    <w:p w14:paraId="40ACFCE5" w14:textId="690F80BC" w:rsidR="00B93608" w:rsidRPr="00F85DCF" w:rsidRDefault="00B93608" w:rsidP="00504141">
      <w:pPr>
        <w:rPr>
          <w:lang w:val="en-GB"/>
        </w:rPr>
      </w:pPr>
      <w:r w:rsidRPr="00F85DCF">
        <w:rPr>
          <w:lang w:val="en-GB"/>
        </w:rPr>
        <w:t xml:space="preserve">The unit weight of the whole </w:t>
      </w:r>
      <w:r w:rsidR="00602A83" w:rsidRPr="00F85DCF">
        <w:rPr>
          <w:lang w:val="en-GB"/>
        </w:rPr>
        <w:t xml:space="preserve">commodity </w:t>
      </w:r>
      <w:r w:rsidRPr="00F85DCF">
        <w:rPr>
          <w:lang w:val="en-GB"/>
        </w:rPr>
        <w:t>is higher than that of the large portion, LP</w:t>
      </w:r>
      <w:r w:rsidR="002B3ABD" w:rsidRPr="00F85DCF">
        <w:rPr>
          <w:lang w:val="en-GB"/>
        </w:rPr>
        <w:t xml:space="preserve"> (for exampl</w:t>
      </w:r>
      <w:r w:rsidR="003B4429" w:rsidRPr="00F85DCF">
        <w:rPr>
          <w:lang w:val="en-GB"/>
        </w:rPr>
        <w:t>e</w:t>
      </w:r>
      <w:r w:rsidR="002B3ABD" w:rsidRPr="00F85DCF">
        <w:rPr>
          <w:lang w:val="en-GB"/>
        </w:rPr>
        <w:t xml:space="preserve"> watermelon)</w:t>
      </w:r>
      <w:r w:rsidRPr="00F85DCF">
        <w:rPr>
          <w:lang w:val="en-GB"/>
        </w:rPr>
        <w:t>.</w:t>
      </w:r>
    </w:p>
    <w:p w14:paraId="7530003A" w14:textId="15A52875" w:rsidR="000D2082" w:rsidRPr="00FC0DB1" w:rsidRDefault="000D2082" w:rsidP="003B4429">
      <w:pPr>
        <w:rPr>
          <w:lang w:val="en-GB"/>
        </w:rPr>
      </w:pPr>
      <m:oMathPara>
        <m:oMathParaPr>
          <m:jc m:val="center"/>
        </m:oMathParaPr>
        <m:oMath>
          <m:r>
            <w:rPr>
              <w:rFonts w:ascii="Cambria Math" w:hAnsi="Cambria Math"/>
              <w:lang w:val="en-GB"/>
            </w:rPr>
            <m:t>NESTI=</m:t>
          </m:r>
          <m:f>
            <m:fPr>
              <m:ctrlPr>
                <w:rPr>
                  <w:rFonts w:ascii="Cambria Math" w:hAnsi="Cambria Math"/>
                  <w:i/>
                  <w:lang w:val="en-GB"/>
                </w:rPr>
              </m:ctrlPr>
            </m:fPr>
            <m:num>
              <m:r>
                <w:rPr>
                  <w:rFonts w:ascii="Cambria Math" w:hAnsi="Cambria Math"/>
                  <w:lang w:val="en-GB"/>
                </w:rPr>
                <m:t>LP×(Hr or HR-P)×v</m:t>
              </m:r>
            </m:num>
            <m:den>
              <m:r>
                <w:rPr>
                  <w:rFonts w:ascii="Cambria Math" w:hAnsi="Cambria Math"/>
                  <w:lang w:val="en-GB"/>
                </w:rPr>
                <m:t>bw</m:t>
              </m:r>
            </m:den>
          </m:f>
        </m:oMath>
      </m:oMathPara>
    </w:p>
    <w:p w14:paraId="0F1C2BA0" w14:textId="77777777" w:rsidR="00FC0DB1" w:rsidRDefault="00FC0DB1" w:rsidP="00F85DCF">
      <w:pPr>
        <w:pStyle w:val="Heading3"/>
        <w:rPr>
          <w:rFonts w:eastAsia="Times New Roman"/>
        </w:rPr>
      </w:pPr>
      <w:r>
        <w:rPr>
          <w:rFonts w:eastAsia="Times New Roman"/>
        </w:rPr>
        <w:br w:type="page"/>
      </w:r>
    </w:p>
    <w:p w14:paraId="4DA69CC8" w14:textId="0EE555E0" w:rsidR="00504141" w:rsidRPr="00F85DCF" w:rsidRDefault="00504141" w:rsidP="00F85DCF">
      <w:pPr>
        <w:pStyle w:val="Heading3"/>
        <w:rPr>
          <w:rFonts w:eastAsia="Times New Roman"/>
        </w:rPr>
      </w:pPr>
      <w:r w:rsidRPr="00F85DCF">
        <w:rPr>
          <w:rFonts w:eastAsia="Times New Roman"/>
        </w:rPr>
        <w:lastRenderedPageBreak/>
        <w:t>Case 3</w:t>
      </w:r>
    </w:p>
    <w:p w14:paraId="79687AE7" w14:textId="3AB00F5A" w:rsidR="00B93608" w:rsidRPr="00F85DCF" w:rsidRDefault="00B93608" w:rsidP="000D2082">
      <w:pPr>
        <w:rPr>
          <w:lang w:val="en-GB"/>
        </w:rPr>
      </w:pPr>
      <w:r w:rsidRPr="00F85DCF">
        <w:rPr>
          <w:lang w:val="en-GB"/>
        </w:rPr>
        <w:t xml:space="preserve">When a processed commodity is bulked or blended, the STMR-P value represents the probable highest residue. This case also applies to </w:t>
      </w:r>
      <w:r w:rsidR="00A253E3" w:rsidRPr="00F85DCF">
        <w:rPr>
          <w:lang w:val="en-GB"/>
        </w:rPr>
        <w:t>milk</w:t>
      </w:r>
      <w:r w:rsidRPr="00F85DCF">
        <w:rPr>
          <w:lang w:val="en-GB"/>
        </w:rPr>
        <w:t xml:space="preserve"> and to grains, oil seed and pulses when the estimate of the STMR or STMR-P was based on pre-harvest use of the pesticide.</w:t>
      </w:r>
    </w:p>
    <w:p w14:paraId="2BC6158B" w14:textId="061553E0" w:rsidR="000D2082" w:rsidRPr="00F85DCF" w:rsidRDefault="000D2082" w:rsidP="003B4429">
      <w:pPr>
        <w:spacing w:before="240"/>
        <w:rPr>
          <w:lang w:val="en-GB"/>
        </w:rPr>
      </w:pPr>
      <m:oMathPara>
        <m:oMath>
          <m:r>
            <w:rPr>
              <w:rFonts w:ascii="Cambria Math" w:hAnsi="Cambria Math"/>
              <w:lang w:val="en-GB"/>
            </w:rPr>
            <m:t>NESTI=</m:t>
          </m:r>
          <m:f>
            <m:fPr>
              <m:ctrlPr>
                <w:rPr>
                  <w:rFonts w:ascii="Cambria Math" w:hAnsi="Cambria Math"/>
                  <w:i/>
                  <w:lang w:val="en-GB"/>
                </w:rPr>
              </m:ctrlPr>
            </m:fPr>
            <m:num>
              <m:r>
                <w:rPr>
                  <w:rFonts w:ascii="Cambria Math" w:hAnsi="Cambria Math"/>
                  <w:lang w:val="en-GB"/>
                </w:rPr>
                <m:t>LP×STMR-P</m:t>
              </m:r>
            </m:num>
            <m:den>
              <m:r>
                <w:rPr>
                  <w:rFonts w:ascii="Cambria Math" w:hAnsi="Cambria Math"/>
                  <w:lang w:val="en-GB"/>
                </w:rPr>
                <m:t>bw</m:t>
              </m:r>
            </m:den>
          </m:f>
        </m:oMath>
      </m:oMathPara>
    </w:p>
    <w:sectPr w:rsidR="000D2082" w:rsidRPr="00F85DCF" w:rsidSect="00F85DC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D1CB9" w14:textId="77777777" w:rsidR="00816AC3" w:rsidRDefault="00816AC3" w:rsidP="009B69D6">
      <w:r>
        <w:separator/>
      </w:r>
    </w:p>
  </w:endnote>
  <w:endnote w:type="continuationSeparator" w:id="0">
    <w:p w14:paraId="1BA82D86" w14:textId="77777777" w:rsidR="00816AC3" w:rsidRDefault="00816AC3" w:rsidP="009B69D6">
      <w:r>
        <w:continuationSeparator/>
      </w:r>
    </w:p>
  </w:endnote>
  <w:endnote w:type="continuationNotice" w:id="1">
    <w:p w14:paraId="46999115" w14:textId="77777777" w:rsidR="00816AC3" w:rsidRDefault="00816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8706E" w14:textId="77777777" w:rsidR="0003333B" w:rsidRDefault="00033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14975"/>
      <w:docPartObj>
        <w:docPartGallery w:val="Page Numbers (Bottom of Page)"/>
        <w:docPartUnique/>
      </w:docPartObj>
    </w:sdtPr>
    <w:sdtEndPr>
      <w:rPr>
        <w:noProof/>
      </w:rPr>
    </w:sdtEndPr>
    <w:sdtContent>
      <w:p w14:paraId="4029F64E" w14:textId="08BC6BC1" w:rsidR="00420F9C" w:rsidRPr="00722AA2" w:rsidRDefault="00420F9C" w:rsidP="00420F9C">
        <w:pPr>
          <w:pStyle w:val="Footer"/>
          <w:jc w:val="center"/>
        </w:pPr>
        <w:r>
          <w:fldChar w:fldCharType="begin"/>
        </w:r>
        <w:r>
          <w:instrText xml:space="preserve"> PAGE   \* MERGEFORMAT </w:instrText>
        </w:r>
        <w:r>
          <w:fldChar w:fldCharType="separate"/>
        </w:r>
        <w:r w:rsidR="00742354">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B91E6" w14:textId="77777777" w:rsidR="0003333B" w:rsidRDefault="00033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AE2CF" w14:textId="77777777" w:rsidR="00816AC3" w:rsidRDefault="00816AC3" w:rsidP="009B69D6">
      <w:r>
        <w:separator/>
      </w:r>
    </w:p>
  </w:footnote>
  <w:footnote w:type="continuationSeparator" w:id="0">
    <w:p w14:paraId="6240CD6F" w14:textId="77777777" w:rsidR="00816AC3" w:rsidRDefault="00816AC3" w:rsidP="009B69D6">
      <w:r>
        <w:continuationSeparator/>
      </w:r>
    </w:p>
  </w:footnote>
  <w:footnote w:type="continuationNotice" w:id="1">
    <w:p w14:paraId="44D29946" w14:textId="77777777" w:rsidR="00816AC3" w:rsidRDefault="00816AC3"/>
  </w:footnote>
  <w:footnote w:id="2">
    <w:p w14:paraId="2610C3AA" w14:textId="77777777" w:rsidR="00420F9C" w:rsidRPr="00266A8A" w:rsidRDefault="00420F9C" w:rsidP="001913A7">
      <w:pPr>
        <w:pStyle w:val="FootnoteText"/>
        <w:rPr>
          <w:szCs w:val="18"/>
        </w:rPr>
      </w:pPr>
      <w:r>
        <w:rPr>
          <w:rStyle w:val="FootnoteReference"/>
        </w:rPr>
        <w:footnoteRef/>
      </w:r>
      <w:r>
        <w:rPr>
          <w:szCs w:val="18"/>
        </w:rPr>
        <w:t xml:space="preserve"> </w:t>
      </w:r>
      <w:r w:rsidRPr="00266A8A">
        <w:rPr>
          <w:szCs w:val="18"/>
        </w:rPr>
        <w:t>HBGVs</w:t>
      </w:r>
      <w:r>
        <w:rPr>
          <w:szCs w:val="18"/>
        </w:rPr>
        <w:t xml:space="preserve"> include the Acceptable Daily Intake (ADI) or the Acute Reference Dose (ARfD). See Glossary for definition of ADI and ARfD.</w:t>
      </w:r>
    </w:p>
  </w:footnote>
  <w:footnote w:id="3">
    <w:p w14:paraId="0F7ABF20" w14:textId="514721C6" w:rsidR="00420F9C" w:rsidRDefault="00420F9C">
      <w:pPr>
        <w:pStyle w:val="FootnoteText"/>
      </w:pPr>
      <w:r>
        <w:rPr>
          <w:rStyle w:val="FootnoteReference"/>
        </w:rPr>
        <w:footnoteRef/>
      </w:r>
      <w:r>
        <w:t xml:space="preserve"> Reference to the use of exclusion criteria in developing the risk assessment approach was made in the 1</w:t>
      </w:r>
      <w:r w:rsidRPr="00C97799">
        <w:rPr>
          <w:vertAlign w:val="superscript"/>
        </w:rPr>
        <w:t>st</w:t>
      </w:r>
      <w:r>
        <w:t xml:space="preserve"> CFS which can be assessed at </w:t>
      </w:r>
      <w:hyperlink r:id="rId1" w:history="1">
        <w:r w:rsidRPr="00346A3F">
          <w:rPr>
            <w:rStyle w:val="Hyperlink"/>
          </w:rPr>
          <w:t>http://www.foodstandards.gov.au/code/proposals/Documents/P1027-ConsultPaper.pdf</w:t>
        </w:r>
      </w:hyperlink>
      <w:r>
        <w:t xml:space="preserve"> </w:t>
      </w:r>
    </w:p>
  </w:footnote>
  <w:footnote w:id="4">
    <w:p w14:paraId="2212259E" w14:textId="72CFDD11" w:rsidR="00420F9C" w:rsidRDefault="00420F9C" w:rsidP="00AD7E12">
      <w:pPr>
        <w:pStyle w:val="FootnoteText"/>
      </w:pPr>
      <w:r>
        <w:rPr>
          <w:rStyle w:val="FootnoteReference"/>
        </w:rPr>
        <w:footnoteRef/>
      </w:r>
      <w:r>
        <w:t xml:space="preserve"> extraneous residue limit (ERL) means the maximum level of a residue of a chemical:</w:t>
      </w:r>
    </w:p>
    <w:p w14:paraId="2D39DE9D" w14:textId="77777777" w:rsidR="00420F9C" w:rsidRDefault="00420F9C" w:rsidP="00AD7E12">
      <w:pPr>
        <w:pStyle w:val="FootnoteText"/>
      </w:pPr>
      <w:r>
        <w:t>(a) permitted to be present in a food; and</w:t>
      </w:r>
    </w:p>
    <w:p w14:paraId="233EAD03" w14:textId="3EC216FD" w:rsidR="00420F9C" w:rsidRDefault="00420F9C">
      <w:pPr>
        <w:pStyle w:val="FootnoteText"/>
      </w:pPr>
      <w:r>
        <w:t>(b) arises from environmental sources other than the use of a chemical directly or indirectly on the food.</w:t>
      </w:r>
    </w:p>
  </w:footnote>
  <w:footnote w:id="5">
    <w:p w14:paraId="06FF2376" w14:textId="028BDCDF" w:rsidR="00420F9C" w:rsidRPr="00E071A9" w:rsidRDefault="00420F9C" w:rsidP="00176829">
      <w:pPr>
        <w:pStyle w:val="FootnoteText"/>
        <w:rPr>
          <w:szCs w:val="18"/>
        </w:rPr>
      </w:pPr>
      <w:r w:rsidRPr="00E071A9">
        <w:rPr>
          <w:rStyle w:val="FootnoteReference"/>
          <w:szCs w:val="18"/>
        </w:rPr>
        <w:footnoteRef/>
      </w:r>
      <w:r w:rsidRPr="00E071A9">
        <w:rPr>
          <w:szCs w:val="18"/>
        </w:rPr>
        <w:t xml:space="preserve"> An explanation of how dietary exposure assessments are carried out</w:t>
      </w:r>
      <w:r>
        <w:rPr>
          <w:szCs w:val="18"/>
        </w:rPr>
        <w:t xml:space="preserve"> by FSANZ </w:t>
      </w:r>
      <w:r w:rsidRPr="00E071A9">
        <w:rPr>
          <w:szCs w:val="18"/>
        </w:rPr>
        <w:t xml:space="preserve">can be found at </w:t>
      </w:r>
      <w:hyperlink r:id="rId2" w:history="1">
        <w:r w:rsidRPr="00E071A9">
          <w:rPr>
            <w:rStyle w:val="Hyperlink"/>
            <w:szCs w:val="18"/>
          </w:rPr>
          <w:t>http://www.foodstandards.gov.au/science/exposure/Pages/dietaryexposureandin4438.aspx</w:t>
        </w:r>
      </w:hyperlink>
      <w:r>
        <w:rPr>
          <w:rStyle w:val="Hyperlink"/>
          <w:szCs w:val="18"/>
        </w:rPr>
        <w:t xml:space="preserve"> </w:t>
      </w:r>
    </w:p>
  </w:footnote>
  <w:footnote w:id="6">
    <w:p w14:paraId="3FE9AFC8" w14:textId="02746574" w:rsidR="00420F9C" w:rsidRDefault="00420F9C">
      <w:pPr>
        <w:pStyle w:val="FootnoteText"/>
      </w:pPr>
      <w:r>
        <w:rPr>
          <w:rStyle w:val="FootnoteReference"/>
        </w:rPr>
        <w:footnoteRef/>
      </w:r>
      <w:r w:rsidRPr="00240BF4">
        <w:t xml:space="preserve">  An asterisk ‘*’ appearing in Schedules </w:t>
      </w:r>
      <w:r>
        <w:t>20 or 21</w:t>
      </w:r>
      <w:r w:rsidRPr="00240BF4">
        <w:t xml:space="preserve"> denotes that the maximum residue limit or the extraneous residue limit is set at or about the </w:t>
      </w:r>
      <w:r w:rsidRPr="00240BF4">
        <w:rPr>
          <w:i/>
        </w:rPr>
        <w:t>limit of determination</w:t>
      </w:r>
      <w:r w:rsidRPr="00240BF4">
        <w:t>.</w:t>
      </w:r>
    </w:p>
  </w:footnote>
  <w:footnote w:id="7">
    <w:p w14:paraId="5728D08C" w14:textId="68EA553D" w:rsidR="00420F9C" w:rsidRPr="006A7B63" w:rsidRDefault="00420F9C" w:rsidP="006A7B63">
      <w:pPr>
        <w:pStyle w:val="FootnoteText"/>
      </w:pPr>
      <w:r>
        <w:rPr>
          <w:rStyle w:val="FootnoteReference"/>
        </w:rPr>
        <w:footnoteRef/>
      </w:r>
      <w:r>
        <w:t xml:space="preserve"> Refer to </w:t>
      </w:r>
      <w:hyperlink r:id="rId3" w:history="1">
        <w:r>
          <w:rPr>
            <w:rStyle w:val="Hyperlink"/>
          </w:rPr>
          <w:t xml:space="preserve">Environmental Health Criteria 240 Principles and Methods for the Risk Assessment of Chemicals in Food </w:t>
        </w:r>
      </w:hyperlink>
    </w:p>
  </w:footnote>
  <w:footnote w:id="8">
    <w:p w14:paraId="5900DD3D" w14:textId="6B2C69AB" w:rsidR="00420F9C" w:rsidRDefault="00420F9C">
      <w:pPr>
        <w:pStyle w:val="FootnoteText"/>
      </w:pPr>
      <w:r>
        <w:rPr>
          <w:rStyle w:val="FootnoteReference"/>
        </w:rPr>
        <w:footnoteRef/>
      </w:r>
      <w:r>
        <w:t xml:space="preserve"> </w:t>
      </w:r>
      <w:hyperlink r:id="rId4" w:history="1">
        <w:r w:rsidRPr="003C69EA">
          <w:rPr>
            <w:rStyle w:val="Hyperlink"/>
          </w:rPr>
          <w:t>http://www.foodstandards.gov.au/science/exposure/Pages/dietaryexposureandin4438.aspx</w:t>
        </w:r>
      </w:hyperlink>
    </w:p>
  </w:footnote>
  <w:footnote w:id="9">
    <w:p w14:paraId="7C094D7E" w14:textId="3696C2AC" w:rsidR="00420F9C" w:rsidRDefault="00420F9C">
      <w:pPr>
        <w:pStyle w:val="FootnoteText"/>
      </w:pPr>
      <w:r>
        <w:rPr>
          <w:rStyle w:val="FootnoteReference"/>
        </w:rPr>
        <w:footnoteRef/>
      </w:r>
      <w:hyperlink r:id="rId5" w:history="1">
        <w:r w:rsidRPr="003C69EA">
          <w:rPr>
            <w:rStyle w:val="Hyperlink"/>
          </w:rPr>
          <w:t>http://www.foodstandards.gov.au/science/exposure/Documents/Principles%20_%20practices%20exposure%20assessment%202009.pdf</w:t>
        </w:r>
      </w:hyperlink>
    </w:p>
  </w:footnote>
  <w:footnote w:id="10">
    <w:p w14:paraId="7EE091B2" w14:textId="38DB725A" w:rsidR="00420F9C" w:rsidRDefault="00420F9C" w:rsidP="005F14A7">
      <w:pPr>
        <w:pStyle w:val="FootnoteText"/>
        <w:keepNext/>
        <w:keepLines/>
      </w:pPr>
      <w:r>
        <w:rPr>
          <w:rStyle w:val="FootnoteReference"/>
        </w:rPr>
        <w:footnoteRef/>
      </w:r>
      <w:r>
        <w:t>.FAO/WHO (2009)</w:t>
      </w:r>
      <w:r w:rsidRPr="005F14A7">
        <w:t xml:space="preserve"> </w:t>
      </w:r>
      <w:r>
        <w:t xml:space="preserve">Environmental Health Criteria 240 Principles And Methods for the Risk Assessment of Chemicals in Food. A joint publication of the Food and Agriculture Organization of the United Nations and the World Health Organization. </w:t>
      </w:r>
      <w:hyperlink r:id="rId6" w:history="1">
        <w:r w:rsidRPr="00981EA7">
          <w:rPr>
            <w:rStyle w:val="Hyperlink"/>
          </w:rPr>
          <w:t>http://www.inchem.org/documents/ehc/ehc/ehc240_index.htm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8DE3D" w14:textId="77777777" w:rsidR="0003333B" w:rsidRDefault="00033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8FAF1" w14:textId="77777777" w:rsidR="0003333B" w:rsidRDefault="00033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57A3E" w14:textId="77777777" w:rsidR="0003333B" w:rsidRDefault="00033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DA6"/>
    <w:multiLevelType w:val="multilevel"/>
    <w:tmpl w:val="60D2DC5A"/>
    <w:lvl w:ilvl="0">
      <w:start w:val="1"/>
      <w:numFmt w:val="decimal"/>
      <w:lvlText w:val="%1"/>
      <w:lvlJc w:val="left"/>
      <w:pPr>
        <w:ind w:left="5110" w:hanging="432"/>
      </w:pPr>
      <w:rPr>
        <w:rFonts w:hint="default"/>
      </w:rPr>
    </w:lvl>
    <w:lvl w:ilvl="1">
      <w:start w:val="1"/>
      <w:numFmt w:val="decimal"/>
      <w:lvlText w:val="%1.%2"/>
      <w:lvlJc w:val="left"/>
      <w:pPr>
        <w:ind w:left="2136" w:hanging="576"/>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E5A2F"/>
    <w:multiLevelType w:val="multilevel"/>
    <w:tmpl w:val="9F5ACD5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2A65F2"/>
    <w:multiLevelType w:val="hybridMultilevel"/>
    <w:tmpl w:val="C9AC4920"/>
    <w:lvl w:ilvl="0" w:tplc="B36A6FA8">
      <w:start w:val="1"/>
      <w:numFmt w:val="bullet"/>
      <w:pStyle w:val="Bullet"/>
      <w:lvlText w:val=""/>
      <w:lvlJc w:val="left"/>
      <w:pPr>
        <w:tabs>
          <w:tab w:val="num" w:pos="1134"/>
        </w:tabs>
        <w:ind w:left="1134" w:hanging="567"/>
      </w:pPr>
      <w:rPr>
        <w:rFonts w:ascii="Symbol" w:hAnsi="Symbol"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6571346"/>
    <w:multiLevelType w:val="hybridMultilevel"/>
    <w:tmpl w:val="379CC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787C33"/>
    <w:multiLevelType w:val="hybridMultilevel"/>
    <w:tmpl w:val="ECD4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05137B"/>
    <w:multiLevelType w:val="hybridMultilevel"/>
    <w:tmpl w:val="2B9457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3127D5F"/>
    <w:multiLevelType w:val="hybridMultilevel"/>
    <w:tmpl w:val="F8F8DA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4B2C52"/>
    <w:multiLevelType w:val="hybridMultilevel"/>
    <w:tmpl w:val="E5F4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8B06CF6"/>
    <w:multiLevelType w:val="hybridMultilevel"/>
    <w:tmpl w:val="1CCC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2E5BC0"/>
    <w:multiLevelType w:val="multilevel"/>
    <w:tmpl w:val="28D6ED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BE355A"/>
    <w:multiLevelType w:val="hybridMultilevel"/>
    <w:tmpl w:val="1414A0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CC4EFC"/>
    <w:multiLevelType w:val="hybridMultilevel"/>
    <w:tmpl w:val="AD3672E2"/>
    <w:lvl w:ilvl="0" w:tplc="08090001">
      <w:start w:val="1"/>
      <w:numFmt w:val="bullet"/>
      <w:lvlText w:val=""/>
      <w:lvlJc w:val="left"/>
      <w:pPr>
        <w:ind w:left="360" w:hanging="360"/>
      </w:pPr>
      <w:rPr>
        <w:rFonts w:ascii="Symbol" w:hAnsi="Symbol" w:hint="default"/>
      </w:rPr>
    </w:lvl>
    <w:lvl w:ilvl="1" w:tplc="BF000690">
      <w:numFmt w:val="bullet"/>
      <w:lvlText w:val="•"/>
      <w:lvlJc w:val="left"/>
      <w:pPr>
        <w:ind w:left="1290" w:hanging="57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1894140"/>
    <w:multiLevelType w:val="hybridMultilevel"/>
    <w:tmpl w:val="33EE90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7756E2"/>
    <w:multiLevelType w:val="hybridMultilevel"/>
    <w:tmpl w:val="65C21F2C"/>
    <w:lvl w:ilvl="0" w:tplc="08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nsid w:val="583A5EAA"/>
    <w:multiLevelType w:val="hybridMultilevel"/>
    <w:tmpl w:val="C74A026C"/>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5EE67932"/>
    <w:multiLevelType w:val="hybridMultilevel"/>
    <w:tmpl w:val="9514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CF72EE"/>
    <w:multiLevelType w:val="hybridMultilevel"/>
    <w:tmpl w:val="B5D8AC1C"/>
    <w:lvl w:ilvl="0" w:tplc="435A306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DBA3D85"/>
    <w:multiLevelType w:val="hybridMultilevel"/>
    <w:tmpl w:val="B49694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72F09F3"/>
    <w:multiLevelType w:val="hybridMultilevel"/>
    <w:tmpl w:val="BFAA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5"/>
  </w:num>
  <w:num w:numId="4">
    <w:abstractNumId w:val="12"/>
  </w:num>
  <w:num w:numId="5">
    <w:abstractNumId w:val="18"/>
  </w:num>
  <w:num w:numId="6">
    <w:abstractNumId w:val="13"/>
  </w:num>
  <w:num w:numId="7">
    <w:abstractNumId w:val="4"/>
  </w:num>
  <w:num w:numId="8">
    <w:abstractNumId w:val="9"/>
  </w:num>
  <w:num w:numId="9">
    <w:abstractNumId w:val="17"/>
  </w:num>
  <w:num w:numId="10">
    <w:abstractNumId w:val="1"/>
  </w:num>
  <w:num w:numId="11">
    <w:abstractNumId w:val="5"/>
  </w:num>
  <w:num w:numId="12">
    <w:abstractNumId w:val="0"/>
  </w:num>
  <w:num w:numId="13">
    <w:abstractNumId w:val="3"/>
  </w:num>
  <w:num w:numId="14">
    <w:abstractNumId w:val="21"/>
  </w:num>
  <w:num w:numId="15">
    <w:abstractNumId w:val="8"/>
  </w:num>
  <w:num w:numId="16">
    <w:abstractNumId w:val="14"/>
  </w:num>
  <w:num w:numId="17">
    <w:abstractNumId w:val="6"/>
  </w:num>
  <w:num w:numId="18">
    <w:abstractNumId w:val="19"/>
  </w:num>
  <w:num w:numId="19">
    <w:abstractNumId w:val="16"/>
  </w:num>
  <w:num w:numId="20">
    <w:abstractNumId w:val="7"/>
  </w:num>
  <w:num w:numId="21">
    <w:abstractNumId w:val="10"/>
  </w:num>
  <w:num w:numId="2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D6"/>
    <w:rsid w:val="0000021C"/>
    <w:rsid w:val="000025E0"/>
    <w:rsid w:val="0000542C"/>
    <w:rsid w:val="0000563B"/>
    <w:rsid w:val="00006BAB"/>
    <w:rsid w:val="0001020A"/>
    <w:rsid w:val="00010FA9"/>
    <w:rsid w:val="00012A72"/>
    <w:rsid w:val="00013934"/>
    <w:rsid w:val="00014681"/>
    <w:rsid w:val="00014BD3"/>
    <w:rsid w:val="000151A9"/>
    <w:rsid w:val="0001587F"/>
    <w:rsid w:val="00017C7F"/>
    <w:rsid w:val="00021330"/>
    <w:rsid w:val="000217BF"/>
    <w:rsid w:val="00025CD7"/>
    <w:rsid w:val="00026B3E"/>
    <w:rsid w:val="00027B14"/>
    <w:rsid w:val="0003142F"/>
    <w:rsid w:val="00031697"/>
    <w:rsid w:val="00032761"/>
    <w:rsid w:val="0003333B"/>
    <w:rsid w:val="00033B17"/>
    <w:rsid w:val="00033E41"/>
    <w:rsid w:val="00035518"/>
    <w:rsid w:val="0003601D"/>
    <w:rsid w:val="00036EB1"/>
    <w:rsid w:val="00037397"/>
    <w:rsid w:val="00040496"/>
    <w:rsid w:val="00040B66"/>
    <w:rsid w:val="00041643"/>
    <w:rsid w:val="000425B0"/>
    <w:rsid w:val="0004343D"/>
    <w:rsid w:val="00043509"/>
    <w:rsid w:val="0004449F"/>
    <w:rsid w:val="0004457A"/>
    <w:rsid w:val="00044AC7"/>
    <w:rsid w:val="00044F58"/>
    <w:rsid w:val="00046168"/>
    <w:rsid w:val="00046751"/>
    <w:rsid w:val="00046DAD"/>
    <w:rsid w:val="00050106"/>
    <w:rsid w:val="00051795"/>
    <w:rsid w:val="00051BB0"/>
    <w:rsid w:val="00052ABD"/>
    <w:rsid w:val="000537FF"/>
    <w:rsid w:val="00053E3C"/>
    <w:rsid w:val="0005486B"/>
    <w:rsid w:val="00056022"/>
    <w:rsid w:val="0006197D"/>
    <w:rsid w:val="00062226"/>
    <w:rsid w:val="000622E7"/>
    <w:rsid w:val="0006277A"/>
    <w:rsid w:val="0006402D"/>
    <w:rsid w:val="000643F0"/>
    <w:rsid w:val="00064AE7"/>
    <w:rsid w:val="00064BF5"/>
    <w:rsid w:val="000657AA"/>
    <w:rsid w:val="000658A6"/>
    <w:rsid w:val="00065BF6"/>
    <w:rsid w:val="00065E21"/>
    <w:rsid w:val="00066854"/>
    <w:rsid w:val="00066D85"/>
    <w:rsid w:val="000670DB"/>
    <w:rsid w:val="0007051C"/>
    <w:rsid w:val="0007288D"/>
    <w:rsid w:val="00073246"/>
    <w:rsid w:val="00073824"/>
    <w:rsid w:val="0007580B"/>
    <w:rsid w:val="00075B2F"/>
    <w:rsid w:val="00076B62"/>
    <w:rsid w:val="00076EF2"/>
    <w:rsid w:val="00077DF3"/>
    <w:rsid w:val="00080F58"/>
    <w:rsid w:val="0008239E"/>
    <w:rsid w:val="00084872"/>
    <w:rsid w:val="000848DF"/>
    <w:rsid w:val="00087612"/>
    <w:rsid w:val="00087A41"/>
    <w:rsid w:val="000901B0"/>
    <w:rsid w:val="00090304"/>
    <w:rsid w:val="0009032A"/>
    <w:rsid w:val="00092BFF"/>
    <w:rsid w:val="00093CA4"/>
    <w:rsid w:val="00095D4F"/>
    <w:rsid w:val="000A164C"/>
    <w:rsid w:val="000A23AD"/>
    <w:rsid w:val="000A23F4"/>
    <w:rsid w:val="000A318F"/>
    <w:rsid w:val="000A38F8"/>
    <w:rsid w:val="000A3E64"/>
    <w:rsid w:val="000A54F1"/>
    <w:rsid w:val="000A585E"/>
    <w:rsid w:val="000A6419"/>
    <w:rsid w:val="000A76C7"/>
    <w:rsid w:val="000B0EAA"/>
    <w:rsid w:val="000B13FB"/>
    <w:rsid w:val="000B191E"/>
    <w:rsid w:val="000B1D22"/>
    <w:rsid w:val="000B2848"/>
    <w:rsid w:val="000B28FF"/>
    <w:rsid w:val="000B4ED7"/>
    <w:rsid w:val="000B5780"/>
    <w:rsid w:val="000B731A"/>
    <w:rsid w:val="000B7A9A"/>
    <w:rsid w:val="000C0401"/>
    <w:rsid w:val="000C07E7"/>
    <w:rsid w:val="000C15E8"/>
    <w:rsid w:val="000C170D"/>
    <w:rsid w:val="000C33C0"/>
    <w:rsid w:val="000C3C8F"/>
    <w:rsid w:val="000C5836"/>
    <w:rsid w:val="000C5899"/>
    <w:rsid w:val="000D0311"/>
    <w:rsid w:val="000D2082"/>
    <w:rsid w:val="000D3602"/>
    <w:rsid w:val="000D46A1"/>
    <w:rsid w:val="000D5754"/>
    <w:rsid w:val="000D5868"/>
    <w:rsid w:val="000D5C5A"/>
    <w:rsid w:val="000D5DD8"/>
    <w:rsid w:val="000E0282"/>
    <w:rsid w:val="000E0D6C"/>
    <w:rsid w:val="000E2284"/>
    <w:rsid w:val="000E2FD4"/>
    <w:rsid w:val="000E4F93"/>
    <w:rsid w:val="000F122F"/>
    <w:rsid w:val="000F14BC"/>
    <w:rsid w:val="000F1D24"/>
    <w:rsid w:val="000F2196"/>
    <w:rsid w:val="000F2963"/>
    <w:rsid w:val="000F2B2A"/>
    <w:rsid w:val="000F3619"/>
    <w:rsid w:val="000F3A63"/>
    <w:rsid w:val="000F5C2B"/>
    <w:rsid w:val="000F638A"/>
    <w:rsid w:val="000F6EB1"/>
    <w:rsid w:val="00101B76"/>
    <w:rsid w:val="00101BC5"/>
    <w:rsid w:val="00103D08"/>
    <w:rsid w:val="001040CD"/>
    <w:rsid w:val="001042CE"/>
    <w:rsid w:val="001048C5"/>
    <w:rsid w:val="0010515C"/>
    <w:rsid w:val="00106E24"/>
    <w:rsid w:val="001076B3"/>
    <w:rsid w:val="00107E43"/>
    <w:rsid w:val="001103D7"/>
    <w:rsid w:val="00112FD1"/>
    <w:rsid w:val="00114495"/>
    <w:rsid w:val="00114EDC"/>
    <w:rsid w:val="001164D8"/>
    <w:rsid w:val="00116E8F"/>
    <w:rsid w:val="00120CCF"/>
    <w:rsid w:val="00122AF9"/>
    <w:rsid w:val="001237A2"/>
    <w:rsid w:val="00124807"/>
    <w:rsid w:val="00125848"/>
    <w:rsid w:val="001261B1"/>
    <w:rsid w:val="0012652E"/>
    <w:rsid w:val="0012742C"/>
    <w:rsid w:val="00130BB5"/>
    <w:rsid w:val="0013182D"/>
    <w:rsid w:val="00131EFB"/>
    <w:rsid w:val="00132885"/>
    <w:rsid w:val="00133682"/>
    <w:rsid w:val="0013481C"/>
    <w:rsid w:val="00137AAE"/>
    <w:rsid w:val="001410CB"/>
    <w:rsid w:val="001424B2"/>
    <w:rsid w:val="00142B00"/>
    <w:rsid w:val="001433F9"/>
    <w:rsid w:val="00145514"/>
    <w:rsid w:val="001457D1"/>
    <w:rsid w:val="00146596"/>
    <w:rsid w:val="00146856"/>
    <w:rsid w:val="00146F41"/>
    <w:rsid w:val="00147A8F"/>
    <w:rsid w:val="00150186"/>
    <w:rsid w:val="00150DE9"/>
    <w:rsid w:val="00151589"/>
    <w:rsid w:val="001523FD"/>
    <w:rsid w:val="00154964"/>
    <w:rsid w:val="00155FFE"/>
    <w:rsid w:val="001575C6"/>
    <w:rsid w:val="00157AD4"/>
    <w:rsid w:val="00160FDD"/>
    <w:rsid w:val="0016510C"/>
    <w:rsid w:val="00165225"/>
    <w:rsid w:val="0016534B"/>
    <w:rsid w:val="0016624D"/>
    <w:rsid w:val="001668C7"/>
    <w:rsid w:val="00167275"/>
    <w:rsid w:val="001704A7"/>
    <w:rsid w:val="00170D55"/>
    <w:rsid w:val="00171C76"/>
    <w:rsid w:val="001734EA"/>
    <w:rsid w:val="001748B2"/>
    <w:rsid w:val="00174B8F"/>
    <w:rsid w:val="0017607F"/>
    <w:rsid w:val="00176829"/>
    <w:rsid w:val="00177651"/>
    <w:rsid w:val="001812C3"/>
    <w:rsid w:val="001821F0"/>
    <w:rsid w:val="0018259C"/>
    <w:rsid w:val="00182956"/>
    <w:rsid w:val="00184403"/>
    <w:rsid w:val="00184CA6"/>
    <w:rsid w:val="001854B5"/>
    <w:rsid w:val="001913A7"/>
    <w:rsid w:val="00191770"/>
    <w:rsid w:val="00191F48"/>
    <w:rsid w:val="00191F7A"/>
    <w:rsid w:val="00192240"/>
    <w:rsid w:val="0019417C"/>
    <w:rsid w:val="00194598"/>
    <w:rsid w:val="00194D3F"/>
    <w:rsid w:val="00195F90"/>
    <w:rsid w:val="00196244"/>
    <w:rsid w:val="00197019"/>
    <w:rsid w:val="00197407"/>
    <w:rsid w:val="001A33E9"/>
    <w:rsid w:val="001A4628"/>
    <w:rsid w:val="001A495A"/>
    <w:rsid w:val="001A5EFB"/>
    <w:rsid w:val="001A6EBE"/>
    <w:rsid w:val="001B2A42"/>
    <w:rsid w:val="001B2D1B"/>
    <w:rsid w:val="001B4106"/>
    <w:rsid w:val="001B51FC"/>
    <w:rsid w:val="001B5872"/>
    <w:rsid w:val="001B7884"/>
    <w:rsid w:val="001C1D46"/>
    <w:rsid w:val="001C325E"/>
    <w:rsid w:val="001C3EE7"/>
    <w:rsid w:val="001C4129"/>
    <w:rsid w:val="001C5126"/>
    <w:rsid w:val="001C5D47"/>
    <w:rsid w:val="001C5D5B"/>
    <w:rsid w:val="001D14CD"/>
    <w:rsid w:val="001D1C3B"/>
    <w:rsid w:val="001D2154"/>
    <w:rsid w:val="001D3135"/>
    <w:rsid w:val="001D42BF"/>
    <w:rsid w:val="001D462F"/>
    <w:rsid w:val="001D4640"/>
    <w:rsid w:val="001D48BD"/>
    <w:rsid w:val="001D62E3"/>
    <w:rsid w:val="001D6A87"/>
    <w:rsid w:val="001D70D2"/>
    <w:rsid w:val="001E163D"/>
    <w:rsid w:val="001E224B"/>
    <w:rsid w:val="001E2605"/>
    <w:rsid w:val="001E5781"/>
    <w:rsid w:val="001E6361"/>
    <w:rsid w:val="001E696B"/>
    <w:rsid w:val="001E6D92"/>
    <w:rsid w:val="001F06E6"/>
    <w:rsid w:val="001F184A"/>
    <w:rsid w:val="001F1A00"/>
    <w:rsid w:val="001F1D9E"/>
    <w:rsid w:val="001F4112"/>
    <w:rsid w:val="001F57A0"/>
    <w:rsid w:val="001F726B"/>
    <w:rsid w:val="001F7CAF"/>
    <w:rsid w:val="00200311"/>
    <w:rsid w:val="00203FD2"/>
    <w:rsid w:val="00204756"/>
    <w:rsid w:val="00205151"/>
    <w:rsid w:val="0020581D"/>
    <w:rsid w:val="00205C16"/>
    <w:rsid w:val="002061B1"/>
    <w:rsid w:val="0020746F"/>
    <w:rsid w:val="00207D70"/>
    <w:rsid w:val="00207E23"/>
    <w:rsid w:val="002100F1"/>
    <w:rsid w:val="0021055B"/>
    <w:rsid w:val="00211D84"/>
    <w:rsid w:val="0021274D"/>
    <w:rsid w:val="0021349B"/>
    <w:rsid w:val="002134C3"/>
    <w:rsid w:val="00214A11"/>
    <w:rsid w:val="00220251"/>
    <w:rsid w:val="002202EF"/>
    <w:rsid w:val="00220577"/>
    <w:rsid w:val="00220C42"/>
    <w:rsid w:val="00220DC7"/>
    <w:rsid w:val="002232B1"/>
    <w:rsid w:val="00224935"/>
    <w:rsid w:val="00224C96"/>
    <w:rsid w:val="0022721D"/>
    <w:rsid w:val="00227844"/>
    <w:rsid w:val="00227DF3"/>
    <w:rsid w:val="00231862"/>
    <w:rsid w:val="0023252C"/>
    <w:rsid w:val="00233EC8"/>
    <w:rsid w:val="00234708"/>
    <w:rsid w:val="00234C31"/>
    <w:rsid w:val="00235DC7"/>
    <w:rsid w:val="00237F08"/>
    <w:rsid w:val="00240877"/>
    <w:rsid w:val="002409D7"/>
    <w:rsid w:val="00240BF4"/>
    <w:rsid w:val="002426F6"/>
    <w:rsid w:val="00242B64"/>
    <w:rsid w:val="0024363A"/>
    <w:rsid w:val="00243D38"/>
    <w:rsid w:val="002443C9"/>
    <w:rsid w:val="0024631F"/>
    <w:rsid w:val="00247A62"/>
    <w:rsid w:val="002501A1"/>
    <w:rsid w:val="00251BAF"/>
    <w:rsid w:val="00252A09"/>
    <w:rsid w:val="00252F3A"/>
    <w:rsid w:val="00253339"/>
    <w:rsid w:val="002535CE"/>
    <w:rsid w:val="002545AA"/>
    <w:rsid w:val="00254ADD"/>
    <w:rsid w:val="00254D2A"/>
    <w:rsid w:val="0025561A"/>
    <w:rsid w:val="00257CC9"/>
    <w:rsid w:val="0026053F"/>
    <w:rsid w:val="00261379"/>
    <w:rsid w:val="002623F4"/>
    <w:rsid w:val="002625C8"/>
    <w:rsid w:val="00262E29"/>
    <w:rsid w:val="00263633"/>
    <w:rsid w:val="00263B3B"/>
    <w:rsid w:val="00264466"/>
    <w:rsid w:val="00265988"/>
    <w:rsid w:val="00266168"/>
    <w:rsid w:val="002676D3"/>
    <w:rsid w:val="0027053C"/>
    <w:rsid w:val="00271B97"/>
    <w:rsid w:val="00273D45"/>
    <w:rsid w:val="00273EA0"/>
    <w:rsid w:val="00274DE0"/>
    <w:rsid w:val="00275086"/>
    <w:rsid w:val="00275CBB"/>
    <w:rsid w:val="00275CF1"/>
    <w:rsid w:val="00276AA4"/>
    <w:rsid w:val="00277DFB"/>
    <w:rsid w:val="00280712"/>
    <w:rsid w:val="0028211E"/>
    <w:rsid w:val="002824A7"/>
    <w:rsid w:val="0028309E"/>
    <w:rsid w:val="002857E9"/>
    <w:rsid w:val="00285F28"/>
    <w:rsid w:val="002867A1"/>
    <w:rsid w:val="00286C41"/>
    <w:rsid w:val="002875EC"/>
    <w:rsid w:val="00287C18"/>
    <w:rsid w:val="00290CCB"/>
    <w:rsid w:val="00290F27"/>
    <w:rsid w:val="00291D60"/>
    <w:rsid w:val="0029381E"/>
    <w:rsid w:val="00294F7A"/>
    <w:rsid w:val="002962C6"/>
    <w:rsid w:val="00296C5E"/>
    <w:rsid w:val="002A10BC"/>
    <w:rsid w:val="002A26A0"/>
    <w:rsid w:val="002A3586"/>
    <w:rsid w:val="002A3AC4"/>
    <w:rsid w:val="002A4F90"/>
    <w:rsid w:val="002A5D39"/>
    <w:rsid w:val="002A66A1"/>
    <w:rsid w:val="002A77AB"/>
    <w:rsid w:val="002A7A69"/>
    <w:rsid w:val="002A7AEB"/>
    <w:rsid w:val="002B0FB3"/>
    <w:rsid w:val="002B21B4"/>
    <w:rsid w:val="002B23B9"/>
    <w:rsid w:val="002B3ABD"/>
    <w:rsid w:val="002B40F8"/>
    <w:rsid w:val="002B62F0"/>
    <w:rsid w:val="002C002B"/>
    <w:rsid w:val="002C0A63"/>
    <w:rsid w:val="002C1789"/>
    <w:rsid w:val="002C2143"/>
    <w:rsid w:val="002C21EA"/>
    <w:rsid w:val="002C3364"/>
    <w:rsid w:val="002C65DE"/>
    <w:rsid w:val="002C67EA"/>
    <w:rsid w:val="002D0C79"/>
    <w:rsid w:val="002D0F2D"/>
    <w:rsid w:val="002D45C1"/>
    <w:rsid w:val="002D4F9E"/>
    <w:rsid w:val="002D5244"/>
    <w:rsid w:val="002D5850"/>
    <w:rsid w:val="002D5CE1"/>
    <w:rsid w:val="002D636C"/>
    <w:rsid w:val="002D753B"/>
    <w:rsid w:val="002D7726"/>
    <w:rsid w:val="002D7A46"/>
    <w:rsid w:val="002E12B8"/>
    <w:rsid w:val="002E16F6"/>
    <w:rsid w:val="002E1CAC"/>
    <w:rsid w:val="002E2D7E"/>
    <w:rsid w:val="002E2DB7"/>
    <w:rsid w:val="002E4AC0"/>
    <w:rsid w:val="002E53A2"/>
    <w:rsid w:val="002E6AD8"/>
    <w:rsid w:val="002E7FDF"/>
    <w:rsid w:val="002F2810"/>
    <w:rsid w:val="002F2854"/>
    <w:rsid w:val="002F2AF2"/>
    <w:rsid w:val="002F3ACB"/>
    <w:rsid w:val="002F47F6"/>
    <w:rsid w:val="002F4DCF"/>
    <w:rsid w:val="002F5169"/>
    <w:rsid w:val="002F5AA8"/>
    <w:rsid w:val="002F6CD0"/>
    <w:rsid w:val="002F7699"/>
    <w:rsid w:val="00300018"/>
    <w:rsid w:val="003008B0"/>
    <w:rsid w:val="00300E16"/>
    <w:rsid w:val="0030209C"/>
    <w:rsid w:val="00302A76"/>
    <w:rsid w:val="00303BB1"/>
    <w:rsid w:val="00306744"/>
    <w:rsid w:val="00306915"/>
    <w:rsid w:val="00306BBF"/>
    <w:rsid w:val="003070B9"/>
    <w:rsid w:val="00307A3F"/>
    <w:rsid w:val="00310DF0"/>
    <w:rsid w:val="00310F50"/>
    <w:rsid w:val="00311094"/>
    <w:rsid w:val="00311451"/>
    <w:rsid w:val="00311E80"/>
    <w:rsid w:val="00314CA8"/>
    <w:rsid w:val="003178F7"/>
    <w:rsid w:val="003212DB"/>
    <w:rsid w:val="00321AD2"/>
    <w:rsid w:val="00322629"/>
    <w:rsid w:val="0032293D"/>
    <w:rsid w:val="00323CE2"/>
    <w:rsid w:val="0032472C"/>
    <w:rsid w:val="00324A0B"/>
    <w:rsid w:val="003252FD"/>
    <w:rsid w:val="0032536F"/>
    <w:rsid w:val="003258CB"/>
    <w:rsid w:val="0032709B"/>
    <w:rsid w:val="003272FD"/>
    <w:rsid w:val="0033021F"/>
    <w:rsid w:val="00330EB2"/>
    <w:rsid w:val="00331ABB"/>
    <w:rsid w:val="0033243E"/>
    <w:rsid w:val="003338D0"/>
    <w:rsid w:val="003347DA"/>
    <w:rsid w:val="00334A78"/>
    <w:rsid w:val="003363F2"/>
    <w:rsid w:val="003365C0"/>
    <w:rsid w:val="00337918"/>
    <w:rsid w:val="00340DF8"/>
    <w:rsid w:val="00341D25"/>
    <w:rsid w:val="00344F7B"/>
    <w:rsid w:val="003458BD"/>
    <w:rsid w:val="00345CBC"/>
    <w:rsid w:val="003466BE"/>
    <w:rsid w:val="00347A37"/>
    <w:rsid w:val="0035010F"/>
    <w:rsid w:val="00350668"/>
    <w:rsid w:val="00351088"/>
    <w:rsid w:val="00351AC0"/>
    <w:rsid w:val="00351BDF"/>
    <w:rsid w:val="00351C04"/>
    <w:rsid w:val="003522AF"/>
    <w:rsid w:val="00352EE7"/>
    <w:rsid w:val="00354463"/>
    <w:rsid w:val="00357D56"/>
    <w:rsid w:val="003603D9"/>
    <w:rsid w:val="003607CF"/>
    <w:rsid w:val="0036173F"/>
    <w:rsid w:val="00361BD0"/>
    <w:rsid w:val="00362434"/>
    <w:rsid w:val="00362E6E"/>
    <w:rsid w:val="003636AF"/>
    <w:rsid w:val="00364174"/>
    <w:rsid w:val="00364721"/>
    <w:rsid w:val="00364CB6"/>
    <w:rsid w:val="0036503D"/>
    <w:rsid w:val="00365FEA"/>
    <w:rsid w:val="00366A86"/>
    <w:rsid w:val="00370602"/>
    <w:rsid w:val="0037079E"/>
    <w:rsid w:val="0037402B"/>
    <w:rsid w:val="00374614"/>
    <w:rsid w:val="00375F93"/>
    <w:rsid w:val="003766F6"/>
    <w:rsid w:val="00380F0E"/>
    <w:rsid w:val="0038135B"/>
    <w:rsid w:val="0038146F"/>
    <w:rsid w:val="00384E76"/>
    <w:rsid w:val="00385D20"/>
    <w:rsid w:val="0038627B"/>
    <w:rsid w:val="00386682"/>
    <w:rsid w:val="00390EA7"/>
    <w:rsid w:val="00391ED3"/>
    <w:rsid w:val="00392854"/>
    <w:rsid w:val="00392F97"/>
    <w:rsid w:val="00393AA6"/>
    <w:rsid w:val="0039560B"/>
    <w:rsid w:val="003956FF"/>
    <w:rsid w:val="00395BB9"/>
    <w:rsid w:val="00395CB8"/>
    <w:rsid w:val="0039616F"/>
    <w:rsid w:val="00396B0E"/>
    <w:rsid w:val="003A02A7"/>
    <w:rsid w:val="003A0814"/>
    <w:rsid w:val="003A4BEE"/>
    <w:rsid w:val="003A4E68"/>
    <w:rsid w:val="003A5CDE"/>
    <w:rsid w:val="003A6228"/>
    <w:rsid w:val="003A683B"/>
    <w:rsid w:val="003B0B82"/>
    <w:rsid w:val="003B13B1"/>
    <w:rsid w:val="003B24CF"/>
    <w:rsid w:val="003B3DCA"/>
    <w:rsid w:val="003B4429"/>
    <w:rsid w:val="003B5F61"/>
    <w:rsid w:val="003C11A3"/>
    <w:rsid w:val="003C12F4"/>
    <w:rsid w:val="003C14AD"/>
    <w:rsid w:val="003C625B"/>
    <w:rsid w:val="003C6F26"/>
    <w:rsid w:val="003C7EFA"/>
    <w:rsid w:val="003D16D4"/>
    <w:rsid w:val="003D1ABA"/>
    <w:rsid w:val="003D1F84"/>
    <w:rsid w:val="003D24DC"/>
    <w:rsid w:val="003D2EF6"/>
    <w:rsid w:val="003D34E5"/>
    <w:rsid w:val="003D397F"/>
    <w:rsid w:val="003D4A26"/>
    <w:rsid w:val="003D4E8F"/>
    <w:rsid w:val="003D6157"/>
    <w:rsid w:val="003D62B1"/>
    <w:rsid w:val="003D72D8"/>
    <w:rsid w:val="003D79AC"/>
    <w:rsid w:val="003E02D3"/>
    <w:rsid w:val="003E0A6C"/>
    <w:rsid w:val="003E16F9"/>
    <w:rsid w:val="003E1B4F"/>
    <w:rsid w:val="003E1F82"/>
    <w:rsid w:val="003E2F11"/>
    <w:rsid w:val="003E3275"/>
    <w:rsid w:val="003E35DF"/>
    <w:rsid w:val="003E3818"/>
    <w:rsid w:val="003E4C85"/>
    <w:rsid w:val="003E52CB"/>
    <w:rsid w:val="003E58A2"/>
    <w:rsid w:val="003E5FD2"/>
    <w:rsid w:val="003E6FA8"/>
    <w:rsid w:val="003F02A5"/>
    <w:rsid w:val="003F11E8"/>
    <w:rsid w:val="003F182A"/>
    <w:rsid w:val="003F370F"/>
    <w:rsid w:val="003F389F"/>
    <w:rsid w:val="003F3EA7"/>
    <w:rsid w:val="003F4560"/>
    <w:rsid w:val="003F4C85"/>
    <w:rsid w:val="003F5C26"/>
    <w:rsid w:val="003F7051"/>
    <w:rsid w:val="003F7329"/>
    <w:rsid w:val="00400B93"/>
    <w:rsid w:val="00400F95"/>
    <w:rsid w:val="0040210B"/>
    <w:rsid w:val="00402A47"/>
    <w:rsid w:val="004030EE"/>
    <w:rsid w:val="0040382C"/>
    <w:rsid w:val="004039E7"/>
    <w:rsid w:val="00404702"/>
    <w:rsid w:val="0040562D"/>
    <w:rsid w:val="00405A4C"/>
    <w:rsid w:val="0041059E"/>
    <w:rsid w:val="00410999"/>
    <w:rsid w:val="00410E04"/>
    <w:rsid w:val="004115F4"/>
    <w:rsid w:val="00411C60"/>
    <w:rsid w:val="00411DE6"/>
    <w:rsid w:val="004123B0"/>
    <w:rsid w:val="00413393"/>
    <w:rsid w:val="004142D0"/>
    <w:rsid w:val="00415D25"/>
    <w:rsid w:val="00415E93"/>
    <w:rsid w:val="00416171"/>
    <w:rsid w:val="00416A03"/>
    <w:rsid w:val="0041719A"/>
    <w:rsid w:val="00417B14"/>
    <w:rsid w:val="004201F0"/>
    <w:rsid w:val="00420C37"/>
    <w:rsid w:val="00420F9C"/>
    <w:rsid w:val="0042183D"/>
    <w:rsid w:val="00421A04"/>
    <w:rsid w:val="00422170"/>
    <w:rsid w:val="00422F5F"/>
    <w:rsid w:val="00423F7D"/>
    <w:rsid w:val="004243CA"/>
    <w:rsid w:val="00424C46"/>
    <w:rsid w:val="0042539C"/>
    <w:rsid w:val="004276F2"/>
    <w:rsid w:val="004307A8"/>
    <w:rsid w:val="00430EB3"/>
    <w:rsid w:val="00432844"/>
    <w:rsid w:val="00441D77"/>
    <w:rsid w:val="00442CE4"/>
    <w:rsid w:val="004430EB"/>
    <w:rsid w:val="0044351F"/>
    <w:rsid w:val="00443837"/>
    <w:rsid w:val="00443F05"/>
    <w:rsid w:val="004443A5"/>
    <w:rsid w:val="004444C7"/>
    <w:rsid w:val="0044496C"/>
    <w:rsid w:val="004455F5"/>
    <w:rsid w:val="004455FA"/>
    <w:rsid w:val="00445ED0"/>
    <w:rsid w:val="00445F57"/>
    <w:rsid w:val="00446154"/>
    <w:rsid w:val="00446669"/>
    <w:rsid w:val="00447013"/>
    <w:rsid w:val="0045044E"/>
    <w:rsid w:val="0045110C"/>
    <w:rsid w:val="00451839"/>
    <w:rsid w:val="0045221B"/>
    <w:rsid w:val="00452AF8"/>
    <w:rsid w:val="00452CF1"/>
    <w:rsid w:val="00452E54"/>
    <w:rsid w:val="00452F0F"/>
    <w:rsid w:val="004530DF"/>
    <w:rsid w:val="0045328D"/>
    <w:rsid w:val="00453851"/>
    <w:rsid w:val="0045608A"/>
    <w:rsid w:val="00456284"/>
    <w:rsid w:val="0045670B"/>
    <w:rsid w:val="00457789"/>
    <w:rsid w:val="00460727"/>
    <w:rsid w:val="0046199F"/>
    <w:rsid w:val="004628D9"/>
    <w:rsid w:val="00463363"/>
    <w:rsid w:val="004634DA"/>
    <w:rsid w:val="00463A9A"/>
    <w:rsid w:val="004652BD"/>
    <w:rsid w:val="004666D2"/>
    <w:rsid w:val="004701BB"/>
    <w:rsid w:val="004710D5"/>
    <w:rsid w:val="004718BB"/>
    <w:rsid w:val="00472EED"/>
    <w:rsid w:val="004735E1"/>
    <w:rsid w:val="004744FC"/>
    <w:rsid w:val="0047615C"/>
    <w:rsid w:val="00476631"/>
    <w:rsid w:val="00476DFD"/>
    <w:rsid w:val="00477A0D"/>
    <w:rsid w:val="004801B4"/>
    <w:rsid w:val="0048350A"/>
    <w:rsid w:val="00485432"/>
    <w:rsid w:val="00486335"/>
    <w:rsid w:val="00486619"/>
    <w:rsid w:val="004867A7"/>
    <w:rsid w:val="00486C79"/>
    <w:rsid w:val="004877EF"/>
    <w:rsid w:val="0049081D"/>
    <w:rsid w:val="00490BF3"/>
    <w:rsid w:val="00491DE2"/>
    <w:rsid w:val="00492F50"/>
    <w:rsid w:val="00493FD7"/>
    <w:rsid w:val="0049412D"/>
    <w:rsid w:val="00494BF9"/>
    <w:rsid w:val="004950A6"/>
    <w:rsid w:val="004953ED"/>
    <w:rsid w:val="004955E8"/>
    <w:rsid w:val="00496307"/>
    <w:rsid w:val="0049652A"/>
    <w:rsid w:val="00496E9A"/>
    <w:rsid w:val="0049734E"/>
    <w:rsid w:val="00497B93"/>
    <w:rsid w:val="004A089C"/>
    <w:rsid w:val="004A09DA"/>
    <w:rsid w:val="004A13D0"/>
    <w:rsid w:val="004A148B"/>
    <w:rsid w:val="004A1A00"/>
    <w:rsid w:val="004A258E"/>
    <w:rsid w:val="004A2BDB"/>
    <w:rsid w:val="004A32CF"/>
    <w:rsid w:val="004A3DD6"/>
    <w:rsid w:val="004A56DA"/>
    <w:rsid w:val="004A6F9D"/>
    <w:rsid w:val="004B12FC"/>
    <w:rsid w:val="004B2E07"/>
    <w:rsid w:val="004B5820"/>
    <w:rsid w:val="004B6510"/>
    <w:rsid w:val="004B6DFC"/>
    <w:rsid w:val="004C1747"/>
    <w:rsid w:val="004C1D4F"/>
    <w:rsid w:val="004C28F0"/>
    <w:rsid w:val="004C301E"/>
    <w:rsid w:val="004C38D4"/>
    <w:rsid w:val="004C4429"/>
    <w:rsid w:val="004C5E9B"/>
    <w:rsid w:val="004C5F04"/>
    <w:rsid w:val="004D0DB7"/>
    <w:rsid w:val="004D0F13"/>
    <w:rsid w:val="004D3868"/>
    <w:rsid w:val="004D525A"/>
    <w:rsid w:val="004D5C87"/>
    <w:rsid w:val="004D5D3A"/>
    <w:rsid w:val="004D5EC5"/>
    <w:rsid w:val="004E10AD"/>
    <w:rsid w:val="004E223F"/>
    <w:rsid w:val="004E24B3"/>
    <w:rsid w:val="004E2A4F"/>
    <w:rsid w:val="004E42F4"/>
    <w:rsid w:val="004E4740"/>
    <w:rsid w:val="004E54B9"/>
    <w:rsid w:val="004E5A91"/>
    <w:rsid w:val="004E6694"/>
    <w:rsid w:val="004E6D0F"/>
    <w:rsid w:val="004F0640"/>
    <w:rsid w:val="004F1E4C"/>
    <w:rsid w:val="004F28DA"/>
    <w:rsid w:val="004F2999"/>
    <w:rsid w:val="004F2C65"/>
    <w:rsid w:val="004F388B"/>
    <w:rsid w:val="004F3D12"/>
    <w:rsid w:val="004F5162"/>
    <w:rsid w:val="004F60AB"/>
    <w:rsid w:val="004F73C1"/>
    <w:rsid w:val="004F763E"/>
    <w:rsid w:val="004F76AA"/>
    <w:rsid w:val="004F77DF"/>
    <w:rsid w:val="00500024"/>
    <w:rsid w:val="005000FF"/>
    <w:rsid w:val="005009A5"/>
    <w:rsid w:val="005021B5"/>
    <w:rsid w:val="005023F1"/>
    <w:rsid w:val="00502DF6"/>
    <w:rsid w:val="00504141"/>
    <w:rsid w:val="0050424A"/>
    <w:rsid w:val="00504987"/>
    <w:rsid w:val="00504991"/>
    <w:rsid w:val="00504BEB"/>
    <w:rsid w:val="00506325"/>
    <w:rsid w:val="005068CC"/>
    <w:rsid w:val="00510BB7"/>
    <w:rsid w:val="0051252F"/>
    <w:rsid w:val="00512584"/>
    <w:rsid w:val="00512EEF"/>
    <w:rsid w:val="00512F83"/>
    <w:rsid w:val="005137E8"/>
    <w:rsid w:val="005137FD"/>
    <w:rsid w:val="00513DC3"/>
    <w:rsid w:val="005144FE"/>
    <w:rsid w:val="0051510F"/>
    <w:rsid w:val="00515809"/>
    <w:rsid w:val="005159E6"/>
    <w:rsid w:val="005163A9"/>
    <w:rsid w:val="00517BFD"/>
    <w:rsid w:val="005204A0"/>
    <w:rsid w:val="00520EC5"/>
    <w:rsid w:val="005252E1"/>
    <w:rsid w:val="00526D51"/>
    <w:rsid w:val="00526F53"/>
    <w:rsid w:val="00530CAC"/>
    <w:rsid w:val="00531944"/>
    <w:rsid w:val="005327D5"/>
    <w:rsid w:val="00532830"/>
    <w:rsid w:val="00533643"/>
    <w:rsid w:val="00535E1A"/>
    <w:rsid w:val="005362C0"/>
    <w:rsid w:val="005375FF"/>
    <w:rsid w:val="005400CB"/>
    <w:rsid w:val="0054036E"/>
    <w:rsid w:val="0054112D"/>
    <w:rsid w:val="0054275A"/>
    <w:rsid w:val="00542E11"/>
    <w:rsid w:val="0054312F"/>
    <w:rsid w:val="00550437"/>
    <w:rsid w:val="00551115"/>
    <w:rsid w:val="005525C9"/>
    <w:rsid w:val="00552675"/>
    <w:rsid w:val="005528ED"/>
    <w:rsid w:val="00553CA1"/>
    <w:rsid w:val="00554CF6"/>
    <w:rsid w:val="0055689F"/>
    <w:rsid w:val="005605F1"/>
    <w:rsid w:val="00562331"/>
    <w:rsid w:val="0056353A"/>
    <w:rsid w:val="00563A12"/>
    <w:rsid w:val="00563F04"/>
    <w:rsid w:val="005665BE"/>
    <w:rsid w:val="00567261"/>
    <w:rsid w:val="00571713"/>
    <w:rsid w:val="00571CA8"/>
    <w:rsid w:val="00573CA0"/>
    <w:rsid w:val="00573F5D"/>
    <w:rsid w:val="0057497D"/>
    <w:rsid w:val="00577EBF"/>
    <w:rsid w:val="00581311"/>
    <w:rsid w:val="005816A4"/>
    <w:rsid w:val="005818A6"/>
    <w:rsid w:val="00581AE5"/>
    <w:rsid w:val="00581B8B"/>
    <w:rsid w:val="00583357"/>
    <w:rsid w:val="0058343F"/>
    <w:rsid w:val="005846CF"/>
    <w:rsid w:val="00584C49"/>
    <w:rsid w:val="00584ED3"/>
    <w:rsid w:val="00585BE6"/>
    <w:rsid w:val="00585DAF"/>
    <w:rsid w:val="00586041"/>
    <w:rsid w:val="00590BF4"/>
    <w:rsid w:val="005917C3"/>
    <w:rsid w:val="00591DBC"/>
    <w:rsid w:val="00592D97"/>
    <w:rsid w:val="00593983"/>
    <w:rsid w:val="00593BC0"/>
    <w:rsid w:val="00597339"/>
    <w:rsid w:val="0059786A"/>
    <w:rsid w:val="005A2EF9"/>
    <w:rsid w:val="005A4649"/>
    <w:rsid w:val="005A58CD"/>
    <w:rsid w:val="005A68E3"/>
    <w:rsid w:val="005A7465"/>
    <w:rsid w:val="005A7509"/>
    <w:rsid w:val="005A7B96"/>
    <w:rsid w:val="005B01A1"/>
    <w:rsid w:val="005B2E19"/>
    <w:rsid w:val="005B3D24"/>
    <w:rsid w:val="005B5163"/>
    <w:rsid w:val="005B53A7"/>
    <w:rsid w:val="005B56F8"/>
    <w:rsid w:val="005B578D"/>
    <w:rsid w:val="005B6306"/>
    <w:rsid w:val="005B6A58"/>
    <w:rsid w:val="005B702C"/>
    <w:rsid w:val="005B7F53"/>
    <w:rsid w:val="005C01CC"/>
    <w:rsid w:val="005C1996"/>
    <w:rsid w:val="005C34EF"/>
    <w:rsid w:val="005C396C"/>
    <w:rsid w:val="005C3D27"/>
    <w:rsid w:val="005C516E"/>
    <w:rsid w:val="005C5AD4"/>
    <w:rsid w:val="005C7BF6"/>
    <w:rsid w:val="005C7D9F"/>
    <w:rsid w:val="005C7FA0"/>
    <w:rsid w:val="005D06AD"/>
    <w:rsid w:val="005D20D9"/>
    <w:rsid w:val="005D2545"/>
    <w:rsid w:val="005D2866"/>
    <w:rsid w:val="005D41DA"/>
    <w:rsid w:val="005D4245"/>
    <w:rsid w:val="005D443E"/>
    <w:rsid w:val="005D4D27"/>
    <w:rsid w:val="005D56E8"/>
    <w:rsid w:val="005D7ECC"/>
    <w:rsid w:val="005E0255"/>
    <w:rsid w:val="005E0F69"/>
    <w:rsid w:val="005E1591"/>
    <w:rsid w:val="005E178A"/>
    <w:rsid w:val="005E2D1B"/>
    <w:rsid w:val="005E3616"/>
    <w:rsid w:val="005E5538"/>
    <w:rsid w:val="005E62D7"/>
    <w:rsid w:val="005E6E73"/>
    <w:rsid w:val="005E751B"/>
    <w:rsid w:val="005E786B"/>
    <w:rsid w:val="005F0D7D"/>
    <w:rsid w:val="005F14A7"/>
    <w:rsid w:val="005F307B"/>
    <w:rsid w:val="005F3AD9"/>
    <w:rsid w:val="005F7CEC"/>
    <w:rsid w:val="006017FA"/>
    <w:rsid w:val="00602A83"/>
    <w:rsid w:val="00603CDD"/>
    <w:rsid w:val="006055C7"/>
    <w:rsid w:val="006056D2"/>
    <w:rsid w:val="006062D7"/>
    <w:rsid w:val="00606B29"/>
    <w:rsid w:val="00607274"/>
    <w:rsid w:val="00610152"/>
    <w:rsid w:val="00610550"/>
    <w:rsid w:val="00610C83"/>
    <w:rsid w:val="00610F7F"/>
    <w:rsid w:val="00612F68"/>
    <w:rsid w:val="00613923"/>
    <w:rsid w:val="0061449D"/>
    <w:rsid w:val="00614CB7"/>
    <w:rsid w:val="006164A5"/>
    <w:rsid w:val="00621DC2"/>
    <w:rsid w:val="00623A0F"/>
    <w:rsid w:val="00623D09"/>
    <w:rsid w:val="00623D51"/>
    <w:rsid w:val="006251E0"/>
    <w:rsid w:val="006255A8"/>
    <w:rsid w:val="00627501"/>
    <w:rsid w:val="0063136D"/>
    <w:rsid w:val="00631682"/>
    <w:rsid w:val="00631700"/>
    <w:rsid w:val="00632774"/>
    <w:rsid w:val="00632C97"/>
    <w:rsid w:val="00633EE7"/>
    <w:rsid w:val="006347EF"/>
    <w:rsid w:val="00635407"/>
    <w:rsid w:val="0063551A"/>
    <w:rsid w:val="00636173"/>
    <w:rsid w:val="00637684"/>
    <w:rsid w:val="0063771A"/>
    <w:rsid w:val="00637AEE"/>
    <w:rsid w:val="00637EF1"/>
    <w:rsid w:val="00640591"/>
    <w:rsid w:val="006413B6"/>
    <w:rsid w:val="00641829"/>
    <w:rsid w:val="006418D4"/>
    <w:rsid w:val="00641954"/>
    <w:rsid w:val="006424EC"/>
    <w:rsid w:val="00642F8D"/>
    <w:rsid w:val="00642FD3"/>
    <w:rsid w:val="006462B2"/>
    <w:rsid w:val="0064680C"/>
    <w:rsid w:val="00647694"/>
    <w:rsid w:val="0065003E"/>
    <w:rsid w:val="0065315C"/>
    <w:rsid w:val="0065525C"/>
    <w:rsid w:val="006567F9"/>
    <w:rsid w:val="0065776A"/>
    <w:rsid w:val="00657CD4"/>
    <w:rsid w:val="006624C2"/>
    <w:rsid w:val="00663687"/>
    <w:rsid w:val="0066411D"/>
    <w:rsid w:val="00664245"/>
    <w:rsid w:val="00664279"/>
    <w:rsid w:val="0066718F"/>
    <w:rsid w:val="00667939"/>
    <w:rsid w:val="006732BA"/>
    <w:rsid w:val="006739F3"/>
    <w:rsid w:val="00674A5B"/>
    <w:rsid w:val="006764FF"/>
    <w:rsid w:val="00677466"/>
    <w:rsid w:val="006802ED"/>
    <w:rsid w:val="00682197"/>
    <w:rsid w:val="006832B3"/>
    <w:rsid w:val="006844D0"/>
    <w:rsid w:val="006848C3"/>
    <w:rsid w:val="00684DA3"/>
    <w:rsid w:val="006862B4"/>
    <w:rsid w:val="00686418"/>
    <w:rsid w:val="0068781F"/>
    <w:rsid w:val="0069041A"/>
    <w:rsid w:val="0069092F"/>
    <w:rsid w:val="00690D3F"/>
    <w:rsid w:val="00692071"/>
    <w:rsid w:val="006920FB"/>
    <w:rsid w:val="006930DF"/>
    <w:rsid w:val="006931CF"/>
    <w:rsid w:val="00693408"/>
    <w:rsid w:val="00694DC9"/>
    <w:rsid w:val="00697A43"/>
    <w:rsid w:val="006A05BF"/>
    <w:rsid w:val="006A11B7"/>
    <w:rsid w:val="006A1BCE"/>
    <w:rsid w:val="006A1EFD"/>
    <w:rsid w:val="006A2F03"/>
    <w:rsid w:val="006A3A54"/>
    <w:rsid w:val="006A3D1E"/>
    <w:rsid w:val="006A40E1"/>
    <w:rsid w:val="006A50B2"/>
    <w:rsid w:val="006A5611"/>
    <w:rsid w:val="006A5D07"/>
    <w:rsid w:val="006A71A9"/>
    <w:rsid w:val="006A7351"/>
    <w:rsid w:val="006A735A"/>
    <w:rsid w:val="006A793E"/>
    <w:rsid w:val="006A7B63"/>
    <w:rsid w:val="006B1D4F"/>
    <w:rsid w:val="006B1DFE"/>
    <w:rsid w:val="006B2C74"/>
    <w:rsid w:val="006B2C97"/>
    <w:rsid w:val="006B4041"/>
    <w:rsid w:val="006B40E6"/>
    <w:rsid w:val="006B48D3"/>
    <w:rsid w:val="006B5833"/>
    <w:rsid w:val="006B6900"/>
    <w:rsid w:val="006C0C9C"/>
    <w:rsid w:val="006C1E88"/>
    <w:rsid w:val="006C226A"/>
    <w:rsid w:val="006C2B7F"/>
    <w:rsid w:val="006C2DB3"/>
    <w:rsid w:val="006C3944"/>
    <w:rsid w:val="006C57F2"/>
    <w:rsid w:val="006C5D5A"/>
    <w:rsid w:val="006C67D9"/>
    <w:rsid w:val="006C721B"/>
    <w:rsid w:val="006C7399"/>
    <w:rsid w:val="006C76DF"/>
    <w:rsid w:val="006D4293"/>
    <w:rsid w:val="006D473E"/>
    <w:rsid w:val="006D4F27"/>
    <w:rsid w:val="006D5814"/>
    <w:rsid w:val="006D5974"/>
    <w:rsid w:val="006D6DFF"/>
    <w:rsid w:val="006E243F"/>
    <w:rsid w:val="006E32F2"/>
    <w:rsid w:val="006E4144"/>
    <w:rsid w:val="006E5AB5"/>
    <w:rsid w:val="006E5FAD"/>
    <w:rsid w:val="006E6B82"/>
    <w:rsid w:val="006F0573"/>
    <w:rsid w:val="006F09D0"/>
    <w:rsid w:val="006F14BB"/>
    <w:rsid w:val="006F1963"/>
    <w:rsid w:val="006F197A"/>
    <w:rsid w:val="006F22E7"/>
    <w:rsid w:val="006F4E75"/>
    <w:rsid w:val="006F624D"/>
    <w:rsid w:val="00700F43"/>
    <w:rsid w:val="00701749"/>
    <w:rsid w:val="007018BA"/>
    <w:rsid w:val="0070244F"/>
    <w:rsid w:val="007025FD"/>
    <w:rsid w:val="00702673"/>
    <w:rsid w:val="00702E63"/>
    <w:rsid w:val="007033A8"/>
    <w:rsid w:val="00703B35"/>
    <w:rsid w:val="00703E29"/>
    <w:rsid w:val="0070403B"/>
    <w:rsid w:val="007044BB"/>
    <w:rsid w:val="0070545C"/>
    <w:rsid w:val="007057A1"/>
    <w:rsid w:val="0070585F"/>
    <w:rsid w:val="00705F93"/>
    <w:rsid w:val="00707922"/>
    <w:rsid w:val="00710566"/>
    <w:rsid w:val="00711C43"/>
    <w:rsid w:val="00712557"/>
    <w:rsid w:val="007140FC"/>
    <w:rsid w:val="00715005"/>
    <w:rsid w:val="00716FEF"/>
    <w:rsid w:val="007175CC"/>
    <w:rsid w:val="00717949"/>
    <w:rsid w:val="00722AA2"/>
    <w:rsid w:val="0072640E"/>
    <w:rsid w:val="0073246D"/>
    <w:rsid w:val="00735E1E"/>
    <w:rsid w:val="007375CB"/>
    <w:rsid w:val="00737910"/>
    <w:rsid w:val="00737E75"/>
    <w:rsid w:val="00740D39"/>
    <w:rsid w:val="00741F20"/>
    <w:rsid w:val="00741FB6"/>
    <w:rsid w:val="00742354"/>
    <w:rsid w:val="007446BE"/>
    <w:rsid w:val="00745271"/>
    <w:rsid w:val="00745913"/>
    <w:rsid w:val="00745B24"/>
    <w:rsid w:val="0074654C"/>
    <w:rsid w:val="00747AD5"/>
    <w:rsid w:val="0075067F"/>
    <w:rsid w:val="007507FF"/>
    <w:rsid w:val="00750DE8"/>
    <w:rsid w:val="00751049"/>
    <w:rsid w:val="00751140"/>
    <w:rsid w:val="0075131C"/>
    <w:rsid w:val="0075172D"/>
    <w:rsid w:val="00751CE0"/>
    <w:rsid w:val="00751D45"/>
    <w:rsid w:val="0075292E"/>
    <w:rsid w:val="00752E6B"/>
    <w:rsid w:val="007535EA"/>
    <w:rsid w:val="007540E0"/>
    <w:rsid w:val="00755B3F"/>
    <w:rsid w:val="00755B6F"/>
    <w:rsid w:val="00755D16"/>
    <w:rsid w:val="00755F3E"/>
    <w:rsid w:val="00756441"/>
    <w:rsid w:val="007564D8"/>
    <w:rsid w:val="00760194"/>
    <w:rsid w:val="007628B5"/>
    <w:rsid w:val="007628EC"/>
    <w:rsid w:val="007648B3"/>
    <w:rsid w:val="00764A81"/>
    <w:rsid w:val="0076593E"/>
    <w:rsid w:val="0076726D"/>
    <w:rsid w:val="00767650"/>
    <w:rsid w:val="00772CF6"/>
    <w:rsid w:val="0077687F"/>
    <w:rsid w:val="007770B0"/>
    <w:rsid w:val="00777174"/>
    <w:rsid w:val="0078050C"/>
    <w:rsid w:val="00780692"/>
    <w:rsid w:val="00781BBF"/>
    <w:rsid w:val="00782A07"/>
    <w:rsid w:val="00786197"/>
    <w:rsid w:val="007864A8"/>
    <w:rsid w:val="00786A79"/>
    <w:rsid w:val="00786D7F"/>
    <w:rsid w:val="0079061B"/>
    <w:rsid w:val="007911F9"/>
    <w:rsid w:val="00792346"/>
    <w:rsid w:val="00792B43"/>
    <w:rsid w:val="00792E20"/>
    <w:rsid w:val="00793116"/>
    <w:rsid w:val="007937C5"/>
    <w:rsid w:val="00793D7A"/>
    <w:rsid w:val="00793DE6"/>
    <w:rsid w:val="00793EEF"/>
    <w:rsid w:val="00794180"/>
    <w:rsid w:val="007952A9"/>
    <w:rsid w:val="00795CEF"/>
    <w:rsid w:val="007960A1"/>
    <w:rsid w:val="007966CE"/>
    <w:rsid w:val="007972A3"/>
    <w:rsid w:val="007A01AF"/>
    <w:rsid w:val="007A04E2"/>
    <w:rsid w:val="007A07D2"/>
    <w:rsid w:val="007A102F"/>
    <w:rsid w:val="007A160C"/>
    <w:rsid w:val="007A3457"/>
    <w:rsid w:val="007A3641"/>
    <w:rsid w:val="007A381F"/>
    <w:rsid w:val="007A4BE5"/>
    <w:rsid w:val="007A59C1"/>
    <w:rsid w:val="007A5D6F"/>
    <w:rsid w:val="007A73E6"/>
    <w:rsid w:val="007A76C6"/>
    <w:rsid w:val="007B1A72"/>
    <w:rsid w:val="007B24E4"/>
    <w:rsid w:val="007B2A38"/>
    <w:rsid w:val="007B2B31"/>
    <w:rsid w:val="007B46E0"/>
    <w:rsid w:val="007B680B"/>
    <w:rsid w:val="007B6AB2"/>
    <w:rsid w:val="007B72BB"/>
    <w:rsid w:val="007B73C3"/>
    <w:rsid w:val="007B7ABA"/>
    <w:rsid w:val="007C1207"/>
    <w:rsid w:val="007C1F94"/>
    <w:rsid w:val="007C2013"/>
    <w:rsid w:val="007C2E1D"/>
    <w:rsid w:val="007C330A"/>
    <w:rsid w:val="007C6276"/>
    <w:rsid w:val="007C6DEA"/>
    <w:rsid w:val="007C7F06"/>
    <w:rsid w:val="007C7F14"/>
    <w:rsid w:val="007D246F"/>
    <w:rsid w:val="007D35D6"/>
    <w:rsid w:val="007D4429"/>
    <w:rsid w:val="007D5D76"/>
    <w:rsid w:val="007D6364"/>
    <w:rsid w:val="007D65EC"/>
    <w:rsid w:val="007D709B"/>
    <w:rsid w:val="007D77B1"/>
    <w:rsid w:val="007D7F81"/>
    <w:rsid w:val="007E048A"/>
    <w:rsid w:val="007E1D6F"/>
    <w:rsid w:val="007E2048"/>
    <w:rsid w:val="007E28D4"/>
    <w:rsid w:val="007E3E7C"/>
    <w:rsid w:val="007E5449"/>
    <w:rsid w:val="007E5E87"/>
    <w:rsid w:val="007E7F21"/>
    <w:rsid w:val="007F27A0"/>
    <w:rsid w:val="007F2DBD"/>
    <w:rsid w:val="007F3F76"/>
    <w:rsid w:val="007F4504"/>
    <w:rsid w:val="007F49ED"/>
    <w:rsid w:val="007F4D39"/>
    <w:rsid w:val="007F4D40"/>
    <w:rsid w:val="007F553E"/>
    <w:rsid w:val="007F594F"/>
    <w:rsid w:val="007F6456"/>
    <w:rsid w:val="007F6997"/>
    <w:rsid w:val="007F76DE"/>
    <w:rsid w:val="008004CA"/>
    <w:rsid w:val="00800813"/>
    <w:rsid w:val="0080332A"/>
    <w:rsid w:val="00803553"/>
    <w:rsid w:val="00803E4B"/>
    <w:rsid w:val="00804045"/>
    <w:rsid w:val="00804739"/>
    <w:rsid w:val="00806791"/>
    <w:rsid w:val="00807576"/>
    <w:rsid w:val="008120F0"/>
    <w:rsid w:val="00812B4E"/>
    <w:rsid w:val="00813B6B"/>
    <w:rsid w:val="008140D2"/>
    <w:rsid w:val="00814AD1"/>
    <w:rsid w:val="00815552"/>
    <w:rsid w:val="00816717"/>
    <w:rsid w:val="00816A50"/>
    <w:rsid w:val="00816AC3"/>
    <w:rsid w:val="00817137"/>
    <w:rsid w:val="008219AB"/>
    <w:rsid w:val="008220F6"/>
    <w:rsid w:val="008221BC"/>
    <w:rsid w:val="008223A7"/>
    <w:rsid w:val="008243E7"/>
    <w:rsid w:val="008250F0"/>
    <w:rsid w:val="00825E02"/>
    <w:rsid w:val="00826BA9"/>
    <w:rsid w:val="0082715C"/>
    <w:rsid w:val="00830393"/>
    <w:rsid w:val="008308CA"/>
    <w:rsid w:val="00832C0D"/>
    <w:rsid w:val="00832C89"/>
    <w:rsid w:val="00833430"/>
    <w:rsid w:val="00833D5A"/>
    <w:rsid w:val="00834FF8"/>
    <w:rsid w:val="008356F4"/>
    <w:rsid w:val="00835973"/>
    <w:rsid w:val="00837374"/>
    <w:rsid w:val="00837533"/>
    <w:rsid w:val="00840883"/>
    <w:rsid w:val="00840B7E"/>
    <w:rsid w:val="00840CA1"/>
    <w:rsid w:val="008429F6"/>
    <w:rsid w:val="00842E58"/>
    <w:rsid w:val="00845B5E"/>
    <w:rsid w:val="00845F28"/>
    <w:rsid w:val="008460FE"/>
    <w:rsid w:val="00847D67"/>
    <w:rsid w:val="00850105"/>
    <w:rsid w:val="008503E5"/>
    <w:rsid w:val="00850CB8"/>
    <w:rsid w:val="00852564"/>
    <w:rsid w:val="00852720"/>
    <w:rsid w:val="00852934"/>
    <w:rsid w:val="00854BB7"/>
    <w:rsid w:val="00854C44"/>
    <w:rsid w:val="00860EE7"/>
    <w:rsid w:val="008637D7"/>
    <w:rsid w:val="0086502B"/>
    <w:rsid w:val="008653CD"/>
    <w:rsid w:val="00865993"/>
    <w:rsid w:val="00866318"/>
    <w:rsid w:val="00866515"/>
    <w:rsid w:val="0086673E"/>
    <w:rsid w:val="008670C6"/>
    <w:rsid w:val="00867E04"/>
    <w:rsid w:val="0087053C"/>
    <w:rsid w:val="0087074E"/>
    <w:rsid w:val="00870DA7"/>
    <w:rsid w:val="00871FD8"/>
    <w:rsid w:val="008730F0"/>
    <w:rsid w:val="008746FB"/>
    <w:rsid w:val="008755E8"/>
    <w:rsid w:val="00875FC0"/>
    <w:rsid w:val="008761EC"/>
    <w:rsid w:val="00876831"/>
    <w:rsid w:val="00877923"/>
    <w:rsid w:val="008779EB"/>
    <w:rsid w:val="00877A81"/>
    <w:rsid w:val="008814D6"/>
    <w:rsid w:val="00882C37"/>
    <w:rsid w:val="00883851"/>
    <w:rsid w:val="00883E83"/>
    <w:rsid w:val="0088500B"/>
    <w:rsid w:val="008852C6"/>
    <w:rsid w:val="008853B2"/>
    <w:rsid w:val="00885B77"/>
    <w:rsid w:val="00885DEF"/>
    <w:rsid w:val="008904E3"/>
    <w:rsid w:val="00891382"/>
    <w:rsid w:val="0089248E"/>
    <w:rsid w:val="00892D2E"/>
    <w:rsid w:val="008931A2"/>
    <w:rsid w:val="008931F6"/>
    <w:rsid w:val="00893876"/>
    <w:rsid w:val="00893C92"/>
    <w:rsid w:val="008947DD"/>
    <w:rsid w:val="008958F8"/>
    <w:rsid w:val="00896077"/>
    <w:rsid w:val="00896849"/>
    <w:rsid w:val="00896AFD"/>
    <w:rsid w:val="00896E28"/>
    <w:rsid w:val="00897187"/>
    <w:rsid w:val="00897504"/>
    <w:rsid w:val="0089772C"/>
    <w:rsid w:val="00897968"/>
    <w:rsid w:val="00897F81"/>
    <w:rsid w:val="008A1A2E"/>
    <w:rsid w:val="008A1CFE"/>
    <w:rsid w:val="008A2C93"/>
    <w:rsid w:val="008A32D2"/>
    <w:rsid w:val="008A3404"/>
    <w:rsid w:val="008A4513"/>
    <w:rsid w:val="008A535A"/>
    <w:rsid w:val="008A5731"/>
    <w:rsid w:val="008A7874"/>
    <w:rsid w:val="008B091C"/>
    <w:rsid w:val="008B1F8E"/>
    <w:rsid w:val="008B2585"/>
    <w:rsid w:val="008B344E"/>
    <w:rsid w:val="008B4A53"/>
    <w:rsid w:val="008B4ED3"/>
    <w:rsid w:val="008B50D2"/>
    <w:rsid w:val="008B564F"/>
    <w:rsid w:val="008B56EA"/>
    <w:rsid w:val="008C02AA"/>
    <w:rsid w:val="008C1398"/>
    <w:rsid w:val="008C1897"/>
    <w:rsid w:val="008C1D27"/>
    <w:rsid w:val="008C244C"/>
    <w:rsid w:val="008C2571"/>
    <w:rsid w:val="008C3A3F"/>
    <w:rsid w:val="008C4064"/>
    <w:rsid w:val="008C4774"/>
    <w:rsid w:val="008C664C"/>
    <w:rsid w:val="008D02AD"/>
    <w:rsid w:val="008D1529"/>
    <w:rsid w:val="008D1FC8"/>
    <w:rsid w:val="008D4233"/>
    <w:rsid w:val="008D476E"/>
    <w:rsid w:val="008D4BB5"/>
    <w:rsid w:val="008D53C3"/>
    <w:rsid w:val="008D5425"/>
    <w:rsid w:val="008D54B8"/>
    <w:rsid w:val="008D5680"/>
    <w:rsid w:val="008D695F"/>
    <w:rsid w:val="008D6C95"/>
    <w:rsid w:val="008D70F2"/>
    <w:rsid w:val="008E1044"/>
    <w:rsid w:val="008E1D23"/>
    <w:rsid w:val="008E2339"/>
    <w:rsid w:val="008E23C9"/>
    <w:rsid w:val="008E2862"/>
    <w:rsid w:val="008E297B"/>
    <w:rsid w:val="008E39F1"/>
    <w:rsid w:val="008E464D"/>
    <w:rsid w:val="008E5780"/>
    <w:rsid w:val="008E5E23"/>
    <w:rsid w:val="008E6AE4"/>
    <w:rsid w:val="008F0B39"/>
    <w:rsid w:val="008F0DB4"/>
    <w:rsid w:val="008F0F99"/>
    <w:rsid w:val="008F22C7"/>
    <w:rsid w:val="008F25B9"/>
    <w:rsid w:val="008F3A22"/>
    <w:rsid w:val="008F5D55"/>
    <w:rsid w:val="008F5EFD"/>
    <w:rsid w:val="008F64B1"/>
    <w:rsid w:val="008F6B2F"/>
    <w:rsid w:val="009006BF"/>
    <w:rsid w:val="00900B71"/>
    <w:rsid w:val="0090282E"/>
    <w:rsid w:val="00903A23"/>
    <w:rsid w:val="00903AFB"/>
    <w:rsid w:val="00906243"/>
    <w:rsid w:val="00906D31"/>
    <w:rsid w:val="009143F7"/>
    <w:rsid w:val="00914BB9"/>
    <w:rsid w:val="0091738C"/>
    <w:rsid w:val="00917D78"/>
    <w:rsid w:val="0092007E"/>
    <w:rsid w:val="00920693"/>
    <w:rsid w:val="00921AB9"/>
    <w:rsid w:val="0092341B"/>
    <w:rsid w:val="00923770"/>
    <w:rsid w:val="00924454"/>
    <w:rsid w:val="00924813"/>
    <w:rsid w:val="009248E8"/>
    <w:rsid w:val="00924D54"/>
    <w:rsid w:val="00925165"/>
    <w:rsid w:val="00925CF9"/>
    <w:rsid w:val="00927151"/>
    <w:rsid w:val="00927277"/>
    <w:rsid w:val="00931E67"/>
    <w:rsid w:val="00932F20"/>
    <w:rsid w:val="00933AE2"/>
    <w:rsid w:val="009346B3"/>
    <w:rsid w:val="00935023"/>
    <w:rsid w:val="0093587D"/>
    <w:rsid w:val="00935CD1"/>
    <w:rsid w:val="009367A5"/>
    <w:rsid w:val="00937B91"/>
    <w:rsid w:val="00940553"/>
    <w:rsid w:val="009406AC"/>
    <w:rsid w:val="00942D4B"/>
    <w:rsid w:val="00942EF5"/>
    <w:rsid w:val="00944DDC"/>
    <w:rsid w:val="009454A8"/>
    <w:rsid w:val="009465D1"/>
    <w:rsid w:val="0095084D"/>
    <w:rsid w:val="00950BBF"/>
    <w:rsid w:val="00950C0B"/>
    <w:rsid w:val="00951DD5"/>
    <w:rsid w:val="0095212C"/>
    <w:rsid w:val="00956468"/>
    <w:rsid w:val="009578B8"/>
    <w:rsid w:val="00957D87"/>
    <w:rsid w:val="00957E2A"/>
    <w:rsid w:val="00960383"/>
    <w:rsid w:val="00961329"/>
    <w:rsid w:val="00961F70"/>
    <w:rsid w:val="00963984"/>
    <w:rsid w:val="0096415F"/>
    <w:rsid w:val="00964704"/>
    <w:rsid w:val="00964CD1"/>
    <w:rsid w:val="00965A12"/>
    <w:rsid w:val="00965EA5"/>
    <w:rsid w:val="009679F6"/>
    <w:rsid w:val="00973162"/>
    <w:rsid w:val="00973D04"/>
    <w:rsid w:val="009748D1"/>
    <w:rsid w:val="009749F8"/>
    <w:rsid w:val="00977D3D"/>
    <w:rsid w:val="00980079"/>
    <w:rsid w:val="00980475"/>
    <w:rsid w:val="009806A5"/>
    <w:rsid w:val="00980B71"/>
    <w:rsid w:val="009817F1"/>
    <w:rsid w:val="009822CC"/>
    <w:rsid w:val="009825DE"/>
    <w:rsid w:val="00982E0E"/>
    <w:rsid w:val="009832D9"/>
    <w:rsid w:val="00983B56"/>
    <w:rsid w:val="009841B6"/>
    <w:rsid w:val="00984466"/>
    <w:rsid w:val="00984A44"/>
    <w:rsid w:val="009852DB"/>
    <w:rsid w:val="00985548"/>
    <w:rsid w:val="0098627D"/>
    <w:rsid w:val="00986CA1"/>
    <w:rsid w:val="00986CE5"/>
    <w:rsid w:val="00987C37"/>
    <w:rsid w:val="00987EAB"/>
    <w:rsid w:val="00990038"/>
    <w:rsid w:val="00990364"/>
    <w:rsid w:val="0099040A"/>
    <w:rsid w:val="00990747"/>
    <w:rsid w:val="00990F82"/>
    <w:rsid w:val="00991925"/>
    <w:rsid w:val="00991BA4"/>
    <w:rsid w:val="00991F82"/>
    <w:rsid w:val="009933E5"/>
    <w:rsid w:val="00994104"/>
    <w:rsid w:val="00995F4F"/>
    <w:rsid w:val="00996331"/>
    <w:rsid w:val="009966C3"/>
    <w:rsid w:val="00996D4B"/>
    <w:rsid w:val="0099748C"/>
    <w:rsid w:val="0099773B"/>
    <w:rsid w:val="009A22D8"/>
    <w:rsid w:val="009A3844"/>
    <w:rsid w:val="009A54AF"/>
    <w:rsid w:val="009A55FD"/>
    <w:rsid w:val="009A5985"/>
    <w:rsid w:val="009A5CB1"/>
    <w:rsid w:val="009A6571"/>
    <w:rsid w:val="009A6608"/>
    <w:rsid w:val="009A6732"/>
    <w:rsid w:val="009A6AE2"/>
    <w:rsid w:val="009A6EC9"/>
    <w:rsid w:val="009B20F2"/>
    <w:rsid w:val="009B2296"/>
    <w:rsid w:val="009B2B59"/>
    <w:rsid w:val="009B436E"/>
    <w:rsid w:val="009B69D6"/>
    <w:rsid w:val="009C0790"/>
    <w:rsid w:val="009C15F1"/>
    <w:rsid w:val="009C180F"/>
    <w:rsid w:val="009C1CBC"/>
    <w:rsid w:val="009C43D0"/>
    <w:rsid w:val="009C4F98"/>
    <w:rsid w:val="009C7B29"/>
    <w:rsid w:val="009C7C67"/>
    <w:rsid w:val="009C7C71"/>
    <w:rsid w:val="009D040E"/>
    <w:rsid w:val="009D0C68"/>
    <w:rsid w:val="009D0CDE"/>
    <w:rsid w:val="009D1035"/>
    <w:rsid w:val="009D1F81"/>
    <w:rsid w:val="009D3811"/>
    <w:rsid w:val="009D437E"/>
    <w:rsid w:val="009D6CAA"/>
    <w:rsid w:val="009D6F96"/>
    <w:rsid w:val="009E0204"/>
    <w:rsid w:val="009E047D"/>
    <w:rsid w:val="009E211F"/>
    <w:rsid w:val="009E265A"/>
    <w:rsid w:val="009E29F4"/>
    <w:rsid w:val="009E3440"/>
    <w:rsid w:val="009E38CF"/>
    <w:rsid w:val="009E4D42"/>
    <w:rsid w:val="009E4DA0"/>
    <w:rsid w:val="009E4DE8"/>
    <w:rsid w:val="009E5210"/>
    <w:rsid w:val="009E5C2B"/>
    <w:rsid w:val="009E5D0E"/>
    <w:rsid w:val="009E646B"/>
    <w:rsid w:val="009E671A"/>
    <w:rsid w:val="009E6C6C"/>
    <w:rsid w:val="009F01CD"/>
    <w:rsid w:val="009F0430"/>
    <w:rsid w:val="009F19F6"/>
    <w:rsid w:val="009F3771"/>
    <w:rsid w:val="009F41BC"/>
    <w:rsid w:val="009F45C7"/>
    <w:rsid w:val="009F4D41"/>
    <w:rsid w:val="009F4F2E"/>
    <w:rsid w:val="009F601B"/>
    <w:rsid w:val="009F7434"/>
    <w:rsid w:val="00A0250F"/>
    <w:rsid w:val="00A02B16"/>
    <w:rsid w:val="00A0313D"/>
    <w:rsid w:val="00A036EF"/>
    <w:rsid w:val="00A03933"/>
    <w:rsid w:val="00A05239"/>
    <w:rsid w:val="00A05E5D"/>
    <w:rsid w:val="00A05E74"/>
    <w:rsid w:val="00A05F0F"/>
    <w:rsid w:val="00A07A9D"/>
    <w:rsid w:val="00A07F87"/>
    <w:rsid w:val="00A10C05"/>
    <w:rsid w:val="00A13B2B"/>
    <w:rsid w:val="00A145D2"/>
    <w:rsid w:val="00A158F2"/>
    <w:rsid w:val="00A15DBD"/>
    <w:rsid w:val="00A16BD2"/>
    <w:rsid w:val="00A16F6A"/>
    <w:rsid w:val="00A2075F"/>
    <w:rsid w:val="00A20E5E"/>
    <w:rsid w:val="00A224DD"/>
    <w:rsid w:val="00A22648"/>
    <w:rsid w:val="00A227CB"/>
    <w:rsid w:val="00A22D05"/>
    <w:rsid w:val="00A253E3"/>
    <w:rsid w:val="00A256EC"/>
    <w:rsid w:val="00A25B29"/>
    <w:rsid w:val="00A26F7F"/>
    <w:rsid w:val="00A26F82"/>
    <w:rsid w:val="00A2728D"/>
    <w:rsid w:val="00A30090"/>
    <w:rsid w:val="00A3047B"/>
    <w:rsid w:val="00A30B27"/>
    <w:rsid w:val="00A319A1"/>
    <w:rsid w:val="00A33E34"/>
    <w:rsid w:val="00A3477B"/>
    <w:rsid w:val="00A3635B"/>
    <w:rsid w:val="00A36367"/>
    <w:rsid w:val="00A364BE"/>
    <w:rsid w:val="00A36725"/>
    <w:rsid w:val="00A368C0"/>
    <w:rsid w:val="00A3763B"/>
    <w:rsid w:val="00A43CFF"/>
    <w:rsid w:val="00A50897"/>
    <w:rsid w:val="00A50F9E"/>
    <w:rsid w:val="00A523C1"/>
    <w:rsid w:val="00A5274A"/>
    <w:rsid w:val="00A533A6"/>
    <w:rsid w:val="00A56920"/>
    <w:rsid w:val="00A57F6B"/>
    <w:rsid w:val="00A61285"/>
    <w:rsid w:val="00A616EF"/>
    <w:rsid w:val="00A61D95"/>
    <w:rsid w:val="00A628BD"/>
    <w:rsid w:val="00A62A60"/>
    <w:rsid w:val="00A62D25"/>
    <w:rsid w:val="00A707C1"/>
    <w:rsid w:val="00A72575"/>
    <w:rsid w:val="00A72BC8"/>
    <w:rsid w:val="00A72E0D"/>
    <w:rsid w:val="00A72F52"/>
    <w:rsid w:val="00A73026"/>
    <w:rsid w:val="00A747BB"/>
    <w:rsid w:val="00A74D45"/>
    <w:rsid w:val="00A768C3"/>
    <w:rsid w:val="00A76DD5"/>
    <w:rsid w:val="00A77617"/>
    <w:rsid w:val="00A807B9"/>
    <w:rsid w:val="00A81806"/>
    <w:rsid w:val="00A8224E"/>
    <w:rsid w:val="00A82FBB"/>
    <w:rsid w:val="00A836C0"/>
    <w:rsid w:val="00A8445D"/>
    <w:rsid w:val="00A8461C"/>
    <w:rsid w:val="00A84E8A"/>
    <w:rsid w:val="00A855D9"/>
    <w:rsid w:val="00A85AFD"/>
    <w:rsid w:val="00A86443"/>
    <w:rsid w:val="00A86474"/>
    <w:rsid w:val="00A86510"/>
    <w:rsid w:val="00A87874"/>
    <w:rsid w:val="00A87D43"/>
    <w:rsid w:val="00A90BB6"/>
    <w:rsid w:val="00A917FE"/>
    <w:rsid w:val="00A92568"/>
    <w:rsid w:val="00A92A57"/>
    <w:rsid w:val="00A92D1C"/>
    <w:rsid w:val="00A9314C"/>
    <w:rsid w:val="00A931A8"/>
    <w:rsid w:val="00A94542"/>
    <w:rsid w:val="00A94DB5"/>
    <w:rsid w:val="00A94F94"/>
    <w:rsid w:val="00A9542B"/>
    <w:rsid w:val="00A95AAB"/>
    <w:rsid w:val="00A962BD"/>
    <w:rsid w:val="00A96D3C"/>
    <w:rsid w:val="00AA0B41"/>
    <w:rsid w:val="00AA12D7"/>
    <w:rsid w:val="00AA201D"/>
    <w:rsid w:val="00AA50F5"/>
    <w:rsid w:val="00AA562E"/>
    <w:rsid w:val="00AA5AB3"/>
    <w:rsid w:val="00AA6651"/>
    <w:rsid w:val="00AA679D"/>
    <w:rsid w:val="00AB03CF"/>
    <w:rsid w:val="00AB0A5D"/>
    <w:rsid w:val="00AB0ED7"/>
    <w:rsid w:val="00AB504B"/>
    <w:rsid w:val="00AB59F8"/>
    <w:rsid w:val="00AB6007"/>
    <w:rsid w:val="00AB68B2"/>
    <w:rsid w:val="00AC05A7"/>
    <w:rsid w:val="00AC1B7A"/>
    <w:rsid w:val="00AC21A8"/>
    <w:rsid w:val="00AC24F3"/>
    <w:rsid w:val="00AC3FB1"/>
    <w:rsid w:val="00AC411A"/>
    <w:rsid w:val="00AC4DA5"/>
    <w:rsid w:val="00AC4EA7"/>
    <w:rsid w:val="00AC50DF"/>
    <w:rsid w:val="00AC6905"/>
    <w:rsid w:val="00AC6BF7"/>
    <w:rsid w:val="00AC6D55"/>
    <w:rsid w:val="00AD0C5A"/>
    <w:rsid w:val="00AD1479"/>
    <w:rsid w:val="00AD1961"/>
    <w:rsid w:val="00AD21AD"/>
    <w:rsid w:val="00AD2DF5"/>
    <w:rsid w:val="00AD34CA"/>
    <w:rsid w:val="00AD4909"/>
    <w:rsid w:val="00AD5ED1"/>
    <w:rsid w:val="00AD6D76"/>
    <w:rsid w:val="00AD7D95"/>
    <w:rsid w:val="00AD7E12"/>
    <w:rsid w:val="00AE0546"/>
    <w:rsid w:val="00AE098C"/>
    <w:rsid w:val="00AE1137"/>
    <w:rsid w:val="00AE29F9"/>
    <w:rsid w:val="00AE2D67"/>
    <w:rsid w:val="00AE48F3"/>
    <w:rsid w:val="00AE63FE"/>
    <w:rsid w:val="00AE67FE"/>
    <w:rsid w:val="00AF04E4"/>
    <w:rsid w:val="00AF0E3A"/>
    <w:rsid w:val="00AF11F0"/>
    <w:rsid w:val="00AF1359"/>
    <w:rsid w:val="00AF2E9A"/>
    <w:rsid w:val="00AF3183"/>
    <w:rsid w:val="00AF352C"/>
    <w:rsid w:val="00AF432D"/>
    <w:rsid w:val="00AF4C1F"/>
    <w:rsid w:val="00AF6994"/>
    <w:rsid w:val="00AF7843"/>
    <w:rsid w:val="00AF7A01"/>
    <w:rsid w:val="00B01141"/>
    <w:rsid w:val="00B0122C"/>
    <w:rsid w:val="00B01BF4"/>
    <w:rsid w:val="00B0380E"/>
    <w:rsid w:val="00B04103"/>
    <w:rsid w:val="00B05B56"/>
    <w:rsid w:val="00B0752F"/>
    <w:rsid w:val="00B07AA3"/>
    <w:rsid w:val="00B07BAB"/>
    <w:rsid w:val="00B10FAF"/>
    <w:rsid w:val="00B12441"/>
    <w:rsid w:val="00B12ECC"/>
    <w:rsid w:val="00B14559"/>
    <w:rsid w:val="00B14D53"/>
    <w:rsid w:val="00B17047"/>
    <w:rsid w:val="00B170F4"/>
    <w:rsid w:val="00B17333"/>
    <w:rsid w:val="00B17638"/>
    <w:rsid w:val="00B20416"/>
    <w:rsid w:val="00B211C8"/>
    <w:rsid w:val="00B23632"/>
    <w:rsid w:val="00B2368B"/>
    <w:rsid w:val="00B241B6"/>
    <w:rsid w:val="00B243CE"/>
    <w:rsid w:val="00B24DD9"/>
    <w:rsid w:val="00B25516"/>
    <w:rsid w:val="00B270B0"/>
    <w:rsid w:val="00B279F9"/>
    <w:rsid w:val="00B27A32"/>
    <w:rsid w:val="00B30C7B"/>
    <w:rsid w:val="00B3113F"/>
    <w:rsid w:val="00B311FE"/>
    <w:rsid w:val="00B31B5B"/>
    <w:rsid w:val="00B31F9E"/>
    <w:rsid w:val="00B3291C"/>
    <w:rsid w:val="00B32A72"/>
    <w:rsid w:val="00B33B69"/>
    <w:rsid w:val="00B33C51"/>
    <w:rsid w:val="00B33D0C"/>
    <w:rsid w:val="00B34076"/>
    <w:rsid w:val="00B36474"/>
    <w:rsid w:val="00B3656C"/>
    <w:rsid w:val="00B370D6"/>
    <w:rsid w:val="00B37525"/>
    <w:rsid w:val="00B37A9D"/>
    <w:rsid w:val="00B40424"/>
    <w:rsid w:val="00B41AE2"/>
    <w:rsid w:val="00B421E2"/>
    <w:rsid w:val="00B44E28"/>
    <w:rsid w:val="00B45EAF"/>
    <w:rsid w:val="00B47137"/>
    <w:rsid w:val="00B47914"/>
    <w:rsid w:val="00B5071E"/>
    <w:rsid w:val="00B51AC3"/>
    <w:rsid w:val="00B52164"/>
    <w:rsid w:val="00B53154"/>
    <w:rsid w:val="00B534EC"/>
    <w:rsid w:val="00B53932"/>
    <w:rsid w:val="00B53D03"/>
    <w:rsid w:val="00B571E4"/>
    <w:rsid w:val="00B5778B"/>
    <w:rsid w:val="00B57918"/>
    <w:rsid w:val="00B57E47"/>
    <w:rsid w:val="00B607B6"/>
    <w:rsid w:val="00B60F8E"/>
    <w:rsid w:val="00B61278"/>
    <w:rsid w:val="00B6489F"/>
    <w:rsid w:val="00B64D95"/>
    <w:rsid w:val="00B64DDF"/>
    <w:rsid w:val="00B64F85"/>
    <w:rsid w:val="00B67556"/>
    <w:rsid w:val="00B711E7"/>
    <w:rsid w:val="00B720EA"/>
    <w:rsid w:val="00B72D4F"/>
    <w:rsid w:val="00B73364"/>
    <w:rsid w:val="00B7449E"/>
    <w:rsid w:val="00B7617B"/>
    <w:rsid w:val="00B76972"/>
    <w:rsid w:val="00B769D3"/>
    <w:rsid w:val="00B769EC"/>
    <w:rsid w:val="00B76BF1"/>
    <w:rsid w:val="00B8036B"/>
    <w:rsid w:val="00B807A8"/>
    <w:rsid w:val="00B826B4"/>
    <w:rsid w:val="00B8296B"/>
    <w:rsid w:val="00B85D03"/>
    <w:rsid w:val="00B8647B"/>
    <w:rsid w:val="00B873B3"/>
    <w:rsid w:val="00B90A45"/>
    <w:rsid w:val="00B92F7D"/>
    <w:rsid w:val="00B93608"/>
    <w:rsid w:val="00B938B6"/>
    <w:rsid w:val="00B94649"/>
    <w:rsid w:val="00B9479C"/>
    <w:rsid w:val="00B948EA"/>
    <w:rsid w:val="00B95277"/>
    <w:rsid w:val="00B964E1"/>
    <w:rsid w:val="00B9703C"/>
    <w:rsid w:val="00B974DD"/>
    <w:rsid w:val="00B97B24"/>
    <w:rsid w:val="00BA0224"/>
    <w:rsid w:val="00BA10D3"/>
    <w:rsid w:val="00BA1273"/>
    <w:rsid w:val="00BA2D01"/>
    <w:rsid w:val="00BA37A3"/>
    <w:rsid w:val="00BA491A"/>
    <w:rsid w:val="00BA5765"/>
    <w:rsid w:val="00BB3D1F"/>
    <w:rsid w:val="00BB6615"/>
    <w:rsid w:val="00BC0A8E"/>
    <w:rsid w:val="00BC1BED"/>
    <w:rsid w:val="00BC2133"/>
    <w:rsid w:val="00BC2BE5"/>
    <w:rsid w:val="00BC4C47"/>
    <w:rsid w:val="00BC509B"/>
    <w:rsid w:val="00BC5458"/>
    <w:rsid w:val="00BC6991"/>
    <w:rsid w:val="00BC70B9"/>
    <w:rsid w:val="00BD0039"/>
    <w:rsid w:val="00BD27E9"/>
    <w:rsid w:val="00BD3646"/>
    <w:rsid w:val="00BD53E6"/>
    <w:rsid w:val="00BD5770"/>
    <w:rsid w:val="00BD6C56"/>
    <w:rsid w:val="00BD6FFE"/>
    <w:rsid w:val="00BD7BDC"/>
    <w:rsid w:val="00BE0488"/>
    <w:rsid w:val="00BE0797"/>
    <w:rsid w:val="00BE4503"/>
    <w:rsid w:val="00BE4BFB"/>
    <w:rsid w:val="00BE4F3A"/>
    <w:rsid w:val="00BE50AD"/>
    <w:rsid w:val="00BE5E05"/>
    <w:rsid w:val="00BE601A"/>
    <w:rsid w:val="00BE64C9"/>
    <w:rsid w:val="00BE6BD1"/>
    <w:rsid w:val="00BE7748"/>
    <w:rsid w:val="00BF04CD"/>
    <w:rsid w:val="00BF0B15"/>
    <w:rsid w:val="00BF3C1F"/>
    <w:rsid w:val="00BF3D14"/>
    <w:rsid w:val="00BF3D75"/>
    <w:rsid w:val="00BF5088"/>
    <w:rsid w:val="00BF52C4"/>
    <w:rsid w:val="00BF55AF"/>
    <w:rsid w:val="00BF590C"/>
    <w:rsid w:val="00BF6021"/>
    <w:rsid w:val="00BF642E"/>
    <w:rsid w:val="00BF74BA"/>
    <w:rsid w:val="00C011D4"/>
    <w:rsid w:val="00C019A6"/>
    <w:rsid w:val="00C0349A"/>
    <w:rsid w:val="00C0388C"/>
    <w:rsid w:val="00C03A3C"/>
    <w:rsid w:val="00C040A9"/>
    <w:rsid w:val="00C061C8"/>
    <w:rsid w:val="00C07A7F"/>
    <w:rsid w:val="00C111CE"/>
    <w:rsid w:val="00C111F4"/>
    <w:rsid w:val="00C12F26"/>
    <w:rsid w:val="00C1346C"/>
    <w:rsid w:val="00C13F7F"/>
    <w:rsid w:val="00C14C86"/>
    <w:rsid w:val="00C14DEA"/>
    <w:rsid w:val="00C151EE"/>
    <w:rsid w:val="00C152C3"/>
    <w:rsid w:val="00C15C46"/>
    <w:rsid w:val="00C16596"/>
    <w:rsid w:val="00C16736"/>
    <w:rsid w:val="00C16857"/>
    <w:rsid w:val="00C17192"/>
    <w:rsid w:val="00C20224"/>
    <w:rsid w:val="00C20CAB"/>
    <w:rsid w:val="00C21C21"/>
    <w:rsid w:val="00C22088"/>
    <w:rsid w:val="00C22601"/>
    <w:rsid w:val="00C2286E"/>
    <w:rsid w:val="00C230D8"/>
    <w:rsid w:val="00C24944"/>
    <w:rsid w:val="00C24CFF"/>
    <w:rsid w:val="00C252F3"/>
    <w:rsid w:val="00C255FA"/>
    <w:rsid w:val="00C25FBC"/>
    <w:rsid w:val="00C26453"/>
    <w:rsid w:val="00C27328"/>
    <w:rsid w:val="00C30705"/>
    <w:rsid w:val="00C319B5"/>
    <w:rsid w:val="00C32206"/>
    <w:rsid w:val="00C34EE9"/>
    <w:rsid w:val="00C3719B"/>
    <w:rsid w:val="00C376C3"/>
    <w:rsid w:val="00C37EFD"/>
    <w:rsid w:val="00C40BB1"/>
    <w:rsid w:val="00C415A7"/>
    <w:rsid w:val="00C4594A"/>
    <w:rsid w:val="00C45F29"/>
    <w:rsid w:val="00C46012"/>
    <w:rsid w:val="00C50D26"/>
    <w:rsid w:val="00C51B4E"/>
    <w:rsid w:val="00C54189"/>
    <w:rsid w:val="00C54EED"/>
    <w:rsid w:val="00C56D75"/>
    <w:rsid w:val="00C572A2"/>
    <w:rsid w:val="00C600E5"/>
    <w:rsid w:val="00C6091E"/>
    <w:rsid w:val="00C60CF3"/>
    <w:rsid w:val="00C6179E"/>
    <w:rsid w:val="00C618C0"/>
    <w:rsid w:val="00C62644"/>
    <w:rsid w:val="00C6282B"/>
    <w:rsid w:val="00C629A9"/>
    <w:rsid w:val="00C62DE1"/>
    <w:rsid w:val="00C62ECC"/>
    <w:rsid w:val="00C64504"/>
    <w:rsid w:val="00C65A03"/>
    <w:rsid w:val="00C66CE4"/>
    <w:rsid w:val="00C67C2D"/>
    <w:rsid w:val="00C7006B"/>
    <w:rsid w:val="00C701D9"/>
    <w:rsid w:val="00C70EA3"/>
    <w:rsid w:val="00C71448"/>
    <w:rsid w:val="00C7181F"/>
    <w:rsid w:val="00C71B0A"/>
    <w:rsid w:val="00C72643"/>
    <w:rsid w:val="00C72DB4"/>
    <w:rsid w:val="00C7381F"/>
    <w:rsid w:val="00C74714"/>
    <w:rsid w:val="00C770E4"/>
    <w:rsid w:val="00C81451"/>
    <w:rsid w:val="00C826DF"/>
    <w:rsid w:val="00C82A24"/>
    <w:rsid w:val="00C8369D"/>
    <w:rsid w:val="00C9247D"/>
    <w:rsid w:val="00C924F9"/>
    <w:rsid w:val="00C92F47"/>
    <w:rsid w:val="00C932E4"/>
    <w:rsid w:val="00C94506"/>
    <w:rsid w:val="00C94F0C"/>
    <w:rsid w:val="00C962C5"/>
    <w:rsid w:val="00C97799"/>
    <w:rsid w:val="00CA0F75"/>
    <w:rsid w:val="00CA141C"/>
    <w:rsid w:val="00CA1D05"/>
    <w:rsid w:val="00CA2092"/>
    <w:rsid w:val="00CA2F90"/>
    <w:rsid w:val="00CA3377"/>
    <w:rsid w:val="00CA35A3"/>
    <w:rsid w:val="00CA4AD2"/>
    <w:rsid w:val="00CA4F5E"/>
    <w:rsid w:val="00CA608F"/>
    <w:rsid w:val="00CA67DE"/>
    <w:rsid w:val="00CA6BE3"/>
    <w:rsid w:val="00CA752F"/>
    <w:rsid w:val="00CA7859"/>
    <w:rsid w:val="00CA797B"/>
    <w:rsid w:val="00CB05E9"/>
    <w:rsid w:val="00CB0991"/>
    <w:rsid w:val="00CB0C26"/>
    <w:rsid w:val="00CB3D6D"/>
    <w:rsid w:val="00CB47B8"/>
    <w:rsid w:val="00CB4941"/>
    <w:rsid w:val="00CB5308"/>
    <w:rsid w:val="00CB5CBA"/>
    <w:rsid w:val="00CC13EF"/>
    <w:rsid w:val="00CC2764"/>
    <w:rsid w:val="00CC3941"/>
    <w:rsid w:val="00CC48FF"/>
    <w:rsid w:val="00CC79D5"/>
    <w:rsid w:val="00CC7D9E"/>
    <w:rsid w:val="00CD48FB"/>
    <w:rsid w:val="00CD4F49"/>
    <w:rsid w:val="00CD57D5"/>
    <w:rsid w:val="00CD5F16"/>
    <w:rsid w:val="00CD608A"/>
    <w:rsid w:val="00CD690F"/>
    <w:rsid w:val="00CD6B49"/>
    <w:rsid w:val="00CD7B53"/>
    <w:rsid w:val="00CD7C45"/>
    <w:rsid w:val="00CE04D9"/>
    <w:rsid w:val="00CE0A05"/>
    <w:rsid w:val="00CE0AA1"/>
    <w:rsid w:val="00CE1FDC"/>
    <w:rsid w:val="00CE215F"/>
    <w:rsid w:val="00CE3DFF"/>
    <w:rsid w:val="00CE6E03"/>
    <w:rsid w:val="00CE756E"/>
    <w:rsid w:val="00CE7634"/>
    <w:rsid w:val="00CF144C"/>
    <w:rsid w:val="00CF198B"/>
    <w:rsid w:val="00CF2222"/>
    <w:rsid w:val="00CF4EBD"/>
    <w:rsid w:val="00CF55A5"/>
    <w:rsid w:val="00CF61A3"/>
    <w:rsid w:val="00CF66A5"/>
    <w:rsid w:val="00CF6D8C"/>
    <w:rsid w:val="00D00831"/>
    <w:rsid w:val="00D02A11"/>
    <w:rsid w:val="00D058EB"/>
    <w:rsid w:val="00D0749D"/>
    <w:rsid w:val="00D10BC2"/>
    <w:rsid w:val="00D132AB"/>
    <w:rsid w:val="00D135C1"/>
    <w:rsid w:val="00D1418B"/>
    <w:rsid w:val="00D14EB7"/>
    <w:rsid w:val="00D15AE8"/>
    <w:rsid w:val="00D2327C"/>
    <w:rsid w:val="00D25C7D"/>
    <w:rsid w:val="00D25CC1"/>
    <w:rsid w:val="00D26612"/>
    <w:rsid w:val="00D305D2"/>
    <w:rsid w:val="00D30D2E"/>
    <w:rsid w:val="00D31165"/>
    <w:rsid w:val="00D33B9B"/>
    <w:rsid w:val="00D33C73"/>
    <w:rsid w:val="00D33D89"/>
    <w:rsid w:val="00D348C4"/>
    <w:rsid w:val="00D34FB7"/>
    <w:rsid w:val="00D35D3F"/>
    <w:rsid w:val="00D401E9"/>
    <w:rsid w:val="00D40940"/>
    <w:rsid w:val="00D40BD2"/>
    <w:rsid w:val="00D41AD7"/>
    <w:rsid w:val="00D43AA1"/>
    <w:rsid w:val="00D43DBA"/>
    <w:rsid w:val="00D44103"/>
    <w:rsid w:val="00D472BA"/>
    <w:rsid w:val="00D4766F"/>
    <w:rsid w:val="00D5197E"/>
    <w:rsid w:val="00D5526B"/>
    <w:rsid w:val="00D563A1"/>
    <w:rsid w:val="00D56AE3"/>
    <w:rsid w:val="00D56D06"/>
    <w:rsid w:val="00D56E66"/>
    <w:rsid w:val="00D56F09"/>
    <w:rsid w:val="00D56F9A"/>
    <w:rsid w:val="00D57B34"/>
    <w:rsid w:val="00D61504"/>
    <w:rsid w:val="00D63646"/>
    <w:rsid w:val="00D65794"/>
    <w:rsid w:val="00D66032"/>
    <w:rsid w:val="00D660D6"/>
    <w:rsid w:val="00D66962"/>
    <w:rsid w:val="00D6748C"/>
    <w:rsid w:val="00D678CA"/>
    <w:rsid w:val="00D70D18"/>
    <w:rsid w:val="00D7195E"/>
    <w:rsid w:val="00D73967"/>
    <w:rsid w:val="00D7430E"/>
    <w:rsid w:val="00D7468F"/>
    <w:rsid w:val="00D75FE6"/>
    <w:rsid w:val="00D767BE"/>
    <w:rsid w:val="00D76DFB"/>
    <w:rsid w:val="00D77B65"/>
    <w:rsid w:val="00D80036"/>
    <w:rsid w:val="00D802B4"/>
    <w:rsid w:val="00D810D5"/>
    <w:rsid w:val="00D811FF"/>
    <w:rsid w:val="00D81BBA"/>
    <w:rsid w:val="00D82335"/>
    <w:rsid w:val="00D839CC"/>
    <w:rsid w:val="00D83F8A"/>
    <w:rsid w:val="00D84650"/>
    <w:rsid w:val="00D84AB2"/>
    <w:rsid w:val="00D84F4C"/>
    <w:rsid w:val="00D8538E"/>
    <w:rsid w:val="00D85C87"/>
    <w:rsid w:val="00D877E0"/>
    <w:rsid w:val="00D87CDC"/>
    <w:rsid w:val="00D87D9C"/>
    <w:rsid w:val="00D9073D"/>
    <w:rsid w:val="00D90961"/>
    <w:rsid w:val="00D919C5"/>
    <w:rsid w:val="00D92B3B"/>
    <w:rsid w:val="00D94403"/>
    <w:rsid w:val="00D94A9F"/>
    <w:rsid w:val="00D94EEA"/>
    <w:rsid w:val="00D95C46"/>
    <w:rsid w:val="00D97295"/>
    <w:rsid w:val="00DA2AAE"/>
    <w:rsid w:val="00DA2F95"/>
    <w:rsid w:val="00DA3383"/>
    <w:rsid w:val="00DA3DCD"/>
    <w:rsid w:val="00DA5BC7"/>
    <w:rsid w:val="00DA6434"/>
    <w:rsid w:val="00DA6ADC"/>
    <w:rsid w:val="00DA77D3"/>
    <w:rsid w:val="00DA7DED"/>
    <w:rsid w:val="00DB0D79"/>
    <w:rsid w:val="00DB1D33"/>
    <w:rsid w:val="00DB1D4A"/>
    <w:rsid w:val="00DB3F49"/>
    <w:rsid w:val="00DB4B05"/>
    <w:rsid w:val="00DB5059"/>
    <w:rsid w:val="00DB5CE8"/>
    <w:rsid w:val="00DB5E0A"/>
    <w:rsid w:val="00DB5F1C"/>
    <w:rsid w:val="00DB6A7E"/>
    <w:rsid w:val="00DB7DD8"/>
    <w:rsid w:val="00DC16C6"/>
    <w:rsid w:val="00DC1EC4"/>
    <w:rsid w:val="00DC214F"/>
    <w:rsid w:val="00DC3212"/>
    <w:rsid w:val="00DC4F96"/>
    <w:rsid w:val="00DC6B04"/>
    <w:rsid w:val="00DC7C0D"/>
    <w:rsid w:val="00DD02D6"/>
    <w:rsid w:val="00DD0C1C"/>
    <w:rsid w:val="00DD36D7"/>
    <w:rsid w:val="00DD49BF"/>
    <w:rsid w:val="00DD554D"/>
    <w:rsid w:val="00DD5D59"/>
    <w:rsid w:val="00DD70B2"/>
    <w:rsid w:val="00DD7AA6"/>
    <w:rsid w:val="00DD7C4D"/>
    <w:rsid w:val="00DE05D0"/>
    <w:rsid w:val="00DE2445"/>
    <w:rsid w:val="00DE2AFD"/>
    <w:rsid w:val="00DE4AE5"/>
    <w:rsid w:val="00DE5286"/>
    <w:rsid w:val="00DE6220"/>
    <w:rsid w:val="00DE65B7"/>
    <w:rsid w:val="00DE6D40"/>
    <w:rsid w:val="00DE777A"/>
    <w:rsid w:val="00DE7CCE"/>
    <w:rsid w:val="00DF3136"/>
    <w:rsid w:val="00DF4571"/>
    <w:rsid w:val="00DF4A30"/>
    <w:rsid w:val="00DF57C4"/>
    <w:rsid w:val="00DF622A"/>
    <w:rsid w:val="00DF6A79"/>
    <w:rsid w:val="00DF6A9A"/>
    <w:rsid w:val="00DF6FB6"/>
    <w:rsid w:val="00DF7AD1"/>
    <w:rsid w:val="00E0050C"/>
    <w:rsid w:val="00E02AF6"/>
    <w:rsid w:val="00E039DC"/>
    <w:rsid w:val="00E03D6F"/>
    <w:rsid w:val="00E1036C"/>
    <w:rsid w:val="00E10679"/>
    <w:rsid w:val="00E13BA7"/>
    <w:rsid w:val="00E14B3E"/>
    <w:rsid w:val="00E16119"/>
    <w:rsid w:val="00E206AB"/>
    <w:rsid w:val="00E20E36"/>
    <w:rsid w:val="00E21C66"/>
    <w:rsid w:val="00E233CE"/>
    <w:rsid w:val="00E23427"/>
    <w:rsid w:val="00E235A8"/>
    <w:rsid w:val="00E23B23"/>
    <w:rsid w:val="00E2450C"/>
    <w:rsid w:val="00E25E86"/>
    <w:rsid w:val="00E261BF"/>
    <w:rsid w:val="00E3150B"/>
    <w:rsid w:val="00E31773"/>
    <w:rsid w:val="00E31B6F"/>
    <w:rsid w:val="00E31D71"/>
    <w:rsid w:val="00E32427"/>
    <w:rsid w:val="00E340B5"/>
    <w:rsid w:val="00E34C82"/>
    <w:rsid w:val="00E351EB"/>
    <w:rsid w:val="00E3532A"/>
    <w:rsid w:val="00E35F1B"/>
    <w:rsid w:val="00E36992"/>
    <w:rsid w:val="00E37A84"/>
    <w:rsid w:val="00E4001E"/>
    <w:rsid w:val="00E4019D"/>
    <w:rsid w:val="00E40325"/>
    <w:rsid w:val="00E43B1C"/>
    <w:rsid w:val="00E45B4A"/>
    <w:rsid w:val="00E46481"/>
    <w:rsid w:val="00E4648A"/>
    <w:rsid w:val="00E467F9"/>
    <w:rsid w:val="00E475C2"/>
    <w:rsid w:val="00E4781E"/>
    <w:rsid w:val="00E4792C"/>
    <w:rsid w:val="00E50838"/>
    <w:rsid w:val="00E5193B"/>
    <w:rsid w:val="00E527EA"/>
    <w:rsid w:val="00E53ACA"/>
    <w:rsid w:val="00E53CBA"/>
    <w:rsid w:val="00E54D8B"/>
    <w:rsid w:val="00E55179"/>
    <w:rsid w:val="00E55393"/>
    <w:rsid w:val="00E560ED"/>
    <w:rsid w:val="00E564A8"/>
    <w:rsid w:val="00E57180"/>
    <w:rsid w:val="00E57FB1"/>
    <w:rsid w:val="00E60C94"/>
    <w:rsid w:val="00E60CBC"/>
    <w:rsid w:val="00E62054"/>
    <w:rsid w:val="00E62C8A"/>
    <w:rsid w:val="00E63B64"/>
    <w:rsid w:val="00E63E28"/>
    <w:rsid w:val="00E645C7"/>
    <w:rsid w:val="00E65498"/>
    <w:rsid w:val="00E65DD4"/>
    <w:rsid w:val="00E67041"/>
    <w:rsid w:val="00E673E0"/>
    <w:rsid w:val="00E6767B"/>
    <w:rsid w:val="00E67BD5"/>
    <w:rsid w:val="00E712A1"/>
    <w:rsid w:val="00E71699"/>
    <w:rsid w:val="00E7199D"/>
    <w:rsid w:val="00E71E73"/>
    <w:rsid w:val="00E72EAE"/>
    <w:rsid w:val="00E72EB2"/>
    <w:rsid w:val="00E73061"/>
    <w:rsid w:val="00E7717C"/>
    <w:rsid w:val="00E77430"/>
    <w:rsid w:val="00E779A7"/>
    <w:rsid w:val="00E8039C"/>
    <w:rsid w:val="00E8086F"/>
    <w:rsid w:val="00E80B6A"/>
    <w:rsid w:val="00E8152A"/>
    <w:rsid w:val="00E81F6E"/>
    <w:rsid w:val="00E825F6"/>
    <w:rsid w:val="00E826C1"/>
    <w:rsid w:val="00E82B33"/>
    <w:rsid w:val="00E845FD"/>
    <w:rsid w:val="00E85674"/>
    <w:rsid w:val="00E8667C"/>
    <w:rsid w:val="00E86779"/>
    <w:rsid w:val="00E87F50"/>
    <w:rsid w:val="00E919A0"/>
    <w:rsid w:val="00E9409E"/>
    <w:rsid w:val="00E952B4"/>
    <w:rsid w:val="00E97E77"/>
    <w:rsid w:val="00EA0DE7"/>
    <w:rsid w:val="00EA1140"/>
    <w:rsid w:val="00EA438B"/>
    <w:rsid w:val="00EA56F5"/>
    <w:rsid w:val="00EA7D3B"/>
    <w:rsid w:val="00EB0AC0"/>
    <w:rsid w:val="00EB0C41"/>
    <w:rsid w:val="00EB0FE6"/>
    <w:rsid w:val="00EB11F1"/>
    <w:rsid w:val="00EB4218"/>
    <w:rsid w:val="00EB46E6"/>
    <w:rsid w:val="00EB6094"/>
    <w:rsid w:val="00EB68BA"/>
    <w:rsid w:val="00EB72A5"/>
    <w:rsid w:val="00EC040F"/>
    <w:rsid w:val="00EC0CC1"/>
    <w:rsid w:val="00EC2E09"/>
    <w:rsid w:val="00EC3EA9"/>
    <w:rsid w:val="00EC5E4F"/>
    <w:rsid w:val="00EC66C5"/>
    <w:rsid w:val="00ED1E9C"/>
    <w:rsid w:val="00ED3AFC"/>
    <w:rsid w:val="00ED4490"/>
    <w:rsid w:val="00ED54F8"/>
    <w:rsid w:val="00ED6FE2"/>
    <w:rsid w:val="00EE1D15"/>
    <w:rsid w:val="00EE1F41"/>
    <w:rsid w:val="00EE1FF8"/>
    <w:rsid w:val="00EE26D9"/>
    <w:rsid w:val="00EE3867"/>
    <w:rsid w:val="00EE3C97"/>
    <w:rsid w:val="00EE5018"/>
    <w:rsid w:val="00EE5132"/>
    <w:rsid w:val="00EE5795"/>
    <w:rsid w:val="00EE65AA"/>
    <w:rsid w:val="00EE7854"/>
    <w:rsid w:val="00EE7910"/>
    <w:rsid w:val="00EE7DF5"/>
    <w:rsid w:val="00EF0B7E"/>
    <w:rsid w:val="00EF0D1C"/>
    <w:rsid w:val="00EF0F76"/>
    <w:rsid w:val="00EF1DCE"/>
    <w:rsid w:val="00EF24C3"/>
    <w:rsid w:val="00EF4B40"/>
    <w:rsid w:val="00EF6470"/>
    <w:rsid w:val="00EF6F45"/>
    <w:rsid w:val="00EF7EF4"/>
    <w:rsid w:val="00F00842"/>
    <w:rsid w:val="00F00C9D"/>
    <w:rsid w:val="00F012DA"/>
    <w:rsid w:val="00F01F4B"/>
    <w:rsid w:val="00F07261"/>
    <w:rsid w:val="00F10864"/>
    <w:rsid w:val="00F10BF2"/>
    <w:rsid w:val="00F10CC8"/>
    <w:rsid w:val="00F11E77"/>
    <w:rsid w:val="00F1277D"/>
    <w:rsid w:val="00F12C19"/>
    <w:rsid w:val="00F13006"/>
    <w:rsid w:val="00F14227"/>
    <w:rsid w:val="00F14478"/>
    <w:rsid w:val="00F147B5"/>
    <w:rsid w:val="00F14852"/>
    <w:rsid w:val="00F14948"/>
    <w:rsid w:val="00F14EB8"/>
    <w:rsid w:val="00F2030F"/>
    <w:rsid w:val="00F2064F"/>
    <w:rsid w:val="00F20F8E"/>
    <w:rsid w:val="00F22517"/>
    <w:rsid w:val="00F24E9F"/>
    <w:rsid w:val="00F27164"/>
    <w:rsid w:val="00F30D1B"/>
    <w:rsid w:val="00F319DE"/>
    <w:rsid w:val="00F33035"/>
    <w:rsid w:val="00F333A0"/>
    <w:rsid w:val="00F33488"/>
    <w:rsid w:val="00F33DBC"/>
    <w:rsid w:val="00F33F0C"/>
    <w:rsid w:val="00F34FA8"/>
    <w:rsid w:val="00F35771"/>
    <w:rsid w:val="00F35910"/>
    <w:rsid w:val="00F40291"/>
    <w:rsid w:val="00F407AA"/>
    <w:rsid w:val="00F4105E"/>
    <w:rsid w:val="00F42491"/>
    <w:rsid w:val="00F4372F"/>
    <w:rsid w:val="00F43CAA"/>
    <w:rsid w:val="00F44DDA"/>
    <w:rsid w:val="00F44E9E"/>
    <w:rsid w:val="00F512F7"/>
    <w:rsid w:val="00F525DE"/>
    <w:rsid w:val="00F52E95"/>
    <w:rsid w:val="00F53D6B"/>
    <w:rsid w:val="00F55B83"/>
    <w:rsid w:val="00F55F43"/>
    <w:rsid w:val="00F57650"/>
    <w:rsid w:val="00F6066C"/>
    <w:rsid w:val="00F60FC3"/>
    <w:rsid w:val="00F61525"/>
    <w:rsid w:val="00F616DA"/>
    <w:rsid w:val="00F62014"/>
    <w:rsid w:val="00F628AE"/>
    <w:rsid w:val="00F62FA5"/>
    <w:rsid w:val="00F6391B"/>
    <w:rsid w:val="00F64137"/>
    <w:rsid w:val="00F645B0"/>
    <w:rsid w:val="00F6691A"/>
    <w:rsid w:val="00F67450"/>
    <w:rsid w:val="00F6750E"/>
    <w:rsid w:val="00F71803"/>
    <w:rsid w:val="00F71A26"/>
    <w:rsid w:val="00F75F10"/>
    <w:rsid w:val="00F7612D"/>
    <w:rsid w:val="00F76C87"/>
    <w:rsid w:val="00F76CEC"/>
    <w:rsid w:val="00F76F95"/>
    <w:rsid w:val="00F77CBC"/>
    <w:rsid w:val="00F82803"/>
    <w:rsid w:val="00F845C6"/>
    <w:rsid w:val="00F84EA1"/>
    <w:rsid w:val="00F85533"/>
    <w:rsid w:val="00F85DCF"/>
    <w:rsid w:val="00F86461"/>
    <w:rsid w:val="00F8678D"/>
    <w:rsid w:val="00F87DC8"/>
    <w:rsid w:val="00F87F62"/>
    <w:rsid w:val="00F87F96"/>
    <w:rsid w:val="00F902FD"/>
    <w:rsid w:val="00F90B38"/>
    <w:rsid w:val="00F91986"/>
    <w:rsid w:val="00F91C05"/>
    <w:rsid w:val="00F91E3F"/>
    <w:rsid w:val="00F96289"/>
    <w:rsid w:val="00F966AE"/>
    <w:rsid w:val="00FA12AE"/>
    <w:rsid w:val="00FA1780"/>
    <w:rsid w:val="00FA272E"/>
    <w:rsid w:val="00FA44DB"/>
    <w:rsid w:val="00FA53CB"/>
    <w:rsid w:val="00FA58B5"/>
    <w:rsid w:val="00FA5B81"/>
    <w:rsid w:val="00FA5F32"/>
    <w:rsid w:val="00FA6C1A"/>
    <w:rsid w:val="00FA765B"/>
    <w:rsid w:val="00FA7983"/>
    <w:rsid w:val="00FA7DCC"/>
    <w:rsid w:val="00FB18B4"/>
    <w:rsid w:val="00FB1B1E"/>
    <w:rsid w:val="00FB552E"/>
    <w:rsid w:val="00FB6782"/>
    <w:rsid w:val="00FB7BB1"/>
    <w:rsid w:val="00FC0DB1"/>
    <w:rsid w:val="00FC1860"/>
    <w:rsid w:val="00FC1F7D"/>
    <w:rsid w:val="00FC2290"/>
    <w:rsid w:val="00FC33D2"/>
    <w:rsid w:val="00FC40E0"/>
    <w:rsid w:val="00FC57D4"/>
    <w:rsid w:val="00FC6669"/>
    <w:rsid w:val="00FC73E5"/>
    <w:rsid w:val="00FC76BB"/>
    <w:rsid w:val="00FD0F88"/>
    <w:rsid w:val="00FD3413"/>
    <w:rsid w:val="00FD4B8D"/>
    <w:rsid w:val="00FD64DB"/>
    <w:rsid w:val="00FD79EE"/>
    <w:rsid w:val="00FE19EC"/>
    <w:rsid w:val="00FE2AE6"/>
    <w:rsid w:val="00FE2B95"/>
    <w:rsid w:val="00FE3665"/>
    <w:rsid w:val="00FE3CE1"/>
    <w:rsid w:val="00FE3E92"/>
    <w:rsid w:val="00FE463D"/>
    <w:rsid w:val="00FE5326"/>
    <w:rsid w:val="00FE597C"/>
    <w:rsid w:val="00FE6CB6"/>
    <w:rsid w:val="00FE7270"/>
    <w:rsid w:val="00FE7E7F"/>
    <w:rsid w:val="00FF12C3"/>
    <w:rsid w:val="00FF139F"/>
    <w:rsid w:val="00FF1F0A"/>
    <w:rsid w:val="00FF299B"/>
    <w:rsid w:val="00FF2C03"/>
    <w:rsid w:val="00FF2EE3"/>
    <w:rsid w:val="00FF46C0"/>
    <w:rsid w:val="00FF482A"/>
    <w:rsid w:val="00FF54B6"/>
    <w:rsid w:val="00FF55E9"/>
    <w:rsid w:val="00FF6467"/>
    <w:rsid w:val="00FF7789"/>
    <w:rsid w:val="00FF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3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4275A"/>
    <w:pPr>
      <w:widowControl w:val="0"/>
    </w:pPr>
    <w:rPr>
      <w:rFonts w:cstheme="minorBidi"/>
    </w:rPr>
  </w:style>
  <w:style w:type="paragraph" w:styleId="Heading1">
    <w:name w:val="heading 1"/>
    <w:aliases w:val="FSHeading 1,Chapter heading"/>
    <w:basedOn w:val="Normal"/>
    <w:next w:val="Normal"/>
    <w:link w:val="Heading1Char"/>
    <w:uiPriority w:val="2"/>
    <w:qFormat/>
    <w:rsid w:val="001913A7"/>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9"/>
    <w:unhideWhenUsed/>
    <w:qFormat/>
    <w:rsid w:val="0054275A"/>
    <w:pPr>
      <w:keepNext/>
      <w:widowControl/>
      <w:spacing w:before="240" w:after="240"/>
      <w:ind w:left="851" w:hanging="851"/>
      <w:outlineLvl w:val="1"/>
    </w:pPr>
    <w:rPr>
      <w:rFonts w:eastAsiaTheme="majorEastAsia" w:cs="Arial"/>
      <w:b/>
      <w:bCs/>
      <w:sz w:val="28"/>
      <w:lang w:val="en-GB"/>
    </w:rPr>
  </w:style>
  <w:style w:type="paragraph" w:styleId="Heading3">
    <w:name w:val="heading 3"/>
    <w:aliases w:val="FSHeading 3,Subheading 1"/>
    <w:basedOn w:val="Normal"/>
    <w:next w:val="Normal"/>
    <w:link w:val="Heading3Char"/>
    <w:autoRedefine/>
    <w:uiPriority w:val="2"/>
    <w:unhideWhenUsed/>
    <w:qFormat/>
    <w:rsid w:val="001913A7"/>
    <w:pPr>
      <w:keepNext/>
      <w:spacing w:before="240" w:after="240"/>
      <w:ind w:left="851" w:hanging="851"/>
      <w:outlineLvl w:val="2"/>
    </w:pPr>
    <w:rPr>
      <w:rFonts w:eastAsiaTheme="majorEastAsia" w:cstheme="majorBidi"/>
      <w:b/>
      <w:bCs/>
      <w:szCs w:val="24"/>
      <w:lang w:val="en-GB" w:eastAsia="en-AU"/>
    </w:rPr>
  </w:style>
  <w:style w:type="paragraph" w:styleId="Heading4">
    <w:name w:val="heading 4"/>
    <w:aliases w:val="FSHeading 4,Subheading 2"/>
    <w:basedOn w:val="Normal"/>
    <w:next w:val="Normal"/>
    <w:link w:val="Heading4Char"/>
    <w:uiPriority w:val="2"/>
    <w:unhideWhenUsed/>
    <w:qFormat/>
    <w:rsid w:val="001913A7"/>
    <w:pPr>
      <w:keepNext/>
      <w:spacing w:before="240" w:after="240"/>
      <w:ind w:left="851" w:hanging="851"/>
      <w:outlineLvl w:val="3"/>
    </w:pPr>
    <w:rPr>
      <w:rFonts w:eastAsiaTheme="majorEastAsia" w:cstheme="majorBidi"/>
      <w:b/>
      <w:bCs/>
      <w:i/>
      <w:iCs/>
      <w:lang w:val="en-GB"/>
    </w:rPr>
  </w:style>
  <w:style w:type="paragraph" w:styleId="Heading5">
    <w:name w:val="heading 5"/>
    <w:aliases w:val="FSHeading 5,Subheading 3"/>
    <w:basedOn w:val="Normal"/>
    <w:next w:val="Normal"/>
    <w:link w:val="Heading5Char"/>
    <w:uiPriority w:val="2"/>
    <w:unhideWhenUsed/>
    <w:qFormat/>
    <w:rsid w:val="001913A7"/>
    <w:pPr>
      <w:keepNext/>
      <w:spacing w:before="240" w:after="240"/>
      <w:ind w:left="851" w:hanging="851"/>
      <w:outlineLvl w:val="4"/>
    </w:pPr>
    <w:rPr>
      <w:rFonts w:eastAsiaTheme="majorEastAsia" w:cstheme="majorBidi"/>
      <w:i/>
      <w:lang w:val="en-GB"/>
    </w:rPr>
  </w:style>
  <w:style w:type="paragraph" w:styleId="Heading6">
    <w:name w:val="heading 6"/>
    <w:basedOn w:val="Normal"/>
    <w:next w:val="Normal"/>
    <w:link w:val="Heading6Char"/>
    <w:uiPriority w:val="9"/>
    <w:unhideWhenUsed/>
    <w:rsid w:val="008931F6"/>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347A37"/>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A37"/>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47A37"/>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1913A7"/>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54275A"/>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1913A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1913A7"/>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1913A7"/>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273D45"/>
    <w:pPr>
      <w:spacing w:before="120" w:after="120"/>
      <w:ind w:left="1135"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5F3AD9"/>
    <w:pPr>
      <w:spacing w:before="100" w:beforeAutospacing="1" w:after="100" w:afterAutospacing="1"/>
    </w:pPr>
    <w:rPr>
      <w:b/>
      <w:szCs w:val="20"/>
    </w:rPr>
  </w:style>
  <w:style w:type="paragraph" w:customStyle="1" w:styleId="FSTableFigureHeading">
    <w:name w:val="FSTable/Figure Heading"/>
    <w:basedOn w:val="Normal"/>
    <w:uiPriority w:val="7"/>
    <w:qFormat/>
    <w:rsid w:val="000C07E7"/>
    <w:pPr>
      <w:spacing w:before="100" w:beforeAutospacing="1"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Hyperlink">
    <w:name w:val="Hyperlink"/>
    <w:basedOn w:val="DefaultParagraphFont"/>
    <w:uiPriority w:val="99"/>
    <w:rsid w:val="009B69D6"/>
    <w:rPr>
      <w:rFonts w:ascii="Arial" w:hAnsi="Arial"/>
      <w:color w:val="3333FF"/>
      <w:u w:val="single"/>
    </w:rPr>
  </w:style>
  <w:style w:type="character" w:styleId="FootnoteReference">
    <w:name w:val="footnote reference"/>
    <w:basedOn w:val="DefaultParagraphFont"/>
    <w:rsid w:val="009B69D6"/>
    <w:rPr>
      <w:vertAlign w:val="superscript"/>
    </w:rPr>
  </w:style>
  <w:style w:type="table" w:styleId="TableGrid">
    <w:name w:val="Table Grid"/>
    <w:basedOn w:val="TableNormal"/>
    <w:uiPriority w:val="59"/>
    <w:rsid w:val="006C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A878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23D51"/>
    <w:rPr>
      <w:rFonts w:ascii="Tahoma" w:hAnsi="Tahoma" w:cs="Tahoma"/>
      <w:sz w:val="16"/>
      <w:szCs w:val="16"/>
    </w:rPr>
  </w:style>
  <w:style w:type="character" w:customStyle="1" w:styleId="BalloonTextChar">
    <w:name w:val="Balloon Text Char"/>
    <w:basedOn w:val="DefaultParagraphFont"/>
    <w:link w:val="BalloonText"/>
    <w:uiPriority w:val="99"/>
    <w:semiHidden/>
    <w:rsid w:val="00623D51"/>
    <w:rPr>
      <w:rFonts w:ascii="Tahoma" w:hAnsi="Tahoma" w:cs="Tahoma"/>
      <w:sz w:val="16"/>
      <w:szCs w:val="16"/>
      <w:lang w:val="en-GB"/>
    </w:rPr>
  </w:style>
  <w:style w:type="paragraph" w:styleId="Revision">
    <w:name w:val="Revision"/>
    <w:hidden/>
    <w:uiPriority w:val="99"/>
    <w:semiHidden/>
    <w:rsid w:val="008F5EFD"/>
    <w:rPr>
      <w:rFonts w:cstheme="minorBidi"/>
      <w:lang w:val="en-GB"/>
    </w:rPr>
  </w:style>
  <w:style w:type="paragraph" w:customStyle="1" w:styleId="FSTitle">
    <w:name w:val="FS Title"/>
    <w:basedOn w:val="Normal"/>
    <w:link w:val="FSTitleChar"/>
    <w:qFormat/>
    <w:rsid w:val="001913A7"/>
    <w:rPr>
      <w:rFonts w:ascii="Tahoma" w:hAnsi="Tahoma" w:cs="Tahoma"/>
      <w:b/>
      <w:sz w:val="36"/>
      <w:szCs w:val="36"/>
    </w:rPr>
  </w:style>
  <w:style w:type="paragraph" w:customStyle="1" w:styleId="FSsubtitle">
    <w:name w:val="FS subtitle"/>
    <w:basedOn w:val="Header"/>
    <w:link w:val="FSsubtitleChar"/>
    <w:qFormat/>
    <w:rsid w:val="007F2DBD"/>
    <w:pPr>
      <w:jc w:val="left"/>
    </w:pPr>
    <w:rPr>
      <w:rFonts w:ascii="Arial Bold" w:hAnsi="Arial Bold"/>
      <w:spacing w:val="20"/>
      <w:sz w:val="32"/>
      <w:szCs w:val="36"/>
    </w:rPr>
  </w:style>
  <w:style w:type="character" w:customStyle="1" w:styleId="FSTitleChar">
    <w:name w:val="FS Title Char"/>
    <w:basedOn w:val="DefaultParagraphFont"/>
    <w:link w:val="FSTitle"/>
    <w:rsid w:val="001913A7"/>
    <w:rPr>
      <w:rFonts w:ascii="Tahoma" w:hAnsi="Tahoma" w:cs="Tahoma"/>
      <w:b/>
      <w:sz w:val="36"/>
      <w:szCs w:val="36"/>
    </w:rPr>
  </w:style>
  <w:style w:type="paragraph" w:customStyle="1" w:styleId="FSBullet">
    <w:name w:val="FS Bullet"/>
    <w:basedOn w:val="Normal"/>
    <w:next w:val="Normal"/>
    <w:link w:val="FSBulletChar"/>
    <w:rsid w:val="00364CB6"/>
    <w:pPr>
      <w:numPr>
        <w:numId w:val="10"/>
      </w:numPr>
      <w:spacing w:before="100" w:beforeAutospacing="1" w:after="100" w:afterAutospacing="1"/>
    </w:pPr>
    <w:rPr>
      <w:rFonts w:eastAsia="Times New Roman" w:cs="Arial"/>
      <w:szCs w:val="24"/>
      <w:lang w:bidi="en-US"/>
    </w:rPr>
  </w:style>
  <w:style w:type="character" w:customStyle="1" w:styleId="FSsubtitleChar">
    <w:name w:val="FS subtitle Char"/>
    <w:basedOn w:val="HeaderChar"/>
    <w:link w:val="FSsubtitle"/>
    <w:rsid w:val="007F2DBD"/>
    <w:rPr>
      <w:rFonts w:ascii="Arial Bold" w:hAnsi="Arial Bold" w:cstheme="minorBidi"/>
      <w:b/>
      <w:spacing w:val="20"/>
      <w:sz w:val="32"/>
      <w:szCs w:val="36"/>
      <w:lang w:val="en-GB"/>
    </w:rPr>
  </w:style>
  <w:style w:type="character" w:customStyle="1" w:styleId="FSBulletChar">
    <w:name w:val="FS Bullet Char"/>
    <w:basedOn w:val="DefaultParagraphFont"/>
    <w:link w:val="FSBullet"/>
    <w:rsid w:val="00364CB6"/>
    <w:rPr>
      <w:rFonts w:eastAsia="Times New Roman"/>
      <w:szCs w:val="24"/>
      <w:lang w:bidi="en-US"/>
    </w:rPr>
  </w:style>
  <w:style w:type="table" w:styleId="LightList-Accent1">
    <w:name w:val="Light List Accent 1"/>
    <w:basedOn w:val="TableNormal"/>
    <w:uiPriority w:val="61"/>
    <w:rsid w:val="00C71B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71B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40D39"/>
    <w:rPr>
      <w:sz w:val="16"/>
      <w:szCs w:val="16"/>
    </w:rPr>
  </w:style>
  <w:style w:type="paragraph" w:styleId="CommentText">
    <w:name w:val="annotation text"/>
    <w:basedOn w:val="Normal"/>
    <w:link w:val="CommentTextChar"/>
    <w:uiPriority w:val="99"/>
    <w:semiHidden/>
    <w:unhideWhenUsed/>
    <w:rsid w:val="00740D39"/>
    <w:rPr>
      <w:sz w:val="20"/>
      <w:szCs w:val="20"/>
    </w:rPr>
  </w:style>
  <w:style w:type="character" w:customStyle="1" w:styleId="CommentTextChar">
    <w:name w:val="Comment Text Char"/>
    <w:basedOn w:val="DefaultParagraphFont"/>
    <w:link w:val="CommentText"/>
    <w:uiPriority w:val="99"/>
    <w:semiHidden/>
    <w:rsid w:val="00740D39"/>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40D39"/>
    <w:rPr>
      <w:b/>
      <w:bCs/>
    </w:rPr>
  </w:style>
  <w:style w:type="character" w:customStyle="1" w:styleId="CommentSubjectChar">
    <w:name w:val="Comment Subject Char"/>
    <w:basedOn w:val="CommentTextChar"/>
    <w:link w:val="CommentSubject"/>
    <w:uiPriority w:val="99"/>
    <w:semiHidden/>
    <w:rsid w:val="00740D39"/>
    <w:rPr>
      <w:rFonts w:cstheme="minorBidi"/>
      <w:b/>
      <w:bCs/>
      <w:sz w:val="20"/>
      <w:szCs w:val="20"/>
      <w:lang w:val="en-GB"/>
    </w:rPr>
  </w:style>
  <w:style w:type="character" w:styleId="FollowedHyperlink">
    <w:name w:val="FollowedHyperlink"/>
    <w:basedOn w:val="DefaultParagraphFont"/>
    <w:uiPriority w:val="99"/>
    <w:semiHidden/>
    <w:unhideWhenUsed/>
    <w:rsid w:val="00AA5AB3"/>
    <w:rPr>
      <w:color w:val="800080" w:themeColor="followedHyperlink"/>
      <w:u w:val="single"/>
    </w:rPr>
  </w:style>
  <w:style w:type="character" w:customStyle="1" w:styleId="Heading7Char">
    <w:name w:val="Heading 7 Char"/>
    <w:basedOn w:val="DefaultParagraphFont"/>
    <w:link w:val="Heading7"/>
    <w:uiPriority w:val="9"/>
    <w:semiHidden/>
    <w:rsid w:val="00347A3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347A3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47A37"/>
    <w:rPr>
      <w:rFonts w:asciiTheme="majorHAnsi" w:eastAsiaTheme="majorEastAsia" w:hAnsiTheme="majorHAnsi" w:cstheme="majorBidi"/>
      <w:i/>
      <w:iCs/>
      <w:color w:val="404040" w:themeColor="text1" w:themeTint="BF"/>
      <w:sz w:val="20"/>
      <w:szCs w:val="20"/>
      <w:lang w:val="en-GB"/>
    </w:rPr>
  </w:style>
  <w:style w:type="character" w:styleId="PlaceholderText">
    <w:name w:val="Placeholder Text"/>
    <w:basedOn w:val="DefaultParagraphFont"/>
    <w:uiPriority w:val="99"/>
    <w:semiHidden/>
    <w:rsid w:val="00504141"/>
    <w:rPr>
      <w:color w:val="808080"/>
    </w:rPr>
  </w:style>
  <w:style w:type="paragraph" w:customStyle="1" w:styleId="BODYTEXT">
    <w:name w:val="BODYTEXT"/>
    <w:rsid w:val="00A73026"/>
    <w:rPr>
      <w:rFonts w:ascii="Times New Roman" w:eastAsia="Times New Roman" w:hAnsi="Times New Roman" w:cs="Times New Roman"/>
      <w:sz w:val="24"/>
      <w:szCs w:val="24"/>
    </w:rPr>
  </w:style>
  <w:style w:type="paragraph" w:customStyle="1" w:styleId="FSSubheading">
    <w:name w:val="FS Subheading"/>
    <w:basedOn w:val="Normal"/>
    <w:qFormat/>
    <w:rsid w:val="00F628AE"/>
    <w:rPr>
      <w:rFonts w:eastAsia="Times New Roman" w:cs="Arial"/>
    </w:rPr>
  </w:style>
  <w:style w:type="paragraph" w:customStyle="1" w:styleId="Bullet">
    <w:name w:val="Bullet"/>
    <w:basedOn w:val="Normal"/>
    <w:link w:val="BulletChar"/>
    <w:rsid w:val="00F628AE"/>
    <w:pPr>
      <w:numPr>
        <w:numId w:val="13"/>
      </w:numPr>
      <w:tabs>
        <w:tab w:val="clear" w:pos="1134"/>
      </w:tabs>
    </w:pPr>
    <w:rPr>
      <w:rFonts w:ascii="Times New Roman" w:eastAsia="Times New Roman" w:hAnsi="Times New Roman" w:cs="Times New Roman"/>
      <w:sz w:val="24"/>
      <w:szCs w:val="24"/>
    </w:rPr>
  </w:style>
  <w:style w:type="character" w:customStyle="1" w:styleId="BulletChar">
    <w:name w:val="Bullet Char"/>
    <w:link w:val="Bullet"/>
    <w:rsid w:val="00F628AE"/>
    <w:rPr>
      <w:rFonts w:ascii="Times New Roman" w:eastAsia="Times New Roman" w:hAnsi="Times New Roman" w:cs="Times New Roman"/>
      <w:sz w:val="24"/>
      <w:szCs w:val="24"/>
      <w:lang w:val="en-GB"/>
    </w:rPr>
  </w:style>
  <w:style w:type="table" w:styleId="MediumGrid3-Accent1">
    <w:name w:val="Medium Grid 3 Accent 1"/>
    <w:basedOn w:val="TableNormal"/>
    <w:uiPriority w:val="69"/>
    <w:rsid w:val="00F35771"/>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OC1">
    <w:name w:val="toc 1"/>
    <w:basedOn w:val="Normal"/>
    <w:next w:val="Normal"/>
    <w:autoRedefine/>
    <w:uiPriority w:val="39"/>
    <w:unhideWhenUsed/>
    <w:rsid w:val="00826BA9"/>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826BA9"/>
    <w:pPr>
      <w:ind w:left="220"/>
    </w:pPr>
    <w:rPr>
      <w:rFonts w:asciiTheme="minorHAnsi" w:hAnsiTheme="minorHAnsi"/>
      <w:smallCaps/>
      <w:sz w:val="20"/>
      <w:szCs w:val="20"/>
    </w:rPr>
  </w:style>
  <w:style w:type="paragraph" w:styleId="TOC3">
    <w:name w:val="toc 3"/>
    <w:basedOn w:val="Normal"/>
    <w:next w:val="Normal"/>
    <w:autoRedefine/>
    <w:uiPriority w:val="39"/>
    <w:unhideWhenUsed/>
    <w:rsid w:val="00826BA9"/>
    <w:pPr>
      <w:ind w:left="440"/>
    </w:pPr>
    <w:rPr>
      <w:rFonts w:asciiTheme="minorHAnsi" w:hAnsiTheme="minorHAnsi"/>
      <w:i/>
      <w:iCs/>
      <w:sz w:val="20"/>
      <w:szCs w:val="20"/>
    </w:rPr>
  </w:style>
  <w:style w:type="paragraph" w:styleId="TOC4">
    <w:name w:val="toc 4"/>
    <w:basedOn w:val="Normal"/>
    <w:next w:val="Normal"/>
    <w:autoRedefine/>
    <w:uiPriority w:val="39"/>
    <w:unhideWhenUsed/>
    <w:rsid w:val="00826BA9"/>
    <w:pPr>
      <w:ind w:left="660"/>
    </w:pPr>
    <w:rPr>
      <w:rFonts w:asciiTheme="minorHAnsi" w:hAnsiTheme="minorHAnsi"/>
      <w:sz w:val="18"/>
      <w:szCs w:val="18"/>
    </w:rPr>
  </w:style>
  <w:style w:type="paragraph" w:styleId="TOC5">
    <w:name w:val="toc 5"/>
    <w:basedOn w:val="Normal"/>
    <w:next w:val="Normal"/>
    <w:autoRedefine/>
    <w:uiPriority w:val="39"/>
    <w:unhideWhenUsed/>
    <w:rsid w:val="00826BA9"/>
    <w:pPr>
      <w:ind w:left="880"/>
    </w:pPr>
    <w:rPr>
      <w:rFonts w:asciiTheme="minorHAnsi" w:hAnsiTheme="minorHAnsi"/>
      <w:sz w:val="18"/>
      <w:szCs w:val="18"/>
    </w:rPr>
  </w:style>
  <w:style w:type="paragraph" w:styleId="TOC6">
    <w:name w:val="toc 6"/>
    <w:basedOn w:val="Normal"/>
    <w:next w:val="Normal"/>
    <w:autoRedefine/>
    <w:uiPriority w:val="39"/>
    <w:unhideWhenUsed/>
    <w:rsid w:val="00826BA9"/>
    <w:pPr>
      <w:ind w:left="1100"/>
    </w:pPr>
    <w:rPr>
      <w:rFonts w:asciiTheme="minorHAnsi" w:hAnsiTheme="minorHAnsi"/>
      <w:sz w:val="18"/>
      <w:szCs w:val="18"/>
    </w:rPr>
  </w:style>
  <w:style w:type="paragraph" w:styleId="TOC7">
    <w:name w:val="toc 7"/>
    <w:basedOn w:val="Normal"/>
    <w:next w:val="Normal"/>
    <w:autoRedefine/>
    <w:uiPriority w:val="39"/>
    <w:unhideWhenUsed/>
    <w:rsid w:val="00826BA9"/>
    <w:pPr>
      <w:ind w:left="1320"/>
    </w:pPr>
    <w:rPr>
      <w:rFonts w:asciiTheme="minorHAnsi" w:hAnsiTheme="minorHAnsi"/>
      <w:sz w:val="18"/>
      <w:szCs w:val="18"/>
    </w:rPr>
  </w:style>
  <w:style w:type="paragraph" w:styleId="TOC8">
    <w:name w:val="toc 8"/>
    <w:basedOn w:val="Normal"/>
    <w:next w:val="Normal"/>
    <w:autoRedefine/>
    <w:uiPriority w:val="39"/>
    <w:unhideWhenUsed/>
    <w:rsid w:val="00826BA9"/>
    <w:pPr>
      <w:ind w:left="1540"/>
    </w:pPr>
    <w:rPr>
      <w:rFonts w:asciiTheme="minorHAnsi" w:hAnsiTheme="minorHAnsi"/>
      <w:sz w:val="18"/>
      <w:szCs w:val="18"/>
    </w:rPr>
  </w:style>
  <w:style w:type="paragraph" w:styleId="TOC9">
    <w:name w:val="toc 9"/>
    <w:basedOn w:val="Normal"/>
    <w:next w:val="Normal"/>
    <w:autoRedefine/>
    <w:uiPriority w:val="39"/>
    <w:unhideWhenUsed/>
    <w:rsid w:val="00826BA9"/>
    <w:pPr>
      <w:ind w:left="1760"/>
    </w:pPr>
    <w:rPr>
      <w:rFonts w:asciiTheme="minorHAnsi" w:hAnsiTheme="minorHAnsi"/>
      <w:sz w:val="18"/>
      <w:szCs w:val="18"/>
    </w:rPr>
  </w:style>
  <w:style w:type="table" w:styleId="LightShading">
    <w:name w:val="Light Shading"/>
    <w:basedOn w:val="TableNormal"/>
    <w:uiPriority w:val="60"/>
    <w:rsid w:val="003F18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4275A"/>
    <w:pPr>
      <w:widowControl w:val="0"/>
    </w:pPr>
    <w:rPr>
      <w:rFonts w:cstheme="minorBidi"/>
    </w:rPr>
  </w:style>
  <w:style w:type="paragraph" w:styleId="Heading1">
    <w:name w:val="heading 1"/>
    <w:aliases w:val="FSHeading 1,Chapter heading"/>
    <w:basedOn w:val="Normal"/>
    <w:next w:val="Normal"/>
    <w:link w:val="Heading1Char"/>
    <w:uiPriority w:val="2"/>
    <w:qFormat/>
    <w:rsid w:val="001913A7"/>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9"/>
    <w:unhideWhenUsed/>
    <w:qFormat/>
    <w:rsid w:val="0054275A"/>
    <w:pPr>
      <w:keepNext/>
      <w:widowControl/>
      <w:spacing w:before="240" w:after="240"/>
      <w:ind w:left="851" w:hanging="851"/>
      <w:outlineLvl w:val="1"/>
    </w:pPr>
    <w:rPr>
      <w:rFonts w:eastAsiaTheme="majorEastAsia" w:cs="Arial"/>
      <w:b/>
      <w:bCs/>
      <w:sz w:val="28"/>
      <w:lang w:val="en-GB"/>
    </w:rPr>
  </w:style>
  <w:style w:type="paragraph" w:styleId="Heading3">
    <w:name w:val="heading 3"/>
    <w:aliases w:val="FSHeading 3,Subheading 1"/>
    <w:basedOn w:val="Normal"/>
    <w:next w:val="Normal"/>
    <w:link w:val="Heading3Char"/>
    <w:autoRedefine/>
    <w:uiPriority w:val="2"/>
    <w:unhideWhenUsed/>
    <w:qFormat/>
    <w:rsid w:val="001913A7"/>
    <w:pPr>
      <w:keepNext/>
      <w:spacing w:before="240" w:after="240"/>
      <w:ind w:left="851" w:hanging="851"/>
      <w:outlineLvl w:val="2"/>
    </w:pPr>
    <w:rPr>
      <w:rFonts w:eastAsiaTheme="majorEastAsia" w:cstheme="majorBidi"/>
      <w:b/>
      <w:bCs/>
      <w:szCs w:val="24"/>
      <w:lang w:val="en-GB" w:eastAsia="en-AU"/>
    </w:rPr>
  </w:style>
  <w:style w:type="paragraph" w:styleId="Heading4">
    <w:name w:val="heading 4"/>
    <w:aliases w:val="FSHeading 4,Subheading 2"/>
    <w:basedOn w:val="Normal"/>
    <w:next w:val="Normal"/>
    <w:link w:val="Heading4Char"/>
    <w:uiPriority w:val="2"/>
    <w:unhideWhenUsed/>
    <w:qFormat/>
    <w:rsid w:val="001913A7"/>
    <w:pPr>
      <w:keepNext/>
      <w:spacing w:before="240" w:after="240"/>
      <w:ind w:left="851" w:hanging="851"/>
      <w:outlineLvl w:val="3"/>
    </w:pPr>
    <w:rPr>
      <w:rFonts w:eastAsiaTheme="majorEastAsia" w:cstheme="majorBidi"/>
      <w:b/>
      <w:bCs/>
      <w:i/>
      <w:iCs/>
      <w:lang w:val="en-GB"/>
    </w:rPr>
  </w:style>
  <w:style w:type="paragraph" w:styleId="Heading5">
    <w:name w:val="heading 5"/>
    <w:aliases w:val="FSHeading 5,Subheading 3"/>
    <w:basedOn w:val="Normal"/>
    <w:next w:val="Normal"/>
    <w:link w:val="Heading5Char"/>
    <w:uiPriority w:val="2"/>
    <w:unhideWhenUsed/>
    <w:qFormat/>
    <w:rsid w:val="001913A7"/>
    <w:pPr>
      <w:keepNext/>
      <w:spacing w:before="240" w:after="240"/>
      <w:ind w:left="851" w:hanging="851"/>
      <w:outlineLvl w:val="4"/>
    </w:pPr>
    <w:rPr>
      <w:rFonts w:eastAsiaTheme="majorEastAsia" w:cstheme="majorBidi"/>
      <w:i/>
      <w:lang w:val="en-GB"/>
    </w:rPr>
  </w:style>
  <w:style w:type="paragraph" w:styleId="Heading6">
    <w:name w:val="heading 6"/>
    <w:basedOn w:val="Normal"/>
    <w:next w:val="Normal"/>
    <w:link w:val="Heading6Char"/>
    <w:uiPriority w:val="9"/>
    <w:unhideWhenUsed/>
    <w:rsid w:val="008931F6"/>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347A37"/>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47A37"/>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47A37"/>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1913A7"/>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54275A"/>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1913A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1913A7"/>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1913A7"/>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273D45"/>
    <w:pPr>
      <w:spacing w:before="120" w:after="120"/>
      <w:ind w:left="1135"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5F3AD9"/>
    <w:pPr>
      <w:spacing w:before="100" w:beforeAutospacing="1" w:after="100" w:afterAutospacing="1"/>
    </w:pPr>
    <w:rPr>
      <w:b/>
      <w:szCs w:val="20"/>
    </w:rPr>
  </w:style>
  <w:style w:type="paragraph" w:customStyle="1" w:styleId="FSTableFigureHeading">
    <w:name w:val="FSTable/Figure Heading"/>
    <w:basedOn w:val="Normal"/>
    <w:uiPriority w:val="7"/>
    <w:qFormat/>
    <w:rsid w:val="000C07E7"/>
    <w:pPr>
      <w:spacing w:before="100" w:beforeAutospacing="1"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Hyperlink">
    <w:name w:val="Hyperlink"/>
    <w:basedOn w:val="DefaultParagraphFont"/>
    <w:uiPriority w:val="99"/>
    <w:rsid w:val="009B69D6"/>
    <w:rPr>
      <w:rFonts w:ascii="Arial" w:hAnsi="Arial"/>
      <w:color w:val="3333FF"/>
      <w:u w:val="single"/>
    </w:rPr>
  </w:style>
  <w:style w:type="character" w:styleId="FootnoteReference">
    <w:name w:val="footnote reference"/>
    <w:basedOn w:val="DefaultParagraphFont"/>
    <w:rsid w:val="009B69D6"/>
    <w:rPr>
      <w:vertAlign w:val="superscript"/>
    </w:rPr>
  </w:style>
  <w:style w:type="table" w:styleId="TableGrid">
    <w:name w:val="Table Grid"/>
    <w:basedOn w:val="TableNormal"/>
    <w:uiPriority w:val="59"/>
    <w:rsid w:val="006C6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A878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623D51"/>
    <w:rPr>
      <w:rFonts w:ascii="Tahoma" w:hAnsi="Tahoma" w:cs="Tahoma"/>
      <w:sz w:val="16"/>
      <w:szCs w:val="16"/>
    </w:rPr>
  </w:style>
  <w:style w:type="character" w:customStyle="1" w:styleId="BalloonTextChar">
    <w:name w:val="Balloon Text Char"/>
    <w:basedOn w:val="DefaultParagraphFont"/>
    <w:link w:val="BalloonText"/>
    <w:uiPriority w:val="99"/>
    <w:semiHidden/>
    <w:rsid w:val="00623D51"/>
    <w:rPr>
      <w:rFonts w:ascii="Tahoma" w:hAnsi="Tahoma" w:cs="Tahoma"/>
      <w:sz w:val="16"/>
      <w:szCs w:val="16"/>
      <w:lang w:val="en-GB"/>
    </w:rPr>
  </w:style>
  <w:style w:type="paragraph" w:styleId="Revision">
    <w:name w:val="Revision"/>
    <w:hidden/>
    <w:uiPriority w:val="99"/>
    <w:semiHidden/>
    <w:rsid w:val="008F5EFD"/>
    <w:rPr>
      <w:rFonts w:cstheme="minorBidi"/>
      <w:lang w:val="en-GB"/>
    </w:rPr>
  </w:style>
  <w:style w:type="paragraph" w:customStyle="1" w:styleId="FSTitle">
    <w:name w:val="FS Title"/>
    <w:basedOn w:val="Normal"/>
    <w:link w:val="FSTitleChar"/>
    <w:qFormat/>
    <w:rsid w:val="001913A7"/>
    <w:rPr>
      <w:rFonts w:ascii="Tahoma" w:hAnsi="Tahoma" w:cs="Tahoma"/>
      <w:b/>
      <w:sz w:val="36"/>
      <w:szCs w:val="36"/>
    </w:rPr>
  </w:style>
  <w:style w:type="paragraph" w:customStyle="1" w:styleId="FSsubtitle">
    <w:name w:val="FS subtitle"/>
    <w:basedOn w:val="Header"/>
    <w:link w:val="FSsubtitleChar"/>
    <w:qFormat/>
    <w:rsid w:val="007F2DBD"/>
    <w:pPr>
      <w:jc w:val="left"/>
    </w:pPr>
    <w:rPr>
      <w:rFonts w:ascii="Arial Bold" w:hAnsi="Arial Bold"/>
      <w:spacing w:val="20"/>
      <w:sz w:val="32"/>
      <w:szCs w:val="36"/>
    </w:rPr>
  </w:style>
  <w:style w:type="character" w:customStyle="1" w:styleId="FSTitleChar">
    <w:name w:val="FS Title Char"/>
    <w:basedOn w:val="DefaultParagraphFont"/>
    <w:link w:val="FSTitle"/>
    <w:rsid w:val="001913A7"/>
    <w:rPr>
      <w:rFonts w:ascii="Tahoma" w:hAnsi="Tahoma" w:cs="Tahoma"/>
      <w:b/>
      <w:sz w:val="36"/>
      <w:szCs w:val="36"/>
    </w:rPr>
  </w:style>
  <w:style w:type="paragraph" w:customStyle="1" w:styleId="FSBullet">
    <w:name w:val="FS Bullet"/>
    <w:basedOn w:val="Normal"/>
    <w:next w:val="Normal"/>
    <w:link w:val="FSBulletChar"/>
    <w:rsid w:val="00364CB6"/>
    <w:pPr>
      <w:numPr>
        <w:numId w:val="10"/>
      </w:numPr>
      <w:spacing w:before="100" w:beforeAutospacing="1" w:after="100" w:afterAutospacing="1"/>
    </w:pPr>
    <w:rPr>
      <w:rFonts w:eastAsia="Times New Roman" w:cs="Arial"/>
      <w:szCs w:val="24"/>
      <w:lang w:bidi="en-US"/>
    </w:rPr>
  </w:style>
  <w:style w:type="character" w:customStyle="1" w:styleId="FSsubtitleChar">
    <w:name w:val="FS subtitle Char"/>
    <w:basedOn w:val="HeaderChar"/>
    <w:link w:val="FSsubtitle"/>
    <w:rsid w:val="007F2DBD"/>
    <w:rPr>
      <w:rFonts w:ascii="Arial Bold" w:hAnsi="Arial Bold" w:cstheme="minorBidi"/>
      <w:b/>
      <w:spacing w:val="20"/>
      <w:sz w:val="32"/>
      <w:szCs w:val="36"/>
      <w:lang w:val="en-GB"/>
    </w:rPr>
  </w:style>
  <w:style w:type="character" w:customStyle="1" w:styleId="FSBulletChar">
    <w:name w:val="FS Bullet Char"/>
    <w:basedOn w:val="DefaultParagraphFont"/>
    <w:link w:val="FSBullet"/>
    <w:rsid w:val="00364CB6"/>
    <w:rPr>
      <w:rFonts w:eastAsia="Times New Roman"/>
      <w:szCs w:val="24"/>
      <w:lang w:bidi="en-US"/>
    </w:rPr>
  </w:style>
  <w:style w:type="table" w:styleId="LightList-Accent1">
    <w:name w:val="Light List Accent 1"/>
    <w:basedOn w:val="TableNormal"/>
    <w:uiPriority w:val="61"/>
    <w:rsid w:val="00C71B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71B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740D39"/>
    <w:rPr>
      <w:sz w:val="16"/>
      <w:szCs w:val="16"/>
    </w:rPr>
  </w:style>
  <w:style w:type="paragraph" w:styleId="CommentText">
    <w:name w:val="annotation text"/>
    <w:basedOn w:val="Normal"/>
    <w:link w:val="CommentTextChar"/>
    <w:uiPriority w:val="99"/>
    <w:semiHidden/>
    <w:unhideWhenUsed/>
    <w:rsid w:val="00740D39"/>
    <w:rPr>
      <w:sz w:val="20"/>
      <w:szCs w:val="20"/>
    </w:rPr>
  </w:style>
  <w:style w:type="character" w:customStyle="1" w:styleId="CommentTextChar">
    <w:name w:val="Comment Text Char"/>
    <w:basedOn w:val="DefaultParagraphFont"/>
    <w:link w:val="CommentText"/>
    <w:uiPriority w:val="99"/>
    <w:semiHidden/>
    <w:rsid w:val="00740D39"/>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40D39"/>
    <w:rPr>
      <w:b/>
      <w:bCs/>
    </w:rPr>
  </w:style>
  <w:style w:type="character" w:customStyle="1" w:styleId="CommentSubjectChar">
    <w:name w:val="Comment Subject Char"/>
    <w:basedOn w:val="CommentTextChar"/>
    <w:link w:val="CommentSubject"/>
    <w:uiPriority w:val="99"/>
    <w:semiHidden/>
    <w:rsid w:val="00740D39"/>
    <w:rPr>
      <w:rFonts w:cstheme="minorBidi"/>
      <w:b/>
      <w:bCs/>
      <w:sz w:val="20"/>
      <w:szCs w:val="20"/>
      <w:lang w:val="en-GB"/>
    </w:rPr>
  </w:style>
  <w:style w:type="character" w:styleId="FollowedHyperlink">
    <w:name w:val="FollowedHyperlink"/>
    <w:basedOn w:val="DefaultParagraphFont"/>
    <w:uiPriority w:val="99"/>
    <w:semiHidden/>
    <w:unhideWhenUsed/>
    <w:rsid w:val="00AA5AB3"/>
    <w:rPr>
      <w:color w:val="800080" w:themeColor="followedHyperlink"/>
      <w:u w:val="single"/>
    </w:rPr>
  </w:style>
  <w:style w:type="character" w:customStyle="1" w:styleId="Heading7Char">
    <w:name w:val="Heading 7 Char"/>
    <w:basedOn w:val="DefaultParagraphFont"/>
    <w:link w:val="Heading7"/>
    <w:uiPriority w:val="9"/>
    <w:semiHidden/>
    <w:rsid w:val="00347A3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347A3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47A37"/>
    <w:rPr>
      <w:rFonts w:asciiTheme="majorHAnsi" w:eastAsiaTheme="majorEastAsia" w:hAnsiTheme="majorHAnsi" w:cstheme="majorBidi"/>
      <w:i/>
      <w:iCs/>
      <w:color w:val="404040" w:themeColor="text1" w:themeTint="BF"/>
      <w:sz w:val="20"/>
      <w:szCs w:val="20"/>
      <w:lang w:val="en-GB"/>
    </w:rPr>
  </w:style>
  <w:style w:type="character" w:styleId="PlaceholderText">
    <w:name w:val="Placeholder Text"/>
    <w:basedOn w:val="DefaultParagraphFont"/>
    <w:uiPriority w:val="99"/>
    <w:semiHidden/>
    <w:rsid w:val="00504141"/>
    <w:rPr>
      <w:color w:val="808080"/>
    </w:rPr>
  </w:style>
  <w:style w:type="paragraph" w:customStyle="1" w:styleId="BODYTEXT">
    <w:name w:val="BODYTEXT"/>
    <w:rsid w:val="00A73026"/>
    <w:rPr>
      <w:rFonts w:ascii="Times New Roman" w:eastAsia="Times New Roman" w:hAnsi="Times New Roman" w:cs="Times New Roman"/>
      <w:sz w:val="24"/>
      <w:szCs w:val="24"/>
    </w:rPr>
  </w:style>
  <w:style w:type="paragraph" w:customStyle="1" w:styleId="FSSubheading">
    <w:name w:val="FS Subheading"/>
    <w:basedOn w:val="Normal"/>
    <w:qFormat/>
    <w:rsid w:val="00F628AE"/>
    <w:rPr>
      <w:rFonts w:eastAsia="Times New Roman" w:cs="Arial"/>
    </w:rPr>
  </w:style>
  <w:style w:type="paragraph" w:customStyle="1" w:styleId="Bullet">
    <w:name w:val="Bullet"/>
    <w:basedOn w:val="Normal"/>
    <w:link w:val="BulletChar"/>
    <w:rsid w:val="00F628AE"/>
    <w:pPr>
      <w:numPr>
        <w:numId w:val="13"/>
      </w:numPr>
      <w:tabs>
        <w:tab w:val="clear" w:pos="1134"/>
      </w:tabs>
    </w:pPr>
    <w:rPr>
      <w:rFonts w:ascii="Times New Roman" w:eastAsia="Times New Roman" w:hAnsi="Times New Roman" w:cs="Times New Roman"/>
      <w:sz w:val="24"/>
      <w:szCs w:val="24"/>
    </w:rPr>
  </w:style>
  <w:style w:type="character" w:customStyle="1" w:styleId="BulletChar">
    <w:name w:val="Bullet Char"/>
    <w:link w:val="Bullet"/>
    <w:rsid w:val="00F628AE"/>
    <w:rPr>
      <w:rFonts w:ascii="Times New Roman" w:eastAsia="Times New Roman" w:hAnsi="Times New Roman" w:cs="Times New Roman"/>
      <w:sz w:val="24"/>
      <w:szCs w:val="24"/>
      <w:lang w:val="en-GB"/>
    </w:rPr>
  </w:style>
  <w:style w:type="table" w:styleId="MediumGrid3-Accent1">
    <w:name w:val="Medium Grid 3 Accent 1"/>
    <w:basedOn w:val="TableNormal"/>
    <w:uiPriority w:val="69"/>
    <w:rsid w:val="00F35771"/>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OC1">
    <w:name w:val="toc 1"/>
    <w:basedOn w:val="Normal"/>
    <w:next w:val="Normal"/>
    <w:autoRedefine/>
    <w:uiPriority w:val="39"/>
    <w:unhideWhenUsed/>
    <w:rsid w:val="00826BA9"/>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826BA9"/>
    <w:pPr>
      <w:ind w:left="220"/>
    </w:pPr>
    <w:rPr>
      <w:rFonts w:asciiTheme="minorHAnsi" w:hAnsiTheme="minorHAnsi"/>
      <w:smallCaps/>
      <w:sz w:val="20"/>
      <w:szCs w:val="20"/>
    </w:rPr>
  </w:style>
  <w:style w:type="paragraph" w:styleId="TOC3">
    <w:name w:val="toc 3"/>
    <w:basedOn w:val="Normal"/>
    <w:next w:val="Normal"/>
    <w:autoRedefine/>
    <w:uiPriority w:val="39"/>
    <w:unhideWhenUsed/>
    <w:rsid w:val="00826BA9"/>
    <w:pPr>
      <w:ind w:left="440"/>
    </w:pPr>
    <w:rPr>
      <w:rFonts w:asciiTheme="minorHAnsi" w:hAnsiTheme="minorHAnsi"/>
      <w:i/>
      <w:iCs/>
      <w:sz w:val="20"/>
      <w:szCs w:val="20"/>
    </w:rPr>
  </w:style>
  <w:style w:type="paragraph" w:styleId="TOC4">
    <w:name w:val="toc 4"/>
    <w:basedOn w:val="Normal"/>
    <w:next w:val="Normal"/>
    <w:autoRedefine/>
    <w:uiPriority w:val="39"/>
    <w:unhideWhenUsed/>
    <w:rsid w:val="00826BA9"/>
    <w:pPr>
      <w:ind w:left="660"/>
    </w:pPr>
    <w:rPr>
      <w:rFonts w:asciiTheme="minorHAnsi" w:hAnsiTheme="minorHAnsi"/>
      <w:sz w:val="18"/>
      <w:szCs w:val="18"/>
    </w:rPr>
  </w:style>
  <w:style w:type="paragraph" w:styleId="TOC5">
    <w:name w:val="toc 5"/>
    <w:basedOn w:val="Normal"/>
    <w:next w:val="Normal"/>
    <w:autoRedefine/>
    <w:uiPriority w:val="39"/>
    <w:unhideWhenUsed/>
    <w:rsid w:val="00826BA9"/>
    <w:pPr>
      <w:ind w:left="880"/>
    </w:pPr>
    <w:rPr>
      <w:rFonts w:asciiTheme="minorHAnsi" w:hAnsiTheme="minorHAnsi"/>
      <w:sz w:val="18"/>
      <w:szCs w:val="18"/>
    </w:rPr>
  </w:style>
  <w:style w:type="paragraph" w:styleId="TOC6">
    <w:name w:val="toc 6"/>
    <w:basedOn w:val="Normal"/>
    <w:next w:val="Normal"/>
    <w:autoRedefine/>
    <w:uiPriority w:val="39"/>
    <w:unhideWhenUsed/>
    <w:rsid w:val="00826BA9"/>
    <w:pPr>
      <w:ind w:left="1100"/>
    </w:pPr>
    <w:rPr>
      <w:rFonts w:asciiTheme="minorHAnsi" w:hAnsiTheme="minorHAnsi"/>
      <w:sz w:val="18"/>
      <w:szCs w:val="18"/>
    </w:rPr>
  </w:style>
  <w:style w:type="paragraph" w:styleId="TOC7">
    <w:name w:val="toc 7"/>
    <w:basedOn w:val="Normal"/>
    <w:next w:val="Normal"/>
    <w:autoRedefine/>
    <w:uiPriority w:val="39"/>
    <w:unhideWhenUsed/>
    <w:rsid w:val="00826BA9"/>
    <w:pPr>
      <w:ind w:left="1320"/>
    </w:pPr>
    <w:rPr>
      <w:rFonts w:asciiTheme="minorHAnsi" w:hAnsiTheme="minorHAnsi"/>
      <w:sz w:val="18"/>
      <w:szCs w:val="18"/>
    </w:rPr>
  </w:style>
  <w:style w:type="paragraph" w:styleId="TOC8">
    <w:name w:val="toc 8"/>
    <w:basedOn w:val="Normal"/>
    <w:next w:val="Normal"/>
    <w:autoRedefine/>
    <w:uiPriority w:val="39"/>
    <w:unhideWhenUsed/>
    <w:rsid w:val="00826BA9"/>
    <w:pPr>
      <w:ind w:left="1540"/>
    </w:pPr>
    <w:rPr>
      <w:rFonts w:asciiTheme="minorHAnsi" w:hAnsiTheme="minorHAnsi"/>
      <w:sz w:val="18"/>
      <w:szCs w:val="18"/>
    </w:rPr>
  </w:style>
  <w:style w:type="paragraph" w:styleId="TOC9">
    <w:name w:val="toc 9"/>
    <w:basedOn w:val="Normal"/>
    <w:next w:val="Normal"/>
    <w:autoRedefine/>
    <w:uiPriority w:val="39"/>
    <w:unhideWhenUsed/>
    <w:rsid w:val="00826BA9"/>
    <w:pPr>
      <w:ind w:left="1760"/>
    </w:pPr>
    <w:rPr>
      <w:rFonts w:asciiTheme="minorHAnsi" w:hAnsiTheme="minorHAnsi"/>
      <w:sz w:val="18"/>
      <w:szCs w:val="18"/>
    </w:rPr>
  </w:style>
  <w:style w:type="table" w:styleId="LightShading">
    <w:name w:val="Light Shading"/>
    <w:basedOn w:val="TableNormal"/>
    <w:uiPriority w:val="60"/>
    <w:rsid w:val="003F18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539">
      <w:bodyDiv w:val="1"/>
      <w:marLeft w:val="0"/>
      <w:marRight w:val="0"/>
      <w:marTop w:val="0"/>
      <w:marBottom w:val="0"/>
      <w:divBdr>
        <w:top w:val="none" w:sz="0" w:space="0" w:color="auto"/>
        <w:left w:val="none" w:sz="0" w:space="0" w:color="auto"/>
        <w:bottom w:val="none" w:sz="0" w:space="0" w:color="auto"/>
        <w:right w:val="none" w:sz="0" w:space="0" w:color="auto"/>
      </w:divBdr>
    </w:div>
    <w:div w:id="403841710">
      <w:bodyDiv w:val="1"/>
      <w:marLeft w:val="0"/>
      <w:marRight w:val="0"/>
      <w:marTop w:val="0"/>
      <w:marBottom w:val="0"/>
      <w:divBdr>
        <w:top w:val="none" w:sz="0" w:space="0" w:color="auto"/>
        <w:left w:val="none" w:sz="0" w:space="0" w:color="auto"/>
        <w:bottom w:val="none" w:sz="0" w:space="0" w:color="auto"/>
        <w:right w:val="none" w:sz="0" w:space="0" w:color="auto"/>
      </w:divBdr>
    </w:div>
    <w:div w:id="538935187">
      <w:bodyDiv w:val="1"/>
      <w:marLeft w:val="0"/>
      <w:marRight w:val="0"/>
      <w:marTop w:val="0"/>
      <w:marBottom w:val="0"/>
      <w:divBdr>
        <w:top w:val="none" w:sz="0" w:space="0" w:color="auto"/>
        <w:left w:val="none" w:sz="0" w:space="0" w:color="auto"/>
        <w:bottom w:val="none" w:sz="0" w:space="0" w:color="auto"/>
        <w:right w:val="none" w:sz="0" w:space="0" w:color="auto"/>
      </w:divBdr>
    </w:div>
    <w:div w:id="604850160">
      <w:bodyDiv w:val="1"/>
      <w:marLeft w:val="0"/>
      <w:marRight w:val="0"/>
      <w:marTop w:val="0"/>
      <w:marBottom w:val="0"/>
      <w:divBdr>
        <w:top w:val="none" w:sz="0" w:space="0" w:color="auto"/>
        <w:left w:val="none" w:sz="0" w:space="0" w:color="auto"/>
        <w:bottom w:val="none" w:sz="0" w:space="0" w:color="auto"/>
        <w:right w:val="none" w:sz="0" w:space="0" w:color="auto"/>
      </w:divBdr>
    </w:div>
    <w:div w:id="1090930110">
      <w:bodyDiv w:val="1"/>
      <w:marLeft w:val="0"/>
      <w:marRight w:val="0"/>
      <w:marTop w:val="0"/>
      <w:marBottom w:val="0"/>
      <w:divBdr>
        <w:top w:val="none" w:sz="0" w:space="0" w:color="auto"/>
        <w:left w:val="none" w:sz="0" w:space="0" w:color="auto"/>
        <w:bottom w:val="none" w:sz="0" w:space="0" w:color="auto"/>
        <w:right w:val="none" w:sz="0" w:space="0" w:color="auto"/>
      </w:divBdr>
    </w:div>
    <w:div w:id="1124008311">
      <w:bodyDiv w:val="1"/>
      <w:marLeft w:val="0"/>
      <w:marRight w:val="0"/>
      <w:marTop w:val="0"/>
      <w:marBottom w:val="0"/>
      <w:divBdr>
        <w:top w:val="none" w:sz="0" w:space="0" w:color="auto"/>
        <w:left w:val="none" w:sz="0" w:space="0" w:color="auto"/>
        <w:bottom w:val="none" w:sz="0" w:space="0" w:color="auto"/>
        <w:right w:val="none" w:sz="0" w:space="0" w:color="auto"/>
      </w:divBdr>
    </w:div>
    <w:div w:id="1374890751">
      <w:bodyDiv w:val="1"/>
      <w:marLeft w:val="0"/>
      <w:marRight w:val="0"/>
      <w:marTop w:val="0"/>
      <w:marBottom w:val="0"/>
      <w:divBdr>
        <w:top w:val="none" w:sz="0" w:space="0" w:color="auto"/>
        <w:left w:val="none" w:sz="0" w:space="0" w:color="auto"/>
        <w:bottom w:val="none" w:sz="0" w:space="0" w:color="auto"/>
        <w:right w:val="none" w:sz="0" w:space="0" w:color="auto"/>
      </w:divBdr>
    </w:div>
    <w:div w:id="1622220604">
      <w:bodyDiv w:val="1"/>
      <w:marLeft w:val="0"/>
      <w:marRight w:val="0"/>
      <w:marTop w:val="0"/>
      <w:marBottom w:val="0"/>
      <w:divBdr>
        <w:top w:val="none" w:sz="0" w:space="0" w:color="auto"/>
        <w:left w:val="none" w:sz="0" w:space="0" w:color="auto"/>
        <w:bottom w:val="none" w:sz="0" w:space="0" w:color="auto"/>
        <w:right w:val="none" w:sz="0" w:space="0" w:color="auto"/>
      </w:divBdr>
    </w:div>
    <w:div w:id="1688942024">
      <w:bodyDiv w:val="1"/>
      <w:marLeft w:val="0"/>
      <w:marRight w:val="0"/>
      <w:marTop w:val="0"/>
      <w:marBottom w:val="0"/>
      <w:divBdr>
        <w:top w:val="none" w:sz="0" w:space="0" w:color="auto"/>
        <w:left w:val="none" w:sz="0" w:space="0" w:color="auto"/>
        <w:bottom w:val="none" w:sz="0" w:space="0" w:color="auto"/>
        <w:right w:val="none" w:sz="0" w:space="0" w:color="auto"/>
      </w:divBdr>
      <w:divsChild>
        <w:div w:id="7567097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ho.int/foodsafety/chem/acute_data/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nchem.org/documents/ehc/ehc/ehc240_index.htm" TargetMode="External"/><Relationship Id="rId2" Type="http://schemas.openxmlformats.org/officeDocument/2006/relationships/numbering" Target="numbering.xml"/><Relationship Id="rId16" Type="http://schemas.openxmlformats.org/officeDocument/2006/relationships/hyperlink" Target="http://www.foodstandards.gov.au/science/exposure/Documents/Principles%20_%20practices%20exposure%20assessment%20200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fsanzapps/proposals/P1027/Shared%20Documents/Working%20Folder/Reference%20documents/FAO_manual2nded_Oct07%5b1%5d.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au/url?sa=t&amp;rct=j&amp;q=&amp;esrc=s&amp;source=web&amp;cd=5&amp;cad=rja&amp;uact=8&amp;ved=0CDoQFjAEahUKEwjp-re7kYLJAhWCk5QKHbUIDow&amp;url=http%3A%2F%2Fwww.inchem.org%2Fdocuments%2Fehc%2Fehc%2Fehc240_chapter2.pdf&amp;usg=AFQjCNEcXSRFHfvPSUUwu9Ayv8jQk702Lw&amp;sig2=Foey1roLKDuRQ-_1REXbnQ" TargetMode="External"/><Relationship Id="rId2" Type="http://schemas.openxmlformats.org/officeDocument/2006/relationships/hyperlink" Target="http://www.foodstandards.gov.au/science/exposure/Pages/dietaryexposureandin4438.aspx" TargetMode="External"/><Relationship Id="rId1" Type="http://schemas.openxmlformats.org/officeDocument/2006/relationships/hyperlink" Target="http://www.foodstandards.gov.au/code/proposals/Documents/P1027-ConsultPaper.pdf" TargetMode="External"/><Relationship Id="rId6" Type="http://schemas.openxmlformats.org/officeDocument/2006/relationships/hyperlink" Target="http://www.inchem.org/documents/ehc/ehc/ehc240_index.htm" TargetMode="External"/><Relationship Id="rId5" Type="http://schemas.openxmlformats.org/officeDocument/2006/relationships/hyperlink" Target="http://www.foodstandards.gov.au/science/exposure/Documents/Principles%20_%20practices%20exposure%20assessment%202009.pdf" TargetMode="External"/><Relationship Id="rId4" Type="http://schemas.openxmlformats.org/officeDocument/2006/relationships/hyperlink" Target="http://www.foodstandards.gov.au/science/exposure/Pages/dietaryexposureandin44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F2CFFA-B171-4892-97A9-984D67625ABF}"/>
</file>

<file path=customXml/itemProps2.xml><?xml version="1.0" encoding="utf-8"?>
<ds:datastoreItem xmlns:ds="http://schemas.openxmlformats.org/officeDocument/2006/customXml" ds:itemID="{9C1C20CA-FD08-4EA0-80A0-3A32D022D21E}"/>
</file>

<file path=customXml/itemProps3.xml><?xml version="1.0" encoding="utf-8"?>
<ds:datastoreItem xmlns:ds="http://schemas.openxmlformats.org/officeDocument/2006/customXml" ds:itemID="{273301FF-A1CA-4D01-B253-47C0B5186849}"/>
</file>

<file path=customXml/itemProps4.xml><?xml version="1.0" encoding="utf-8"?>
<ds:datastoreItem xmlns:ds="http://schemas.openxmlformats.org/officeDocument/2006/customXml" ds:itemID="{390CC3A5-5346-42D6-89D8-1E47B8B27059}"/>
</file>

<file path=docProps/app.xml><?xml version="1.0" encoding="utf-8"?>
<Properties xmlns="http://schemas.openxmlformats.org/officeDocument/2006/extended-properties" xmlns:vt="http://schemas.openxmlformats.org/officeDocument/2006/docPropsVTypes">
  <Template>Normal</Template>
  <TotalTime>0</TotalTime>
  <Pages>1</Pages>
  <Words>15961</Words>
  <Characters>90979</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P1027-AgVet-Chems-CFS-SD1</dc:title>
  <dc:creator/>
  <cp:lastModifiedBy/>
  <cp:revision>1</cp:revision>
  <dcterms:created xsi:type="dcterms:W3CDTF">2016-04-20T00:18:00Z</dcterms:created>
  <dcterms:modified xsi:type="dcterms:W3CDTF">2016-04-20T00:20:00Z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