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45F" w:rsidRPr="00396508" w:rsidRDefault="0053545F" w:rsidP="00F56FA6">
      <w:pPr>
        <w:pStyle w:val="Heading2"/>
        <w:ind w:left="0" w:firstLine="0"/>
      </w:pPr>
      <w:bookmarkStart w:id="0" w:name="_Toc402438157"/>
      <w:bookmarkStart w:id="1" w:name="_Toc362368103"/>
      <w:bookmarkStart w:id="2" w:name="_Toc362434944"/>
      <w:bookmarkStart w:id="3" w:name="_Toc362589330"/>
      <w:bookmarkStart w:id="4" w:name="_Toc362619030"/>
      <w:bookmarkStart w:id="5" w:name="_Toc362940594"/>
      <w:bookmarkStart w:id="6" w:name="_Toc363047102"/>
      <w:bookmarkStart w:id="7" w:name="_Toc111173195"/>
      <w:bookmarkStart w:id="8" w:name="_Toc112306482"/>
      <w:bookmarkStart w:id="9" w:name="_Toc114287559"/>
      <w:bookmarkStart w:id="10" w:name="_Toc115188196"/>
      <w:bookmarkStart w:id="11" w:name="_Toc118514380"/>
      <w:bookmarkStart w:id="12" w:name="_Toc110071692"/>
      <w:bookmarkStart w:id="13" w:name="_Toc110072564"/>
      <w:bookmarkStart w:id="14" w:name="_Toc138735614"/>
      <w:bookmarkStart w:id="15" w:name="_Toc139335927"/>
      <w:bookmarkStart w:id="16" w:name="_Toc362526401"/>
      <w:r w:rsidRPr="00396508">
        <w:t>Attachment E – Decision Regulation Impact Statement</w:t>
      </w:r>
      <w:bookmarkEnd w:id="0"/>
    </w:p>
    <w:p w:rsidR="00D82A01" w:rsidRPr="00396508" w:rsidRDefault="008D77E0" w:rsidP="00D82A01">
      <w:pPr>
        <w:widowControl w:val="0"/>
        <w:rPr>
          <w:szCs w:val="24"/>
          <w:lang w:eastAsia="en-US" w:bidi="en-US"/>
        </w:rPr>
      </w:pPr>
      <w:r w:rsidRPr="00396508">
        <w:rPr>
          <w:noProof/>
          <w:szCs w:val="24"/>
          <w:lang w:eastAsia="en-GB"/>
        </w:rPr>
        <w:drawing>
          <wp:inline distT="0" distB="0" distL="0" distR="0" wp14:anchorId="2A2E0C8F" wp14:editId="43A48405">
            <wp:extent cx="3486150" cy="6096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609600"/>
                    </a:xfrm>
                    <a:prstGeom prst="rect">
                      <a:avLst/>
                    </a:prstGeom>
                    <a:noFill/>
                    <a:ln>
                      <a:noFill/>
                    </a:ln>
                  </pic:spPr>
                </pic:pic>
              </a:graphicData>
            </a:graphic>
          </wp:inline>
        </w:drawing>
      </w:r>
    </w:p>
    <w:p w:rsidR="00D82A01" w:rsidRPr="00396508" w:rsidRDefault="00D82A01" w:rsidP="00D82A01">
      <w:pPr>
        <w:widowControl w:val="0"/>
        <w:rPr>
          <w:szCs w:val="24"/>
          <w:lang w:eastAsia="en-US" w:bidi="en-US"/>
        </w:rPr>
      </w:pPr>
    </w:p>
    <w:p w:rsidR="00D82A01" w:rsidRPr="00396508" w:rsidRDefault="00D82A01" w:rsidP="00D82A01">
      <w:pPr>
        <w:pStyle w:val="FSTitle"/>
        <w:rPr>
          <w:b/>
          <w:color w:val="FF0000"/>
        </w:rPr>
      </w:pPr>
      <w:r w:rsidRPr="00396508">
        <w:rPr>
          <w:b/>
          <w:color w:val="000000"/>
        </w:rPr>
        <w:t>Proposal P1029</w:t>
      </w:r>
      <w:r w:rsidR="008D78F1" w:rsidRPr="00396508">
        <w:rPr>
          <w:b/>
          <w:color w:val="000000"/>
        </w:rPr>
        <w:t xml:space="preserve"> </w:t>
      </w:r>
      <w:r w:rsidR="008D78F1" w:rsidRPr="00396508">
        <w:rPr>
          <w:rFonts w:cs="Arial"/>
          <w:b/>
          <w:color w:val="000000"/>
        </w:rPr>
        <w:t>‒</w:t>
      </w:r>
      <w:r w:rsidR="008D78F1" w:rsidRPr="00396508">
        <w:rPr>
          <w:b/>
          <w:color w:val="000000"/>
        </w:rPr>
        <w:t xml:space="preserve"> </w:t>
      </w:r>
      <w:r w:rsidRPr="00396508">
        <w:rPr>
          <w:b/>
        </w:rPr>
        <w:t>Maximum Level for Tutin in Honey</w:t>
      </w:r>
    </w:p>
    <w:p w:rsidR="00D82A01" w:rsidRPr="00396508" w:rsidRDefault="00D82A01" w:rsidP="00D82A01">
      <w:pPr>
        <w:widowControl w:val="0"/>
        <w:pBdr>
          <w:bottom w:val="single" w:sz="12" w:space="1" w:color="auto"/>
        </w:pBdr>
        <w:spacing w:line="280" w:lineRule="exact"/>
        <w:rPr>
          <w:rFonts w:cs="Arial"/>
          <w:bCs/>
          <w:szCs w:val="24"/>
          <w:lang w:eastAsia="en-US" w:bidi="en-US"/>
        </w:rPr>
      </w:pPr>
    </w:p>
    <w:p w:rsidR="00D82A01" w:rsidRPr="00396508" w:rsidRDefault="00D82A01" w:rsidP="00D82A01">
      <w:pPr>
        <w:widowControl w:val="0"/>
        <w:rPr>
          <w:szCs w:val="24"/>
          <w:lang w:eastAsia="en-US" w:bidi="en-US"/>
        </w:rPr>
      </w:pPr>
    </w:p>
    <w:p w:rsidR="00D82A01" w:rsidRPr="00607733" w:rsidRDefault="00D82A01" w:rsidP="00D82A01">
      <w:pPr>
        <w:pStyle w:val="Heading1"/>
        <w:ind w:left="0" w:firstLine="0"/>
        <w:rPr>
          <w:rStyle w:val="Heading1Char"/>
          <w:b/>
        </w:rPr>
      </w:pPr>
      <w:bookmarkStart w:id="17" w:name="_Toc401736596"/>
      <w:bookmarkStart w:id="18" w:name="_Toc402438158"/>
      <w:r w:rsidRPr="00607733">
        <w:rPr>
          <w:rStyle w:val="Heading1Char"/>
          <w:b/>
        </w:rPr>
        <w:t>Purpose of this document</w:t>
      </w:r>
      <w:bookmarkEnd w:id="17"/>
      <w:bookmarkEnd w:id="18"/>
    </w:p>
    <w:p w:rsidR="00D82A01" w:rsidRPr="00396508" w:rsidRDefault="00D82A01" w:rsidP="00D82A01">
      <w:pPr>
        <w:rPr>
          <w:lang w:eastAsia="en-AU"/>
        </w:rPr>
      </w:pPr>
      <w:r w:rsidRPr="00396508">
        <w:t xml:space="preserve">This document is a Decision Regulation Impact Statement (RIS). </w:t>
      </w:r>
      <w:r w:rsidRPr="00396508">
        <w:rPr>
          <w:lang w:eastAsia="en-AU"/>
        </w:rPr>
        <w:t>It has been prepared by the Ministry for Primary Industries, with assistance from Food Standards Australia New Zealand (FSANZ). It incorporates information provided in submissions to the Consultation RIS and sets out risk management options, evaluates their costs and benefits and recommends which option should be adopted</w:t>
      </w:r>
      <w:r w:rsidR="000E3B31" w:rsidRPr="00396508">
        <w:rPr>
          <w:lang w:eastAsia="en-AU"/>
        </w:rPr>
        <w:t xml:space="preserve">. </w:t>
      </w:r>
    </w:p>
    <w:p w:rsidR="00053E07" w:rsidRPr="00396508" w:rsidRDefault="00053E07" w:rsidP="00D82A01"/>
    <w:p w:rsidR="00D82A01" w:rsidRPr="00396508" w:rsidRDefault="00D82A01" w:rsidP="00D82A01">
      <w:pPr>
        <w:pStyle w:val="Heading1"/>
        <w:ind w:left="0" w:firstLine="0"/>
      </w:pPr>
      <w:bookmarkStart w:id="19" w:name="_Toc286391001"/>
      <w:bookmarkStart w:id="20" w:name="_Toc300933414"/>
      <w:bookmarkStart w:id="21" w:name="_Toc401736597"/>
      <w:bookmarkStart w:id="22" w:name="_Toc402438159"/>
      <w:r w:rsidRPr="00396508">
        <w:t>Executive summary</w:t>
      </w:r>
      <w:bookmarkEnd w:id="19"/>
      <w:bookmarkEnd w:id="20"/>
      <w:bookmarkEnd w:id="21"/>
      <w:bookmarkEnd w:id="22"/>
    </w:p>
    <w:p w:rsidR="00D82A01" w:rsidRPr="00396508" w:rsidRDefault="00D82A01" w:rsidP="00D82A01">
      <w:r w:rsidRPr="00396508">
        <w:t>Apiculture is an important part of New Zealand’s primary sector</w:t>
      </w:r>
      <w:r w:rsidR="000E3B31" w:rsidRPr="00396508">
        <w:t xml:space="preserve">. </w:t>
      </w:r>
      <w:r w:rsidRPr="00396508">
        <w:t>The value of honey exports is growing significantly</w:t>
      </w:r>
      <w:r w:rsidR="000E3B31" w:rsidRPr="00396508">
        <w:t xml:space="preserve">. </w:t>
      </w:r>
      <w:r w:rsidRPr="00396508">
        <w:t xml:space="preserve">Between 2009 and 2014 </w:t>
      </w:r>
      <w:r w:rsidR="00180BA2" w:rsidRPr="00396508">
        <w:t>export value grew</w:t>
      </w:r>
      <w:r w:rsidRPr="00396508">
        <w:t xml:space="preserve"> from $</w:t>
      </w:r>
      <w:r w:rsidR="00DE3641">
        <w:t>NZ</w:t>
      </w:r>
      <w:r w:rsidRPr="00396508">
        <w:t>81 million to $</w:t>
      </w:r>
      <w:r w:rsidR="00DE3641">
        <w:t>NZ</w:t>
      </w:r>
      <w:r w:rsidRPr="00396508">
        <w:t>187 million: a compound annual growth rate of 18.21% per year</w:t>
      </w:r>
      <w:r w:rsidR="000E3B31" w:rsidRPr="00396508">
        <w:t xml:space="preserve">. </w:t>
      </w:r>
      <w:r w:rsidRPr="00396508">
        <w:t>Demand for New Zealand honey is highest in the United Kingdom, Australia, China, Hong Kong and Singapore</w:t>
      </w:r>
      <w:r w:rsidR="000E3B31" w:rsidRPr="00396508">
        <w:t xml:space="preserve">. </w:t>
      </w:r>
    </w:p>
    <w:p w:rsidR="00D82A01" w:rsidRPr="00396508" w:rsidRDefault="00D82A01" w:rsidP="00D82A01"/>
    <w:p w:rsidR="00D82A01" w:rsidRPr="00396508" w:rsidRDefault="00D82A01" w:rsidP="00D82A01">
      <w:r w:rsidRPr="00396508">
        <w:t>To ensure this growth continues, New Zealand’s honey needs to be safe</w:t>
      </w:r>
      <w:r w:rsidR="000E3B31" w:rsidRPr="00396508">
        <w:t xml:space="preserve">. </w:t>
      </w:r>
      <w:r w:rsidRPr="00396508">
        <w:t>New Zealand has had problems with contamination of honey by tutin since bees were first brought into New Zealand</w:t>
      </w:r>
      <w:r w:rsidR="000E3B31" w:rsidRPr="00396508">
        <w:t xml:space="preserve">. </w:t>
      </w:r>
      <w:r w:rsidRPr="00396508">
        <w:t xml:space="preserve">Tutin is a neurotoxic compound produced by the shrub </w:t>
      </w:r>
      <w:r w:rsidRPr="00396508">
        <w:rPr>
          <w:i/>
        </w:rPr>
        <w:t>Coriaria arborea</w:t>
      </w:r>
      <w:r w:rsidRPr="00396508">
        <w:t xml:space="preserve"> (tutu) which is native to New Zealand</w:t>
      </w:r>
      <w:r w:rsidR="000E3B31" w:rsidRPr="00396508">
        <w:t xml:space="preserve">. </w:t>
      </w:r>
      <w:r w:rsidR="00180BA2" w:rsidRPr="00396508">
        <w:t xml:space="preserve">The </w:t>
      </w:r>
      <w:r w:rsidRPr="00396508">
        <w:t xml:space="preserve">vine hopper insect </w:t>
      </w:r>
      <w:r w:rsidRPr="00396508">
        <w:rPr>
          <w:i/>
        </w:rPr>
        <w:t>Scolypopa australis</w:t>
      </w:r>
      <w:r w:rsidRPr="00396508">
        <w:t xml:space="preserve"> feeds on tutu</w:t>
      </w:r>
      <w:r w:rsidR="00180BA2" w:rsidRPr="00396508">
        <w:t xml:space="preserve"> and </w:t>
      </w:r>
      <w:r w:rsidRPr="00396508">
        <w:t xml:space="preserve">excretes </w:t>
      </w:r>
      <w:r w:rsidR="00180BA2" w:rsidRPr="00396508">
        <w:t>honeydew</w:t>
      </w:r>
      <w:r w:rsidRPr="00396508">
        <w:t xml:space="preserve"> that contains the toxin tutin</w:t>
      </w:r>
      <w:r w:rsidR="000E3B31" w:rsidRPr="00396508">
        <w:t xml:space="preserve">. </w:t>
      </w:r>
      <w:r w:rsidRPr="00396508">
        <w:t>This honeydew can be collected by bees for honey production</w:t>
      </w:r>
      <w:r w:rsidR="000E3B31" w:rsidRPr="00396508">
        <w:t xml:space="preserve">. </w:t>
      </w:r>
      <w:r w:rsidRPr="00396508">
        <w:t>Tutin is highly toxic to humans</w:t>
      </w:r>
      <w:r w:rsidR="00180BA2" w:rsidRPr="00396508">
        <w:t>; high levels can cause severe effects, including death</w:t>
      </w:r>
      <w:r w:rsidR="000E3B31" w:rsidRPr="00396508">
        <w:t xml:space="preserve">. </w:t>
      </w:r>
      <w:r w:rsidRPr="00396508">
        <w:t xml:space="preserve"> </w:t>
      </w:r>
    </w:p>
    <w:p w:rsidR="00D82A01" w:rsidRPr="00396508" w:rsidRDefault="00D82A01" w:rsidP="00D82A01"/>
    <w:p w:rsidR="00D82A01" w:rsidRPr="00396508" w:rsidRDefault="00D82A01" w:rsidP="00D82A01">
      <w:r w:rsidRPr="00396508">
        <w:t xml:space="preserve">A poisoning incident in the Coromandel in 2008 prompted the former New Zealand Food Safety Authority (NZFSA) to establish a temporary maximum level of tutin in honey of 2 mg/kg and of tutin in comb honey of 0.1 mg/kg while more research was undertaken. These levels were incorporated in Standard 1.4.1 of the </w:t>
      </w:r>
      <w:r w:rsidRPr="00396508">
        <w:rPr>
          <w:i/>
        </w:rPr>
        <w:t>Australia New Zealand Food Standards Code</w:t>
      </w:r>
      <w:r w:rsidRPr="00396508">
        <w:t xml:space="preserve"> (the Code) in August 2009 and will expire on 31 March 2015</w:t>
      </w:r>
      <w:r w:rsidR="000E3B31" w:rsidRPr="00396508">
        <w:t xml:space="preserve">. </w:t>
      </w:r>
      <w:r w:rsidRPr="00396508">
        <w:t>A review of the maximum levels needs to be undertaken before the current levels expire</w:t>
      </w:r>
      <w:r w:rsidR="000E3B31" w:rsidRPr="00396508">
        <w:t xml:space="preserve">. </w:t>
      </w:r>
      <w:r w:rsidRPr="00396508">
        <w:t>Since the original maximum levels were set, more research on tutin in honey has been undertaken</w:t>
      </w:r>
      <w:r w:rsidR="000E3B31" w:rsidRPr="00396508">
        <w:t xml:space="preserve">. </w:t>
      </w:r>
      <w:r w:rsidRPr="00396508">
        <w:t xml:space="preserve">The results of this research indicate that the current maximum levels do not reflect the best available science and may not </w:t>
      </w:r>
      <w:r w:rsidR="00180BA2" w:rsidRPr="00396508">
        <w:t xml:space="preserve">sufficiently </w:t>
      </w:r>
      <w:r w:rsidRPr="00396508">
        <w:t>protect human health</w:t>
      </w:r>
      <w:r w:rsidR="000E3B31" w:rsidRPr="00396508">
        <w:t xml:space="preserve">. </w:t>
      </w:r>
    </w:p>
    <w:p w:rsidR="00D82A01" w:rsidRPr="00396508" w:rsidRDefault="00D82A01" w:rsidP="00E92852">
      <w:pPr>
        <w:pStyle w:val="Heading3"/>
        <w:ind w:left="0" w:firstLine="0"/>
      </w:pPr>
      <w:bookmarkStart w:id="23" w:name="_Toc402438160"/>
      <w:r w:rsidRPr="00396508">
        <w:t>Tutin research</w:t>
      </w:r>
      <w:bookmarkEnd w:id="23"/>
    </w:p>
    <w:p w:rsidR="00D82A01" w:rsidRPr="00396508" w:rsidRDefault="00D82A01" w:rsidP="00D82A01">
      <w:pPr>
        <w:autoSpaceDE w:val="0"/>
        <w:autoSpaceDN w:val="0"/>
        <w:adjustRightInd w:val="0"/>
      </w:pPr>
      <w:r w:rsidRPr="00396508">
        <w:t xml:space="preserve">The results of this further research revealed that the effective concentration of tutin in honey was several times higher than had been previously measured. However, this additional tutin was not in the same form. It was present as tutin with glucose attached (as glycosides), which break down in the body to release tutin over a number of hours. </w:t>
      </w:r>
    </w:p>
    <w:p w:rsidR="00D82A01" w:rsidRPr="00396508" w:rsidRDefault="00D82A01" w:rsidP="00D82A01">
      <w:pPr>
        <w:autoSpaceDE w:val="0"/>
        <w:autoSpaceDN w:val="0"/>
        <w:adjustRightInd w:val="0"/>
      </w:pPr>
    </w:p>
    <w:p w:rsidR="00A82B3C" w:rsidRPr="00396508" w:rsidRDefault="00A82B3C" w:rsidP="00D82A01">
      <w:pPr>
        <w:autoSpaceDE w:val="0"/>
        <w:autoSpaceDN w:val="0"/>
        <w:adjustRightInd w:val="0"/>
      </w:pPr>
      <w:r w:rsidRPr="00396508">
        <w:br w:type="page"/>
      </w:r>
    </w:p>
    <w:p w:rsidR="00D82A01" w:rsidRPr="00396508" w:rsidRDefault="00D82A01" w:rsidP="00D82A01">
      <w:pPr>
        <w:autoSpaceDE w:val="0"/>
        <w:autoSpaceDN w:val="0"/>
        <w:adjustRightInd w:val="0"/>
      </w:pPr>
      <w:r w:rsidRPr="00396508">
        <w:lastRenderedPageBreak/>
        <w:t>Different individuals were able to release tutin from this previously unidentified form of tutin in honey at different rates</w:t>
      </w:r>
      <w:r w:rsidR="000E3B31" w:rsidRPr="00396508">
        <w:t xml:space="preserve">. </w:t>
      </w:r>
      <w:r w:rsidRPr="00396508">
        <w:t>The ratio of tutin to tutin glycosides also varies among honey samples</w:t>
      </w:r>
      <w:r w:rsidR="000E3B31" w:rsidRPr="00396508">
        <w:t xml:space="preserve">. </w:t>
      </w:r>
      <w:r w:rsidRPr="00396508">
        <w:t>It is therefore necessary to reduce the maximum level of 2 mg/kg in order to ensure the public health and safety of consumers. Using an adjustment factor that accounts for this variability in the rate of tutin release, and variability in the ratio of tutin to tutin glycosides in honey a new maximum level for tutin in honey of 0.7 mg/kg is proposed. This maximum level is considered to protect consumers of New Zealand honey containing tutin.</w:t>
      </w:r>
    </w:p>
    <w:p w:rsidR="00D82A01" w:rsidRPr="00396508" w:rsidRDefault="00D82A01" w:rsidP="00D82A01">
      <w:pPr>
        <w:autoSpaceDE w:val="0"/>
        <w:autoSpaceDN w:val="0"/>
        <w:adjustRightInd w:val="0"/>
      </w:pPr>
    </w:p>
    <w:p w:rsidR="00D82A01" w:rsidRPr="00396508" w:rsidRDefault="00D82A01" w:rsidP="00D82A01">
      <w:pPr>
        <w:autoSpaceDE w:val="0"/>
        <w:autoSpaceDN w:val="0"/>
        <w:adjustRightInd w:val="0"/>
      </w:pPr>
      <w:r w:rsidRPr="00396508">
        <w:t>Comb honey however, will contain variable amounts of tutin in different parts of the comb</w:t>
      </w:r>
      <w:r w:rsidR="000E3B31" w:rsidRPr="00396508">
        <w:t xml:space="preserve">. </w:t>
      </w:r>
      <w:r w:rsidRPr="00396508">
        <w:t>This reflects bee foraging habits and different times of collection</w:t>
      </w:r>
      <w:r w:rsidR="000E3B31" w:rsidRPr="00396508">
        <w:t xml:space="preserve">. </w:t>
      </w:r>
      <w:r w:rsidRPr="00396508">
        <w:t>This requires additional controls to ensure that no single piece of comb honey will exceed this limit</w:t>
      </w:r>
      <w:r w:rsidR="000E3B31" w:rsidRPr="00396508">
        <w:t xml:space="preserve">. </w:t>
      </w:r>
      <w:r w:rsidRPr="00396508">
        <w:t>These controls are currently contained in the Food (Tutin in Honey) Standard 2010 (the Tutin Standard) made under the New Zealand Food Acts 1981 and 2014</w:t>
      </w:r>
      <w:r w:rsidR="000E3B31" w:rsidRPr="00396508">
        <w:t xml:space="preserve">. </w:t>
      </w:r>
    </w:p>
    <w:p w:rsidR="00D82A01" w:rsidRPr="00396508" w:rsidRDefault="00D82A01" w:rsidP="00A82B3C">
      <w:pPr>
        <w:pStyle w:val="Heading3"/>
      </w:pPr>
      <w:bookmarkStart w:id="24" w:name="_Toc402438161"/>
      <w:r w:rsidRPr="00396508">
        <w:t xml:space="preserve">Changes to </w:t>
      </w:r>
      <w:r w:rsidR="00180BA2" w:rsidRPr="00396508">
        <w:t xml:space="preserve">legislative </w:t>
      </w:r>
      <w:r w:rsidRPr="00396508">
        <w:t>options following consultation</w:t>
      </w:r>
      <w:bookmarkEnd w:id="24"/>
    </w:p>
    <w:p w:rsidR="00D82A01" w:rsidRPr="00396508" w:rsidRDefault="00D82A01" w:rsidP="00D82A01">
      <w:pPr>
        <w:autoSpaceDE w:val="0"/>
        <w:autoSpaceDN w:val="0"/>
        <w:adjustRightInd w:val="0"/>
      </w:pPr>
      <w:r w:rsidRPr="00396508">
        <w:t xml:space="preserve">A Consultation RIS (Office of Best Practice Regulation (OBPR) reference 13847) was released for consultation on 10 July 2014 as Supporting Document 2 to FSANZ’s Proposal P1029 – Maximum Level for Tutin Honey. FSANZ sought public feedback on a </w:t>
      </w:r>
      <w:r w:rsidR="00180BA2" w:rsidRPr="00396508">
        <w:t xml:space="preserve">proposal </w:t>
      </w:r>
      <w:r w:rsidRPr="00396508">
        <w:t>to reduce the maximum levels for tutin in honey and comb honey in the Code and on questions raised in the Consultation RIS</w:t>
      </w:r>
      <w:r w:rsidR="000E3B31" w:rsidRPr="00396508">
        <w:t xml:space="preserve">. </w:t>
      </w:r>
      <w:r w:rsidRPr="00396508">
        <w:t>The closing date for submissions was 21 August 2014</w:t>
      </w:r>
      <w:r w:rsidR="000E3B31" w:rsidRPr="00396508">
        <w:t xml:space="preserve">. </w:t>
      </w:r>
      <w:r w:rsidRPr="00396508">
        <w:t>This Decision RIS takes into account relevant information provided in the 8 submissions received by FSANZ on this issue</w:t>
      </w:r>
      <w:r w:rsidR="000E3B31" w:rsidRPr="00396508">
        <w:t xml:space="preserve">. </w:t>
      </w:r>
    </w:p>
    <w:p w:rsidR="00D82A01" w:rsidRPr="00396508" w:rsidRDefault="00D82A01" w:rsidP="00D82A01"/>
    <w:p w:rsidR="00D82A01" w:rsidRPr="00396508" w:rsidRDefault="00D82A01" w:rsidP="00D82A01">
      <w:pPr>
        <w:rPr>
          <w:rFonts w:cs="Arial"/>
        </w:rPr>
      </w:pPr>
      <w:r w:rsidRPr="00396508">
        <w:t>Further consideration since the Consultation RIS has led to changing the s</w:t>
      </w:r>
      <w:r w:rsidRPr="00396508">
        <w:rPr>
          <w:rFonts w:cs="Arial"/>
        </w:rPr>
        <w:t>tatus quo from letting the temporary maximum levels expire with no new levels or measures in place to retaining the current maximum levels. This more accurately reflects the present situation for industry</w:t>
      </w:r>
      <w:r w:rsidR="000E3B31" w:rsidRPr="00396508">
        <w:rPr>
          <w:rFonts w:cs="Arial"/>
        </w:rPr>
        <w:t xml:space="preserve">. </w:t>
      </w:r>
    </w:p>
    <w:p w:rsidR="00D82A01" w:rsidRPr="00396508" w:rsidRDefault="00D82A01" w:rsidP="00D82A01">
      <w:pPr>
        <w:rPr>
          <w:rFonts w:cs="Arial"/>
        </w:rPr>
      </w:pPr>
    </w:p>
    <w:p w:rsidR="00D82A01" w:rsidRPr="00396508" w:rsidRDefault="00D82A01" w:rsidP="00D82A01">
      <w:pPr>
        <w:rPr>
          <w:rFonts w:cs="Arial"/>
        </w:rPr>
      </w:pPr>
      <w:r w:rsidRPr="00396508">
        <w:rPr>
          <w:rFonts w:cs="Arial"/>
        </w:rPr>
        <w:t>The drafting approach for Option 4 has also been amended since the Consultation RIS to apply a maximum level of 0.7 mg/kg to all honey (including comb honey), instead of setting a separate maximum level of 0.01 mg/kg for comb honey as previously proposed. This change is a result of concern raised by the Ministry for Primary Industries (MPI) that the previous approach of setting a maximum level of 0.01 mg/kg for comb honey in the Code conflicted with the compliance options in the New Zealand Tutin Standard</w:t>
      </w:r>
      <w:r w:rsidR="000E3B31" w:rsidRPr="00396508">
        <w:rPr>
          <w:rFonts w:cs="Arial"/>
        </w:rPr>
        <w:t xml:space="preserve">. </w:t>
      </w:r>
      <w:r w:rsidRPr="00396508">
        <w:rPr>
          <w:rFonts w:cs="Arial"/>
        </w:rPr>
        <w:t xml:space="preserve">This standard requires a level below 0.01 mg/kg (i.e. non-detection of tutin) at the point of comb honey harvest rather than at retail sale. </w:t>
      </w:r>
    </w:p>
    <w:p w:rsidR="00D82A01" w:rsidRPr="00396508" w:rsidRDefault="00D82A01" w:rsidP="00D82A01">
      <w:pPr>
        <w:rPr>
          <w:rFonts w:cs="Arial"/>
        </w:rPr>
      </w:pPr>
    </w:p>
    <w:p w:rsidR="00D82A01" w:rsidRPr="00396508" w:rsidRDefault="00D82A01" w:rsidP="00D82A01">
      <w:pPr>
        <w:rPr>
          <w:rFonts w:cs="Arial"/>
        </w:rPr>
      </w:pPr>
      <w:r w:rsidRPr="00396508">
        <w:rPr>
          <w:rFonts w:cs="Arial"/>
        </w:rPr>
        <w:t>After considering submissions, FSANZ agrees that the imposition of a maximum level of 0.01 mg/kg at retail sale is not appropriate</w:t>
      </w:r>
      <w:r w:rsidR="000E3B31" w:rsidRPr="00396508">
        <w:rPr>
          <w:rFonts w:cs="Arial"/>
        </w:rPr>
        <w:t xml:space="preserve">. </w:t>
      </w:r>
      <w:r w:rsidRPr="00396508">
        <w:rPr>
          <w:rFonts w:cs="Arial"/>
        </w:rPr>
        <w:t xml:space="preserve">Therefore, Option 4 </w:t>
      </w:r>
      <w:r w:rsidR="00D61708" w:rsidRPr="00396508">
        <w:rPr>
          <w:rFonts w:cs="Arial"/>
        </w:rPr>
        <w:t xml:space="preserve">has </w:t>
      </w:r>
      <w:r w:rsidRPr="00396508">
        <w:rPr>
          <w:rFonts w:cs="Arial"/>
        </w:rPr>
        <w:t>been amended to apply a maximum level of 0.7 mg/kg to all honey (including comb honey). This avoids any conflict between the Code and the New Zealand Tutin Standard</w:t>
      </w:r>
      <w:r w:rsidR="000E3B31" w:rsidRPr="00396508">
        <w:rPr>
          <w:rFonts w:cs="Arial"/>
        </w:rPr>
        <w:t xml:space="preserve">. </w:t>
      </w:r>
      <w:r w:rsidRPr="00396508">
        <w:rPr>
          <w:rFonts w:cs="Arial"/>
        </w:rPr>
        <w:t>The compliance options mandated by the New Zealand Tutin Standard will assure the safety of comb honey at retail sale</w:t>
      </w:r>
      <w:r w:rsidR="000E3B31" w:rsidRPr="00396508">
        <w:rPr>
          <w:rFonts w:cs="Arial"/>
        </w:rPr>
        <w:t xml:space="preserve">. </w:t>
      </w:r>
      <w:r w:rsidRPr="00396508">
        <w:rPr>
          <w:rFonts w:cs="Arial"/>
        </w:rPr>
        <w:t>The New Zealand Tutin Standard is currently under review</w:t>
      </w:r>
      <w:r w:rsidR="000E3B31" w:rsidRPr="00396508">
        <w:rPr>
          <w:rFonts w:cs="Arial"/>
        </w:rPr>
        <w:t xml:space="preserve">. </w:t>
      </w:r>
      <w:r w:rsidRPr="00396508">
        <w:rPr>
          <w:rFonts w:cs="Arial"/>
        </w:rPr>
        <w:t xml:space="preserve">The review will take account of the proposed maximum levels in the Code. </w:t>
      </w:r>
    </w:p>
    <w:p w:rsidR="00D82A01" w:rsidRPr="00396508" w:rsidRDefault="00D82A01" w:rsidP="00D82A01">
      <w:pPr>
        <w:rPr>
          <w:rFonts w:cs="Arial"/>
        </w:rPr>
      </w:pPr>
    </w:p>
    <w:p w:rsidR="00D82A01" w:rsidRPr="00396508" w:rsidRDefault="00180BA2" w:rsidP="00D82A01">
      <w:r w:rsidRPr="00396508">
        <w:t>Consequentially, t</w:t>
      </w:r>
      <w:r w:rsidR="00D82A01" w:rsidRPr="00396508">
        <w:t>he four options considered for this analysis were:</w:t>
      </w:r>
    </w:p>
    <w:p w:rsidR="00D82A01" w:rsidRPr="00396508" w:rsidRDefault="00D82A01" w:rsidP="00D82A01"/>
    <w:p w:rsidR="00D82A01" w:rsidRPr="00396508" w:rsidRDefault="00D82A01" w:rsidP="00D82A01">
      <w:pPr>
        <w:pStyle w:val="FSBullet1"/>
        <w:numPr>
          <w:ilvl w:val="0"/>
          <w:numId w:val="12"/>
        </w:numPr>
        <w:ind w:left="567" w:hanging="567"/>
      </w:pPr>
      <w:r w:rsidRPr="00396508">
        <w:t>Option 1: Status Quo: Retain the current maximum levels</w:t>
      </w:r>
    </w:p>
    <w:p w:rsidR="00D82A01" w:rsidRPr="00396508" w:rsidRDefault="00D82A01" w:rsidP="00D82A01">
      <w:pPr>
        <w:pStyle w:val="FSBullet1"/>
        <w:numPr>
          <w:ilvl w:val="0"/>
          <w:numId w:val="12"/>
        </w:numPr>
        <w:ind w:left="567" w:hanging="567"/>
      </w:pPr>
      <w:r w:rsidRPr="00396508">
        <w:t>Option 2: Temporary maximum levels expire and are not replaced</w:t>
      </w:r>
    </w:p>
    <w:p w:rsidR="00D82A01" w:rsidRPr="00396508" w:rsidRDefault="00D82A01" w:rsidP="00D82A01">
      <w:pPr>
        <w:pStyle w:val="FSBullet1"/>
        <w:numPr>
          <w:ilvl w:val="0"/>
          <w:numId w:val="12"/>
        </w:numPr>
        <w:ind w:left="567" w:hanging="567"/>
      </w:pPr>
      <w:r w:rsidRPr="00396508">
        <w:t xml:space="preserve">Option 3: Temporary maximum levels expire and </w:t>
      </w:r>
      <w:r w:rsidR="00204A5F" w:rsidRPr="00396508">
        <w:t xml:space="preserve">are </w:t>
      </w:r>
      <w:r w:rsidRPr="00396508">
        <w:t>replaced with a voluntary industry code of practice.</w:t>
      </w:r>
    </w:p>
    <w:p w:rsidR="00D82A01" w:rsidRPr="00396508" w:rsidRDefault="00D82A01" w:rsidP="00D82A01">
      <w:pPr>
        <w:pStyle w:val="FSBullet1"/>
        <w:numPr>
          <w:ilvl w:val="0"/>
          <w:numId w:val="12"/>
        </w:numPr>
        <w:ind w:left="567" w:hanging="567"/>
      </w:pPr>
      <w:r w:rsidRPr="00396508">
        <w:t xml:space="preserve">Option 4: Amend the maximum levels in line with the results of recent research </w:t>
      </w:r>
    </w:p>
    <w:p w:rsidR="00090134" w:rsidRPr="00396508" w:rsidRDefault="00090134" w:rsidP="00533BA5">
      <w:pPr>
        <w:rPr>
          <w:lang w:eastAsia="x-none"/>
        </w:rPr>
      </w:pPr>
      <w:r w:rsidRPr="00396508">
        <w:rPr>
          <w:lang w:eastAsia="x-none"/>
        </w:rPr>
        <w:br w:type="page"/>
      </w:r>
    </w:p>
    <w:p w:rsidR="00D82A01" w:rsidRPr="00396508" w:rsidRDefault="00053E07" w:rsidP="00A82B3C">
      <w:pPr>
        <w:pStyle w:val="Heading3"/>
      </w:pPr>
      <w:bookmarkStart w:id="25" w:name="_Toc402438162"/>
      <w:r w:rsidRPr="00396508">
        <w:lastRenderedPageBreak/>
        <w:t>Evaluation of options</w:t>
      </w:r>
      <w:bookmarkEnd w:id="25"/>
      <w:r w:rsidRPr="00396508">
        <w:t xml:space="preserve"> </w:t>
      </w:r>
    </w:p>
    <w:p w:rsidR="00D82A01" w:rsidRPr="00396508" w:rsidRDefault="00D82A01" w:rsidP="00D82A01">
      <w:r w:rsidRPr="00396508">
        <w:t>Option 1 has a possible high</w:t>
      </w:r>
      <w:r w:rsidRPr="00396508">
        <w:rPr>
          <w:rStyle w:val="FootnoteReference"/>
          <w:sz w:val="18"/>
          <w:vertAlign w:val="subscript"/>
        </w:rPr>
        <w:footnoteReference w:id="1"/>
      </w:r>
      <w:r w:rsidRPr="00396508">
        <w:t xml:space="preserve"> net cost</w:t>
      </w:r>
      <w:r w:rsidR="000E3B31" w:rsidRPr="00396508">
        <w:t xml:space="preserve">. </w:t>
      </w:r>
      <w:r w:rsidR="00CB6A9B" w:rsidRPr="00396508">
        <w:t xml:space="preserve">Although it </w:t>
      </w:r>
      <w:r w:rsidRPr="00396508">
        <w:t xml:space="preserve">has no additional </w:t>
      </w:r>
      <w:r w:rsidR="00CB6A9B" w:rsidRPr="00396508">
        <w:t xml:space="preserve">direct </w:t>
      </w:r>
      <w:r w:rsidRPr="00396508">
        <w:t xml:space="preserve">costs for industry, </w:t>
      </w:r>
      <w:r w:rsidR="00CB6A9B" w:rsidRPr="00396508">
        <w:t>the possible high net cost could come from:</w:t>
      </w:r>
    </w:p>
    <w:p w:rsidR="00D82A01" w:rsidRPr="00396508" w:rsidRDefault="00D82A01" w:rsidP="00D82A01"/>
    <w:p w:rsidR="00D82A01" w:rsidRPr="00396508" w:rsidRDefault="00D82A01" w:rsidP="00090134">
      <w:pPr>
        <w:pStyle w:val="FSBullet1"/>
      </w:pPr>
      <w:r w:rsidRPr="00396508">
        <w:t>the possible risk of export markets imposing their own testing regimes based on the recent published research</w:t>
      </w:r>
      <w:r w:rsidR="00533BA5" w:rsidRPr="00396508">
        <w:t>;</w:t>
      </w:r>
      <w:r w:rsidRPr="00396508">
        <w:t xml:space="preserve"> and </w:t>
      </w:r>
    </w:p>
    <w:p w:rsidR="00D82A01" w:rsidRPr="00396508" w:rsidRDefault="00D82A01" w:rsidP="00090134">
      <w:pPr>
        <w:pStyle w:val="FSBullet1"/>
      </w:pPr>
      <w:r w:rsidRPr="00396508">
        <w:t xml:space="preserve">consequential compliance costs for </w:t>
      </w:r>
      <w:r w:rsidR="00533BA5" w:rsidRPr="00396508">
        <w:t xml:space="preserve">the </w:t>
      </w:r>
      <w:r w:rsidRPr="00396508">
        <w:t>New Zealand industry if the maximum levels are not changed to take account of recently published research</w:t>
      </w:r>
      <w:r w:rsidR="000E3B31" w:rsidRPr="00396508">
        <w:t xml:space="preserve">. </w:t>
      </w:r>
    </w:p>
    <w:p w:rsidR="00090134" w:rsidRPr="00396508" w:rsidRDefault="00090134" w:rsidP="00D82A01"/>
    <w:p w:rsidR="00D82A01" w:rsidRPr="00396508" w:rsidRDefault="00D82A01" w:rsidP="00D82A01">
      <w:r w:rsidRPr="00396508">
        <w:t>Maximum levels imposed by export markets would likely be stricter than current maximum levels</w:t>
      </w:r>
      <w:r w:rsidR="000E3B31" w:rsidRPr="00396508">
        <w:t xml:space="preserve">. </w:t>
      </w:r>
      <w:r w:rsidRPr="00396508">
        <w:t>This option would likely also lead to MPI having to implement maximum limits itself or to continue to apply controls under the Animal Products Act</w:t>
      </w:r>
      <w:r w:rsidR="000E3B31" w:rsidRPr="00396508">
        <w:t xml:space="preserve">. </w:t>
      </w:r>
      <w:r w:rsidRPr="00396508">
        <w:t>It also does not meet the FSANZ Act objective to protect public health and safety or the requirement to base standards on risk analysis using the best available science</w:t>
      </w:r>
      <w:r w:rsidR="000E3B31" w:rsidRPr="00396508">
        <w:t xml:space="preserve">. </w:t>
      </w:r>
    </w:p>
    <w:p w:rsidR="00D82A01" w:rsidRPr="00396508" w:rsidRDefault="00D82A01" w:rsidP="00D82A01"/>
    <w:p w:rsidR="00D82A01" w:rsidRPr="00396508" w:rsidRDefault="00D82A01" w:rsidP="00850BCE">
      <w:pPr>
        <w:ind w:right="-285"/>
      </w:pPr>
      <w:r w:rsidRPr="00396508">
        <w:t>Option 2 has a probable high net cost as the increased likelihood of a poisoning incident outweighs the small benefit (for producers who operate under the Food Acts) of reduced testing costs</w:t>
      </w:r>
      <w:r w:rsidR="000E3B31" w:rsidRPr="00396508">
        <w:t xml:space="preserve">. </w:t>
      </w:r>
      <w:r w:rsidRPr="00396508">
        <w:t>Export markets may impose stricter maximum tutin levels under this option than under the status quo, which could lead to the increased compliance costs noted above for Option 1</w:t>
      </w:r>
      <w:r w:rsidR="000E3B31" w:rsidRPr="00396508">
        <w:t xml:space="preserve">. </w:t>
      </w:r>
      <w:r w:rsidRPr="00396508">
        <w:t xml:space="preserve">Option 2 also fails to meet the FSANZ Act objective to protect public health and safety </w:t>
      </w:r>
      <w:r w:rsidR="00533BA5" w:rsidRPr="00396508">
        <w:t xml:space="preserve">and </w:t>
      </w:r>
      <w:r w:rsidRPr="00396508">
        <w:t>the requirement to base standards on risk analysis using the best available science</w:t>
      </w:r>
      <w:r w:rsidR="000E3B31" w:rsidRPr="00396508">
        <w:t xml:space="preserve">. </w:t>
      </w:r>
    </w:p>
    <w:p w:rsidR="00D82A01" w:rsidRPr="00396508" w:rsidRDefault="00D82A01" w:rsidP="00D82A01"/>
    <w:p w:rsidR="00D82A01" w:rsidRPr="00396508" w:rsidRDefault="00D82A01" w:rsidP="00D82A01">
      <w:r w:rsidRPr="00396508">
        <w:t xml:space="preserve">Option 3 </w:t>
      </w:r>
      <w:r w:rsidR="00533BA5" w:rsidRPr="00396508">
        <w:t xml:space="preserve">is </w:t>
      </w:r>
      <w:r w:rsidRPr="00396508">
        <w:t>not likely to be viable given the high risk to health and safety, the lack of a single cohesive industry association and the lack of industry support for this option. If implemented, it would constitute a probable high cost for industry of developing and monitoring an industry code of practice</w:t>
      </w:r>
      <w:r w:rsidR="000E3B31" w:rsidRPr="00396508">
        <w:t xml:space="preserve">. </w:t>
      </w:r>
      <w:r w:rsidRPr="00396508">
        <w:t>Depending on how the code of practice is set up, there may be an increased risk of people getting poisoned and difficulty enforcing the code</w:t>
      </w:r>
      <w:r w:rsidR="000E3B31" w:rsidRPr="00396508">
        <w:t xml:space="preserve">. </w:t>
      </w:r>
      <w:r w:rsidRPr="00396508">
        <w:t>This option may also not meet the FSANZ Act requirement to base standards on risk analysis using the best available science and may have a negative impact on exports</w:t>
      </w:r>
      <w:r w:rsidR="000E3B31" w:rsidRPr="00396508">
        <w:t xml:space="preserve">. </w:t>
      </w:r>
    </w:p>
    <w:p w:rsidR="00D82A01" w:rsidRPr="00396508" w:rsidRDefault="00D82A01" w:rsidP="00D82A01">
      <w:pPr>
        <w:rPr>
          <w:b/>
        </w:rPr>
      </w:pPr>
    </w:p>
    <w:p w:rsidR="00D82A01" w:rsidRPr="00396508" w:rsidRDefault="00D82A01" w:rsidP="00D82A01">
      <w:r w:rsidRPr="00396508">
        <w:rPr>
          <w:b/>
        </w:rPr>
        <w:t>The recommended option is Option 4</w:t>
      </w:r>
      <w:r w:rsidRPr="00396508">
        <w:t>: to amend the maximum levels for tutin in honey (from 2 mg/kg) and comb honey (from 0.01 mg/kg) to 0.7 mg/kg</w:t>
      </w:r>
      <w:r w:rsidR="000E3B31" w:rsidRPr="00396508">
        <w:t xml:space="preserve">. </w:t>
      </w:r>
      <w:r w:rsidRPr="00396508">
        <w:t>The compliance options in the New Zealand Food (Tutin in Honey) Standard will still apply</w:t>
      </w:r>
      <w:r w:rsidR="000E3B31" w:rsidRPr="00396508">
        <w:t xml:space="preserve">. </w:t>
      </w:r>
      <w:r w:rsidRPr="00396508">
        <w:t>For comb honey, all the drip and leftover comb from a comb honey harvest from a single apiary site must be homogenised and sub-sampled and tested for tutin</w:t>
      </w:r>
      <w:r w:rsidR="000E3B31" w:rsidRPr="00396508">
        <w:t xml:space="preserve">. </w:t>
      </w:r>
      <w:r w:rsidRPr="00396508">
        <w:t>Cut comb honey will only comply if the if individual samples contain less than 0.01 mg/kg of tutin</w:t>
      </w:r>
      <w:r w:rsidR="000E3B31" w:rsidRPr="00396508">
        <w:t xml:space="preserve">. </w:t>
      </w:r>
    </w:p>
    <w:p w:rsidR="00D82A01" w:rsidRPr="00396508" w:rsidRDefault="00D82A01" w:rsidP="00D82A01"/>
    <w:p w:rsidR="00D82A01" w:rsidRPr="00396508" w:rsidRDefault="00D82A01" w:rsidP="00D82A01">
      <w:r w:rsidRPr="00396508">
        <w:t>Option 4 has a high net benefit. There will be some cost to industry—in particular a potential loss of value for high-value early</w:t>
      </w:r>
      <w:r w:rsidR="00533BA5" w:rsidRPr="00396508">
        <w:rPr>
          <w:rStyle w:val="FootnoteReference"/>
          <w:sz w:val="18"/>
          <w:vertAlign w:val="superscript"/>
        </w:rPr>
        <w:footnoteReference w:id="2"/>
      </w:r>
      <w:r w:rsidRPr="00396508">
        <w:t xml:space="preserve"> manuka honey which may exceed the new tutin limits</w:t>
      </w:r>
      <w:r w:rsidR="000E3B31" w:rsidRPr="00396508">
        <w:t xml:space="preserve">. </w:t>
      </w:r>
      <w:r w:rsidRPr="00396508">
        <w:t xml:space="preserve">These costs are however, outweighed by the support this option provides </w:t>
      </w:r>
      <w:r w:rsidR="00CB6A9B" w:rsidRPr="00396508">
        <w:t xml:space="preserve">for </w:t>
      </w:r>
      <w:r w:rsidRPr="00396508">
        <w:t>maintaining the reputation of the New Zealand honey industry and its long term growth and value</w:t>
      </w:r>
      <w:r w:rsidR="000E3B31" w:rsidRPr="00396508">
        <w:t xml:space="preserve">. </w:t>
      </w:r>
      <w:r w:rsidRPr="00396508">
        <w:t xml:space="preserve">This option provides a good environment for the compound annual growth rate (CAGR) of 18.21 </w:t>
      </w:r>
      <w:r w:rsidR="00E95783" w:rsidRPr="00396508">
        <w:t>per cent</w:t>
      </w:r>
      <w:r w:rsidRPr="00396508">
        <w:t xml:space="preserve"> per year experienced by honey exports in the period 2009-2014</w:t>
      </w:r>
      <w:r w:rsidR="00533BA5" w:rsidRPr="00396508">
        <w:t>,</w:t>
      </w:r>
      <w:r w:rsidRPr="00396508">
        <w:t xml:space="preserve"> to continue</w:t>
      </w:r>
      <w:r w:rsidR="000E3B31" w:rsidRPr="00396508">
        <w:t xml:space="preserve">. </w:t>
      </w:r>
      <w:r w:rsidR="00533BA5" w:rsidRPr="00396508">
        <w:t>In summary, i</w:t>
      </w:r>
      <w:r w:rsidRPr="00396508">
        <w:t>t is the only option that:</w:t>
      </w:r>
    </w:p>
    <w:p w:rsidR="00D82A01" w:rsidRPr="00396508" w:rsidRDefault="00D82A01" w:rsidP="00D82A01"/>
    <w:p w:rsidR="00D82A01" w:rsidRPr="00396508" w:rsidRDefault="00D82A01" w:rsidP="00090134">
      <w:pPr>
        <w:pStyle w:val="FSBullet1"/>
      </w:pPr>
      <w:r w:rsidRPr="00396508">
        <w:t xml:space="preserve">takes full account of the risk analysis using the best available scientific evidence, </w:t>
      </w:r>
    </w:p>
    <w:p w:rsidR="00D82A01" w:rsidRPr="00396508" w:rsidRDefault="00D82A01" w:rsidP="00090134">
      <w:pPr>
        <w:pStyle w:val="FSBullet1"/>
      </w:pPr>
      <w:r w:rsidRPr="00396508">
        <w:t xml:space="preserve">meets the FSANZ Act objective to protect public health and safety, and  </w:t>
      </w:r>
    </w:p>
    <w:p w:rsidR="00D82A01" w:rsidRPr="00396508" w:rsidRDefault="00D82A01" w:rsidP="00090134">
      <w:pPr>
        <w:pStyle w:val="FSBullet1"/>
      </w:pPr>
      <w:r w:rsidRPr="00396508">
        <w:t xml:space="preserve">has regard to the desirability of an efficient and internationally competitive food market. </w:t>
      </w:r>
    </w:p>
    <w:p w:rsidR="00D82A01" w:rsidRPr="00396508" w:rsidRDefault="00D82A01" w:rsidP="00090134">
      <w:pPr>
        <w:jc w:val="center"/>
        <w:rPr>
          <w:b/>
          <w:sz w:val="28"/>
          <w:szCs w:val="28"/>
        </w:rPr>
      </w:pPr>
      <w:r w:rsidRPr="00396508">
        <w:br w:type="page"/>
      </w:r>
      <w:r w:rsidRPr="00396508">
        <w:rPr>
          <w:b/>
          <w:sz w:val="28"/>
          <w:szCs w:val="28"/>
        </w:rPr>
        <w:lastRenderedPageBreak/>
        <w:t>Table of Contents</w:t>
      </w:r>
    </w:p>
    <w:bookmarkStart w:id="26" w:name="_Toc386804163"/>
    <w:bookmarkStart w:id="27" w:name="_Toc386807107"/>
    <w:bookmarkStart w:id="28" w:name="_Toc382389842"/>
    <w:bookmarkStart w:id="29" w:name="_Toc382390180"/>
    <w:bookmarkStart w:id="30" w:name="_Toc382390295"/>
    <w:bookmarkStart w:id="31" w:name="_Toc382390335"/>
    <w:bookmarkStart w:id="32" w:name="_Toc382390409"/>
    <w:bookmarkEnd w:id="26"/>
    <w:bookmarkEnd w:id="27"/>
    <w:p w:rsidR="00607733" w:rsidRPr="00607733" w:rsidRDefault="00607733">
      <w:pPr>
        <w:pStyle w:val="TOC2"/>
        <w:tabs>
          <w:tab w:val="right" w:leader="dot" w:pos="9061"/>
        </w:tabs>
        <w:rPr>
          <w:rFonts w:ascii="Arial" w:eastAsiaTheme="minorEastAsia" w:hAnsi="Arial" w:cs="Arial"/>
          <w:smallCaps w:val="0"/>
          <w:noProof/>
          <w:lang w:eastAsia="en-GB"/>
        </w:rPr>
      </w:pPr>
      <w:r w:rsidRPr="00607733">
        <w:rPr>
          <w:rFonts w:ascii="Arial" w:hAnsi="Arial" w:cs="Arial"/>
          <w:bCs/>
        </w:rPr>
        <w:fldChar w:fldCharType="begin"/>
      </w:r>
      <w:r w:rsidRPr="00607733">
        <w:rPr>
          <w:rFonts w:ascii="Arial" w:hAnsi="Arial" w:cs="Arial"/>
          <w:bCs/>
        </w:rPr>
        <w:instrText xml:space="preserve"> TOC \o "1-3" \h \z \u </w:instrText>
      </w:r>
      <w:r w:rsidRPr="00607733">
        <w:rPr>
          <w:rFonts w:ascii="Arial" w:hAnsi="Arial" w:cs="Arial"/>
          <w:bCs/>
        </w:rPr>
        <w:fldChar w:fldCharType="separate"/>
      </w:r>
    </w:p>
    <w:p w:rsidR="00607733" w:rsidRPr="00607733" w:rsidRDefault="00DE3641">
      <w:pPr>
        <w:pStyle w:val="TOC1"/>
        <w:tabs>
          <w:tab w:val="right" w:leader="dot" w:pos="9061"/>
        </w:tabs>
        <w:rPr>
          <w:rFonts w:ascii="Arial" w:eastAsiaTheme="minorEastAsia" w:hAnsi="Arial" w:cs="Arial"/>
          <w:b w:val="0"/>
          <w:bCs w:val="0"/>
          <w:caps w:val="0"/>
          <w:noProof/>
          <w:lang w:eastAsia="en-GB"/>
        </w:rPr>
      </w:pPr>
      <w:hyperlink w:anchor="_Toc402438158" w:history="1">
        <w:r w:rsidR="00607733" w:rsidRPr="00607733">
          <w:rPr>
            <w:rStyle w:val="Hyperlink"/>
            <w:rFonts w:ascii="Arial" w:hAnsi="Arial" w:cs="Arial"/>
            <w:noProof/>
          </w:rPr>
          <w:t>Purpose of this document</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_Toc402438158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w:t>
        </w:r>
        <w:r w:rsidR="00607733" w:rsidRPr="00607733">
          <w:rPr>
            <w:rFonts w:ascii="Arial" w:hAnsi="Arial" w:cs="Arial"/>
            <w:noProof/>
            <w:webHidden/>
          </w:rPr>
          <w:fldChar w:fldCharType="end"/>
        </w:r>
      </w:hyperlink>
    </w:p>
    <w:p w:rsidR="00607733" w:rsidRPr="00607733" w:rsidRDefault="00DE3641">
      <w:pPr>
        <w:pStyle w:val="TOC1"/>
        <w:tabs>
          <w:tab w:val="right" w:leader="dot" w:pos="9061"/>
        </w:tabs>
        <w:rPr>
          <w:rFonts w:ascii="Arial" w:eastAsiaTheme="minorEastAsia" w:hAnsi="Arial" w:cs="Arial"/>
          <w:b w:val="0"/>
          <w:bCs w:val="0"/>
          <w:caps w:val="0"/>
          <w:noProof/>
          <w:lang w:eastAsia="en-GB"/>
        </w:rPr>
      </w:pPr>
      <w:hyperlink w:anchor="_Toc402438159" w:history="1">
        <w:r w:rsidR="00607733" w:rsidRPr="00607733">
          <w:rPr>
            <w:rStyle w:val="Hyperlink"/>
            <w:rFonts w:ascii="Arial" w:hAnsi="Arial" w:cs="Arial"/>
            <w:noProof/>
          </w:rPr>
          <w:t>Executive summary</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_Toc402438159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w:t>
        </w:r>
        <w:r w:rsidR="00607733" w:rsidRPr="00607733">
          <w:rPr>
            <w:rFonts w:ascii="Arial" w:hAnsi="Arial" w:cs="Arial"/>
            <w:noProof/>
            <w:webHidden/>
          </w:rPr>
          <w:fldChar w:fldCharType="end"/>
        </w:r>
      </w:hyperlink>
    </w:p>
    <w:p w:rsidR="00607733" w:rsidRPr="00607733" w:rsidRDefault="00DE3641">
      <w:pPr>
        <w:pStyle w:val="TOC3"/>
        <w:tabs>
          <w:tab w:val="right" w:leader="dot" w:pos="9061"/>
        </w:tabs>
        <w:rPr>
          <w:rFonts w:ascii="Arial" w:eastAsiaTheme="minorEastAsia" w:hAnsi="Arial" w:cs="Arial"/>
          <w:i w:val="0"/>
          <w:iCs w:val="0"/>
          <w:noProof/>
          <w:lang w:eastAsia="en-GB"/>
        </w:rPr>
      </w:pPr>
      <w:hyperlink w:anchor="_Toc402438160" w:history="1">
        <w:r w:rsidR="00607733" w:rsidRPr="00607733">
          <w:rPr>
            <w:rStyle w:val="Hyperlink"/>
            <w:rFonts w:ascii="Arial" w:hAnsi="Arial" w:cs="Arial"/>
            <w:noProof/>
          </w:rPr>
          <w:t>Tutin research</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_Toc402438160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w:t>
        </w:r>
        <w:r w:rsidR="00607733" w:rsidRPr="00607733">
          <w:rPr>
            <w:rFonts w:ascii="Arial" w:hAnsi="Arial" w:cs="Arial"/>
            <w:noProof/>
            <w:webHidden/>
          </w:rPr>
          <w:fldChar w:fldCharType="end"/>
        </w:r>
      </w:hyperlink>
    </w:p>
    <w:p w:rsidR="00607733" w:rsidRPr="00607733" w:rsidRDefault="00DE3641">
      <w:pPr>
        <w:pStyle w:val="TOC3"/>
        <w:tabs>
          <w:tab w:val="right" w:leader="dot" w:pos="9061"/>
        </w:tabs>
        <w:rPr>
          <w:rFonts w:ascii="Arial" w:eastAsiaTheme="minorEastAsia" w:hAnsi="Arial" w:cs="Arial"/>
          <w:i w:val="0"/>
          <w:iCs w:val="0"/>
          <w:noProof/>
          <w:lang w:eastAsia="en-GB"/>
        </w:rPr>
      </w:pPr>
      <w:hyperlink w:anchor="_Toc402438161" w:history="1">
        <w:r w:rsidR="00607733" w:rsidRPr="00607733">
          <w:rPr>
            <w:rStyle w:val="Hyperlink"/>
            <w:rFonts w:ascii="Arial" w:hAnsi="Arial" w:cs="Arial"/>
            <w:noProof/>
          </w:rPr>
          <w:t>Changes to legislative options following consultation</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_Toc402438161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2</w:t>
        </w:r>
        <w:r w:rsidR="00607733" w:rsidRPr="00607733">
          <w:rPr>
            <w:rFonts w:ascii="Arial" w:hAnsi="Arial" w:cs="Arial"/>
            <w:noProof/>
            <w:webHidden/>
          </w:rPr>
          <w:fldChar w:fldCharType="end"/>
        </w:r>
      </w:hyperlink>
    </w:p>
    <w:p w:rsidR="00607733" w:rsidRPr="00607733" w:rsidRDefault="00DE3641">
      <w:pPr>
        <w:pStyle w:val="TOC3"/>
        <w:tabs>
          <w:tab w:val="right" w:leader="dot" w:pos="9061"/>
        </w:tabs>
        <w:rPr>
          <w:rFonts w:ascii="Arial" w:eastAsiaTheme="minorEastAsia" w:hAnsi="Arial" w:cs="Arial"/>
          <w:i w:val="0"/>
          <w:iCs w:val="0"/>
          <w:noProof/>
          <w:lang w:eastAsia="en-GB"/>
        </w:rPr>
      </w:pPr>
      <w:hyperlink w:anchor="_Toc402438162" w:history="1">
        <w:r w:rsidR="00607733" w:rsidRPr="00607733">
          <w:rPr>
            <w:rStyle w:val="Hyperlink"/>
            <w:rFonts w:ascii="Arial" w:hAnsi="Arial" w:cs="Arial"/>
            <w:noProof/>
          </w:rPr>
          <w:t>Evaluation of options</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_Toc402438162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3</w:t>
        </w:r>
        <w:r w:rsidR="00607733" w:rsidRPr="00607733">
          <w:rPr>
            <w:rFonts w:ascii="Arial" w:hAnsi="Arial" w:cs="Arial"/>
            <w:noProof/>
            <w:webHidden/>
          </w:rPr>
          <w:fldChar w:fldCharType="end"/>
        </w:r>
      </w:hyperlink>
    </w:p>
    <w:p w:rsidR="00607733" w:rsidRPr="00607733" w:rsidRDefault="00DE3641">
      <w:pPr>
        <w:pStyle w:val="TOC1"/>
        <w:tabs>
          <w:tab w:val="left" w:pos="440"/>
          <w:tab w:val="right" w:leader="dot" w:pos="9061"/>
        </w:tabs>
        <w:rPr>
          <w:rFonts w:ascii="Arial" w:eastAsiaTheme="minorEastAsia" w:hAnsi="Arial" w:cs="Arial"/>
          <w:b w:val="0"/>
          <w:bCs w:val="0"/>
          <w:caps w:val="0"/>
          <w:noProof/>
          <w:lang w:eastAsia="en-GB"/>
        </w:rPr>
      </w:pPr>
      <w:hyperlink w:anchor="_Toc402438163" w:history="1">
        <w:r w:rsidR="00607733" w:rsidRPr="00607733">
          <w:rPr>
            <w:rStyle w:val="Hyperlink"/>
            <w:rFonts w:ascii="Arial" w:hAnsi="Arial" w:cs="Arial"/>
            <w:noProof/>
          </w:rPr>
          <w:t>1</w:t>
        </w:r>
        <w:r w:rsidR="00607733" w:rsidRPr="00607733">
          <w:rPr>
            <w:rFonts w:ascii="Arial" w:eastAsiaTheme="minorEastAsia" w:hAnsi="Arial" w:cs="Arial"/>
            <w:b w:val="0"/>
            <w:bCs w:val="0"/>
            <w:caps w:val="0"/>
            <w:noProof/>
            <w:lang w:eastAsia="en-GB"/>
          </w:rPr>
          <w:tab/>
        </w:r>
        <w:r w:rsidR="00607733" w:rsidRPr="00607733">
          <w:rPr>
            <w:rStyle w:val="Hyperlink"/>
            <w:rFonts w:ascii="Arial" w:hAnsi="Arial" w:cs="Arial"/>
            <w:noProof/>
          </w:rPr>
          <w:t>Statement of the problem</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_Toc402438163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5</w:t>
        </w:r>
        <w:r w:rsidR="00607733" w:rsidRPr="00607733">
          <w:rPr>
            <w:rFonts w:ascii="Arial" w:hAnsi="Arial" w:cs="Arial"/>
            <w:noProof/>
            <w:webHidden/>
          </w:rPr>
          <w:fldChar w:fldCharType="end"/>
        </w:r>
      </w:hyperlink>
    </w:p>
    <w:p w:rsidR="00607733" w:rsidRPr="00607733" w:rsidRDefault="00DE3641">
      <w:pPr>
        <w:pStyle w:val="TOC2"/>
        <w:tabs>
          <w:tab w:val="left" w:pos="880"/>
          <w:tab w:val="right" w:leader="dot" w:pos="9061"/>
        </w:tabs>
        <w:rPr>
          <w:rFonts w:ascii="Arial" w:eastAsiaTheme="minorEastAsia" w:hAnsi="Arial" w:cs="Arial"/>
          <w:smallCaps w:val="0"/>
          <w:noProof/>
          <w:lang w:eastAsia="en-GB"/>
        </w:rPr>
      </w:pPr>
      <w:hyperlink w:anchor="_Toc402438164" w:history="1">
        <w:r w:rsidR="00607733" w:rsidRPr="00607733">
          <w:rPr>
            <w:rStyle w:val="Hyperlink"/>
            <w:rFonts w:ascii="Arial" w:hAnsi="Arial" w:cs="Arial"/>
            <w:noProof/>
          </w:rPr>
          <w:t>1.1</w:t>
        </w:r>
        <w:r w:rsidR="00607733" w:rsidRPr="00607733">
          <w:rPr>
            <w:rFonts w:ascii="Arial" w:eastAsiaTheme="minorEastAsia" w:hAnsi="Arial" w:cs="Arial"/>
            <w:smallCaps w:val="0"/>
            <w:noProof/>
            <w:lang w:eastAsia="en-GB"/>
          </w:rPr>
          <w:tab/>
        </w:r>
        <w:r w:rsidR="00607733" w:rsidRPr="00607733">
          <w:rPr>
            <w:rStyle w:val="Hyperlink"/>
            <w:rFonts w:ascii="Arial" w:hAnsi="Arial" w:cs="Arial"/>
            <w:noProof/>
          </w:rPr>
          <w:t>Background and context</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_Toc402438164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5</w:t>
        </w:r>
        <w:r w:rsidR="00607733" w:rsidRPr="00607733">
          <w:rPr>
            <w:rFonts w:ascii="Arial" w:hAnsi="Arial" w:cs="Arial"/>
            <w:noProof/>
            <w:webHidden/>
          </w:rPr>
          <w:fldChar w:fldCharType="end"/>
        </w:r>
      </w:hyperlink>
    </w:p>
    <w:p w:rsidR="00607733" w:rsidRPr="00607733" w:rsidRDefault="00DE3641">
      <w:pPr>
        <w:pStyle w:val="TOC3"/>
        <w:tabs>
          <w:tab w:val="left" w:pos="1100"/>
          <w:tab w:val="right" w:leader="dot" w:pos="9061"/>
        </w:tabs>
        <w:rPr>
          <w:rFonts w:ascii="Arial" w:eastAsiaTheme="minorEastAsia" w:hAnsi="Arial" w:cs="Arial"/>
          <w:i w:val="0"/>
          <w:iCs w:val="0"/>
          <w:noProof/>
          <w:lang w:eastAsia="en-GB"/>
        </w:rPr>
      </w:pPr>
      <w:hyperlink w:anchor="_Toc402438165" w:history="1">
        <w:r w:rsidR="00607733" w:rsidRPr="00607733">
          <w:rPr>
            <w:rStyle w:val="Hyperlink"/>
            <w:rFonts w:ascii="Arial" w:hAnsi="Arial" w:cs="Arial"/>
            <w:noProof/>
          </w:rPr>
          <w:t>1.1.1</w:t>
        </w:r>
        <w:r w:rsidR="00607733" w:rsidRPr="00607733">
          <w:rPr>
            <w:rFonts w:ascii="Arial" w:eastAsiaTheme="minorEastAsia" w:hAnsi="Arial" w:cs="Arial"/>
            <w:i w:val="0"/>
            <w:iCs w:val="0"/>
            <w:noProof/>
            <w:lang w:eastAsia="en-GB"/>
          </w:rPr>
          <w:tab/>
        </w:r>
        <w:r w:rsidR="00607733" w:rsidRPr="00607733">
          <w:rPr>
            <w:rStyle w:val="Hyperlink"/>
            <w:rFonts w:ascii="Arial" w:hAnsi="Arial" w:cs="Arial"/>
            <w:noProof/>
          </w:rPr>
          <w:t>Tutin</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_Toc402438165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6</w:t>
        </w:r>
        <w:r w:rsidR="00607733" w:rsidRPr="00607733">
          <w:rPr>
            <w:rFonts w:ascii="Arial" w:hAnsi="Arial" w:cs="Arial"/>
            <w:noProof/>
            <w:webHidden/>
          </w:rPr>
          <w:fldChar w:fldCharType="end"/>
        </w:r>
      </w:hyperlink>
    </w:p>
    <w:p w:rsidR="00607733" w:rsidRPr="00607733" w:rsidRDefault="00DE3641">
      <w:pPr>
        <w:pStyle w:val="TOC3"/>
        <w:tabs>
          <w:tab w:val="left" w:pos="1100"/>
          <w:tab w:val="right" w:leader="dot" w:pos="9061"/>
        </w:tabs>
        <w:rPr>
          <w:rFonts w:ascii="Arial" w:eastAsiaTheme="minorEastAsia" w:hAnsi="Arial" w:cs="Arial"/>
          <w:i w:val="0"/>
          <w:iCs w:val="0"/>
          <w:noProof/>
          <w:lang w:eastAsia="en-GB"/>
        </w:rPr>
      </w:pPr>
      <w:hyperlink w:anchor="_Toc402438166" w:history="1">
        <w:r w:rsidR="00607733" w:rsidRPr="00607733">
          <w:rPr>
            <w:rStyle w:val="Hyperlink"/>
            <w:rFonts w:ascii="Arial" w:hAnsi="Arial" w:cs="Arial"/>
            <w:noProof/>
          </w:rPr>
          <w:t>1.1.2</w:t>
        </w:r>
        <w:r w:rsidR="00607733" w:rsidRPr="00607733">
          <w:rPr>
            <w:rFonts w:ascii="Arial" w:eastAsiaTheme="minorEastAsia" w:hAnsi="Arial" w:cs="Arial"/>
            <w:i w:val="0"/>
            <w:iCs w:val="0"/>
            <w:noProof/>
            <w:lang w:eastAsia="en-GB"/>
          </w:rPr>
          <w:tab/>
        </w:r>
        <w:r w:rsidR="00607733" w:rsidRPr="00607733">
          <w:rPr>
            <w:rStyle w:val="Hyperlink"/>
            <w:rFonts w:ascii="Arial" w:hAnsi="Arial" w:cs="Arial"/>
            <w:noProof/>
          </w:rPr>
          <w:t>Tutin poisonings</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_Toc402438166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6</w:t>
        </w:r>
        <w:r w:rsidR="00607733" w:rsidRPr="00607733">
          <w:rPr>
            <w:rFonts w:ascii="Arial" w:hAnsi="Arial" w:cs="Arial"/>
            <w:noProof/>
            <w:webHidden/>
          </w:rPr>
          <w:fldChar w:fldCharType="end"/>
        </w:r>
      </w:hyperlink>
    </w:p>
    <w:p w:rsidR="00607733" w:rsidRPr="00607733" w:rsidRDefault="00DE3641">
      <w:pPr>
        <w:pStyle w:val="TOC3"/>
        <w:tabs>
          <w:tab w:val="left" w:pos="1100"/>
          <w:tab w:val="right" w:leader="dot" w:pos="9061"/>
        </w:tabs>
        <w:rPr>
          <w:rFonts w:ascii="Arial" w:eastAsiaTheme="minorEastAsia" w:hAnsi="Arial" w:cs="Arial"/>
          <w:i w:val="0"/>
          <w:iCs w:val="0"/>
          <w:noProof/>
          <w:lang w:eastAsia="en-GB"/>
        </w:rPr>
      </w:pPr>
      <w:hyperlink w:anchor="_Toc402438167" w:history="1">
        <w:r w:rsidR="00607733" w:rsidRPr="00607733">
          <w:rPr>
            <w:rStyle w:val="Hyperlink"/>
            <w:rFonts w:ascii="Arial" w:hAnsi="Arial" w:cs="Arial"/>
            <w:noProof/>
          </w:rPr>
          <w:t>1.1.3</w:t>
        </w:r>
        <w:r w:rsidR="00607733" w:rsidRPr="00607733">
          <w:rPr>
            <w:rFonts w:ascii="Arial" w:eastAsiaTheme="minorEastAsia" w:hAnsi="Arial" w:cs="Arial"/>
            <w:i w:val="0"/>
            <w:iCs w:val="0"/>
            <w:noProof/>
            <w:lang w:eastAsia="en-GB"/>
          </w:rPr>
          <w:tab/>
        </w:r>
        <w:r w:rsidR="00607733" w:rsidRPr="00607733">
          <w:rPr>
            <w:rStyle w:val="Hyperlink"/>
            <w:rFonts w:ascii="Arial" w:hAnsi="Arial" w:cs="Arial"/>
            <w:noProof/>
          </w:rPr>
          <w:t>MPI communication of the risks of tutin</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_Toc402438167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7</w:t>
        </w:r>
        <w:r w:rsidR="00607733" w:rsidRPr="00607733">
          <w:rPr>
            <w:rFonts w:ascii="Arial" w:hAnsi="Arial" w:cs="Arial"/>
            <w:noProof/>
            <w:webHidden/>
          </w:rPr>
          <w:fldChar w:fldCharType="end"/>
        </w:r>
      </w:hyperlink>
    </w:p>
    <w:p w:rsidR="00607733" w:rsidRPr="00607733" w:rsidRDefault="00DE3641">
      <w:pPr>
        <w:pStyle w:val="TOC3"/>
        <w:tabs>
          <w:tab w:val="left" w:pos="1100"/>
          <w:tab w:val="right" w:leader="dot" w:pos="9061"/>
        </w:tabs>
        <w:rPr>
          <w:rFonts w:ascii="Arial" w:eastAsiaTheme="minorEastAsia" w:hAnsi="Arial" w:cs="Arial"/>
          <w:i w:val="0"/>
          <w:iCs w:val="0"/>
          <w:noProof/>
          <w:lang w:eastAsia="en-GB"/>
        </w:rPr>
      </w:pPr>
      <w:hyperlink w:anchor="_Toc402438168" w:history="1">
        <w:r w:rsidR="00607733" w:rsidRPr="00607733">
          <w:rPr>
            <w:rStyle w:val="Hyperlink"/>
            <w:rFonts w:ascii="Arial" w:hAnsi="Arial" w:cs="Arial"/>
            <w:noProof/>
          </w:rPr>
          <w:t>1.1.4</w:t>
        </w:r>
        <w:r w:rsidR="00607733" w:rsidRPr="00607733">
          <w:rPr>
            <w:rFonts w:ascii="Arial" w:eastAsiaTheme="minorEastAsia" w:hAnsi="Arial" w:cs="Arial"/>
            <w:i w:val="0"/>
            <w:iCs w:val="0"/>
            <w:noProof/>
            <w:lang w:eastAsia="en-GB"/>
          </w:rPr>
          <w:tab/>
        </w:r>
        <w:r w:rsidR="00607733" w:rsidRPr="00607733">
          <w:rPr>
            <w:rStyle w:val="Hyperlink"/>
            <w:rFonts w:ascii="Arial" w:hAnsi="Arial" w:cs="Arial"/>
            <w:noProof/>
          </w:rPr>
          <w:t>Tutin research</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_Toc402438168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8</w:t>
        </w:r>
        <w:r w:rsidR="00607733" w:rsidRPr="00607733">
          <w:rPr>
            <w:rFonts w:ascii="Arial" w:hAnsi="Arial" w:cs="Arial"/>
            <w:noProof/>
            <w:webHidden/>
          </w:rPr>
          <w:fldChar w:fldCharType="end"/>
        </w:r>
      </w:hyperlink>
    </w:p>
    <w:p w:rsidR="00607733" w:rsidRPr="00607733" w:rsidRDefault="00DE3641">
      <w:pPr>
        <w:pStyle w:val="TOC2"/>
        <w:tabs>
          <w:tab w:val="left" w:pos="880"/>
          <w:tab w:val="right" w:leader="dot" w:pos="9061"/>
        </w:tabs>
        <w:rPr>
          <w:rFonts w:ascii="Arial" w:eastAsiaTheme="minorEastAsia" w:hAnsi="Arial" w:cs="Arial"/>
          <w:smallCaps w:val="0"/>
          <w:noProof/>
          <w:lang w:eastAsia="en-GB"/>
        </w:rPr>
      </w:pPr>
      <w:hyperlink w:anchor="_Toc402438169" w:history="1">
        <w:r w:rsidR="00607733" w:rsidRPr="00607733">
          <w:rPr>
            <w:rStyle w:val="Hyperlink"/>
            <w:rFonts w:ascii="Arial" w:hAnsi="Arial" w:cs="Arial"/>
            <w:noProof/>
          </w:rPr>
          <w:t>1.2</w:t>
        </w:r>
        <w:r w:rsidR="00607733" w:rsidRPr="00607733">
          <w:rPr>
            <w:rFonts w:ascii="Arial" w:eastAsiaTheme="minorEastAsia" w:hAnsi="Arial" w:cs="Arial"/>
            <w:smallCaps w:val="0"/>
            <w:noProof/>
            <w:lang w:eastAsia="en-GB"/>
          </w:rPr>
          <w:tab/>
        </w:r>
        <w:r w:rsidR="00607733" w:rsidRPr="00607733">
          <w:rPr>
            <w:rStyle w:val="Hyperlink"/>
            <w:rFonts w:ascii="Arial" w:hAnsi="Arial" w:cs="Arial"/>
            <w:noProof/>
          </w:rPr>
          <w:t>Legislation</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_Toc402438169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9</w:t>
        </w:r>
        <w:r w:rsidR="00607733" w:rsidRPr="00607733">
          <w:rPr>
            <w:rFonts w:ascii="Arial" w:hAnsi="Arial" w:cs="Arial"/>
            <w:noProof/>
            <w:webHidden/>
          </w:rPr>
          <w:fldChar w:fldCharType="end"/>
        </w:r>
      </w:hyperlink>
    </w:p>
    <w:p w:rsidR="00607733" w:rsidRPr="00607733" w:rsidRDefault="00DE3641">
      <w:pPr>
        <w:pStyle w:val="TOC3"/>
        <w:tabs>
          <w:tab w:val="left" w:pos="1100"/>
          <w:tab w:val="right" w:leader="dot" w:pos="9061"/>
        </w:tabs>
        <w:rPr>
          <w:rFonts w:ascii="Arial" w:eastAsiaTheme="minorEastAsia" w:hAnsi="Arial" w:cs="Arial"/>
          <w:i w:val="0"/>
          <w:iCs w:val="0"/>
          <w:noProof/>
          <w:lang w:eastAsia="en-GB"/>
        </w:rPr>
      </w:pPr>
      <w:hyperlink w:anchor="_Toc402438170" w:history="1">
        <w:r w:rsidR="00607733" w:rsidRPr="00607733">
          <w:rPr>
            <w:rStyle w:val="Hyperlink"/>
            <w:rFonts w:ascii="Arial" w:hAnsi="Arial" w:cs="Arial"/>
            <w:noProof/>
          </w:rPr>
          <w:t>1.2.1</w:t>
        </w:r>
        <w:r w:rsidR="00607733" w:rsidRPr="00607733">
          <w:rPr>
            <w:rFonts w:ascii="Arial" w:eastAsiaTheme="minorEastAsia" w:hAnsi="Arial" w:cs="Arial"/>
            <w:i w:val="0"/>
            <w:iCs w:val="0"/>
            <w:noProof/>
            <w:lang w:eastAsia="en-GB"/>
          </w:rPr>
          <w:tab/>
        </w:r>
        <w:r w:rsidR="00607733" w:rsidRPr="00607733">
          <w:rPr>
            <w:rStyle w:val="Hyperlink"/>
            <w:rFonts w:ascii="Arial" w:hAnsi="Arial" w:cs="Arial"/>
            <w:noProof/>
          </w:rPr>
          <w:t>Standard 1.4.1 of the Australia New Zealand Food Standards Code</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_Toc402438170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10</w:t>
        </w:r>
        <w:r w:rsidR="00607733" w:rsidRPr="00607733">
          <w:rPr>
            <w:rFonts w:ascii="Arial" w:hAnsi="Arial" w:cs="Arial"/>
            <w:noProof/>
            <w:webHidden/>
          </w:rPr>
          <w:fldChar w:fldCharType="end"/>
        </w:r>
      </w:hyperlink>
    </w:p>
    <w:p w:rsidR="00607733" w:rsidRPr="00607733" w:rsidRDefault="00DE3641">
      <w:pPr>
        <w:pStyle w:val="TOC3"/>
        <w:tabs>
          <w:tab w:val="left" w:pos="1100"/>
          <w:tab w:val="right" w:leader="dot" w:pos="9061"/>
        </w:tabs>
        <w:rPr>
          <w:rFonts w:ascii="Arial" w:eastAsiaTheme="minorEastAsia" w:hAnsi="Arial" w:cs="Arial"/>
          <w:i w:val="0"/>
          <w:iCs w:val="0"/>
          <w:noProof/>
          <w:lang w:eastAsia="en-GB"/>
        </w:rPr>
      </w:pPr>
      <w:hyperlink w:anchor="_Toc402438171" w:history="1">
        <w:r w:rsidR="00607733" w:rsidRPr="00607733">
          <w:rPr>
            <w:rStyle w:val="Hyperlink"/>
            <w:rFonts w:ascii="Arial" w:hAnsi="Arial" w:cs="Arial"/>
            <w:noProof/>
          </w:rPr>
          <w:t>1.2.2</w:t>
        </w:r>
        <w:r w:rsidR="00607733" w:rsidRPr="00607733">
          <w:rPr>
            <w:rFonts w:ascii="Arial" w:eastAsiaTheme="minorEastAsia" w:hAnsi="Arial" w:cs="Arial"/>
            <w:i w:val="0"/>
            <w:iCs w:val="0"/>
            <w:noProof/>
            <w:lang w:eastAsia="en-GB"/>
          </w:rPr>
          <w:tab/>
        </w:r>
        <w:r w:rsidR="00607733" w:rsidRPr="00607733">
          <w:rPr>
            <w:rStyle w:val="Hyperlink"/>
            <w:rFonts w:ascii="Arial" w:hAnsi="Arial" w:cs="Arial"/>
            <w:noProof/>
          </w:rPr>
          <w:t>Food (Tutin in Honey) Standard 2010</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_Toc402438171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10</w:t>
        </w:r>
        <w:r w:rsidR="00607733" w:rsidRPr="00607733">
          <w:rPr>
            <w:rFonts w:ascii="Arial" w:hAnsi="Arial" w:cs="Arial"/>
            <w:noProof/>
            <w:webHidden/>
          </w:rPr>
          <w:fldChar w:fldCharType="end"/>
        </w:r>
      </w:hyperlink>
    </w:p>
    <w:p w:rsidR="00607733" w:rsidRPr="00607733" w:rsidRDefault="00DE3641">
      <w:pPr>
        <w:pStyle w:val="TOC3"/>
        <w:tabs>
          <w:tab w:val="left" w:pos="1100"/>
          <w:tab w:val="right" w:leader="dot" w:pos="9061"/>
        </w:tabs>
        <w:rPr>
          <w:rFonts w:ascii="Arial" w:eastAsiaTheme="minorEastAsia" w:hAnsi="Arial" w:cs="Arial"/>
          <w:i w:val="0"/>
          <w:iCs w:val="0"/>
          <w:noProof/>
          <w:lang w:eastAsia="en-GB"/>
        </w:rPr>
      </w:pPr>
      <w:hyperlink w:anchor="_Toc402438172" w:history="1">
        <w:r w:rsidR="00607733" w:rsidRPr="00607733">
          <w:rPr>
            <w:rStyle w:val="Hyperlink"/>
            <w:rFonts w:ascii="Arial" w:hAnsi="Arial" w:cs="Arial"/>
            <w:noProof/>
          </w:rPr>
          <w:t>1.2.3</w:t>
        </w:r>
        <w:r w:rsidR="00607733" w:rsidRPr="00607733">
          <w:rPr>
            <w:rFonts w:ascii="Arial" w:eastAsiaTheme="minorEastAsia" w:hAnsi="Arial" w:cs="Arial"/>
            <w:i w:val="0"/>
            <w:iCs w:val="0"/>
            <w:noProof/>
            <w:lang w:eastAsia="en-GB"/>
          </w:rPr>
          <w:tab/>
        </w:r>
        <w:r w:rsidR="00607733" w:rsidRPr="00607733">
          <w:rPr>
            <w:rStyle w:val="Hyperlink"/>
            <w:rFonts w:ascii="Arial" w:hAnsi="Arial" w:cs="Arial"/>
            <w:noProof/>
          </w:rPr>
          <w:t>Regulation prior to 2008</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_Toc402438172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11</w:t>
        </w:r>
        <w:r w:rsidR="00607733" w:rsidRPr="00607733">
          <w:rPr>
            <w:rFonts w:ascii="Arial" w:hAnsi="Arial" w:cs="Arial"/>
            <w:noProof/>
            <w:webHidden/>
          </w:rPr>
          <w:fldChar w:fldCharType="end"/>
        </w:r>
      </w:hyperlink>
    </w:p>
    <w:p w:rsidR="00607733" w:rsidRPr="00607733" w:rsidRDefault="00DE3641">
      <w:pPr>
        <w:pStyle w:val="TOC1"/>
        <w:tabs>
          <w:tab w:val="left" w:pos="440"/>
          <w:tab w:val="right" w:leader="dot" w:pos="9061"/>
        </w:tabs>
        <w:rPr>
          <w:rFonts w:ascii="Arial" w:eastAsiaTheme="minorEastAsia" w:hAnsi="Arial" w:cs="Arial"/>
          <w:b w:val="0"/>
          <w:bCs w:val="0"/>
          <w:caps w:val="0"/>
          <w:noProof/>
          <w:lang w:eastAsia="en-GB"/>
        </w:rPr>
      </w:pPr>
      <w:hyperlink w:anchor="_Toc402438173" w:history="1">
        <w:r w:rsidR="00607733" w:rsidRPr="00607733">
          <w:rPr>
            <w:rStyle w:val="Hyperlink"/>
            <w:rFonts w:ascii="Arial" w:hAnsi="Arial" w:cs="Arial"/>
            <w:noProof/>
          </w:rPr>
          <w:t>2</w:t>
        </w:r>
        <w:r w:rsidR="00607733" w:rsidRPr="00607733">
          <w:rPr>
            <w:rFonts w:ascii="Arial" w:eastAsiaTheme="minorEastAsia" w:hAnsi="Arial" w:cs="Arial"/>
            <w:b w:val="0"/>
            <w:bCs w:val="0"/>
            <w:caps w:val="0"/>
            <w:noProof/>
            <w:lang w:eastAsia="en-GB"/>
          </w:rPr>
          <w:tab/>
        </w:r>
        <w:r w:rsidR="00607733" w:rsidRPr="00607733">
          <w:rPr>
            <w:rStyle w:val="Hyperlink"/>
            <w:rFonts w:ascii="Arial" w:hAnsi="Arial" w:cs="Arial"/>
            <w:noProof/>
          </w:rPr>
          <w:t>Objectives</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_Toc402438173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11</w:t>
        </w:r>
        <w:r w:rsidR="00607733" w:rsidRPr="00607733">
          <w:rPr>
            <w:rFonts w:ascii="Arial" w:hAnsi="Arial" w:cs="Arial"/>
            <w:noProof/>
            <w:webHidden/>
          </w:rPr>
          <w:fldChar w:fldCharType="end"/>
        </w:r>
      </w:hyperlink>
    </w:p>
    <w:p w:rsidR="00607733" w:rsidRPr="00607733" w:rsidRDefault="00DE3641">
      <w:pPr>
        <w:pStyle w:val="TOC2"/>
        <w:tabs>
          <w:tab w:val="left" w:pos="880"/>
          <w:tab w:val="right" w:leader="dot" w:pos="9061"/>
        </w:tabs>
        <w:rPr>
          <w:rFonts w:ascii="Arial" w:eastAsiaTheme="minorEastAsia" w:hAnsi="Arial" w:cs="Arial"/>
          <w:smallCaps w:val="0"/>
          <w:noProof/>
          <w:lang w:eastAsia="en-GB"/>
        </w:rPr>
      </w:pPr>
      <w:hyperlink w:anchor="_Toc402438174" w:history="1">
        <w:r w:rsidR="00607733" w:rsidRPr="00607733">
          <w:rPr>
            <w:rStyle w:val="Hyperlink"/>
            <w:rFonts w:ascii="Arial" w:hAnsi="Arial" w:cs="Arial"/>
            <w:noProof/>
          </w:rPr>
          <w:t>2.1</w:t>
        </w:r>
        <w:r w:rsidR="00607733" w:rsidRPr="00607733">
          <w:rPr>
            <w:rFonts w:ascii="Arial" w:eastAsiaTheme="minorEastAsia" w:hAnsi="Arial" w:cs="Arial"/>
            <w:smallCaps w:val="0"/>
            <w:noProof/>
            <w:lang w:eastAsia="en-GB"/>
          </w:rPr>
          <w:tab/>
        </w:r>
        <w:r w:rsidR="00607733" w:rsidRPr="00607733">
          <w:rPr>
            <w:rStyle w:val="Hyperlink"/>
            <w:rFonts w:ascii="Arial" w:hAnsi="Arial" w:cs="Arial"/>
            <w:noProof/>
          </w:rPr>
          <w:t>Legislation</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_Toc402438174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11</w:t>
        </w:r>
        <w:r w:rsidR="00607733" w:rsidRPr="00607733">
          <w:rPr>
            <w:rFonts w:ascii="Arial" w:hAnsi="Arial" w:cs="Arial"/>
            <w:noProof/>
            <w:webHidden/>
          </w:rPr>
          <w:fldChar w:fldCharType="end"/>
        </w:r>
      </w:hyperlink>
    </w:p>
    <w:p w:rsidR="00607733" w:rsidRPr="00607733" w:rsidRDefault="00DE3641">
      <w:pPr>
        <w:pStyle w:val="TOC2"/>
        <w:tabs>
          <w:tab w:val="left" w:pos="880"/>
          <w:tab w:val="right" w:leader="dot" w:pos="9061"/>
        </w:tabs>
        <w:rPr>
          <w:rFonts w:ascii="Arial" w:eastAsiaTheme="minorEastAsia" w:hAnsi="Arial" w:cs="Arial"/>
          <w:smallCaps w:val="0"/>
          <w:noProof/>
          <w:lang w:eastAsia="en-GB"/>
        </w:rPr>
      </w:pPr>
      <w:hyperlink w:anchor="_Toc402438175" w:history="1">
        <w:r w:rsidR="00607733" w:rsidRPr="00607733">
          <w:rPr>
            <w:rStyle w:val="Hyperlink"/>
            <w:rFonts w:ascii="Arial" w:hAnsi="Arial" w:cs="Arial"/>
            <w:noProof/>
          </w:rPr>
          <w:t>2.2</w:t>
        </w:r>
        <w:r w:rsidR="00607733" w:rsidRPr="00607733">
          <w:rPr>
            <w:rFonts w:ascii="Arial" w:eastAsiaTheme="minorEastAsia" w:hAnsi="Arial" w:cs="Arial"/>
            <w:smallCaps w:val="0"/>
            <w:noProof/>
            <w:lang w:eastAsia="en-GB"/>
          </w:rPr>
          <w:tab/>
        </w:r>
        <w:r w:rsidR="00607733" w:rsidRPr="00607733">
          <w:rPr>
            <w:rStyle w:val="Hyperlink"/>
            <w:rFonts w:ascii="Arial" w:hAnsi="Arial" w:cs="Arial"/>
            <w:noProof/>
          </w:rPr>
          <w:t>Criteria</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_Toc402438175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11</w:t>
        </w:r>
        <w:r w:rsidR="00607733" w:rsidRPr="00607733">
          <w:rPr>
            <w:rFonts w:ascii="Arial" w:hAnsi="Arial" w:cs="Arial"/>
            <w:noProof/>
            <w:webHidden/>
          </w:rPr>
          <w:fldChar w:fldCharType="end"/>
        </w:r>
      </w:hyperlink>
    </w:p>
    <w:p w:rsidR="00607733" w:rsidRPr="00607733" w:rsidRDefault="00DE3641">
      <w:pPr>
        <w:pStyle w:val="TOC1"/>
        <w:tabs>
          <w:tab w:val="left" w:pos="440"/>
          <w:tab w:val="right" w:leader="dot" w:pos="9061"/>
        </w:tabs>
        <w:rPr>
          <w:rFonts w:ascii="Arial" w:eastAsiaTheme="minorEastAsia" w:hAnsi="Arial" w:cs="Arial"/>
          <w:b w:val="0"/>
          <w:bCs w:val="0"/>
          <w:caps w:val="0"/>
          <w:noProof/>
          <w:lang w:eastAsia="en-GB"/>
        </w:rPr>
      </w:pPr>
      <w:hyperlink w:anchor="_Toc402438176" w:history="1">
        <w:r w:rsidR="00607733" w:rsidRPr="00607733">
          <w:rPr>
            <w:rStyle w:val="Hyperlink"/>
            <w:rFonts w:ascii="Arial" w:hAnsi="Arial" w:cs="Arial"/>
            <w:noProof/>
          </w:rPr>
          <w:t>3</w:t>
        </w:r>
        <w:r w:rsidR="00607733" w:rsidRPr="00607733">
          <w:rPr>
            <w:rFonts w:ascii="Arial" w:eastAsiaTheme="minorEastAsia" w:hAnsi="Arial" w:cs="Arial"/>
            <w:b w:val="0"/>
            <w:bCs w:val="0"/>
            <w:caps w:val="0"/>
            <w:noProof/>
            <w:lang w:eastAsia="en-GB"/>
          </w:rPr>
          <w:tab/>
        </w:r>
        <w:r w:rsidR="00607733" w:rsidRPr="00607733">
          <w:rPr>
            <w:rStyle w:val="Hyperlink"/>
            <w:rFonts w:ascii="Arial" w:hAnsi="Arial" w:cs="Arial"/>
            <w:noProof/>
          </w:rPr>
          <w:t>Options</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_Toc402438176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12</w:t>
        </w:r>
        <w:r w:rsidR="00607733" w:rsidRPr="00607733">
          <w:rPr>
            <w:rFonts w:ascii="Arial" w:hAnsi="Arial" w:cs="Arial"/>
            <w:noProof/>
            <w:webHidden/>
          </w:rPr>
          <w:fldChar w:fldCharType="end"/>
        </w:r>
      </w:hyperlink>
    </w:p>
    <w:p w:rsidR="00607733" w:rsidRPr="00607733" w:rsidRDefault="00DE3641">
      <w:pPr>
        <w:pStyle w:val="TOC2"/>
        <w:tabs>
          <w:tab w:val="left" w:pos="880"/>
          <w:tab w:val="right" w:leader="dot" w:pos="9061"/>
        </w:tabs>
        <w:rPr>
          <w:rFonts w:ascii="Arial" w:eastAsiaTheme="minorEastAsia" w:hAnsi="Arial" w:cs="Arial"/>
          <w:smallCaps w:val="0"/>
          <w:noProof/>
          <w:lang w:eastAsia="en-GB"/>
        </w:rPr>
      </w:pPr>
      <w:hyperlink w:anchor="_Toc402438177" w:history="1">
        <w:r w:rsidR="00607733" w:rsidRPr="00607733">
          <w:rPr>
            <w:rStyle w:val="Hyperlink"/>
            <w:rFonts w:ascii="Arial" w:hAnsi="Arial" w:cs="Arial"/>
            <w:noProof/>
          </w:rPr>
          <w:t>3.1</w:t>
        </w:r>
        <w:r w:rsidR="00607733" w:rsidRPr="00607733">
          <w:rPr>
            <w:rFonts w:ascii="Arial" w:eastAsiaTheme="minorEastAsia" w:hAnsi="Arial" w:cs="Arial"/>
            <w:smallCaps w:val="0"/>
            <w:noProof/>
            <w:lang w:eastAsia="en-GB"/>
          </w:rPr>
          <w:tab/>
        </w:r>
        <w:r w:rsidR="00607733" w:rsidRPr="00607733">
          <w:rPr>
            <w:rStyle w:val="Hyperlink"/>
            <w:rFonts w:ascii="Arial" w:hAnsi="Arial" w:cs="Arial"/>
            <w:noProof/>
          </w:rPr>
          <w:t>Changes to options following consultation</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_Toc402438177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12</w:t>
        </w:r>
        <w:r w:rsidR="00607733" w:rsidRPr="00607733">
          <w:rPr>
            <w:rFonts w:ascii="Arial" w:hAnsi="Arial" w:cs="Arial"/>
            <w:noProof/>
            <w:webHidden/>
          </w:rPr>
          <w:fldChar w:fldCharType="end"/>
        </w:r>
      </w:hyperlink>
    </w:p>
    <w:p w:rsidR="00607733" w:rsidRPr="00607733" w:rsidRDefault="00DE3641">
      <w:pPr>
        <w:pStyle w:val="TOC2"/>
        <w:tabs>
          <w:tab w:val="left" w:pos="880"/>
          <w:tab w:val="right" w:leader="dot" w:pos="9061"/>
        </w:tabs>
        <w:rPr>
          <w:rFonts w:ascii="Arial" w:eastAsiaTheme="minorEastAsia" w:hAnsi="Arial" w:cs="Arial"/>
          <w:smallCaps w:val="0"/>
          <w:noProof/>
          <w:lang w:eastAsia="en-GB"/>
        </w:rPr>
      </w:pPr>
      <w:hyperlink w:anchor="_Toc402438178" w:history="1">
        <w:r w:rsidR="00607733" w:rsidRPr="00607733">
          <w:rPr>
            <w:rStyle w:val="Hyperlink"/>
            <w:rFonts w:ascii="Arial" w:hAnsi="Arial" w:cs="Arial"/>
            <w:noProof/>
          </w:rPr>
          <w:t>3.2</w:t>
        </w:r>
        <w:r w:rsidR="00607733" w:rsidRPr="00607733">
          <w:rPr>
            <w:rFonts w:ascii="Arial" w:eastAsiaTheme="minorEastAsia" w:hAnsi="Arial" w:cs="Arial"/>
            <w:smallCaps w:val="0"/>
            <w:noProof/>
            <w:lang w:eastAsia="en-GB"/>
          </w:rPr>
          <w:tab/>
        </w:r>
        <w:r w:rsidR="00607733" w:rsidRPr="00607733">
          <w:rPr>
            <w:rStyle w:val="Hyperlink"/>
            <w:rFonts w:ascii="Arial" w:hAnsi="Arial" w:cs="Arial"/>
            <w:noProof/>
          </w:rPr>
          <w:t xml:space="preserve">Option 1: </w:t>
        </w:r>
        <w:r w:rsidR="00607733" w:rsidRPr="00607733">
          <w:rPr>
            <w:rStyle w:val="Hyperlink"/>
            <w:rFonts w:ascii="Arial" w:hAnsi="Arial" w:cs="Arial"/>
            <w:i/>
            <w:noProof/>
          </w:rPr>
          <w:t>Status Quo</w:t>
        </w:r>
        <w:r w:rsidR="00607733" w:rsidRPr="00607733">
          <w:rPr>
            <w:rStyle w:val="Hyperlink"/>
            <w:rFonts w:ascii="Arial" w:hAnsi="Arial" w:cs="Arial"/>
            <w:noProof/>
          </w:rPr>
          <w:t>: Retain the current maximum levels</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_Toc402438178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12</w:t>
        </w:r>
        <w:r w:rsidR="00607733" w:rsidRPr="00607733">
          <w:rPr>
            <w:rFonts w:ascii="Arial" w:hAnsi="Arial" w:cs="Arial"/>
            <w:noProof/>
            <w:webHidden/>
          </w:rPr>
          <w:fldChar w:fldCharType="end"/>
        </w:r>
      </w:hyperlink>
    </w:p>
    <w:p w:rsidR="00607733" w:rsidRPr="00607733" w:rsidRDefault="00DE3641">
      <w:pPr>
        <w:pStyle w:val="TOC2"/>
        <w:tabs>
          <w:tab w:val="left" w:pos="880"/>
          <w:tab w:val="right" w:leader="dot" w:pos="9061"/>
        </w:tabs>
        <w:rPr>
          <w:rFonts w:ascii="Arial" w:eastAsiaTheme="minorEastAsia" w:hAnsi="Arial" w:cs="Arial"/>
          <w:smallCaps w:val="0"/>
          <w:noProof/>
          <w:lang w:eastAsia="en-GB"/>
        </w:rPr>
      </w:pPr>
      <w:hyperlink w:anchor="_Toc402438179" w:history="1">
        <w:r w:rsidR="00607733" w:rsidRPr="00607733">
          <w:rPr>
            <w:rStyle w:val="Hyperlink"/>
            <w:rFonts w:ascii="Arial" w:hAnsi="Arial" w:cs="Arial"/>
            <w:noProof/>
          </w:rPr>
          <w:t>3.3</w:t>
        </w:r>
        <w:r w:rsidR="00607733" w:rsidRPr="00607733">
          <w:rPr>
            <w:rFonts w:ascii="Arial" w:eastAsiaTheme="minorEastAsia" w:hAnsi="Arial" w:cs="Arial"/>
            <w:smallCaps w:val="0"/>
            <w:noProof/>
            <w:lang w:eastAsia="en-GB"/>
          </w:rPr>
          <w:tab/>
        </w:r>
        <w:r w:rsidR="00607733" w:rsidRPr="00607733">
          <w:rPr>
            <w:rStyle w:val="Hyperlink"/>
            <w:rFonts w:ascii="Arial" w:hAnsi="Arial" w:cs="Arial"/>
            <w:noProof/>
          </w:rPr>
          <w:t>Option 2: Temporary maximum levels expire and are not replaced</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_Toc402438179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13</w:t>
        </w:r>
        <w:r w:rsidR="00607733" w:rsidRPr="00607733">
          <w:rPr>
            <w:rFonts w:ascii="Arial" w:hAnsi="Arial" w:cs="Arial"/>
            <w:noProof/>
            <w:webHidden/>
          </w:rPr>
          <w:fldChar w:fldCharType="end"/>
        </w:r>
      </w:hyperlink>
    </w:p>
    <w:p w:rsidR="00607733" w:rsidRPr="00607733" w:rsidRDefault="00DE3641">
      <w:pPr>
        <w:pStyle w:val="TOC2"/>
        <w:tabs>
          <w:tab w:val="left" w:pos="880"/>
          <w:tab w:val="right" w:leader="dot" w:pos="9061"/>
        </w:tabs>
        <w:rPr>
          <w:rFonts w:ascii="Arial" w:eastAsiaTheme="minorEastAsia" w:hAnsi="Arial" w:cs="Arial"/>
          <w:smallCaps w:val="0"/>
          <w:noProof/>
          <w:lang w:eastAsia="en-GB"/>
        </w:rPr>
      </w:pPr>
      <w:hyperlink w:anchor="_Toc402438180" w:history="1">
        <w:r w:rsidR="00607733" w:rsidRPr="00607733">
          <w:rPr>
            <w:rStyle w:val="Hyperlink"/>
            <w:rFonts w:ascii="Arial" w:hAnsi="Arial" w:cs="Arial"/>
            <w:noProof/>
          </w:rPr>
          <w:t>3.4</w:t>
        </w:r>
        <w:r w:rsidR="00607733" w:rsidRPr="00607733">
          <w:rPr>
            <w:rFonts w:ascii="Arial" w:eastAsiaTheme="minorEastAsia" w:hAnsi="Arial" w:cs="Arial"/>
            <w:smallCaps w:val="0"/>
            <w:noProof/>
            <w:lang w:eastAsia="en-GB"/>
          </w:rPr>
          <w:tab/>
        </w:r>
        <w:r w:rsidR="00607733" w:rsidRPr="00607733">
          <w:rPr>
            <w:rStyle w:val="Hyperlink"/>
            <w:rFonts w:ascii="Arial" w:hAnsi="Arial" w:cs="Arial"/>
            <w:noProof/>
          </w:rPr>
          <w:t>Option 3: Temporary maximum levels expire and are replaced with a voluntary industry code of practice</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_Toc402438180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13</w:t>
        </w:r>
        <w:r w:rsidR="00607733" w:rsidRPr="00607733">
          <w:rPr>
            <w:rFonts w:ascii="Arial" w:hAnsi="Arial" w:cs="Arial"/>
            <w:noProof/>
            <w:webHidden/>
          </w:rPr>
          <w:fldChar w:fldCharType="end"/>
        </w:r>
      </w:hyperlink>
    </w:p>
    <w:p w:rsidR="00607733" w:rsidRPr="00607733" w:rsidRDefault="00DE3641">
      <w:pPr>
        <w:pStyle w:val="TOC2"/>
        <w:tabs>
          <w:tab w:val="left" w:pos="880"/>
          <w:tab w:val="right" w:leader="dot" w:pos="9061"/>
        </w:tabs>
        <w:rPr>
          <w:rFonts w:ascii="Arial" w:eastAsiaTheme="minorEastAsia" w:hAnsi="Arial" w:cs="Arial"/>
          <w:smallCaps w:val="0"/>
          <w:noProof/>
          <w:lang w:eastAsia="en-GB"/>
        </w:rPr>
      </w:pPr>
      <w:hyperlink w:anchor="_Toc402438181" w:history="1">
        <w:r w:rsidR="00607733" w:rsidRPr="00607733">
          <w:rPr>
            <w:rStyle w:val="Hyperlink"/>
            <w:rFonts w:ascii="Arial" w:hAnsi="Arial" w:cs="Arial"/>
            <w:noProof/>
          </w:rPr>
          <w:t>3.5</w:t>
        </w:r>
        <w:r w:rsidR="00607733" w:rsidRPr="00607733">
          <w:rPr>
            <w:rFonts w:ascii="Arial" w:eastAsiaTheme="minorEastAsia" w:hAnsi="Arial" w:cs="Arial"/>
            <w:smallCaps w:val="0"/>
            <w:noProof/>
            <w:lang w:eastAsia="en-GB"/>
          </w:rPr>
          <w:tab/>
        </w:r>
        <w:r w:rsidR="00607733" w:rsidRPr="00607733">
          <w:rPr>
            <w:rStyle w:val="Hyperlink"/>
            <w:rFonts w:ascii="Arial" w:hAnsi="Arial" w:cs="Arial"/>
            <w:noProof/>
          </w:rPr>
          <w:t>Option 4: Amend maximum levels</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_Toc402438181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13</w:t>
        </w:r>
        <w:r w:rsidR="00607733" w:rsidRPr="00607733">
          <w:rPr>
            <w:rFonts w:ascii="Arial" w:hAnsi="Arial" w:cs="Arial"/>
            <w:noProof/>
            <w:webHidden/>
          </w:rPr>
          <w:fldChar w:fldCharType="end"/>
        </w:r>
      </w:hyperlink>
    </w:p>
    <w:p w:rsidR="00607733" w:rsidRPr="00607733" w:rsidRDefault="00DE3641">
      <w:pPr>
        <w:pStyle w:val="TOC1"/>
        <w:tabs>
          <w:tab w:val="left" w:pos="440"/>
          <w:tab w:val="right" w:leader="dot" w:pos="9061"/>
        </w:tabs>
        <w:rPr>
          <w:rFonts w:ascii="Arial" w:eastAsiaTheme="minorEastAsia" w:hAnsi="Arial" w:cs="Arial"/>
          <w:b w:val="0"/>
          <w:bCs w:val="0"/>
          <w:caps w:val="0"/>
          <w:noProof/>
          <w:lang w:eastAsia="en-GB"/>
        </w:rPr>
      </w:pPr>
      <w:hyperlink w:anchor="_Toc402438182" w:history="1">
        <w:r w:rsidR="00607733" w:rsidRPr="00607733">
          <w:rPr>
            <w:rStyle w:val="Hyperlink"/>
            <w:rFonts w:ascii="Arial" w:hAnsi="Arial" w:cs="Arial"/>
            <w:noProof/>
          </w:rPr>
          <w:t>4</w:t>
        </w:r>
        <w:r w:rsidR="00607733" w:rsidRPr="00607733">
          <w:rPr>
            <w:rFonts w:ascii="Arial" w:eastAsiaTheme="minorEastAsia" w:hAnsi="Arial" w:cs="Arial"/>
            <w:b w:val="0"/>
            <w:bCs w:val="0"/>
            <w:caps w:val="0"/>
            <w:noProof/>
            <w:lang w:eastAsia="en-GB"/>
          </w:rPr>
          <w:tab/>
        </w:r>
        <w:r w:rsidR="00607733" w:rsidRPr="00607733">
          <w:rPr>
            <w:rStyle w:val="Hyperlink"/>
            <w:rFonts w:ascii="Arial" w:hAnsi="Arial" w:cs="Arial"/>
            <w:noProof/>
          </w:rPr>
          <w:t>Impact analysis</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_Toc402438182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14</w:t>
        </w:r>
        <w:r w:rsidR="00607733" w:rsidRPr="00607733">
          <w:rPr>
            <w:rFonts w:ascii="Arial" w:hAnsi="Arial" w:cs="Arial"/>
            <w:noProof/>
            <w:webHidden/>
          </w:rPr>
          <w:fldChar w:fldCharType="end"/>
        </w:r>
      </w:hyperlink>
    </w:p>
    <w:p w:rsidR="00607733" w:rsidRPr="00607733" w:rsidRDefault="00DE3641">
      <w:pPr>
        <w:pStyle w:val="TOC2"/>
        <w:tabs>
          <w:tab w:val="left" w:pos="880"/>
          <w:tab w:val="right" w:leader="dot" w:pos="9061"/>
        </w:tabs>
        <w:rPr>
          <w:rFonts w:ascii="Arial" w:eastAsiaTheme="minorEastAsia" w:hAnsi="Arial" w:cs="Arial"/>
          <w:smallCaps w:val="0"/>
          <w:noProof/>
          <w:lang w:eastAsia="en-GB"/>
        </w:rPr>
      </w:pPr>
      <w:hyperlink w:anchor="_Toc402438183" w:history="1">
        <w:r w:rsidR="00607733" w:rsidRPr="00607733">
          <w:rPr>
            <w:rStyle w:val="Hyperlink"/>
            <w:rFonts w:ascii="Arial" w:hAnsi="Arial" w:cs="Arial"/>
            <w:noProof/>
          </w:rPr>
          <w:t>4.1</w:t>
        </w:r>
        <w:r w:rsidR="00607733" w:rsidRPr="00607733">
          <w:rPr>
            <w:rFonts w:ascii="Arial" w:eastAsiaTheme="minorEastAsia" w:hAnsi="Arial" w:cs="Arial"/>
            <w:smallCaps w:val="0"/>
            <w:noProof/>
            <w:lang w:eastAsia="en-GB"/>
          </w:rPr>
          <w:tab/>
        </w:r>
        <w:r w:rsidR="00607733" w:rsidRPr="00607733">
          <w:rPr>
            <w:rStyle w:val="Hyperlink"/>
            <w:rFonts w:ascii="Arial" w:hAnsi="Arial" w:cs="Arial"/>
            <w:noProof/>
          </w:rPr>
          <w:t>Cost of the 2008 tutin poisoning outbreak</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_Toc402438183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14</w:t>
        </w:r>
        <w:r w:rsidR="00607733" w:rsidRPr="00607733">
          <w:rPr>
            <w:rFonts w:ascii="Arial" w:hAnsi="Arial" w:cs="Arial"/>
            <w:noProof/>
            <w:webHidden/>
          </w:rPr>
          <w:fldChar w:fldCharType="end"/>
        </w:r>
      </w:hyperlink>
    </w:p>
    <w:p w:rsidR="00607733" w:rsidRPr="00607733" w:rsidRDefault="00DE3641">
      <w:pPr>
        <w:pStyle w:val="TOC2"/>
        <w:tabs>
          <w:tab w:val="left" w:pos="880"/>
          <w:tab w:val="right" w:leader="dot" w:pos="9061"/>
        </w:tabs>
        <w:rPr>
          <w:rFonts w:ascii="Arial" w:eastAsiaTheme="minorEastAsia" w:hAnsi="Arial" w:cs="Arial"/>
          <w:smallCaps w:val="0"/>
          <w:noProof/>
          <w:lang w:eastAsia="en-GB"/>
        </w:rPr>
      </w:pPr>
      <w:hyperlink w:anchor="_Toc402438184" w:history="1">
        <w:r w:rsidR="00607733" w:rsidRPr="00607733">
          <w:rPr>
            <w:rStyle w:val="Hyperlink"/>
            <w:rFonts w:ascii="Arial" w:hAnsi="Arial" w:cs="Arial"/>
            <w:noProof/>
          </w:rPr>
          <w:t>4.2</w:t>
        </w:r>
        <w:r w:rsidR="00607733" w:rsidRPr="00607733">
          <w:rPr>
            <w:rFonts w:ascii="Arial" w:eastAsiaTheme="minorEastAsia" w:hAnsi="Arial" w:cs="Arial"/>
            <w:smallCaps w:val="0"/>
            <w:noProof/>
            <w:lang w:eastAsia="en-GB"/>
          </w:rPr>
          <w:tab/>
        </w:r>
        <w:r w:rsidR="00607733" w:rsidRPr="00607733">
          <w:rPr>
            <w:rStyle w:val="Hyperlink"/>
            <w:rFonts w:ascii="Arial" w:hAnsi="Arial" w:cs="Arial"/>
            <w:noProof/>
          </w:rPr>
          <w:t xml:space="preserve">Option 1: </w:t>
        </w:r>
        <w:r w:rsidR="00607733" w:rsidRPr="00607733">
          <w:rPr>
            <w:rStyle w:val="Hyperlink"/>
            <w:rFonts w:ascii="Arial" w:hAnsi="Arial" w:cs="Arial"/>
            <w:i/>
            <w:noProof/>
          </w:rPr>
          <w:t>Status Quo</w:t>
        </w:r>
        <w:r w:rsidR="00607733" w:rsidRPr="00607733">
          <w:rPr>
            <w:rStyle w:val="Hyperlink"/>
            <w:rFonts w:ascii="Arial" w:hAnsi="Arial" w:cs="Arial"/>
            <w:noProof/>
          </w:rPr>
          <w:t>: Retain the current maximum levels</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_Toc402438184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15</w:t>
        </w:r>
        <w:r w:rsidR="00607733" w:rsidRPr="00607733">
          <w:rPr>
            <w:rFonts w:ascii="Arial" w:hAnsi="Arial" w:cs="Arial"/>
            <w:noProof/>
            <w:webHidden/>
          </w:rPr>
          <w:fldChar w:fldCharType="end"/>
        </w:r>
      </w:hyperlink>
    </w:p>
    <w:p w:rsidR="00607733" w:rsidRPr="00607733" w:rsidRDefault="00DE3641">
      <w:pPr>
        <w:pStyle w:val="TOC3"/>
        <w:tabs>
          <w:tab w:val="left" w:pos="1100"/>
          <w:tab w:val="right" w:leader="dot" w:pos="9061"/>
        </w:tabs>
        <w:rPr>
          <w:rFonts w:ascii="Arial" w:eastAsiaTheme="minorEastAsia" w:hAnsi="Arial" w:cs="Arial"/>
          <w:i w:val="0"/>
          <w:iCs w:val="0"/>
          <w:noProof/>
          <w:lang w:eastAsia="en-GB"/>
        </w:rPr>
      </w:pPr>
      <w:hyperlink w:anchor="_Toc402438185" w:history="1">
        <w:r w:rsidR="00607733" w:rsidRPr="00607733">
          <w:rPr>
            <w:rStyle w:val="Hyperlink"/>
            <w:rFonts w:ascii="Arial" w:hAnsi="Arial" w:cs="Arial"/>
            <w:noProof/>
          </w:rPr>
          <w:t>4.2.1</w:t>
        </w:r>
        <w:r w:rsidR="00607733" w:rsidRPr="00607733">
          <w:rPr>
            <w:rFonts w:ascii="Arial" w:eastAsiaTheme="minorEastAsia" w:hAnsi="Arial" w:cs="Arial"/>
            <w:i w:val="0"/>
            <w:iCs w:val="0"/>
            <w:noProof/>
            <w:lang w:eastAsia="en-GB"/>
          </w:rPr>
          <w:tab/>
        </w:r>
        <w:r w:rsidR="00607733" w:rsidRPr="00607733">
          <w:rPr>
            <w:rStyle w:val="Hyperlink"/>
            <w:rFonts w:ascii="Arial" w:hAnsi="Arial" w:cs="Arial"/>
            <w:noProof/>
          </w:rPr>
          <w:t>Honey industry</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_Toc402438185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15</w:t>
        </w:r>
        <w:r w:rsidR="00607733" w:rsidRPr="00607733">
          <w:rPr>
            <w:rFonts w:ascii="Arial" w:hAnsi="Arial" w:cs="Arial"/>
            <w:noProof/>
            <w:webHidden/>
          </w:rPr>
          <w:fldChar w:fldCharType="end"/>
        </w:r>
      </w:hyperlink>
    </w:p>
    <w:p w:rsidR="00607733" w:rsidRPr="00607733" w:rsidRDefault="00DE3641">
      <w:pPr>
        <w:pStyle w:val="TOC3"/>
        <w:tabs>
          <w:tab w:val="left" w:pos="1100"/>
          <w:tab w:val="right" w:leader="dot" w:pos="9061"/>
        </w:tabs>
        <w:rPr>
          <w:rFonts w:ascii="Arial" w:eastAsiaTheme="minorEastAsia" w:hAnsi="Arial" w:cs="Arial"/>
          <w:i w:val="0"/>
          <w:iCs w:val="0"/>
          <w:noProof/>
          <w:lang w:eastAsia="en-GB"/>
        </w:rPr>
      </w:pPr>
      <w:hyperlink w:anchor="_Toc402438186" w:history="1">
        <w:r w:rsidR="00607733" w:rsidRPr="00607733">
          <w:rPr>
            <w:rStyle w:val="Hyperlink"/>
            <w:rFonts w:ascii="Arial" w:hAnsi="Arial" w:cs="Arial"/>
            <w:noProof/>
          </w:rPr>
          <w:t>4.2.2</w:t>
        </w:r>
        <w:r w:rsidR="00607733" w:rsidRPr="00607733">
          <w:rPr>
            <w:rFonts w:ascii="Arial" w:eastAsiaTheme="minorEastAsia" w:hAnsi="Arial" w:cs="Arial"/>
            <w:i w:val="0"/>
            <w:iCs w:val="0"/>
            <w:noProof/>
            <w:lang w:eastAsia="en-GB"/>
          </w:rPr>
          <w:tab/>
        </w:r>
        <w:r w:rsidR="00607733" w:rsidRPr="00607733">
          <w:rPr>
            <w:rStyle w:val="Hyperlink"/>
            <w:rFonts w:ascii="Arial" w:hAnsi="Arial" w:cs="Arial"/>
            <w:noProof/>
          </w:rPr>
          <w:t>Health sector</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_Toc402438186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15</w:t>
        </w:r>
        <w:r w:rsidR="00607733" w:rsidRPr="00607733">
          <w:rPr>
            <w:rFonts w:ascii="Arial" w:hAnsi="Arial" w:cs="Arial"/>
            <w:noProof/>
            <w:webHidden/>
          </w:rPr>
          <w:fldChar w:fldCharType="end"/>
        </w:r>
      </w:hyperlink>
    </w:p>
    <w:p w:rsidR="00607733" w:rsidRPr="00607733" w:rsidRDefault="00DE3641">
      <w:pPr>
        <w:pStyle w:val="TOC3"/>
        <w:tabs>
          <w:tab w:val="left" w:pos="1100"/>
          <w:tab w:val="right" w:leader="dot" w:pos="9061"/>
        </w:tabs>
        <w:rPr>
          <w:rFonts w:ascii="Arial" w:eastAsiaTheme="minorEastAsia" w:hAnsi="Arial" w:cs="Arial"/>
          <w:i w:val="0"/>
          <w:iCs w:val="0"/>
          <w:noProof/>
          <w:lang w:eastAsia="en-GB"/>
        </w:rPr>
      </w:pPr>
      <w:hyperlink w:anchor="_Toc402438187" w:history="1">
        <w:r w:rsidR="00607733" w:rsidRPr="00607733">
          <w:rPr>
            <w:rStyle w:val="Hyperlink"/>
            <w:rFonts w:ascii="Arial" w:hAnsi="Arial" w:cs="Arial"/>
            <w:noProof/>
          </w:rPr>
          <w:t>4.2.3</w:t>
        </w:r>
        <w:r w:rsidR="00607733" w:rsidRPr="00607733">
          <w:rPr>
            <w:rFonts w:ascii="Arial" w:eastAsiaTheme="minorEastAsia" w:hAnsi="Arial" w:cs="Arial"/>
            <w:i w:val="0"/>
            <w:iCs w:val="0"/>
            <w:noProof/>
            <w:lang w:eastAsia="en-GB"/>
          </w:rPr>
          <w:tab/>
        </w:r>
        <w:r w:rsidR="00607733" w:rsidRPr="00607733">
          <w:rPr>
            <w:rStyle w:val="Hyperlink"/>
            <w:rFonts w:ascii="Arial" w:hAnsi="Arial" w:cs="Arial"/>
            <w:noProof/>
          </w:rPr>
          <w:t>Best available science</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_Toc402438187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15</w:t>
        </w:r>
        <w:r w:rsidR="00607733" w:rsidRPr="00607733">
          <w:rPr>
            <w:rFonts w:ascii="Arial" w:hAnsi="Arial" w:cs="Arial"/>
            <w:noProof/>
            <w:webHidden/>
          </w:rPr>
          <w:fldChar w:fldCharType="end"/>
        </w:r>
      </w:hyperlink>
    </w:p>
    <w:p w:rsidR="00607733" w:rsidRPr="00607733" w:rsidRDefault="00DE3641">
      <w:pPr>
        <w:pStyle w:val="TOC3"/>
        <w:tabs>
          <w:tab w:val="left" w:pos="1100"/>
          <w:tab w:val="right" w:leader="dot" w:pos="9061"/>
        </w:tabs>
        <w:rPr>
          <w:rFonts w:ascii="Arial" w:eastAsiaTheme="minorEastAsia" w:hAnsi="Arial" w:cs="Arial"/>
          <w:i w:val="0"/>
          <w:iCs w:val="0"/>
          <w:noProof/>
          <w:lang w:eastAsia="en-GB"/>
        </w:rPr>
      </w:pPr>
      <w:hyperlink w:anchor="_Toc402438188" w:history="1">
        <w:r w:rsidR="00607733" w:rsidRPr="00607733">
          <w:rPr>
            <w:rStyle w:val="Hyperlink"/>
            <w:rFonts w:ascii="Arial" w:hAnsi="Arial" w:cs="Arial"/>
            <w:noProof/>
          </w:rPr>
          <w:t>4.2.4</w:t>
        </w:r>
        <w:r w:rsidR="00607733" w:rsidRPr="00607733">
          <w:rPr>
            <w:rFonts w:ascii="Arial" w:eastAsiaTheme="minorEastAsia" w:hAnsi="Arial" w:cs="Arial"/>
            <w:i w:val="0"/>
            <w:iCs w:val="0"/>
            <w:noProof/>
            <w:lang w:eastAsia="en-GB"/>
          </w:rPr>
          <w:tab/>
        </w:r>
        <w:r w:rsidR="00607733" w:rsidRPr="00607733">
          <w:rPr>
            <w:rStyle w:val="Hyperlink"/>
            <w:rFonts w:ascii="Arial" w:hAnsi="Arial" w:cs="Arial"/>
            <w:noProof/>
          </w:rPr>
          <w:t>Internationally competitive food industry</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_Toc402438188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15</w:t>
        </w:r>
        <w:r w:rsidR="00607733" w:rsidRPr="00607733">
          <w:rPr>
            <w:rFonts w:ascii="Arial" w:hAnsi="Arial" w:cs="Arial"/>
            <w:noProof/>
            <w:webHidden/>
          </w:rPr>
          <w:fldChar w:fldCharType="end"/>
        </w:r>
      </w:hyperlink>
    </w:p>
    <w:p w:rsidR="00607733" w:rsidRPr="00607733" w:rsidRDefault="00DE3641">
      <w:pPr>
        <w:pStyle w:val="TOC2"/>
        <w:tabs>
          <w:tab w:val="right" w:leader="dot" w:pos="9061"/>
        </w:tabs>
        <w:rPr>
          <w:rFonts w:ascii="Arial" w:eastAsiaTheme="minorEastAsia" w:hAnsi="Arial" w:cs="Arial"/>
          <w:smallCaps w:val="0"/>
          <w:noProof/>
          <w:lang w:eastAsia="en-GB"/>
        </w:rPr>
      </w:pPr>
      <w:hyperlink w:anchor="_Toc402438189" w:history="1">
        <w:r w:rsidR="00607733" w:rsidRPr="00607733">
          <w:rPr>
            <w:rStyle w:val="Hyperlink"/>
            <w:rFonts w:ascii="Arial" w:hAnsi="Arial" w:cs="Arial"/>
            <w:noProof/>
          </w:rPr>
          <w:t>Option 2: Temporary maximum levels expire and are not replaced</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_Toc402438189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16</w:t>
        </w:r>
        <w:r w:rsidR="00607733" w:rsidRPr="00607733">
          <w:rPr>
            <w:rFonts w:ascii="Arial" w:hAnsi="Arial" w:cs="Arial"/>
            <w:noProof/>
            <w:webHidden/>
          </w:rPr>
          <w:fldChar w:fldCharType="end"/>
        </w:r>
      </w:hyperlink>
    </w:p>
    <w:p w:rsidR="00607733" w:rsidRPr="00607733" w:rsidRDefault="00DE3641">
      <w:pPr>
        <w:pStyle w:val="TOC3"/>
        <w:tabs>
          <w:tab w:val="left" w:pos="1100"/>
          <w:tab w:val="right" w:leader="dot" w:pos="9061"/>
        </w:tabs>
        <w:rPr>
          <w:rFonts w:ascii="Arial" w:eastAsiaTheme="minorEastAsia" w:hAnsi="Arial" w:cs="Arial"/>
          <w:i w:val="0"/>
          <w:iCs w:val="0"/>
          <w:noProof/>
          <w:lang w:eastAsia="en-GB"/>
        </w:rPr>
      </w:pPr>
      <w:hyperlink w:anchor="_Toc402438190" w:history="1">
        <w:r w:rsidR="00607733" w:rsidRPr="00607733">
          <w:rPr>
            <w:rStyle w:val="Hyperlink"/>
            <w:rFonts w:ascii="Arial" w:hAnsi="Arial" w:cs="Arial"/>
            <w:noProof/>
          </w:rPr>
          <w:t>4.2.5</w:t>
        </w:r>
        <w:r w:rsidR="00607733" w:rsidRPr="00607733">
          <w:rPr>
            <w:rFonts w:ascii="Arial" w:eastAsiaTheme="minorEastAsia" w:hAnsi="Arial" w:cs="Arial"/>
            <w:i w:val="0"/>
            <w:iCs w:val="0"/>
            <w:noProof/>
            <w:lang w:eastAsia="en-GB"/>
          </w:rPr>
          <w:tab/>
        </w:r>
        <w:r w:rsidR="00607733" w:rsidRPr="00607733">
          <w:rPr>
            <w:rStyle w:val="Hyperlink"/>
            <w:rFonts w:ascii="Arial" w:hAnsi="Arial" w:cs="Arial"/>
            <w:noProof/>
          </w:rPr>
          <w:t>Conclusion</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_Toc402438190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17</w:t>
        </w:r>
        <w:r w:rsidR="00607733" w:rsidRPr="00607733">
          <w:rPr>
            <w:rFonts w:ascii="Arial" w:hAnsi="Arial" w:cs="Arial"/>
            <w:noProof/>
            <w:webHidden/>
          </w:rPr>
          <w:fldChar w:fldCharType="end"/>
        </w:r>
      </w:hyperlink>
    </w:p>
    <w:p w:rsidR="00607733" w:rsidRPr="00607733" w:rsidRDefault="00DE3641">
      <w:pPr>
        <w:pStyle w:val="TOC2"/>
        <w:tabs>
          <w:tab w:val="left" w:pos="880"/>
          <w:tab w:val="right" w:leader="dot" w:pos="9061"/>
        </w:tabs>
        <w:rPr>
          <w:rFonts w:ascii="Arial" w:eastAsiaTheme="minorEastAsia" w:hAnsi="Arial" w:cs="Arial"/>
          <w:smallCaps w:val="0"/>
          <w:noProof/>
          <w:lang w:eastAsia="en-GB"/>
        </w:rPr>
      </w:pPr>
      <w:hyperlink w:anchor="_Toc402438191" w:history="1">
        <w:r w:rsidR="00607733" w:rsidRPr="00607733">
          <w:rPr>
            <w:rStyle w:val="Hyperlink"/>
            <w:rFonts w:ascii="Arial" w:hAnsi="Arial" w:cs="Arial"/>
            <w:noProof/>
          </w:rPr>
          <w:t>4.3</w:t>
        </w:r>
        <w:r w:rsidR="00607733" w:rsidRPr="00607733">
          <w:rPr>
            <w:rFonts w:ascii="Arial" w:eastAsiaTheme="minorEastAsia" w:hAnsi="Arial" w:cs="Arial"/>
            <w:smallCaps w:val="0"/>
            <w:noProof/>
            <w:lang w:eastAsia="en-GB"/>
          </w:rPr>
          <w:tab/>
        </w:r>
        <w:r w:rsidR="00607733" w:rsidRPr="00607733">
          <w:rPr>
            <w:rStyle w:val="Hyperlink"/>
            <w:rFonts w:ascii="Arial" w:hAnsi="Arial" w:cs="Arial"/>
            <w:noProof/>
          </w:rPr>
          <w:t>Option 3: Temporary maximum levels expire and are replaced with a voluntary industry code of practice</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_Toc402438191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18</w:t>
        </w:r>
        <w:r w:rsidR="00607733" w:rsidRPr="00607733">
          <w:rPr>
            <w:rFonts w:ascii="Arial" w:hAnsi="Arial" w:cs="Arial"/>
            <w:noProof/>
            <w:webHidden/>
          </w:rPr>
          <w:fldChar w:fldCharType="end"/>
        </w:r>
      </w:hyperlink>
    </w:p>
    <w:p w:rsidR="00607733" w:rsidRPr="00607733" w:rsidRDefault="00DE3641">
      <w:pPr>
        <w:pStyle w:val="TOC3"/>
        <w:tabs>
          <w:tab w:val="left" w:pos="1100"/>
          <w:tab w:val="right" w:leader="dot" w:pos="9061"/>
        </w:tabs>
        <w:rPr>
          <w:rFonts w:ascii="Arial" w:eastAsiaTheme="minorEastAsia" w:hAnsi="Arial" w:cs="Arial"/>
          <w:i w:val="0"/>
          <w:iCs w:val="0"/>
          <w:noProof/>
          <w:lang w:eastAsia="en-GB"/>
        </w:rPr>
      </w:pPr>
      <w:hyperlink w:anchor="_Toc402438192" w:history="1">
        <w:r w:rsidR="00607733" w:rsidRPr="00607733">
          <w:rPr>
            <w:rStyle w:val="Hyperlink"/>
            <w:rFonts w:ascii="Arial" w:hAnsi="Arial" w:cs="Arial"/>
            <w:noProof/>
          </w:rPr>
          <w:t>4.3.1</w:t>
        </w:r>
        <w:r w:rsidR="00607733" w:rsidRPr="00607733">
          <w:rPr>
            <w:rFonts w:ascii="Arial" w:eastAsiaTheme="minorEastAsia" w:hAnsi="Arial" w:cs="Arial"/>
            <w:i w:val="0"/>
            <w:iCs w:val="0"/>
            <w:noProof/>
            <w:lang w:eastAsia="en-GB"/>
          </w:rPr>
          <w:tab/>
        </w:r>
        <w:r w:rsidR="00607733" w:rsidRPr="00607733">
          <w:rPr>
            <w:rStyle w:val="Hyperlink"/>
            <w:rFonts w:ascii="Arial" w:hAnsi="Arial" w:cs="Arial"/>
            <w:noProof/>
          </w:rPr>
          <w:t>Conclusion</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_Toc402438192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20</w:t>
        </w:r>
        <w:r w:rsidR="00607733" w:rsidRPr="00607733">
          <w:rPr>
            <w:rFonts w:ascii="Arial" w:hAnsi="Arial" w:cs="Arial"/>
            <w:noProof/>
            <w:webHidden/>
          </w:rPr>
          <w:fldChar w:fldCharType="end"/>
        </w:r>
      </w:hyperlink>
    </w:p>
    <w:p w:rsidR="00607733" w:rsidRPr="00607733" w:rsidRDefault="00DE3641">
      <w:pPr>
        <w:pStyle w:val="TOC2"/>
        <w:tabs>
          <w:tab w:val="left" w:pos="880"/>
          <w:tab w:val="right" w:leader="dot" w:pos="9061"/>
        </w:tabs>
        <w:rPr>
          <w:rFonts w:ascii="Arial" w:eastAsiaTheme="minorEastAsia" w:hAnsi="Arial" w:cs="Arial"/>
          <w:smallCaps w:val="0"/>
          <w:noProof/>
          <w:lang w:eastAsia="en-GB"/>
        </w:rPr>
      </w:pPr>
      <w:hyperlink w:anchor="_Toc402438193" w:history="1">
        <w:r w:rsidR="00607733" w:rsidRPr="00607733">
          <w:rPr>
            <w:rStyle w:val="Hyperlink"/>
            <w:rFonts w:ascii="Arial" w:hAnsi="Arial" w:cs="Arial"/>
            <w:noProof/>
          </w:rPr>
          <w:t>4.4</w:t>
        </w:r>
        <w:r w:rsidR="00607733" w:rsidRPr="00607733">
          <w:rPr>
            <w:rFonts w:ascii="Arial" w:eastAsiaTheme="minorEastAsia" w:hAnsi="Arial" w:cs="Arial"/>
            <w:smallCaps w:val="0"/>
            <w:noProof/>
            <w:lang w:eastAsia="en-GB"/>
          </w:rPr>
          <w:tab/>
        </w:r>
        <w:r w:rsidR="00607733" w:rsidRPr="00607733">
          <w:rPr>
            <w:rStyle w:val="Hyperlink"/>
            <w:rFonts w:ascii="Arial" w:hAnsi="Arial" w:cs="Arial"/>
            <w:noProof/>
          </w:rPr>
          <w:t>Option 4: Amend maximum levels</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_Toc402438193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20</w:t>
        </w:r>
        <w:r w:rsidR="00607733" w:rsidRPr="00607733">
          <w:rPr>
            <w:rFonts w:ascii="Arial" w:hAnsi="Arial" w:cs="Arial"/>
            <w:noProof/>
            <w:webHidden/>
          </w:rPr>
          <w:fldChar w:fldCharType="end"/>
        </w:r>
      </w:hyperlink>
    </w:p>
    <w:p w:rsidR="00607733" w:rsidRPr="00607733" w:rsidRDefault="00DE3641">
      <w:pPr>
        <w:pStyle w:val="TOC3"/>
        <w:tabs>
          <w:tab w:val="left" w:pos="1100"/>
          <w:tab w:val="right" w:leader="dot" w:pos="9061"/>
        </w:tabs>
        <w:rPr>
          <w:rFonts w:ascii="Arial" w:eastAsiaTheme="minorEastAsia" w:hAnsi="Arial" w:cs="Arial"/>
          <w:i w:val="0"/>
          <w:iCs w:val="0"/>
          <w:noProof/>
          <w:lang w:eastAsia="en-GB"/>
        </w:rPr>
      </w:pPr>
      <w:hyperlink w:anchor="_Toc402438194" w:history="1">
        <w:r w:rsidR="00607733" w:rsidRPr="00607733">
          <w:rPr>
            <w:rStyle w:val="Hyperlink"/>
            <w:rFonts w:ascii="Arial" w:hAnsi="Arial" w:cs="Arial"/>
            <w:noProof/>
          </w:rPr>
          <w:t>4.4.1</w:t>
        </w:r>
        <w:r w:rsidR="00607733" w:rsidRPr="00607733">
          <w:rPr>
            <w:rFonts w:ascii="Arial" w:eastAsiaTheme="minorEastAsia" w:hAnsi="Arial" w:cs="Arial"/>
            <w:i w:val="0"/>
            <w:iCs w:val="0"/>
            <w:noProof/>
            <w:lang w:eastAsia="en-GB"/>
          </w:rPr>
          <w:tab/>
        </w:r>
        <w:r w:rsidR="00607733" w:rsidRPr="00607733">
          <w:rPr>
            <w:rStyle w:val="Hyperlink"/>
            <w:rFonts w:ascii="Arial" w:hAnsi="Arial" w:cs="Arial"/>
            <w:noProof/>
          </w:rPr>
          <w:t>Conclusion</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_Toc402438194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22</w:t>
        </w:r>
        <w:r w:rsidR="00607733" w:rsidRPr="00607733">
          <w:rPr>
            <w:rFonts w:ascii="Arial" w:hAnsi="Arial" w:cs="Arial"/>
            <w:noProof/>
            <w:webHidden/>
          </w:rPr>
          <w:fldChar w:fldCharType="end"/>
        </w:r>
      </w:hyperlink>
    </w:p>
    <w:p w:rsidR="00607733" w:rsidRPr="00607733" w:rsidRDefault="00DE3641">
      <w:pPr>
        <w:pStyle w:val="TOC1"/>
        <w:tabs>
          <w:tab w:val="left" w:pos="440"/>
          <w:tab w:val="right" w:leader="dot" w:pos="9061"/>
        </w:tabs>
        <w:rPr>
          <w:rFonts w:ascii="Arial" w:eastAsiaTheme="minorEastAsia" w:hAnsi="Arial" w:cs="Arial"/>
          <w:b w:val="0"/>
          <w:bCs w:val="0"/>
          <w:caps w:val="0"/>
          <w:noProof/>
          <w:lang w:eastAsia="en-GB"/>
        </w:rPr>
      </w:pPr>
      <w:hyperlink w:anchor="_Toc402438195" w:history="1">
        <w:r w:rsidR="00607733" w:rsidRPr="00607733">
          <w:rPr>
            <w:rStyle w:val="Hyperlink"/>
            <w:rFonts w:ascii="Arial" w:hAnsi="Arial" w:cs="Arial"/>
            <w:noProof/>
          </w:rPr>
          <w:t>5</w:t>
        </w:r>
        <w:r w:rsidR="00607733" w:rsidRPr="00607733">
          <w:rPr>
            <w:rFonts w:ascii="Arial" w:eastAsiaTheme="minorEastAsia" w:hAnsi="Arial" w:cs="Arial"/>
            <w:b w:val="0"/>
            <w:bCs w:val="0"/>
            <w:caps w:val="0"/>
            <w:noProof/>
            <w:lang w:eastAsia="en-GB"/>
          </w:rPr>
          <w:tab/>
        </w:r>
        <w:r w:rsidR="00607733" w:rsidRPr="00607733">
          <w:rPr>
            <w:rStyle w:val="Hyperlink"/>
            <w:rFonts w:ascii="Arial" w:hAnsi="Arial" w:cs="Arial"/>
            <w:noProof/>
          </w:rPr>
          <w:t>Consultation</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_Toc402438195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23</w:t>
        </w:r>
        <w:r w:rsidR="00607733" w:rsidRPr="00607733">
          <w:rPr>
            <w:rFonts w:ascii="Arial" w:hAnsi="Arial" w:cs="Arial"/>
            <w:noProof/>
            <w:webHidden/>
          </w:rPr>
          <w:fldChar w:fldCharType="end"/>
        </w:r>
      </w:hyperlink>
    </w:p>
    <w:p w:rsidR="00607733" w:rsidRPr="00607733" w:rsidRDefault="00DE3641">
      <w:pPr>
        <w:pStyle w:val="TOC2"/>
        <w:tabs>
          <w:tab w:val="left" w:pos="880"/>
          <w:tab w:val="right" w:leader="dot" w:pos="9061"/>
        </w:tabs>
        <w:rPr>
          <w:rFonts w:ascii="Arial" w:eastAsiaTheme="minorEastAsia" w:hAnsi="Arial" w:cs="Arial"/>
          <w:smallCaps w:val="0"/>
          <w:noProof/>
          <w:lang w:eastAsia="en-GB"/>
        </w:rPr>
      </w:pPr>
      <w:hyperlink w:anchor="_Toc402438196" w:history="1">
        <w:r w:rsidR="00607733" w:rsidRPr="00607733">
          <w:rPr>
            <w:rStyle w:val="Hyperlink"/>
            <w:rFonts w:ascii="Arial" w:hAnsi="Arial" w:cs="Arial"/>
            <w:noProof/>
          </w:rPr>
          <w:t>5.1</w:t>
        </w:r>
        <w:r w:rsidR="00607733" w:rsidRPr="00607733">
          <w:rPr>
            <w:rFonts w:ascii="Arial" w:eastAsiaTheme="minorEastAsia" w:hAnsi="Arial" w:cs="Arial"/>
            <w:smallCaps w:val="0"/>
            <w:noProof/>
            <w:lang w:eastAsia="en-GB"/>
          </w:rPr>
          <w:tab/>
        </w:r>
        <w:r w:rsidR="00607733" w:rsidRPr="00607733">
          <w:rPr>
            <w:rStyle w:val="Hyperlink"/>
            <w:rFonts w:ascii="Arial" w:hAnsi="Arial" w:cs="Arial"/>
            <w:noProof/>
          </w:rPr>
          <w:t>Industry views</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_Toc402438196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23</w:t>
        </w:r>
        <w:r w:rsidR="00607733" w:rsidRPr="00607733">
          <w:rPr>
            <w:rFonts w:ascii="Arial" w:hAnsi="Arial" w:cs="Arial"/>
            <w:noProof/>
            <w:webHidden/>
          </w:rPr>
          <w:fldChar w:fldCharType="end"/>
        </w:r>
      </w:hyperlink>
    </w:p>
    <w:p w:rsidR="00607733" w:rsidRPr="00607733" w:rsidRDefault="00DE3641">
      <w:pPr>
        <w:pStyle w:val="TOC2"/>
        <w:tabs>
          <w:tab w:val="left" w:pos="880"/>
          <w:tab w:val="right" w:leader="dot" w:pos="9061"/>
        </w:tabs>
        <w:rPr>
          <w:rFonts w:ascii="Arial" w:eastAsiaTheme="minorEastAsia" w:hAnsi="Arial" w:cs="Arial"/>
          <w:smallCaps w:val="0"/>
          <w:noProof/>
          <w:lang w:eastAsia="en-GB"/>
        </w:rPr>
      </w:pPr>
      <w:hyperlink w:anchor="_Toc402438197" w:history="1">
        <w:r w:rsidR="00607733" w:rsidRPr="00607733">
          <w:rPr>
            <w:rStyle w:val="Hyperlink"/>
            <w:rFonts w:ascii="Arial" w:hAnsi="Arial" w:cs="Arial"/>
            <w:noProof/>
          </w:rPr>
          <w:t>5.2</w:t>
        </w:r>
        <w:r w:rsidR="00607733" w:rsidRPr="00607733">
          <w:rPr>
            <w:rFonts w:ascii="Arial" w:eastAsiaTheme="minorEastAsia" w:hAnsi="Arial" w:cs="Arial"/>
            <w:smallCaps w:val="0"/>
            <w:noProof/>
            <w:lang w:eastAsia="en-GB"/>
          </w:rPr>
          <w:tab/>
        </w:r>
        <w:r w:rsidR="00607733" w:rsidRPr="00607733">
          <w:rPr>
            <w:rStyle w:val="Hyperlink"/>
            <w:rFonts w:ascii="Arial" w:hAnsi="Arial" w:cs="Arial"/>
            <w:noProof/>
          </w:rPr>
          <w:t>2014 consultation</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_Toc402438197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23</w:t>
        </w:r>
        <w:r w:rsidR="00607733" w:rsidRPr="00607733">
          <w:rPr>
            <w:rFonts w:ascii="Arial" w:hAnsi="Arial" w:cs="Arial"/>
            <w:noProof/>
            <w:webHidden/>
          </w:rPr>
          <w:fldChar w:fldCharType="end"/>
        </w:r>
      </w:hyperlink>
    </w:p>
    <w:p w:rsidR="00607733" w:rsidRPr="00607733" w:rsidRDefault="00DE3641">
      <w:pPr>
        <w:pStyle w:val="TOC1"/>
        <w:tabs>
          <w:tab w:val="left" w:pos="440"/>
          <w:tab w:val="right" w:leader="dot" w:pos="9061"/>
        </w:tabs>
        <w:rPr>
          <w:rFonts w:ascii="Arial" w:eastAsiaTheme="minorEastAsia" w:hAnsi="Arial" w:cs="Arial"/>
          <w:b w:val="0"/>
          <w:bCs w:val="0"/>
          <w:caps w:val="0"/>
          <w:noProof/>
          <w:lang w:eastAsia="en-GB"/>
        </w:rPr>
      </w:pPr>
      <w:hyperlink w:anchor="_Toc402438198" w:history="1">
        <w:r w:rsidR="00607733" w:rsidRPr="00607733">
          <w:rPr>
            <w:rStyle w:val="Hyperlink"/>
            <w:rFonts w:ascii="Arial" w:hAnsi="Arial" w:cs="Arial"/>
            <w:noProof/>
          </w:rPr>
          <w:t>6</w:t>
        </w:r>
        <w:r w:rsidR="00607733" w:rsidRPr="00607733">
          <w:rPr>
            <w:rFonts w:ascii="Arial" w:eastAsiaTheme="minorEastAsia" w:hAnsi="Arial" w:cs="Arial"/>
            <w:b w:val="0"/>
            <w:bCs w:val="0"/>
            <w:caps w:val="0"/>
            <w:noProof/>
            <w:lang w:eastAsia="en-GB"/>
          </w:rPr>
          <w:tab/>
        </w:r>
        <w:r w:rsidR="00607733" w:rsidRPr="00607733">
          <w:rPr>
            <w:rStyle w:val="Hyperlink"/>
            <w:rFonts w:ascii="Arial" w:hAnsi="Arial" w:cs="Arial"/>
            <w:noProof/>
          </w:rPr>
          <w:t>Evaluation and conclusions</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_Toc402438198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25</w:t>
        </w:r>
        <w:r w:rsidR="00607733" w:rsidRPr="00607733">
          <w:rPr>
            <w:rFonts w:ascii="Arial" w:hAnsi="Arial" w:cs="Arial"/>
            <w:noProof/>
            <w:webHidden/>
          </w:rPr>
          <w:fldChar w:fldCharType="end"/>
        </w:r>
      </w:hyperlink>
    </w:p>
    <w:p w:rsidR="00607733" w:rsidRPr="00607733" w:rsidRDefault="00DE3641">
      <w:pPr>
        <w:pStyle w:val="TOC1"/>
        <w:tabs>
          <w:tab w:val="left" w:pos="440"/>
          <w:tab w:val="right" w:leader="dot" w:pos="9061"/>
        </w:tabs>
        <w:rPr>
          <w:rFonts w:ascii="Arial" w:eastAsiaTheme="minorEastAsia" w:hAnsi="Arial" w:cs="Arial"/>
          <w:b w:val="0"/>
          <w:bCs w:val="0"/>
          <w:caps w:val="0"/>
          <w:noProof/>
          <w:lang w:eastAsia="en-GB"/>
        </w:rPr>
      </w:pPr>
      <w:hyperlink w:anchor="_Toc402438199" w:history="1">
        <w:r w:rsidR="00607733" w:rsidRPr="00607733">
          <w:rPr>
            <w:rStyle w:val="Hyperlink"/>
            <w:rFonts w:ascii="Arial" w:hAnsi="Arial" w:cs="Arial"/>
            <w:noProof/>
          </w:rPr>
          <w:t>7</w:t>
        </w:r>
        <w:r w:rsidR="00607733" w:rsidRPr="00607733">
          <w:rPr>
            <w:rFonts w:ascii="Arial" w:eastAsiaTheme="minorEastAsia" w:hAnsi="Arial" w:cs="Arial"/>
            <w:b w:val="0"/>
            <w:bCs w:val="0"/>
            <w:caps w:val="0"/>
            <w:noProof/>
            <w:lang w:eastAsia="en-GB"/>
          </w:rPr>
          <w:tab/>
        </w:r>
        <w:r w:rsidR="00607733" w:rsidRPr="00607733">
          <w:rPr>
            <w:rStyle w:val="Hyperlink"/>
            <w:rFonts w:ascii="Arial" w:hAnsi="Arial" w:cs="Arial"/>
            <w:noProof/>
          </w:rPr>
          <w:t>Implementation and review</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_Toc402438199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27</w:t>
        </w:r>
        <w:r w:rsidR="00607733" w:rsidRPr="00607733">
          <w:rPr>
            <w:rFonts w:ascii="Arial" w:hAnsi="Arial" w:cs="Arial"/>
            <w:noProof/>
            <w:webHidden/>
          </w:rPr>
          <w:fldChar w:fldCharType="end"/>
        </w:r>
      </w:hyperlink>
    </w:p>
    <w:p w:rsidR="00607733" w:rsidRPr="00607733" w:rsidRDefault="00DE3641">
      <w:pPr>
        <w:pStyle w:val="TOC2"/>
        <w:tabs>
          <w:tab w:val="left" w:pos="880"/>
          <w:tab w:val="right" w:leader="dot" w:pos="9061"/>
        </w:tabs>
        <w:rPr>
          <w:rFonts w:ascii="Arial" w:eastAsiaTheme="minorEastAsia" w:hAnsi="Arial" w:cs="Arial"/>
          <w:smallCaps w:val="0"/>
          <w:noProof/>
          <w:lang w:eastAsia="en-GB"/>
        </w:rPr>
      </w:pPr>
      <w:hyperlink w:anchor="_Toc402438200" w:history="1">
        <w:r w:rsidR="00607733" w:rsidRPr="00607733">
          <w:rPr>
            <w:rStyle w:val="Hyperlink"/>
            <w:rFonts w:ascii="Arial" w:hAnsi="Arial" w:cs="Arial"/>
            <w:noProof/>
          </w:rPr>
          <w:t>7.1</w:t>
        </w:r>
        <w:r w:rsidR="00607733" w:rsidRPr="00607733">
          <w:rPr>
            <w:rFonts w:ascii="Arial" w:eastAsiaTheme="minorEastAsia" w:hAnsi="Arial" w:cs="Arial"/>
            <w:smallCaps w:val="0"/>
            <w:noProof/>
            <w:lang w:eastAsia="en-GB"/>
          </w:rPr>
          <w:tab/>
        </w:r>
        <w:r w:rsidR="00607733" w:rsidRPr="00607733">
          <w:rPr>
            <w:rStyle w:val="Hyperlink"/>
            <w:rFonts w:ascii="Arial" w:hAnsi="Arial" w:cs="Arial"/>
            <w:noProof/>
          </w:rPr>
          <w:t>Implementation</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_Toc402438200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27</w:t>
        </w:r>
        <w:r w:rsidR="00607733" w:rsidRPr="00607733">
          <w:rPr>
            <w:rFonts w:ascii="Arial" w:hAnsi="Arial" w:cs="Arial"/>
            <w:noProof/>
            <w:webHidden/>
          </w:rPr>
          <w:fldChar w:fldCharType="end"/>
        </w:r>
      </w:hyperlink>
    </w:p>
    <w:p w:rsidR="00607733" w:rsidRPr="00607733" w:rsidRDefault="00DE3641">
      <w:pPr>
        <w:pStyle w:val="TOC2"/>
        <w:tabs>
          <w:tab w:val="left" w:pos="880"/>
          <w:tab w:val="right" w:leader="dot" w:pos="9061"/>
        </w:tabs>
        <w:rPr>
          <w:rFonts w:ascii="Arial" w:eastAsiaTheme="minorEastAsia" w:hAnsi="Arial" w:cs="Arial"/>
          <w:smallCaps w:val="0"/>
          <w:noProof/>
          <w:lang w:eastAsia="en-GB"/>
        </w:rPr>
      </w:pPr>
      <w:hyperlink w:anchor="_Toc402438201" w:history="1">
        <w:r w:rsidR="00607733" w:rsidRPr="00607733">
          <w:rPr>
            <w:rStyle w:val="Hyperlink"/>
            <w:rFonts w:ascii="Arial" w:hAnsi="Arial" w:cs="Arial"/>
            <w:noProof/>
          </w:rPr>
          <w:t>7.2</w:t>
        </w:r>
        <w:r w:rsidR="00607733" w:rsidRPr="00607733">
          <w:rPr>
            <w:rFonts w:ascii="Arial" w:eastAsiaTheme="minorEastAsia" w:hAnsi="Arial" w:cs="Arial"/>
            <w:smallCaps w:val="0"/>
            <w:noProof/>
            <w:lang w:eastAsia="en-GB"/>
          </w:rPr>
          <w:tab/>
        </w:r>
        <w:r w:rsidR="00607733" w:rsidRPr="00607733">
          <w:rPr>
            <w:rStyle w:val="Hyperlink"/>
            <w:rFonts w:ascii="Arial" w:hAnsi="Arial" w:cs="Arial"/>
            <w:noProof/>
          </w:rPr>
          <w:t>Review</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_Toc402438201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27</w:t>
        </w:r>
        <w:r w:rsidR="00607733" w:rsidRPr="00607733">
          <w:rPr>
            <w:rFonts w:ascii="Arial" w:hAnsi="Arial" w:cs="Arial"/>
            <w:noProof/>
            <w:webHidden/>
          </w:rPr>
          <w:fldChar w:fldCharType="end"/>
        </w:r>
      </w:hyperlink>
    </w:p>
    <w:p w:rsidR="00607733" w:rsidRPr="00607733" w:rsidRDefault="00DE3641">
      <w:pPr>
        <w:pStyle w:val="TOC1"/>
        <w:tabs>
          <w:tab w:val="right" w:leader="dot" w:pos="9061"/>
        </w:tabs>
        <w:rPr>
          <w:rFonts w:ascii="Arial" w:eastAsiaTheme="minorEastAsia" w:hAnsi="Arial" w:cs="Arial"/>
          <w:b w:val="0"/>
          <w:bCs w:val="0"/>
          <w:caps w:val="0"/>
          <w:noProof/>
          <w:lang w:eastAsia="en-GB"/>
        </w:rPr>
      </w:pPr>
      <w:hyperlink w:anchor="_Toc402438202" w:history="1">
        <w:r w:rsidR="00607733" w:rsidRPr="00607733">
          <w:rPr>
            <w:rStyle w:val="Hyperlink"/>
            <w:rFonts w:ascii="Arial" w:hAnsi="Arial" w:cs="Arial"/>
            <w:noProof/>
          </w:rPr>
          <w:t>Appendix 1: Honey industry profile</w:t>
        </w:r>
        <w:r w:rsidR="00607733" w:rsidRPr="00607733">
          <w:rPr>
            <w:rFonts w:ascii="Arial" w:hAnsi="Arial" w:cs="Arial"/>
            <w:noProof/>
            <w:webHidden/>
          </w:rPr>
          <w:tab/>
        </w:r>
        <w:r w:rsidR="00607733" w:rsidRPr="00607733">
          <w:rPr>
            <w:rFonts w:ascii="Arial" w:hAnsi="Arial" w:cs="Arial"/>
            <w:noProof/>
            <w:webHidden/>
          </w:rPr>
          <w:fldChar w:fldCharType="begin"/>
        </w:r>
        <w:r w:rsidR="00607733" w:rsidRPr="00607733">
          <w:rPr>
            <w:rFonts w:ascii="Arial" w:hAnsi="Arial" w:cs="Arial"/>
            <w:noProof/>
            <w:webHidden/>
          </w:rPr>
          <w:instrText xml:space="preserve"> PAGEREF _Toc402438202 \h </w:instrText>
        </w:r>
        <w:r w:rsidR="00607733" w:rsidRPr="00607733">
          <w:rPr>
            <w:rFonts w:ascii="Arial" w:hAnsi="Arial" w:cs="Arial"/>
            <w:noProof/>
            <w:webHidden/>
          </w:rPr>
        </w:r>
        <w:r w:rsidR="00607733" w:rsidRPr="00607733">
          <w:rPr>
            <w:rFonts w:ascii="Arial" w:hAnsi="Arial" w:cs="Arial"/>
            <w:noProof/>
            <w:webHidden/>
          </w:rPr>
          <w:fldChar w:fldCharType="separate"/>
        </w:r>
        <w:r>
          <w:rPr>
            <w:rFonts w:ascii="Arial" w:hAnsi="Arial" w:cs="Arial"/>
            <w:noProof/>
            <w:webHidden/>
          </w:rPr>
          <w:t>28</w:t>
        </w:r>
        <w:r w:rsidR="00607733" w:rsidRPr="00607733">
          <w:rPr>
            <w:rFonts w:ascii="Arial" w:hAnsi="Arial" w:cs="Arial"/>
            <w:noProof/>
            <w:webHidden/>
          </w:rPr>
          <w:fldChar w:fldCharType="end"/>
        </w:r>
      </w:hyperlink>
    </w:p>
    <w:p w:rsidR="00D82A01" w:rsidRPr="00607733" w:rsidRDefault="00607733" w:rsidP="00D82A01">
      <w:pPr>
        <w:rPr>
          <w:rFonts w:cs="Arial"/>
          <w:bCs/>
          <w:sz w:val="20"/>
          <w:szCs w:val="20"/>
        </w:rPr>
      </w:pPr>
      <w:r w:rsidRPr="00607733">
        <w:rPr>
          <w:rFonts w:cs="Arial"/>
          <w:bCs/>
          <w:sz w:val="20"/>
          <w:szCs w:val="20"/>
        </w:rPr>
        <w:fldChar w:fldCharType="end"/>
      </w:r>
    </w:p>
    <w:p w:rsidR="00D82A01" w:rsidRPr="00607733" w:rsidRDefault="00D82A01" w:rsidP="00D82A01">
      <w:pPr>
        <w:rPr>
          <w:rFonts w:cs="Arial"/>
          <w:b/>
          <w:bCs/>
          <w:sz w:val="20"/>
          <w:szCs w:val="20"/>
        </w:rPr>
      </w:pPr>
    </w:p>
    <w:p w:rsidR="00D82A01" w:rsidRPr="00396508" w:rsidRDefault="00D82A01" w:rsidP="00D82A01">
      <w:pPr>
        <w:pStyle w:val="Heading1"/>
      </w:pPr>
      <w:r w:rsidRPr="00396508">
        <w:br w:type="page"/>
      </w:r>
      <w:bookmarkStart w:id="33" w:name="_Toc386804165"/>
      <w:bookmarkStart w:id="34" w:name="_Toc386804198"/>
      <w:bookmarkStart w:id="35" w:name="_Toc386807109"/>
      <w:bookmarkStart w:id="36" w:name="_Toc387045977"/>
      <w:bookmarkStart w:id="37" w:name="_Toc401736598"/>
      <w:bookmarkStart w:id="38" w:name="_Toc402438163"/>
      <w:bookmarkStart w:id="39" w:name="_Toc362368104"/>
      <w:bookmarkStart w:id="40" w:name="_Toc362434945"/>
      <w:bookmarkStart w:id="41" w:name="_Toc362589331"/>
      <w:bookmarkStart w:id="42" w:name="_Toc362619031"/>
      <w:bookmarkStart w:id="43" w:name="_Toc362940595"/>
      <w:bookmarkStart w:id="44" w:name="_Toc363047103"/>
      <w:bookmarkStart w:id="45" w:name="_Toc382389843"/>
      <w:bookmarkStart w:id="46" w:name="_Toc382390181"/>
      <w:bookmarkStart w:id="47" w:name="_Toc382390296"/>
      <w:bookmarkStart w:id="48" w:name="_Toc382390336"/>
      <w:bookmarkStart w:id="49" w:name="_Toc382390410"/>
      <w:bookmarkEnd w:id="1"/>
      <w:bookmarkEnd w:id="2"/>
      <w:bookmarkEnd w:id="3"/>
      <w:bookmarkEnd w:id="4"/>
      <w:bookmarkEnd w:id="5"/>
      <w:bookmarkEnd w:id="6"/>
      <w:bookmarkEnd w:id="28"/>
      <w:bookmarkEnd w:id="29"/>
      <w:bookmarkEnd w:id="30"/>
      <w:bookmarkEnd w:id="31"/>
      <w:bookmarkEnd w:id="32"/>
      <w:bookmarkEnd w:id="33"/>
      <w:bookmarkEnd w:id="34"/>
      <w:bookmarkEnd w:id="35"/>
      <w:bookmarkEnd w:id="36"/>
      <w:r w:rsidR="00090134" w:rsidRPr="00396508">
        <w:lastRenderedPageBreak/>
        <w:t>1</w:t>
      </w:r>
      <w:r w:rsidR="00090134" w:rsidRPr="00396508">
        <w:tab/>
      </w:r>
      <w:r w:rsidRPr="00396508">
        <w:t>Statement of the problem</w:t>
      </w:r>
      <w:bookmarkEnd w:id="37"/>
      <w:bookmarkEnd w:id="38"/>
    </w:p>
    <w:p w:rsidR="00D82A01" w:rsidRPr="00396508" w:rsidRDefault="00C579C3" w:rsidP="00D82A01">
      <w:r w:rsidRPr="00396508">
        <w:t xml:space="preserve">High levels of tutin in </w:t>
      </w:r>
      <w:r w:rsidR="00D82A01" w:rsidRPr="00396508">
        <w:t xml:space="preserve">honey can cause </w:t>
      </w:r>
      <w:r w:rsidRPr="00396508">
        <w:t>severe illness or death in humans</w:t>
      </w:r>
      <w:r w:rsidR="00D82A01" w:rsidRPr="00396508">
        <w:t xml:space="preserve">. FSANZ has prepared Proposal P1029 to review the maximum levels for tutin in honey and comb honey in Standard 1.4.1 of the </w:t>
      </w:r>
      <w:r w:rsidR="00D82A01" w:rsidRPr="00396508">
        <w:rPr>
          <w:i/>
        </w:rPr>
        <w:t>Australia New Zealand Food Standards Code</w:t>
      </w:r>
      <w:r w:rsidR="00D82A01" w:rsidRPr="00396508">
        <w:t xml:space="preserve"> (the Code) in order to ensure they are protective of human health. The current maximum levels are due to expire on 31 March 2015.</w:t>
      </w:r>
    </w:p>
    <w:p w:rsidR="00D82A01" w:rsidRPr="00396508" w:rsidRDefault="00D82A01" w:rsidP="00D82A01"/>
    <w:p w:rsidR="00D82A01" w:rsidRPr="00396508" w:rsidRDefault="00D82A01" w:rsidP="00D82A01">
      <w:r w:rsidRPr="00396508">
        <w:t xml:space="preserve">Since the original levels were set, more research on tutin in honey has been undertaken. The results indicate that the current maximum levels do not reflect the best available science and may not </w:t>
      </w:r>
      <w:r w:rsidR="00C579C3" w:rsidRPr="00396508">
        <w:t>protect human health enough</w:t>
      </w:r>
      <w:r w:rsidRPr="00396508">
        <w:t>.</w:t>
      </w:r>
    </w:p>
    <w:p w:rsidR="00D82A01" w:rsidRPr="00396508" w:rsidRDefault="00D82A01" w:rsidP="00D82A01"/>
    <w:p w:rsidR="00D82A01" w:rsidRPr="00396508" w:rsidRDefault="00D82A01" w:rsidP="00D82A01">
      <w:r w:rsidRPr="00396508">
        <w:t>Although this is a Standard under the Food Standards Treaty, which involves decisions being taken in the Council of Australian Governments (COAG), any replacement standard would only have impacts in New Zealand, as the necessary conditions for tutin poisoning appear to only occur in New Zealand.</w:t>
      </w:r>
    </w:p>
    <w:p w:rsidR="00D82A01" w:rsidRPr="00396508" w:rsidRDefault="00E92852" w:rsidP="00F56FA6">
      <w:pPr>
        <w:pStyle w:val="Heading2"/>
      </w:pPr>
      <w:bookmarkStart w:id="50" w:name="_Toc402438164"/>
      <w:r w:rsidRPr="00396508">
        <w:t>1.1</w:t>
      </w:r>
      <w:r w:rsidR="00D82A01" w:rsidRPr="00396508">
        <w:tab/>
      </w:r>
      <w:bookmarkStart w:id="51" w:name="_Toc401736599"/>
      <w:r w:rsidR="00D82A01" w:rsidRPr="00396508">
        <w:t>Background and context</w:t>
      </w:r>
      <w:bookmarkEnd w:id="51"/>
      <w:bookmarkEnd w:id="50"/>
    </w:p>
    <w:p w:rsidR="00D82A01" w:rsidRPr="00396508" w:rsidRDefault="00D82A01" w:rsidP="00D82A01">
      <w:r w:rsidRPr="00396508">
        <w:t xml:space="preserve">New Zealand had over 4,800 beekeepers in June 2014. They produced 17,608 tonnes of honey in the year to June 2014 and exported 8,758 tonnes. More information on the New Zealand honey industry can be found in Appendix 1. </w:t>
      </w:r>
    </w:p>
    <w:p w:rsidR="00C579C3" w:rsidRPr="00396508" w:rsidRDefault="00C579C3" w:rsidP="00D82A01"/>
    <w:p w:rsidR="00C579C3" w:rsidRPr="00396508" w:rsidRDefault="00C579C3" w:rsidP="00C579C3">
      <w:r w:rsidRPr="00396508">
        <w:t>New Zealand has had problems with contamination of honey by tutin since bees were first brought into New Zealand</w:t>
      </w:r>
      <w:r w:rsidR="000E3B31" w:rsidRPr="00396508">
        <w:t xml:space="preserve">. </w:t>
      </w:r>
      <w:r w:rsidRPr="00396508">
        <w:t xml:space="preserve">A poisoning incident in the Coromandel in 2008 prompted the former New Zealand Food Safety Authority (NZFSA) to establish a temporary maximum level of tutin in honey of 2 mg/kg and of tutin in comb honey of 0.1 mg/kg while more research was undertaken. These levels were incorporated in Standard 1.4.1 of the </w:t>
      </w:r>
      <w:r w:rsidRPr="00396508">
        <w:rPr>
          <w:i/>
        </w:rPr>
        <w:t>Australia New Zealand Food Standards Code</w:t>
      </w:r>
      <w:r w:rsidRPr="00396508">
        <w:t xml:space="preserve"> (the Code) in August 2009 and will expire on 31 March 2015</w:t>
      </w:r>
      <w:r w:rsidR="000E3B31" w:rsidRPr="00396508">
        <w:t xml:space="preserve">. </w:t>
      </w:r>
      <w:r w:rsidRPr="00396508">
        <w:t>A review of the maximum levels needs to be undertaken before the current levels expire</w:t>
      </w:r>
      <w:r w:rsidR="000E3B31" w:rsidRPr="00396508">
        <w:t xml:space="preserve">. </w:t>
      </w:r>
      <w:r w:rsidRPr="00396508">
        <w:t>Since the original maximum levels were set, more research on tutin in honey has been undertaken</w:t>
      </w:r>
      <w:r w:rsidR="000E3B31" w:rsidRPr="00396508">
        <w:t xml:space="preserve">. </w:t>
      </w:r>
      <w:r w:rsidRPr="00396508">
        <w:t>The results of this research indicate that the current maximum levels do not reflect the best available science and may not sufficiently protect human health</w:t>
      </w:r>
      <w:r w:rsidR="000E3B31" w:rsidRPr="00396508">
        <w:t xml:space="preserve">. </w:t>
      </w:r>
    </w:p>
    <w:p w:rsidR="00D82A01" w:rsidRPr="00396508" w:rsidRDefault="00D82A01" w:rsidP="00D82A01"/>
    <w:p w:rsidR="00D82A01" w:rsidRPr="00396508" w:rsidRDefault="00D82A01" w:rsidP="00D82A01">
      <w:r w:rsidRPr="00396508">
        <w:t>The main parties affected by this proposal are people selling honey for human consumption or export where that honey is harvested from high risk locations (those located north of  latitude 42 degrees south). The latitude 42 degrees south line runs across the top of the South Island, from above Greymouth in the west to between Kaikoura and Blenheim in the east</w:t>
      </w:r>
      <w:r w:rsidR="000E3B31" w:rsidRPr="00396508">
        <w:t xml:space="preserve">. </w:t>
      </w:r>
      <w:r w:rsidRPr="00396508">
        <w:t>This proposal may also affect those selling honey produced during periods of the year considered to be low risk as it is known that small amounts of tutin can be found in honey throughout the year</w:t>
      </w:r>
      <w:r w:rsidR="000E3B31" w:rsidRPr="00396508">
        <w:t xml:space="preserve">. </w:t>
      </w:r>
      <w:r w:rsidRPr="00396508">
        <w:t>MPI plans to conduct further research to determine whether its production controls in the Food (Tutin in Honey) Standard 2010 remain appropriate</w:t>
      </w:r>
      <w:r w:rsidR="000E3B31" w:rsidRPr="00396508">
        <w:t xml:space="preserve">. </w:t>
      </w:r>
      <w:r w:rsidRPr="00396508">
        <w:rPr>
          <w:lang w:eastAsia="en-AU"/>
        </w:rPr>
        <w:t>No specific groups will be affected in Australia</w:t>
      </w:r>
      <w:r w:rsidRPr="00396508">
        <w:t xml:space="preserve"> as the issue of tutin in honey appears to only occur in New Zealand. The particular groups in New Zealand that may be affected by the standard for tutin are:</w:t>
      </w:r>
    </w:p>
    <w:p w:rsidR="00D82A01" w:rsidRPr="00396508" w:rsidRDefault="00D82A01" w:rsidP="00D82A01"/>
    <w:p w:rsidR="00D82A01" w:rsidRPr="00396508" w:rsidRDefault="00A82B3C" w:rsidP="00D82A01">
      <w:pPr>
        <w:numPr>
          <w:ilvl w:val="0"/>
          <w:numId w:val="8"/>
        </w:numPr>
        <w:ind w:left="567" w:hanging="567"/>
        <w:rPr>
          <w:lang w:eastAsia="en-AU"/>
        </w:rPr>
      </w:pPr>
      <w:r w:rsidRPr="00396508">
        <w:rPr>
          <w:lang w:eastAsia="en-AU"/>
        </w:rPr>
        <w:t>c</w:t>
      </w:r>
      <w:r w:rsidR="00D82A01" w:rsidRPr="00396508">
        <w:rPr>
          <w:lang w:eastAsia="en-AU"/>
        </w:rPr>
        <w:t>onsumers of honey</w:t>
      </w:r>
      <w:r w:rsidR="00C579C3" w:rsidRPr="00396508">
        <w:rPr>
          <w:lang w:eastAsia="en-AU"/>
        </w:rPr>
        <w:t>;</w:t>
      </w:r>
    </w:p>
    <w:p w:rsidR="00D82A01" w:rsidRPr="00396508" w:rsidRDefault="00A82B3C" w:rsidP="00D82A01">
      <w:pPr>
        <w:numPr>
          <w:ilvl w:val="0"/>
          <w:numId w:val="8"/>
        </w:numPr>
        <w:ind w:left="567" w:hanging="567"/>
        <w:rPr>
          <w:lang w:eastAsia="en-AU"/>
        </w:rPr>
      </w:pPr>
      <w:r w:rsidRPr="00396508">
        <w:rPr>
          <w:lang w:eastAsia="en-AU"/>
        </w:rPr>
        <w:t>b</w:t>
      </w:r>
      <w:r w:rsidR="00D82A01" w:rsidRPr="00396508">
        <w:rPr>
          <w:lang w:eastAsia="en-AU"/>
        </w:rPr>
        <w:t>eekeepers, honey packers and processors</w:t>
      </w:r>
      <w:r w:rsidR="00C579C3" w:rsidRPr="00396508">
        <w:rPr>
          <w:lang w:eastAsia="en-AU"/>
        </w:rPr>
        <w:t>;</w:t>
      </w:r>
    </w:p>
    <w:p w:rsidR="00D82A01" w:rsidRPr="00396508" w:rsidRDefault="00A82B3C" w:rsidP="00D82A01">
      <w:pPr>
        <w:numPr>
          <w:ilvl w:val="0"/>
          <w:numId w:val="8"/>
        </w:numPr>
        <w:ind w:left="567" w:hanging="567"/>
        <w:rPr>
          <w:lang w:eastAsia="en-AU"/>
        </w:rPr>
      </w:pPr>
      <w:r w:rsidRPr="00396508">
        <w:rPr>
          <w:lang w:eastAsia="en-AU"/>
        </w:rPr>
        <w:t>h</w:t>
      </w:r>
      <w:r w:rsidR="00D82A01" w:rsidRPr="00396508">
        <w:rPr>
          <w:lang w:eastAsia="en-AU"/>
        </w:rPr>
        <w:t>ealth sector (including hospitals, emergency care, and general practitioners)</w:t>
      </w:r>
      <w:r w:rsidR="00C579C3" w:rsidRPr="00396508">
        <w:rPr>
          <w:lang w:eastAsia="en-AU"/>
        </w:rPr>
        <w:t>;</w:t>
      </w:r>
    </w:p>
    <w:p w:rsidR="00D82A01" w:rsidRPr="00396508" w:rsidRDefault="00A82B3C" w:rsidP="00D82A01">
      <w:pPr>
        <w:numPr>
          <w:ilvl w:val="0"/>
          <w:numId w:val="8"/>
        </w:numPr>
        <w:ind w:left="567" w:hanging="567"/>
        <w:rPr>
          <w:lang w:eastAsia="en-AU"/>
        </w:rPr>
      </w:pPr>
      <w:r w:rsidRPr="00396508">
        <w:rPr>
          <w:lang w:eastAsia="en-AU"/>
        </w:rPr>
        <w:t>l</w:t>
      </w:r>
      <w:r w:rsidR="00D82A01" w:rsidRPr="00396508">
        <w:rPr>
          <w:lang w:eastAsia="en-AU"/>
        </w:rPr>
        <w:t>aboratories that test honey for tutin contamination</w:t>
      </w:r>
      <w:r w:rsidR="00C579C3" w:rsidRPr="00396508">
        <w:rPr>
          <w:lang w:eastAsia="en-AU"/>
        </w:rPr>
        <w:t>; and</w:t>
      </w:r>
      <w:r w:rsidR="00D82A01" w:rsidRPr="00396508">
        <w:rPr>
          <w:lang w:eastAsia="en-AU"/>
        </w:rPr>
        <w:t xml:space="preserve"> </w:t>
      </w:r>
    </w:p>
    <w:p w:rsidR="00D82A01" w:rsidRPr="00396508" w:rsidRDefault="00D82A01" w:rsidP="00D82A01">
      <w:pPr>
        <w:pStyle w:val="FSBullet"/>
        <w:ind w:left="567" w:hanging="567"/>
      </w:pPr>
      <w:r w:rsidRPr="00396508">
        <w:t>Government departments: particularly the Ministry for Primary Industries and the Ministry of Health.</w:t>
      </w:r>
    </w:p>
    <w:p w:rsidR="00A82B3C" w:rsidRPr="00396508" w:rsidRDefault="00A82B3C" w:rsidP="00D82A01">
      <w:pPr>
        <w:rPr>
          <w:lang w:eastAsia="en-US" w:bidi="en-US"/>
        </w:rPr>
      </w:pPr>
      <w:r w:rsidRPr="00396508">
        <w:rPr>
          <w:lang w:eastAsia="en-US" w:bidi="en-US"/>
        </w:rPr>
        <w:br w:type="page"/>
      </w:r>
    </w:p>
    <w:p w:rsidR="00D82A01" w:rsidRPr="00396508" w:rsidRDefault="00E92852" w:rsidP="00E92852">
      <w:pPr>
        <w:pStyle w:val="Heading3"/>
      </w:pPr>
      <w:bookmarkStart w:id="52" w:name="_Toc402438165"/>
      <w:r w:rsidRPr="00396508">
        <w:lastRenderedPageBreak/>
        <w:t>1.1.1</w:t>
      </w:r>
      <w:r w:rsidRPr="00396508">
        <w:tab/>
      </w:r>
      <w:r w:rsidR="00D82A01" w:rsidRPr="00396508">
        <w:t>Tutin</w:t>
      </w:r>
      <w:bookmarkEnd w:id="52"/>
    </w:p>
    <w:p w:rsidR="00D82A01" w:rsidRPr="00396508" w:rsidRDefault="00D82A01" w:rsidP="00D82A01">
      <w:r w:rsidRPr="00396508">
        <w:t xml:space="preserve">Tutin is a neurotoxic compound produced by the shrub </w:t>
      </w:r>
      <w:r w:rsidRPr="00396508">
        <w:rPr>
          <w:i/>
        </w:rPr>
        <w:t xml:space="preserve">Coriaria arborea </w:t>
      </w:r>
      <w:r w:rsidRPr="00396508">
        <w:t>(tutu) native to New Zealand. A vine hopper insect (</w:t>
      </w:r>
      <w:r w:rsidRPr="00396508">
        <w:rPr>
          <w:i/>
        </w:rPr>
        <w:t>Scolypopa australis</w:t>
      </w:r>
      <w:r w:rsidRPr="00396508">
        <w:t xml:space="preserve">) that feeds on the sap of tutu plants excretes honeydew that contains the toxin tutin. This honeydew can be collected by bees for honey production. Tutin is highly toxic to humans even in extremely small amounts. High levels of tutin in honey can cause severe effects, including death. </w:t>
      </w:r>
    </w:p>
    <w:p w:rsidR="00D82A01" w:rsidRPr="00396508" w:rsidRDefault="00D82A01" w:rsidP="00D82A01"/>
    <w:p w:rsidR="00D82A01" w:rsidRPr="00396508" w:rsidRDefault="00D82A01" w:rsidP="00D82A01">
      <w:r w:rsidRPr="00396508">
        <w:rPr>
          <w:rFonts w:cs="Arial"/>
        </w:rPr>
        <w:t>Currently vine hopper insects are mainly found on tutu bushes north of latitude 42 degrees south.</w:t>
      </w:r>
      <w:r w:rsidR="00C579C3" w:rsidRPr="00396508">
        <w:rPr>
          <w:rFonts w:cs="Arial"/>
        </w:rPr>
        <w:t xml:space="preserve"> </w:t>
      </w:r>
      <w:r w:rsidRPr="00396508">
        <w:t>Areas</w:t>
      </w:r>
      <w:r w:rsidR="008D78F1" w:rsidRPr="00396508">
        <w:rPr>
          <w:rFonts w:cs="Arial"/>
        </w:rPr>
        <w:t xml:space="preserve"> south of this line are not </w:t>
      </w:r>
      <w:r w:rsidRPr="00396508">
        <w:rPr>
          <w:rFonts w:cs="Arial"/>
        </w:rPr>
        <w:t>believed to be at risk of honey being contaminated with tutin. The highest risk areas for honey contaminated with tutin are in Northern Hawkes Bay, Bay of Plenty and Coromandel</w:t>
      </w:r>
      <w:r w:rsidR="000E3B31" w:rsidRPr="00396508">
        <w:rPr>
          <w:rFonts w:cs="Arial"/>
        </w:rPr>
        <w:t xml:space="preserve">. </w:t>
      </w:r>
      <w:r w:rsidRPr="00396508">
        <w:rPr>
          <w:rFonts w:cs="Arial"/>
        </w:rPr>
        <w:t xml:space="preserve">Poisonings have also been reported </w:t>
      </w:r>
      <w:r w:rsidR="00C579C3" w:rsidRPr="00396508">
        <w:rPr>
          <w:rFonts w:cs="Arial"/>
        </w:rPr>
        <w:t>in</w:t>
      </w:r>
      <w:r w:rsidR="008D78F1" w:rsidRPr="00396508">
        <w:rPr>
          <w:rFonts w:cs="Arial"/>
        </w:rPr>
        <w:t xml:space="preserve"> </w:t>
      </w:r>
      <w:r w:rsidRPr="00396508">
        <w:rPr>
          <w:rFonts w:cs="Arial"/>
        </w:rPr>
        <w:t>the Marlborough Sounds and Northland</w:t>
      </w:r>
      <w:r w:rsidR="000E3B31" w:rsidRPr="00396508">
        <w:rPr>
          <w:rFonts w:cs="Arial"/>
        </w:rPr>
        <w:t xml:space="preserve">. </w:t>
      </w:r>
      <w:r w:rsidRPr="00396508">
        <w:rPr>
          <w:rFonts w:cs="Arial"/>
        </w:rPr>
        <w:t>Approximately 72 per</w:t>
      </w:r>
      <w:r w:rsidR="00E95783" w:rsidRPr="00396508">
        <w:rPr>
          <w:rFonts w:cs="Arial"/>
        </w:rPr>
        <w:t xml:space="preserve"> </w:t>
      </w:r>
      <w:r w:rsidRPr="00396508">
        <w:rPr>
          <w:rFonts w:cs="Arial"/>
        </w:rPr>
        <w:t>cent of the volume of honey harvested in New Zealand comes from high risk areas. Approximately 73 per</w:t>
      </w:r>
      <w:r w:rsidR="00E95783" w:rsidRPr="00396508">
        <w:rPr>
          <w:rFonts w:cs="Arial"/>
        </w:rPr>
        <w:t xml:space="preserve"> </w:t>
      </w:r>
      <w:r w:rsidRPr="00396508">
        <w:rPr>
          <w:rFonts w:cs="Arial"/>
        </w:rPr>
        <w:t xml:space="preserve">cent of beekeepers </w:t>
      </w:r>
      <w:r w:rsidRPr="00396508">
        <w:t>harvest honey from high risk areas. Seasonal risk is highest for harvest dates between 1 January and 30 June each year.</w:t>
      </w:r>
    </w:p>
    <w:p w:rsidR="00D82A01" w:rsidRPr="00396508" w:rsidRDefault="00D82A01" w:rsidP="00D82A01"/>
    <w:p w:rsidR="00D82A01" w:rsidRPr="00396508" w:rsidRDefault="00D82A01" w:rsidP="00D82A01">
      <w:r w:rsidRPr="00396508">
        <w:rPr>
          <w:rFonts w:eastAsia="SimSun"/>
          <w:lang w:eastAsia="zh-CN"/>
        </w:rPr>
        <w:t xml:space="preserve">Data </w:t>
      </w:r>
      <w:r w:rsidRPr="00396508">
        <w:t xml:space="preserve">from Hill Laboratories </w:t>
      </w:r>
      <w:r w:rsidRPr="00396508">
        <w:rPr>
          <w:rFonts w:eastAsia="SimSun"/>
          <w:lang w:eastAsia="zh-CN"/>
        </w:rPr>
        <w:t xml:space="preserve">on the results </w:t>
      </w:r>
      <w:r w:rsidRPr="00396508">
        <w:t>of laboratory tests for tutin</w:t>
      </w:r>
      <w:r w:rsidRPr="00396508">
        <w:rPr>
          <w:rStyle w:val="FootnoteReference"/>
          <w:sz w:val="18"/>
          <w:vertAlign w:val="superscript"/>
        </w:rPr>
        <w:footnoteReference w:id="3"/>
      </w:r>
      <w:r w:rsidRPr="00396508">
        <w:t xml:space="preserve"> for the year to June 2014</w:t>
      </w:r>
      <w:r w:rsidR="00C579C3" w:rsidRPr="00396508">
        <w:t>,</w:t>
      </w:r>
      <w:r w:rsidRPr="00396508">
        <w:t xml:space="preserve"> shows that 2 per</w:t>
      </w:r>
      <w:r w:rsidR="00E95783" w:rsidRPr="00396508">
        <w:t xml:space="preserve"> </w:t>
      </w:r>
      <w:r w:rsidRPr="00396508">
        <w:t>cent of composite tests (where up to 10 samples are tested) have tutin levels over the maximum level of 0.7 mg/kg proposed in this paper</w:t>
      </w:r>
      <w:r w:rsidR="000E3B31" w:rsidRPr="00396508">
        <w:t xml:space="preserve">. </w:t>
      </w:r>
      <w:r w:rsidRPr="00396508">
        <w:t>No composite samples were found to exceed the current maximum level of 2 mg/kg of tutin</w:t>
      </w:r>
      <w:r w:rsidR="000E3B31" w:rsidRPr="00396508">
        <w:t xml:space="preserve">. </w:t>
      </w:r>
      <w:r w:rsidRPr="00396508">
        <w:t>For single sample tests, 3.8 per</w:t>
      </w:r>
      <w:r w:rsidR="00E95783" w:rsidRPr="00396508">
        <w:t xml:space="preserve"> </w:t>
      </w:r>
      <w:r w:rsidRPr="00396508">
        <w:t xml:space="preserve">cent of samples had tutin levels over 0.7 mg/kg and 0.9 </w:t>
      </w:r>
      <w:r w:rsidR="00E95783" w:rsidRPr="00396508">
        <w:t>per cent</w:t>
      </w:r>
      <w:r w:rsidRPr="00396508">
        <w:t xml:space="preserve"> had tutin levels over the current maximum level of 2.0 mg/kg</w:t>
      </w:r>
      <w:r w:rsidR="000E3B31" w:rsidRPr="00396508">
        <w:t xml:space="preserve">. </w:t>
      </w:r>
    </w:p>
    <w:p w:rsidR="00D82A01" w:rsidRPr="00396508" w:rsidRDefault="00E92852" w:rsidP="00E92852">
      <w:pPr>
        <w:pStyle w:val="Heading3"/>
      </w:pPr>
      <w:bookmarkStart w:id="53" w:name="_Toc402438166"/>
      <w:r w:rsidRPr="00396508">
        <w:t>1.1.2</w:t>
      </w:r>
      <w:r w:rsidRPr="00396508">
        <w:tab/>
      </w:r>
      <w:r w:rsidR="00D82A01" w:rsidRPr="00396508">
        <w:t>Tutin poisonings</w:t>
      </w:r>
      <w:bookmarkEnd w:id="53"/>
    </w:p>
    <w:p w:rsidR="00D82A01" w:rsidRPr="00396508" w:rsidRDefault="00D82A01" w:rsidP="00D82A01">
      <w:r w:rsidRPr="00396508">
        <w:t xml:space="preserve">There have been 34 reported tutin poisonings since 1980. </w:t>
      </w:r>
      <w:r w:rsidR="00396508" w:rsidRPr="00396508">
        <w:t>Reported poisonings are likely to be only a percentage of the actual number of poisonings as some people who are poisoned may not connect their illness with honey, particularly if the symptoms are not severe enough to require hospitalisation or if patients and physicians do not connect the symptoms to honey consumption.</w:t>
      </w:r>
    </w:p>
    <w:p w:rsidR="00D82A01" w:rsidRPr="00396508" w:rsidRDefault="00D82A01" w:rsidP="00D82A01"/>
    <w:p w:rsidR="00D82A01" w:rsidRPr="00396508" w:rsidRDefault="00D82A01" w:rsidP="00D82A01">
      <w:r w:rsidRPr="00396508">
        <w:t>Signs and symptoms of tutin poisoning generally last about 48 hours and include nausea, vomiting, giddiness, headaches, abdominal pain, convulsions, rigidity of limbs, and unconsciousness. Some symptoms last for up to 6 weeks including memory loss, anxiety, pins and needles in fingers and toes, a heavy stiff numb feeling and death</w:t>
      </w:r>
      <w:r w:rsidRPr="00396508">
        <w:rPr>
          <w:rStyle w:val="FootnoteReference"/>
          <w:sz w:val="18"/>
          <w:vertAlign w:val="superscript"/>
        </w:rPr>
        <w:footnoteReference w:id="4"/>
      </w:r>
      <w:r w:rsidRPr="00396508">
        <w:t xml:space="preserve">. </w:t>
      </w:r>
    </w:p>
    <w:p w:rsidR="00D82A01" w:rsidRPr="00396508" w:rsidRDefault="00D82A01" w:rsidP="00D82A01">
      <w:pPr>
        <w:pStyle w:val="FSTableFigureHeading"/>
        <w:rPr>
          <w:i w:val="0"/>
        </w:rPr>
      </w:pPr>
      <w:r w:rsidRPr="00396508">
        <w:rPr>
          <w:i w:val="0"/>
        </w:rPr>
        <w:t>Table 1: Known cases of poisonings from toxic honey reported to MPI since 1980</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44"/>
        <w:gridCol w:w="1560"/>
        <w:gridCol w:w="992"/>
        <w:gridCol w:w="1559"/>
        <w:gridCol w:w="1985"/>
      </w:tblGrid>
      <w:tr w:rsidR="00D82A01" w:rsidRPr="00396508" w:rsidTr="00A82B3C">
        <w:trPr>
          <w:tblHeader/>
        </w:trPr>
        <w:tc>
          <w:tcPr>
            <w:tcW w:w="2944" w:type="dxa"/>
            <w:tcBorders>
              <w:top w:val="single" w:sz="4" w:space="0" w:color="auto"/>
              <w:bottom w:val="single" w:sz="4" w:space="0" w:color="auto"/>
            </w:tcBorders>
            <w:shd w:val="clear" w:color="auto" w:fill="D6E3BC" w:themeFill="accent3" w:themeFillTint="66"/>
            <w:vAlign w:val="bottom"/>
          </w:tcPr>
          <w:p w:rsidR="00D82A01" w:rsidRPr="00396508" w:rsidRDefault="00D82A01" w:rsidP="00AA5997">
            <w:pPr>
              <w:pStyle w:val="TableText"/>
              <w:rPr>
                <w:rFonts w:cs="GillSans"/>
                <w:b/>
                <w:sz w:val="20"/>
              </w:rPr>
            </w:pPr>
            <w:r w:rsidRPr="00396508">
              <w:rPr>
                <w:rFonts w:cs="GillSans"/>
                <w:b/>
                <w:sz w:val="20"/>
              </w:rPr>
              <w:t>Area honey originated from</w:t>
            </w:r>
          </w:p>
        </w:tc>
        <w:tc>
          <w:tcPr>
            <w:tcW w:w="1560" w:type="dxa"/>
            <w:tcBorders>
              <w:top w:val="single" w:sz="4" w:space="0" w:color="auto"/>
              <w:bottom w:val="single" w:sz="4" w:space="0" w:color="auto"/>
            </w:tcBorders>
            <w:shd w:val="clear" w:color="auto" w:fill="D6E3BC" w:themeFill="accent3" w:themeFillTint="66"/>
            <w:vAlign w:val="bottom"/>
          </w:tcPr>
          <w:p w:rsidR="00D82A01" w:rsidRPr="00396508" w:rsidRDefault="00D82A01" w:rsidP="00AA5997">
            <w:pPr>
              <w:pStyle w:val="TableText"/>
              <w:rPr>
                <w:rFonts w:cs="GillSans"/>
                <w:b/>
                <w:sz w:val="20"/>
              </w:rPr>
            </w:pPr>
            <w:r w:rsidRPr="00396508">
              <w:rPr>
                <w:rFonts w:cs="GillSans"/>
                <w:b/>
                <w:sz w:val="20"/>
              </w:rPr>
              <w:t>Honey type</w:t>
            </w:r>
          </w:p>
        </w:tc>
        <w:tc>
          <w:tcPr>
            <w:tcW w:w="992" w:type="dxa"/>
            <w:tcBorders>
              <w:top w:val="single" w:sz="4" w:space="0" w:color="auto"/>
              <w:bottom w:val="single" w:sz="4" w:space="0" w:color="auto"/>
            </w:tcBorders>
            <w:shd w:val="clear" w:color="auto" w:fill="D6E3BC" w:themeFill="accent3" w:themeFillTint="66"/>
            <w:vAlign w:val="bottom"/>
          </w:tcPr>
          <w:p w:rsidR="00D82A01" w:rsidRPr="00396508" w:rsidRDefault="00D82A01" w:rsidP="00AA5997">
            <w:pPr>
              <w:pStyle w:val="TableText"/>
              <w:rPr>
                <w:rFonts w:cs="GillSans"/>
                <w:b/>
                <w:sz w:val="20"/>
              </w:rPr>
            </w:pPr>
            <w:r w:rsidRPr="00396508">
              <w:rPr>
                <w:rFonts w:cs="GillSans"/>
                <w:b/>
                <w:sz w:val="20"/>
              </w:rPr>
              <w:t>Year</w:t>
            </w:r>
          </w:p>
        </w:tc>
        <w:tc>
          <w:tcPr>
            <w:tcW w:w="1559" w:type="dxa"/>
            <w:tcBorders>
              <w:top w:val="single" w:sz="4" w:space="0" w:color="auto"/>
              <w:bottom w:val="single" w:sz="4" w:space="0" w:color="auto"/>
            </w:tcBorders>
            <w:shd w:val="clear" w:color="auto" w:fill="D6E3BC" w:themeFill="accent3" w:themeFillTint="66"/>
            <w:vAlign w:val="bottom"/>
          </w:tcPr>
          <w:p w:rsidR="00D82A01" w:rsidRPr="00396508" w:rsidRDefault="00D82A01" w:rsidP="00AA5997">
            <w:pPr>
              <w:pStyle w:val="TableText"/>
              <w:rPr>
                <w:rFonts w:cs="GillSans"/>
                <w:b/>
                <w:sz w:val="20"/>
              </w:rPr>
            </w:pPr>
            <w:r w:rsidRPr="00396508">
              <w:rPr>
                <w:rFonts w:cs="GillSans"/>
                <w:b/>
                <w:sz w:val="20"/>
              </w:rPr>
              <w:t>Affected persons</w:t>
            </w:r>
          </w:p>
        </w:tc>
        <w:tc>
          <w:tcPr>
            <w:tcW w:w="1985" w:type="dxa"/>
            <w:tcBorders>
              <w:top w:val="single" w:sz="4" w:space="0" w:color="auto"/>
              <w:bottom w:val="single" w:sz="4" w:space="0" w:color="auto"/>
            </w:tcBorders>
            <w:shd w:val="clear" w:color="auto" w:fill="D6E3BC" w:themeFill="accent3" w:themeFillTint="66"/>
            <w:vAlign w:val="bottom"/>
          </w:tcPr>
          <w:p w:rsidR="00D82A01" w:rsidRPr="00396508" w:rsidRDefault="00D82A01" w:rsidP="00AA5997">
            <w:pPr>
              <w:pStyle w:val="TableText"/>
              <w:rPr>
                <w:rFonts w:cs="GillSans"/>
                <w:b/>
                <w:sz w:val="20"/>
              </w:rPr>
            </w:pPr>
            <w:r w:rsidRPr="00396508">
              <w:rPr>
                <w:rFonts w:cs="GillSans"/>
                <w:b/>
                <w:sz w:val="20"/>
              </w:rPr>
              <w:t>Severity</w:t>
            </w:r>
            <w:r w:rsidRPr="00396508">
              <w:rPr>
                <w:rStyle w:val="FootnoteReference"/>
                <w:rFonts w:cs="GillSans"/>
                <w:b/>
                <w:sz w:val="14"/>
              </w:rPr>
              <w:footnoteReference w:id="5"/>
            </w:r>
          </w:p>
        </w:tc>
      </w:tr>
      <w:tr w:rsidR="00D82A01" w:rsidRPr="00396508" w:rsidTr="00AA5997">
        <w:tc>
          <w:tcPr>
            <w:tcW w:w="2944" w:type="dxa"/>
            <w:tcBorders>
              <w:top w:val="single" w:sz="4" w:space="0" w:color="auto"/>
            </w:tcBorders>
          </w:tcPr>
          <w:p w:rsidR="00D82A01" w:rsidRPr="00396508" w:rsidRDefault="00D82A01" w:rsidP="00AA5997">
            <w:pPr>
              <w:pStyle w:val="TableText"/>
              <w:rPr>
                <w:rFonts w:cs="GillSans"/>
                <w:sz w:val="20"/>
              </w:rPr>
            </w:pPr>
            <w:r w:rsidRPr="00396508">
              <w:rPr>
                <w:rFonts w:cs="GillSans"/>
                <w:sz w:val="20"/>
              </w:rPr>
              <w:t>Warkworth</w:t>
            </w:r>
          </w:p>
        </w:tc>
        <w:tc>
          <w:tcPr>
            <w:tcW w:w="1560" w:type="dxa"/>
            <w:tcBorders>
              <w:top w:val="single" w:sz="4" w:space="0" w:color="auto"/>
            </w:tcBorders>
          </w:tcPr>
          <w:p w:rsidR="00D82A01" w:rsidRPr="00396508" w:rsidRDefault="00D82A01" w:rsidP="00AA5997">
            <w:pPr>
              <w:pStyle w:val="TableText"/>
              <w:rPr>
                <w:rFonts w:cs="GillSans"/>
                <w:sz w:val="20"/>
              </w:rPr>
            </w:pPr>
            <w:r w:rsidRPr="00396508">
              <w:rPr>
                <w:rFonts w:cs="GillSans"/>
                <w:sz w:val="20"/>
              </w:rPr>
              <w:t xml:space="preserve">Extracted </w:t>
            </w:r>
          </w:p>
        </w:tc>
        <w:tc>
          <w:tcPr>
            <w:tcW w:w="992" w:type="dxa"/>
            <w:tcBorders>
              <w:top w:val="single" w:sz="4" w:space="0" w:color="auto"/>
            </w:tcBorders>
          </w:tcPr>
          <w:p w:rsidR="00D82A01" w:rsidRPr="00396508" w:rsidRDefault="00D82A01" w:rsidP="00AA5997">
            <w:pPr>
              <w:pStyle w:val="TableText"/>
              <w:rPr>
                <w:rFonts w:cs="GillSans"/>
                <w:sz w:val="20"/>
              </w:rPr>
            </w:pPr>
            <w:r w:rsidRPr="00396508">
              <w:rPr>
                <w:rFonts w:cs="GillSans"/>
                <w:sz w:val="20"/>
              </w:rPr>
              <w:t>1980</w:t>
            </w:r>
          </w:p>
        </w:tc>
        <w:tc>
          <w:tcPr>
            <w:tcW w:w="1559" w:type="dxa"/>
            <w:tcBorders>
              <w:top w:val="single" w:sz="4" w:space="0" w:color="auto"/>
            </w:tcBorders>
          </w:tcPr>
          <w:p w:rsidR="00D82A01" w:rsidRPr="00396508" w:rsidRDefault="00D82A01" w:rsidP="00AA5997">
            <w:pPr>
              <w:pStyle w:val="TableText"/>
              <w:jc w:val="center"/>
              <w:rPr>
                <w:rFonts w:cs="GillSans"/>
                <w:sz w:val="20"/>
              </w:rPr>
            </w:pPr>
            <w:r w:rsidRPr="00396508">
              <w:rPr>
                <w:rFonts w:cs="GillSans"/>
                <w:sz w:val="20"/>
              </w:rPr>
              <w:t>3</w:t>
            </w:r>
          </w:p>
        </w:tc>
        <w:tc>
          <w:tcPr>
            <w:tcW w:w="1985" w:type="dxa"/>
            <w:tcBorders>
              <w:top w:val="single" w:sz="4" w:space="0" w:color="auto"/>
            </w:tcBorders>
          </w:tcPr>
          <w:p w:rsidR="00D82A01" w:rsidRPr="00396508" w:rsidRDefault="00D82A01" w:rsidP="00AA5997">
            <w:pPr>
              <w:pStyle w:val="TableText"/>
              <w:rPr>
                <w:rFonts w:cs="GillSans"/>
                <w:sz w:val="20"/>
              </w:rPr>
            </w:pPr>
            <w:r w:rsidRPr="00396508">
              <w:rPr>
                <w:rFonts w:cs="GillSans"/>
                <w:sz w:val="20"/>
              </w:rPr>
              <w:t>Medium</w:t>
            </w:r>
          </w:p>
        </w:tc>
      </w:tr>
      <w:tr w:rsidR="00D82A01" w:rsidRPr="00396508" w:rsidTr="00AA5997">
        <w:tc>
          <w:tcPr>
            <w:tcW w:w="2944" w:type="dxa"/>
          </w:tcPr>
          <w:p w:rsidR="00D82A01" w:rsidRPr="00396508" w:rsidRDefault="00D82A01" w:rsidP="00AA5997">
            <w:pPr>
              <w:pStyle w:val="TableText"/>
              <w:rPr>
                <w:rFonts w:cs="GillSans"/>
                <w:sz w:val="20"/>
              </w:rPr>
            </w:pPr>
            <w:r w:rsidRPr="00396508">
              <w:rPr>
                <w:rFonts w:cs="GillSans"/>
                <w:sz w:val="20"/>
              </w:rPr>
              <w:t>Whangamata</w:t>
            </w:r>
          </w:p>
        </w:tc>
        <w:tc>
          <w:tcPr>
            <w:tcW w:w="1560" w:type="dxa"/>
          </w:tcPr>
          <w:p w:rsidR="00D82A01" w:rsidRPr="00396508" w:rsidRDefault="00D82A01" w:rsidP="00AA5997">
            <w:pPr>
              <w:pStyle w:val="TableText"/>
              <w:rPr>
                <w:rFonts w:cs="GillSans"/>
                <w:sz w:val="20"/>
              </w:rPr>
            </w:pPr>
            <w:r w:rsidRPr="00396508">
              <w:rPr>
                <w:rFonts w:cs="GillSans"/>
                <w:sz w:val="20"/>
              </w:rPr>
              <w:t xml:space="preserve">Extracted </w:t>
            </w:r>
          </w:p>
        </w:tc>
        <w:tc>
          <w:tcPr>
            <w:tcW w:w="992" w:type="dxa"/>
          </w:tcPr>
          <w:p w:rsidR="00D82A01" w:rsidRPr="00396508" w:rsidRDefault="00D82A01" w:rsidP="00AA5997">
            <w:pPr>
              <w:pStyle w:val="TableText"/>
              <w:rPr>
                <w:rFonts w:cs="GillSans"/>
                <w:sz w:val="20"/>
              </w:rPr>
            </w:pPr>
            <w:r w:rsidRPr="00396508">
              <w:rPr>
                <w:rFonts w:cs="GillSans"/>
                <w:sz w:val="20"/>
              </w:rPr>
              <w:t>1981</w:t>
            </w:r>
          </w:p>
        </w:tc>
        <w:tc>
          <w:tcPr>
            <w:tcW w:w="1559" w:type="dxa"/>
          </w:tcPr>
          <w:p w:rsidR="00D82A01" w:rsidRPr="00396508" w:rsidRDefault="00D82A01" w:rsidP="00AA5997">
            <w:pPr>
              <w:pStyle w:val="TableText"/>
              <w:jc w:val="center"/>
              <w:rPr>
                <w:rFonts w:cs="GillSans"/>
                <w:sz w:val="20"/>
              </w:rPr>
            </w:pPr>
            <w:r w:rsidRPr="00396508">
              <w:rPr>
                <w:rFonts w:cs="GillSans"/>
                <w:sz w:val="20"/>
              </w:rPr>
              <w:t>3</w:t>
            </w:r>
          </w:p>
        </w:tc>
        <w:tc>
          <w:tcPr>
            <w:tcW w:w="1985" w:type="dxa"/>
          </w:tcPr>
          <w:p w:rsidR="00D82A01" w:rsidRPr="00396508" w:rsidRDefault="00D82A01" w:rsidP="00AA5997">
            <w:pPr>
              <w:pStyle w:val="TableText"/>
              <w:rPr>
                <w:rFonts w:cs="GillSans"/>
                <w:sz w:val="20"/>
              </w:rPr>
            </w:pPr>
            <w:r w:rsidRPr="00396508">
              <w:rPr>
                <w:rFonts w:cs="GillSans"/>
                <w:sz w:val="20"/>
              </w:rPr>
              <w:t>Medium</w:t>
            </w:r>
          </w:p>
        </w:tc>
      </w:tr>
      <w:tr w:rsidR="00D82A01" w:rsidRPr="00396508" w:rsidTr="00AA5997">
        <w:tc>
          <w:tcPr>
            <w:tcW w:w="2944" w:type="dxa"/>
          </w:tcPr>
          <w:p w:rsidR="00D82A01" w:rsidRPr="00396508" w:rsidRDefault="00D82A01" w:rsidP="00AA5997">
            <w:pPr>
              <w:pStyle w:val="TableText"/>
              <w:rPr>
                <w:rFonts w:cs="GillSans"/>
                <w:sz w:val="20"/>
              </w:rPr>
            </w:pPr>
            <w:r w:rsidRPr="00396508">
              <w:rPr>
                <w:rFonts w:cs="GillSans"/>
                <w:sz w:val="20"/>
              </w:rPr>
              <w:t>Pelorous Sound</w:t>
            </w:r>
          </w:p>
        </w:tc>
        <w:tc>
          <w:tcPr>
            <w:tcW w:w="1560" w:type="dxa"/>
          </w:tcPr>
          <w:p w:rsidR="00D82A01" w:rsidRPr="00396508" w:rsidRDefault="00D82A01" w:rsidP="00AA5997">
            <w:pPr>
              <w:pStyle w:val="TableText"/>
              <w:rPr>
                <w:rFonts w:cs="GillSans"/>
                <w:sz w:val="20"/>
              </w:rPr>
            </w:pPr>
            <w:r w:rsidRPr="00396508">
              <w:rPr>
                <w:rFonts w:cs="GillSans"/>
                <w:sz w:val="20"/>
              </w:rPr>
              <w:t xml:space="preserve">Comb </w:t>
            </w:r>
          </w:p>
        </w:tc>
        <w:tc>
          <w:tcPr>
            <w:tcW w:w="992" w:type="dxa"/>
          </w:tcPr>
          <w:p w:rsidR="00D82A01" w:rsidRPr="00396508" w:rsidRDefault="00D82A01" w:rsidP="00AA5997">
            <w:pPr>
              <w:pStyle w:val="TableText"/>
              <w:rPr>
                <w:rFonts w:cs="GillSans"/>
                <w:sz w:val="20"/>
              </w:rPr>
            </w:pPr>
            <w:r w:rsidRPr="00396508">
              <w:rPr>
                <w:rFonts w:cs="GillSans"/>
                <w:sz w:val="20"/>
              </w:rPr>
              <w:t>1982</w:t>
            </w:r>
          </w:p>
        </w:tc>
        <w:tc>
          <w:tcPr>
            <w:tcW w:w="1559" w:type="dxa"/>
          </w:tcPr>
          <w:p w:rsidR="00D82A01" w:rsidRPr="00396508" w:rsidRDefault="00D82A01" w:rsidP="00AA5997">
            <w:pPr>
              <w:pStyle w:val="TableText"/>
              <w:jc w:val="center"/>
              <w:rPr>
                <w:rFonts w:cs="GillSans"/>
                <w:sz w:val="20"/>
              </w:rPr>
            </w:pPr>
            <w:r w:rsidRPr="00396508">
              <w:rPr>
                <w:rFonts w:cs="GillSans"/>
                <w:sz w:val="20"/>
              </w:rPr>
              <w:t>1</w:t>
            </w:r>
          </w:p>
        </w:tc>
        <w:tc>
          <w:tcPr>
            <w:tcW w:w="1985" w:type="dxa"/>
          </w:tcPr>
          <w:p w:rsidR="00D82A01" w:rsidRPr="00396508" w:rsidRDefault="00D82A01" w:rsidP="00AA5997">
            <w:pPr>
              <w:pStyle w:val="TableText"/>
              <w:rPr>
                <w:rFonts w:cs="GillSans"/>
                <w:sz w:val="20"/>
              </w:rPr>
            </w:pPr>
            <w:r w:rsidRPr="00396508">
              <w:rPr>
                <w:rFonts w:cs="GillSans"/>
                <w:sz w:val="20"/>
              </w:rPr>
              <w:t>Medium</w:t>
            </w:r>
          </w:p>
        </w:tc>
      </w:tr>
      <w:tr w:rsidR="00D82A01" w:rsidRPr="00396508" w:rsidTr="00AA5997">
        <w:tc>
          <w:tcPr>
            <w:tcW w:w="2944" w:type="dxa"/>
          </w:tcPr>
          <w:p w:rsidR="00D82A01" w:rsidRPr="00396508" w:rsidRDefault="00D82A01" w:rsidP="00AA5997">
            <w:pPr>
              <w:pStyle w:val="TableText"/>
              <w:rPr>
                <w:rFonts w:cs="GillSans"/>
                <w:sz w:val="20"/>
              </w:rPr>
            </w:pPr>
            <w:r w:rsidRPr="00396508">
              <w:rPr>
                <w:rFonts w:cs="GillSans"/>
                <w:sz w:val="20"/>
              </w:rPr>
              <w:t>Pelorous Sound</w:t>
            </w:r>
          </w:p>
        </w:tc>
        <w:tc>
          <w:tcPr>
            <w:tcW w:w="1560" w:type="dxa"/>
          </w:tcPr>
          <w:p w:rsidR="00D82A01" w:rsidRPr="00396508" w:rsidRDefault="00D82A01" w:rsidP="00AA5997">
            <w:pPr>
              <w:pStyle w:val="TableText"/>
              <w:rPr>
                <w:rFonts w:cs="GillSans"/>
                <w:sz w:val="20"/>
              </w:rPr>
            </w:pPr>
            <w:r w:rsidRPr="00396508">
              <w:rPr>
                <w:rFonts w:cs="GillSans"/>
                <w:sz w:val="20"/>
              </w:rPr>
              <w:t xml:space="preserve">Comb </w:t>
            </w:r>
          </w:p>
        </w:tc>
        <w:tc>
          <w:tcPr>
            <w:tcW w:w="992" w:type="dxa"/>
          </w:tcPr>
          <w:p w:rsidR="00D82A01" w:rsidRPr="00396508" w:rsidRDefault="00D82A01" w:rsidP="00AA5997">
            <w:pPr>
              <w:pStyle w:val="TableText"/>
              <w:rPr>
                <w:rFonts w:cs="GillSans"/>
                <w:sz w:val="20"/>
              </w:rPr>
            </w:pPr>
            <w:r w:rsidRPr="00396508">
              <w:rPr>
                <w:rFonts w:cs="GillSans"/>
                <w:sz w:val="20"/>
              </w:rPr>
              <w:t>1983</w:t>
            </w:r>
          </w:p>
        </w:tc>
        <w:tc>
          <w:tcPr>
            <w:tcW w:w="1559" w:type="dxa"/>
          </w:tcPr>
          <w:p w:rsidR="00D82A01" w:rsidRPr="00396508" w:rsidRDefault="00D82A01" w:rsidP="00AA5997">
            <w:pPr>
              <w:pStyle w:val="TableText"/>
              <w:jc w:val="center"/>
              <w:rPr>
                <w:rFonts w:cs="GillSans"/>
                <w:sz w:val="20"/>
              </w:rPr>
            </w:pPr>
            <w:r w:rsidRPr="00396508">
              <w:rPr>
                <w:rFonts w:cs="GillSans"/>
                <w:sz w:val="20"/>
              </w:rPr>
              <w:t>1</w:t>
            </w:r>
          </w:p>
        </w:tc>
        <w:tc>
          <w:tcPr>
            <w:tcW w:w="1985" w:type="dxa"/>
          </w:tcPr>
          <w:p w:rsidR="00D82A01" w:rsidRPr="00396508" w:rsidRDefault="00D82A01" w:rsidP="00AA5997">
            <w:pPr>
              <w:pStyle w:val="TableText"/>
              <w:rPr>
                <w:rFonts w:cs="GillSans"/>
                <w:sz w:val="20"/>
              </w:rPr>
            </w:pPr>
            <w:r w:rsidRPr="00396508">
              <w:rPr>
                <w:rFonts w:cs="GillSans"/>
                <w:sz w:val="20"/>
              </w:rPr>
              <w:t>Medium</w:t>
            </w:r>
          </w:p>
        </w:tc>
      </w:tr>
      <w:tr w:rsidR="00D82A01" w:rsidRPr="00396508" w:rsidTr="00AA5997">
        <w:tc>
          <w:tcPr>
            <w:tcW w:w="2944" w:type="dxa"/>
          </w:tcPr>
          <w:p w:rsidR="00D82A01" w:rsidRPr="00396508" w:rsidRDefault="00D82A01" w:rsidP="00AA5997">
            <w:pPr>
              <w:pStyle w:val="TableText"/>
              <w:rPr>
                <w:rFonts w:cs="GillSans"/>
                <w:sz w:val="20"/>
              </w:rPr>
            </w:pPr>
            <w:r w:rsidRPr="00396508">
              <w:rPr>
                <w:rFonts w:cs="GillSans"/>
                <w:sz w:val="20"/>
              </w:rPr>
              <w:lastRenderedPageBreak/>
              <w:t>Great Barrier Island</w:t>
            </w:r>
          </w:p>
        </w:tc>
        <w:tc>
          <w:tcPr>
            <w:tcW w:w="1560" w:type="dxa"/>
          </w:tcPr>
          <w:p w:rsidR="00D82A01" w:rsidRPr="00396508" w:rsidRDefault="00D82A01" w:rsidP="00AA5997">
            <w:pPr>
              <w:pStyle w:val="TableText"/>
              <w:rPr>
                <w:rFonts w:cs="GillSans"/>
                <w:sz w:val="20"/>
              </w:rPr>
            </w:pPr>
            <w:r w:rsidRPr="00396508">
              <w:rPr>
                <w:rFonts w:cs="GillSans"/>
                <w:sz w:val="20"/>
              </w:rPr>
              <w:t>Not known</w:t>
            </w:r>
          </w:p>
        </w:tc>
        <w:tc>
          <w:tcPr>
            <w:tcW w:w="992" w:type="dxa"/>
          </w:tcPr>
          <w:p w:rsidR="00D82A01" w:rsidRPr="00396508" w:rsidRDefault="00D82A01" w:rsidP="00AA5997">
            <w:pPr>
              <w:pStyle w:val="TableText"/>
              <w:rPr>
                <w:rFonts w:cs="GillSans"/>
                <w:sz w:val="20"/>
              </w:rPr>
            </w:pPr>
            <w:r w:rsidRPr="00396508">
              <w:rPr>
                <w:rFonts w:cs="GillSans"/>
                <w:sz w:val="20"/>
              </w:rPr>
              <w:t>1984</w:t>
            </w:r>
          </w:p>
        </w:tc>
        <w:tc>
          <w:tcPr>
            <w:tcW w:w="1559" w:type="dxa"/>
          </w:tcPr>
          <w:p w:rsidR="00D82A01" w:rsidRPr="00396508" w:rsidRDefault="00D82A01" w:rsidP="00AA5997">
            <w:pPr>
              <w:pStyle w:val="TableText"/>
              <w:jc w:val="center"/>
              <w:rPr>
                <w:rFonts w:cs="GillSans"/>
                <w:sz w:val="20"/>
              </w:rPr>
            </w:pPr>
            <w:r w:rsidRPr="00396508">
              <w:rPr>
                <w:rFonts w:cs="GillSans"/>
                <w:sz w:val="20"/>
              </w:rPr>
              <w:t>1</w:t>
            </w:r>
          </w:p>
        </w:tc>
        <w:tc>
          <w:tcPr>
            <w:tcW w:w="1985" w:type="dxa"/>
          </w:tcPr>
          <w:p w:rsidR="00D82A01" w:rsidRPr="00396508" w:rsidRDefault="00D82A01" w:rsidP="00AA5997">
            <w:pPr>
              <w:pStyle w:val="TableText"/>
              <w:rPr>
                <w:rFonts w:cs="GillSans"/>
                <w:sz w:val="20"/>
              </w:rPr>
            </w:pPr>
            <w:r w:rsidRPr="00396508">
              <w:rPr>
                <w:rFonts w:cs="GillSans"/>
                <w:sz w:val="20"/>
              </w:rPr>
              <w:t>Low</w:t>
            </w:r>
          </w:p>
        </w:tc>
      </w:tr>
      <w:tr w:rsidR="00D82A01" w:rsidRPr="00396508" w:rsidTr="00AA5997">
        <w:tc>
          <w:tcPr>
            <w:tcW w:w="2944" w:type="dxa"/>
          </w:tcPr>
          <w:p w:rsidR="00D82A01" w:rsidRPr="00396508" w:rsidRDefault="00D82A01" w:rsidP="00AA5997">
            <w:pPr>
              <w:pStyle w:val="TableText"/>
              <w:rPr>
                <w:rFonts w:cs="GillSans"/>
                <w:sz w:val="20"/>
              </w:rPr>
            </w:pPr>
            <w:r w:rsidRPr="00396508">
              <w:rPr>
                <w:rFonts w:cs="GillSans"/>
                <w:sz w:val="20"/>
              </w:rPr>
              <w:t>Opotiki</w:t>
            </w:r>
          </w:p>
        </w:tc>
        <w:tc>
          <w:tcPr>
            <w:tcW w:w="1560" w:type="dxa"/>
          </w:tcPr>
          <w:p w:rsidR="00D82A01" w:rsidRPr="00396508" w:rsidRDefault="00D82A01" w:rsidP="00AA5997">
            <w:pPr>
              <w:pStyle w:val="TableText"/>
              <w:rPr>
                <w:rFonts w:cs="GillSans"/>
                <w:sz w:val="20"/>
              </w:rPr>
            </w:pPr>
            <w:r w:rsidRPr="00396508">
              <w:rPr>
                <w:rFonts w:cs="GillSans"/>
                <w:sz w:val="20"/>
              </w:rPr>
              <w:t xml:space="preserve">Comb </w:t>
            </w:r>
          </w:p>
        </w:tc>
        <w:tc>
          <w:tcPr>
            <w:tcW w:w="992" w:type="dxa"/>
          </w:tcPr>
          <w:p w:rsidR="00D82A01" w:rsidRPr="00396508" w:rsidRDefault="00D82A01" w:rsidP="00AA5997">
            <w:pPr>
              <w:pStyle w:val="TableText"/>
              <w:rPr>
                <w:rFonts w:cs="GillSans"/>
                <w:sz w:val="20"/>
              </w:rPr>
            </w:pPr>
            <w:r w:rsidRPr="00396508">
              <w:rPr>
                <w:rFonts w:cs="GillSans"/>
                <w:sz w:val="20"/>
              </w:rPr>
              <w:t>1991</w:t>
            </w:r>
          </w:p>
        </w:tc>
        <w:tc>
          <w:tcPr>
            <w:tcW w:w="1559" w:type="dxa"/>
          </w:tcPr>
          <w:p w:rsidR="00D82A01" w:rsidRPr="00396508" w:rsidRDefault="00D82A01" w:rsidP="00AA5997">
            <w:pPr>
              <w:pStyle w:val="TableText"/>
              <w:jc w:val="center"/>
              <w:rPr>
                <w:rFonts w:cs="GillSans"/>
                <w:sz w:val="20"/>
              </w:rPr>
            </w:pPr>
            <w:r w:rsidRPr="00396508">
              <w:rPr>
                <w:rFonts w:cs="GillSans"/>
                <w:sz w:val="20"/>
              </w:rPr>
              <w:t>1</w:t>
            </w:r>
          </w:p>
        </w:tc>
        <w:tc>
          <w:tcPr>
            <w:tcW w:w="1985" w:type="dxa"/>
          </w:tcPr>
          <w:p w:rsidR="00D82A01" w:rsidRPr="00396508" w:rsidRDefault="00D82A01" w:rsidP="00AA5997">
            <w:pPr>
              <w:pStyle w:val="TableText"/>
              <w:rPr>
                <w:rFonts w:cs="GillSans"/>
                <w:sz w:val="20"/>
              </w:rPr>
            </w:pPr>
            <w:r w:rsidRPr="00396508">
              <w:rPr>
                <w:rFonts w:cs="GillSans"/>
                <w:sz w:val="20"/>
              </w:rPr>
              <w:t>High</w:t>
            </w:r>
          </w:p>
        </w:tc>
      </w:tr>
      <w:tr w:rsidR="00D82A01" w:rsidRPr="00396508" w:rsidTr="00AA5997">
        <w:tc>
          <w:tcPr>
            <w:tcW w:w="2944" w:type="dxa"/>
          </w:tcPr>
          <w:p w:rsidR="00D82A01" w:rsidRPr="00396508" w:rsidRDefault="00D82A01" w:rsidP="00AA5997">
            <w:pPr>
              <w:pStyle w:val="TableText"/>
              <w:rPr>
                <w:rFonts w:cs="GillSans"/>
                <w:sz w:val="20"/>
              </w:rPr>
            </w:pPr>
            <w:r w:rsidRPr="00396508">
              <w:rPr>
                <w:rFonts w:cs="GillSans"/>
                <w:sz w:val="20"/>
              </w:rPr>
              <w:t>Coromandel</w:t>
            </w:r>
          </w:p>
        </w:tc>
        <w:tc>
          <w:tcPr>
            <w:tcW w:w="1560" w:type="dxa"/>
          </w:tcPr>
          <w:p w:rsidR="00D82A01" w:rsidRPr="00396508" w:rsidRDefault="00D82A01" w:rsidP="00AA5997">
            <w:pPr>
              <w:pStyle w:val="TableText"/>
              <w:rPr>
                <w:rFonts w:cs="GillSans"/>
                <w:sz w:val="20"/>
              </w:rPr>
            </w:pPr>
            <w:r w:rsidRPr="00396508">
              <w:rPr>
                <w:rFonts w:cs="GillSans"/>
                <w:sz w:val="20"/>
              </w:rPr>
              <w:t xml:space="preserve">Comb </w:t>
            </w:r>
          </w:p>
        </w:tc>
        <w:tc>
          <w:tcPr>
            <w:tcW w:w="992" w:type="dxa"/>
          </w:tcPr>
          <w:p w:rsidR="00D82A01" w:rsidRPr="00396508" w:rsidRDefault="00D82A01" w:rsidP="00AA5997">
            <w:pPr>
              <w:pStyle w:val="TableText"/>
              <w:rPr>
                <w:rFonts w:cs="GillSans"/>
                <w:sz w:val="20"/>
              </w:rPr>
            </w:pPr>
            <w:r w:rsidRPr="00396508">
              <w:rPr>
                <w:rFonts w:cs="GillSans"/>
                <w:sz w:val="20"/>
              </w:rPr>
              <w:t>2008</w:t>
            </w:r>
          </w:p>
        </w:tc>
        <w:tc>
          <w:tcPr>
            <w:tcW w:w="1559" w:type="dxa"/>
          </w:tcPr>
          <w:p w:rsidR="00D82A01" w:rsidRPr="00396508" w:rsidRDefault="00D82A01" w:rsidP="00AA5997">
            <w:pPr>
              <w:pStyle w:val="TableText"/>
              <w:jc w:val="center"/>
              <w:rPr>
                <w:rFonts w:cs="GillSans"/>
                <w:sz w:val="20"/>
              </w:rPr>
            </w:pPr>
            <w:r w:rsidRPr="00396508">
              <w:rPr>
                <w:rFonts w:cs="GillSans"/>
                <w:sz w:val="20"/>
              </w:rPr>
              <w:t>22</w:t>
            </w:r>
          </w:p>
        </w:tc>
        <w:tc>
          <w:tcPr>
            <w:tcW w:w="1985" w:type="dxa"/>
          </w:tcPr>
          <w:p w:rsidR="00D82A01" w:rsidRPr="00396508" w:rsidRDefault="00D82A01" w:rsidP="00AA5997">
            <w:pPr>
              <w:pStyle w:val="TableText"/>
              <w:rPr>
                <w:rFonts w:cs="GillSans"/>
                <w:sz w:val="20"/>
              </w:rPr>
            </w:pPr>
            <w:r w:rsidRPr="00396508">
              <w:rPr>
                <w:rFonts w:cs="GillSans"/>
                <w:sz w:val="20"/>
              </w:rPr>
              <w:t>Medium/High</w:t>
            </w:r>
          </w:p>
        </w:tc>
      </w:tr>
      <w:tr w:rsidR="00D82A01" w:rsidRPr="00396508" w:rsidTr="00AA5997">
        <w:tc>
          <w:tcPr>
            <w:tcW w:w="2944" w:type="dxa"/>
          </w:tcPr>
          <w:p w:rsidR="00D82A01" w:rsidRPr="00396508" w:rsidRDefault="00D82A01" w:rsidP="00AA5997">
            <w:pPr>
              <w:pStyle w:val="TableText"/>
              <w:rPr>
                <w:rFonts w:cs="GillSans"/>
                <w:sz w:val="20"/>
              </w:rPr>
            </w:pPr>
            <w:r w:rsidRPr="00396508">
              <w:rPr>
                <w:rFonts w:cs="GillSans"/>
                <w:sz w:val="20"/>
              </w:rPr>
              <w:t>Opotiki</w:t>
            </w:r>
          </w:p>
        </w:tc>
        <w:tc>
          <w:tcPr>
            <w:tcW w:w="1560" w:type="dxa"/>
          </w:tcPr>
          <w:p w:rsidR="00D82A01" w:rsidRPr="00396508" w:rsidRDefault="00D82A01" w:rsidP="00AA5997">
            <w:pPr>
              <w:pStyle w:val="TableText"/>
              <w:rPr>
                <w:rFonts w:cs="GillSans"/>
                <w:sz w:val="20"/>
              </w:rPr>
            </w:pPr>
            <w:r w:rsidRPr="00396508">
              <w:rPr>
                <w:rFonts w:cs="GillSans"/>
                <w:sz w:val="20"/>
              </w:rPr>
              <w:t xml:space="preserve">Extracted </w:t>
            </w:r>
          </w:p>
        </w:tc>
        <w:tc>
          <w:tcPr>
            <w:tcW w:w="992" w:type="dxa"/>
          </w:tcPr>
          <w:p w:rsidR="00D82A01" w:rsidRPr="00396508" w:rsidRDefault="00D82A01" w:rsidP="00AA5997">
            <w:pPr>
              <w:pStyle w:val="TableText"/>
              <w:rPr>
                <w:rFonts w:cs="GillSans"/>
                <w:sz w:val="20"/>
              </w:rPr>
            </w:pPr>
            <w:r w:rsidRPr="00396508">
              <w:rPr>
                <w:rFonts w:cs="GillSans"/>
                <w:sz w:val="20"/>
              </w:rPr>
              <w:t>2009</w:t>
            </w:r>
          </w:p>
        </w:tc>
        <w:tc>
          <w:tcPr>
            <w:tcW w:w="1559" w:type="dxa"/>
          </w:tcPr>
          <w:p w:rsidR="00D82A01" w:rsidRPr="00396508" w:rsidRDefault="00D82A01" w:rsidP="00AA5997">
            <w:pPr>
              <w:pStyle w:val="TableText"/>
              <w:jc w:val="center"/>
              <w:rPr>
                <w:rFonts w:cs="GillSans"/>
                <w:sz w:val="20"/>
              </w:rPr>
            </w:pPr>
            <w:r w:rsidRPr="00396508">
              <w:rPr>
                <w:rFonts w:cs="GillSans"/>
                <w:sz w:val="20"/>
              </w:rPr>
              <w:t>1</w:t>
            </w:r>
          </w:p>
        </w:tc>
        <w:tc>
          <w:tcPr>
            <w:tcW w:w="1985" w:type="dxa"/>
          </w:tcPr>
          <w:p w:rsidR="00D82A01" w:rsidRPr="00396508" w:rsidRDefault="00D82A01" w:rsidP="00AA5997">
            <w:pPr>
              <w:pStyle w:val="TableText"/>
              <w:rPr>
                <w:rFonts w:cs="GillSans"/>
                <w:sz w:val="20"/>
              </w:rPr>
            </w:pPr>
            <w:r w:rsidRPr="00396508">
              <w:rPr>
                <w:rFonts w:cs="GillSans"/>
                <w:sz w:val="20"/>
              </w:rPr>
              <w:t>Unconfirmed</w:t>
            </w:r>
          </w:p>
        </w:tc>
      </w:tr>
      <w:tr w:rsidR="00D82A01" w:rsidRPr="00396508" w:rsidTr="00AA5997">
        <w:tc>
          <w:tcPr>
            <w:tcW w:w="2944" w:type="dxa"/>
          </w:tcPr>
          <w:p w:rsidR="00D82A01" w:rsidRPr="00396508" w:rsidRDefault="00D82A01" w:rsidP="00AA5997">
            <w:pPr>
              <w:pStyle w:val="TableText"/>
              <w:rPr>
                <w:rFonts w:cs="GillSans"/>
                <w:sz w:val="20"/>
              </w:rPr>
            </w:pPr>
            <w:r w:rsidRPr="00396508">
              <w:rPr>
                <w:rFonts w:cs="GillSans"/>
                <w:sz w:val="20"/>
              </w:rPr>
              <w:t>Bay of Plenty</w:t>
            </w:r>
          </w:p>
        </w:tc>
        <w:tc>
          <w:tcPr>
            <w:tcW w:w="1560" w:type="dxa"/>
          </w:tcPr>
          <w:p w:rsidR="00D82A01" w:rsidRPr="00396508" w:rsidRDefault="00D82A01" w:rsidP="00AA5997">
            <w:pPr>
              <w:pStyle w:val="TableText"/>
              <w:rPr>
                <w:rFonts w:cs="GillSans"/>
                <w:sz w:val="20"/>
              </w:rPr>
            </w:pPr>
            <w:r w:rsidRPr="00396508">
              <w:rPr>
                <w:rFonts w:cs="GillSans"/>
                <w:sz w:val="20"/>
              </w:rPr>
              <w:t xml:space="preserve">Comb </w:t>
            </w:r>
          </w:p>
        </w:tc>
        <w:tc>
          <w:tcPr>
            <w:tcW w:w="992" w:type="dxa"/>
          </w:tcPr>
          <w:p w:rsidR="00D82A01" w:rsidRPr="00396508" w:rsidRDefault="00D82A01" w:rsidP="00AA5997">
            <w:pPr>
              <w:pStyle w:val="TableText"/>
              <w:rPr>
                <w:rFonts w:cs="GillSans"/>
                <w:sz w:val="20"/>
              </w:rPr>
            </w:pPr>
            <w:r w:rsidRPr="00396508">
              <w:rPr>
                <w:rFonts w:cs="GillSans"/>
                <w:sz w:val="20"/>
              </w:rPr>
              <w:t>2014</w:t>
            </w:r>
          </w:p>
        </w:tc>
        <w:tc>
          <w:tcPr>
            <w:tcW w:w="1559" w:type="dxa"/>
          </w:tcPr>
          <w:p w:rsidR="00D82A01" w:rsidRPr="00396508" w:rsidRDefault="00D82A01" w:rsidP="00AA5997">
            <w:pPr>
              <w:pStyle w:val="TableText"/>
              <w:jc w:val="center"/>
              <w:rPr>
                <w:rFonts w:cs="GillSans"/>
                <w:sz w:val="20"/>
              </w:rPr>
            </w:pPr>
            <w:r w:rsidRPr="00396508">
              <w:rPr>
                <w:rFonts w:cs="GillSans"/>
                <w:sz w:val="20"/>
              </w:rPr>
              <w:t>1</w:t>
            </w:r>
          </w:p>
        </w:tc>
        <w:tc>
          <w:tcPr>
            <w:tcW w:w="1985" w:type="dxa"/>
          </w:tcPr>
          <w:p w:rsidR="00D82A01" w:rsidRPr="00396508" w:rsidRDefault="00D82A01" w:rsidP="00AA5997">
            <w:pPr>
              <w:pStyle w:val="TableText"/>
              <w:rPr>
                <w:rFonts w:cs="GillSans"/>
                <w:sz w:val="20"/>
              </w:rPr>
            </w:pPr>
            <w:r w:rsidRPr="00396508">
              <w:rPr>
                <w:rFonts w:cs="GillSans"/>
                <w:sz w:val="20"/>
              </w:rPr>
              <w:t>High</w:t>
            </w:r>
          </w:p>
        </w:tc>
      </w:tr>
    </w:tbl>
    <w:p w:rsidR="00D82A01" w:rsidRPr="00396508" w:rsidRDefault="00D82A01" w:rsidP="00A82B3C"/>
    <w:p w:rsidR="00D82A01" w:rsidRPr="00396508" w:rsidRDefault="00D82A01" w:rsidP="00D82A01">
      <w:r w:rsidRPr="00396508">
        <w:t>The honey that caused the 2008 Coromandel poisoning was comb honey that was sold commercially. Levels of tutin of between 30 and 50 milligrams per kilogram were found in the leftovers of the honey consumed by the poison</w:t>
      </w:r>
      <w:r w:rsidR="00C579C3" w:rsidRPr="00396508">
        <w:t>ed</w:t>
      </w:r>
      <w:r w:rsidRPr="00396508">
        <w:t xml:space="preserve"> victims. </w:t>
      </w:r>
    </w:p>
    <w:p w:rsidR="00D82A01" w:rsidRPr="00396508" w:rsidRDefault="00D82A01" w:rsidP="00D82A01"/>
    <w:p w:rsidR="00D82A01" w:rsidRPr="00396508" w:rsidRDefault="00D82A01" w:rsidP="00D82A01">
      <w:r w:rsidRPr="00396508">
        <w:t xml:space="preserve">The 2009 poisoning involved extracted honey that was sold by a commercial beekeeper. Testing showed that the amount of tutin in the honey was 4.2 mg/kg. This poisoning remains unconfirmed as, while the amount of tutin in the honey exceeded the temporary maximum level, the symptoms reported by the person were not typical of tutin poisoning. </w:t>
      </w:r>
    </w:p>
    <w:p w:rsidR="00D82A01" w:rsidRPr="00396508" w:rsidRDefault="00D82A01" w:rsidP="00D82A01"/>
    <w:p w:rsidR="00D82A01" w:rsidRPr="00396508" w:rsidRDefault="00D82A01" w:rsidP="00D82A01">
      <w:r w:rsidRPr="00396508">
        <w:t>The individual poisoned in 2014 was a commercial beekeeper who consumed untested comb honey from his own hives. Testing showed that the amount of tutin in this honey was 29 mg/kg so it exceeded the temporary maximum level for both honey and comb honey. The beekeeper did not sell any of this comb honey so it unlikely that there were any other poisonings connected to this incident.</w:t>
      </w:r>
    </w:p>
    <w:p w:rsidR="00D82A01" w:rsidRPr="00396508" w:rsidRDefault="00E92852" w:rsidP="00E92852">
      <w:pPr>
        <w:pStyle w:val="Heading3"/>
      </w:pPr>
      <w:bookmarkStart w:id="54" w:name="_Toc402438167"/>
      <w:r w:rsidRPr="00396508">
        <w:t>1.1.3</w:t>
      </w:r>
      <w:r w:rsidRPr="00396508">
        <w:tab/>
      </w:r>
      <w:r w:rsidR="00D82A01" w:rsidRPr="00396508">
        <w:t>MPI communication of the risks of tutin</w:t>
      </w:r>
      <w:bookmarkEnd w:id="54"/>
      <w:r w:rsidR="00D82A01" w:rsidRPr="00396508">
        <w:t xml:space="preserve"> </w:t>
      </w:r>
    </w:p>
    <w:p w:rsidR="00D82A01" w:rsidRPr="00396508" w:rsidRDefault="00D82A01" w:rsidP="00D82A01">
      <w:r w:rsidRPr="00396508">
        <w:t>People selling honey are primarily responsible under the Food Acts 1981 and 2014 for ensuring that their products are safe and suitable to consume</w:t>
      </w:r>
      <w:r w:rsidR="000E3B31" w:rsidRPr="00396508">
        <w:t xml:space="preserve">. </w:t>
      </w:r>
      <w:r w:rsidRPr="00396508">
        <w:t>In addition, MPI and FSANZ have made a considerable effort over the past few years to work in partnership with the National Beekeepers’ Association (NBA), Federated Farmers Bee Industry Group, and the Honey Packers and Exporters Association through the Bee Products Standards Council</w:t>
      </w:r>
      <w:r w:rsidRPr="00396508">
        <w:rPr>
          <w:rStyle w:val="FootnoteReference"/>
          <w:sz w:val="18"/>
          <w:vertAlign w:val="superscript"/>
        </w:rPr>
        <w:footnoteReference w:id="6"/>
      </w:r>
      <w:r w:rsidRPr="00396508">
        <w:t xml:space="preserve"> to ensure that the beekeeping community is well informed on tutin, the need to take precautions, and raising awareness that when the honey is sold, it must comply with regulatory requirements</w:t>
      </w:r>
      <w:r w:rsidR="000E3B31" w:rsidRPr="00396508">
        <w:t xml:space="preserve">. </w:t>
      </w:r>
      <w:r w:rsidRPr="00396508">
        <w:t xml:space="preserve">Measures to communicate this risk include: </w:t>
      </w:r>
    </w:p>
    <w:p w:rsidR="00D82A01" w:rsidRPr="00396508" w:rsidRDefault="00D82A01" w:rsidP="00D82A01"/>
    <w:p w:rsidR="00D82A01" w:rsidRPr="00396508" w:rsidRDefault="00A82B3C" w:rsidP="00A82B3C">
      <w:pPr>
        <w:pStyle w:val="FSBullet1"/>
      </w:pPr>
      <w:r w:rsidRPr="00396508">
        <w:t>i</w:t>
      </w:r>
      <w:r w:rsidR="00D82A01" w:rsidRPr="00396508">
        <w:t>nformation on tutin is sent by AsureQuality to all people registering beehives for the first time</w:t>
      </w:r>
      <w:r w:rsidR="00C579C3" w:rsidRPr="00396508">
        <w:t>;</w:t>
      </w:r>
      <w:r w:rsidR="00D82A01" w:rsidRPr="00396508">
        <w:t xml:space="preserve"> </w:t>
      </w:r>
    </w:p>
    <w:p w:rsidR="00D82A01" w:rsidRPr="00396508" w:rsidRDefault="00D82A01" w:rsidP="00A82B3C">
      <w:pPr>
        <w:pStyle w:val="FSBullet1"/>
      </w:pPr>
      <w:r w:rsidRPr="00396508">
        <w:t xml:space="preserve">MPI </w:t>
      </w:r>
      <w:r w:rsidR="00C579C3" w:rsidRPr="00396508">
        <w:t>s</w:t>
      </w:r>
      <w:r w:rsidRPr="00396508">
        <w:t xml:space="preserve">ponsorship of the tutin pages in the NBA publication “Starting with Bees”; </w:t>
      </w:r>
    </w:p>
    <w:p w:rsidR="00D82A01" w:rsidRPr="00396508" w:rsidRDefault="00A82B3C" w:rsidP="00A82B3C">
      <w:pPr>
        <w:pStyle w:val="FSBullet1"/>
      </w:pPr>
      <w:r w:rsidRPr="00396508">
        <w:t>p</w:t>
      </w:r>
      <w:r w:rsidR="00D82A01" w:rsidRPr="00396508">
        <w:t xml:space="preserve">rovision of regular messages about tutin to beekeepers in “The New Zealand Beekeeper” magazine, sent to all registered beekeepers twice a year; </w:t>
      </w:r>
    </w:p>
    <w:p w:rsidR="00D82A01" w:rsidRPr="00396508" w:rsidRDefault="00A82B3C" w:rsidP="00A82B3C">
      <w:pPr>
        <w:pStyle w:val="FSBullet1"/>
      </w:pPr>
      <w:r w:rsidRPr="00396508">
        <w:t>a</w:t>
      </w:r>
      <w:r w:rsidR="00D82A01" w:rsidRPr="00396508">
        <w:t xml:space="preserve"> video on tutin developed by the Bee Products Standards Council (BPSC) is currently available on  the BPSC website and will be sent to all registered beekeepers by the BPSC;   </w:t>
      </w:r>
    </w:p>
    <w:p w:rsidR="00D82A01" w:rsidRPr="00396508" w:rsidRDefault="00A82B3C" w:rsidP="00A82B3C">
      <w:pPr>
        <w:pStyle w:val="FSBullet1"/>
      </w:pPr>
      <w:r w:rsidRPr="00396508">
        <w:t>p</w:t>
      </w:r>
      <w:r w:rsidR="00D82A01" w:rsidRPr="00396508">
        <w:t>rovision of compreh</w:t>
      </w:r>
      <w:r w:rsidR="00164B43" w:rsidRPr="00396508">
        <w:t>ensive information on MPI’s web</w:t>
      </w:r>
      <w:r w:rsidR="00D82A01" w:rsidRPr="00396508">
        <w:t>site; and</w:t>
      </w:r>
    </w:p>
    <w:p w:rsidR="00D82A01" w:rsidRPr="00396508" w:rsidRDefault="00A82B3C" w:rsidP="00A82B3C">
      <w:pPr>
        <w:pStyle w:val="FSBullet1"/>
      </w:pPr>
      <w:r w:rsidRPr="00396508">
        <w:t>j</w:t>
      </w:r>
      <w:r w:rsidR="00D82A01" w:rsidRPr="00396508">
        <w:t xml:space="preserve">oint development of an advisory document by MPI and Farmers Markets NZ for market organisers, stall holders, and local authorities that includes information on the regulatory requirements for honey. </w:t>
      </w:r>
    </w:p>
    <w:p w:rsidR="00A82B3C" w:rsidRPr="00396508" w:rsidRDefault="00A82B3C" w:rsidP="00D82A01">
      <w:r w:rsidRPr="00396508">
        <w:br w:type="page"/>
      </w:r>
    </w:p>
    <w:p w:rsidR="00D82A01" w:rsidRPr="00396508" w:rsidRDefault="00E92852" w:rsidP="00E92852">
      <w:pPr>
        <w:pStyle w:val="Heading3"/>
      </w:pPr>
      <w:bookmarkStart w:id="55" w:name="_Toc402438168"/>
      <w:r w:rsidRPr="00396508">
        <w:lastRenderedPageBreak/>
        <w:t>1.1.4</w:t>
      </w:r>
      <w:r w:rsidRPr="00396508">
        <w:tab/>
      </w:r>
      <w:r w:rsidR="00D82A01" w:rsidRPr="00396508">
        <w:t>Tutin research</w:t>
      </w:r>
      <w:bookmarkEnd w:id="55"/>
    </w:p>
    <w:p w:rsidR="00D82A01" w:rsidRPr="00396508" w:rsidRDefault="00D82A01" w:rsidP="00D82A01">
      <w:pPr>
        <w:rPr>
          <w:rFonts w:eastAsia="SimSun"/>
          <w:lang w:eastAsia="zh-CN"/>
        </w:rPr>
      </w:pPr>
      <w:r w:rsidRPr="00396508">
        <w:rPr>
          <w:rFonts w:eastAsia="SimSun"/>
          <w:lang w:eastAsia="zh-CN"/>
        </w:rPr>
        <w:t>Following the 2008 poisoning incident, temporary maximum levels for tutin in honey and comb honey were set in the Code in Standard 1.4.1</w:t>
      </w:r>
      <w:r w:rsidR="000E3B31" w:rsidRPr="00396508">
        <w:rPr>
          <w:rFonts w:eastAsia="SimSun"/>
          <w:lang w:eastAsia="zh-CN"/>
        </w:rPr>
        <w:t xml:space="preserve">. </w:t>
      </w:r>
      <w:r w:rsidRPr="00396508">
        <w:rPr>
          <w:rFonts w:eastAsia="SimSun"/>
          <w:lang w:eastAsia="zh-CN"/>
        </w:rPr>
        <w:t xml:space="preserve">This was because there was a need to put in place urgent risk management measures while further research and evaluation was undertaken. </w:t>
      </w:r>
    </w:p>
    <w:p w:rsidR="00D82A01" w:rsidRPr="00396508" w:rsidRDefault="00D82A01" w:rsidP="00A82B3C">
      <w:pPr>
        <w:pStyle w:val="Heading4"/>
        <w:rPr>
          <w:rFonts w:eastAsia="SimSun"/>
        </w:rPr>
      </w:pPr>
      <w:r w:rsidRPr="00396508">
        <w:rPr>
          <w:rFonts w:eastAsia="SimSun"/>
        </w:rPr>
        <w:t>Research studies</w:t>
      </w:r>
    </w:p>
    <w:p w:rsidR="00D82A01" w:rsidRPr="00396508" w:rsidRDefault="00D82A01" w:rsidP="00D82A01">
      <w:pPr>
        <w:rPr>
          <w:rFonts w:eastAsia="SimSun"/>
          <w:lang w:eastAsia="zh-CN"/>
        </w:rPr>
      </w:pPr>
      <w:r w:rsidRPr="00396508">
        <w:rPr>
          <w:rFonts w:eastAsia="SimSun"/>
          <w:lang w:eastAsia="zh-CN"/>
        </w:rPr>
        <w:t xml:space="preserve">A temporary </w:t>
      </w:r>
      <w:r w:rsidRPr="00396508">
        <w:t>maximum level of 2 mg/kg for tutin in extracted honey was established using data derived from the oral administration of purified tutin in mice</w:t>
      </w:r>
      <w:r w:rsidR="000E3B31" w:rsidRPr="00396508">
        <w:t xml:space="preserve">. </w:t>
      </w:r>
      <w:r w:rsidRPr="00396508">
        <w:t>A lower maximum level of 0.1 mg/kg was established for comb honey to account for potential heterogeneity in tutin distribution across a honey comb in a hive.</w:t>
      </w:r>
      <w:r w:rsidRPr="00396508">
        <w:rPr>
          <w:rFonts w:eastAsia="SimSun"/>
          <w:lang w:eastAsia="zh-CN"/>
        </w:rPr>
        <w:t xml:space="preserve"> </w:t>
      </w:r>
    </w:p>
    <w:p w:rsidR="00D82A01" w:rsidRPr="00396508" w:rsidRDefault="00D82A01" w:rsidP="00D82A01">
      <w:pPr>
        <w:rPr>
          <w:rFonts w:eastAsia="SimSun"/>
          <w:lang w:eastAsia="zh-CN"/>
        </w:rPr>
      </w:pPr>
    </w:p>
    <w:p w:rsidR="00D82A01" w:rsidRPr="00396508" w:rsidRDefault="00D82A01" w:rsidP="00D82A01">
      <w:r w:rsidRPr="00396508">
        <w:t>In contrast to mice, which consistently exhibited rapid onset of toxicity following tutin administration, the onset time of toxicity following honey ingestion in humans is highly variable and the more severe adverse effects are often markedly delayed. To investigate this difference, a human pharmacokinetic study was conducted where 6 volunteers consumed an amount of honey containing tutin in a dose equivalent to that received by high consumers of honey (0.9 g honey per kg of bodyweight</w:t>
      </w:r>
      <w:r w:rsidRPr="00396508">
        <w:rPr>
          <w:rStyle w:val="FootnoteReference"/>
          <w:sz w:val="18"/>
          <w:vertAlign w:val="superscript"/>
        </w:rPr>
        <w:footnoteReference w:id="7"/>
      </w:r>
      <w:r w:rsidRPr="00396508">
        <w:t>) containing tutin at the current maximum level of 2 mg/kg (Fields et al)</w:t>
      </w:r>
      <w:r w:rsidRPr="00396508">
        <w:rPr>
          <w:rStyle w:val="FootnoteReference"/>
          <w:sz w:val="18"/>
          <w:vertAlign w:val="superscript"/>
        </w:rPr>
        <w:footnoteReference w:id="8"/>
      </w:r>
      <w:r w:rsidR="000E3B31" w:rsidRPr="00396508">
        <w:t xml:space="preserve">. </w:t>
      </w:r>
      <w:r w:rsidRPr="00396508">
        <w:t>The study was conducted in accordance with Good Clinical Practice (GCAP) and was based on European Medicines Agency Guidelines</w:t>
      </w:r>
      <w:r w:rsidRPr="00396508">
        <w:rPr>
          <w:rStyle w:val="FootnoteReference"/>
          <w:sz w:val="18"/>
          <w:vertAlign w:val="superscript"/>
        </w:rPr>
        <w:footnoteReference w:id="9"/>
      </w:r>
      <w:r w:rsidRPr="00396508">
        <w:t xml:space="preserve"> for pharmacokinetic studies in humans</w:t>
      </w:r>
      <w:r w:rsidR="000E3B31" w:rsidRPr="00396508">
        <w:t xml:space="preserve">. </w:t>
      </w:r>
      <w:r w:rsidRPr="00396508">
        <w:t>The study protocol was reviewed and approved by the Lower South Regional Ethics Committee, Dunedin, New Zealand</w:t>
      </w:r>
      <w:r w:rsidR="000E3B31" w:rsidRPr="00396508">
        <w:t xml:space="preserve">. </w:t>
      </w:r>
    </w:p>
    <w:p w:rsidR="00D82A01" w:rsidRPr="00396508" w:rsidRDefault="00D82A01" w:rsidP="00D82A01"/>
    <w:p w:rsidR="00D82A01" w:rsidRPr="00396508" w:rsidRDefault="00D82A01" w:rsidP="00D82A01">
      <w:r w:rsidRPr="00396508">
        <w:t>The study was not designed to specifically investigate safety and no adverse effects were expected based on the low tutin dose chosen, however monitoring of certain safety parameters is typical for a human pharmacokinetic study. The volunteers were monitored by assessing vital signs (body temperature, heart rate, blood pressure), laboratory values for haematology, biochemistry and complete urinalysis, and electrocardiograms</w:t>
      </w:r>
      <w:r w:rsidR="000E3B31" w:rsidRPr="00396508">
        <w:t xml:space="preserve">. </w:t>
      </w:r>
    </w:p>
    <w:p w:rsidR="00D82A01" w:rsidRPr="00396508" w:rsidRDefault="00D82A01" w:rsidP="00D82A01"/>
    <w:p w:rsidR="00D82A01" w:rsidRPr="00396508" w:rsidRDefault="00D82A01" w:rsidP="00E95783">
      <w:pPr>
        <w:ind w:right="-285"/>
      </w:pPr>
      <w:r w:rsidRPr="00396508">
        <w:t>During the study, the serum tutin concentration profile for all volunteers exhibited two discrete peaks, rather than the expected one</w:t>
      </w:r>
      <w:r w:rsidR="000E3B31" w:rsidRPr="00396508">
        <w:t xml:space="preserve">. </w:t>
      </w:r>
      <w:r w:rsidRPr="00396508">
        <w:t>The first peak was at 0.5</w:t>
      </w:r>
      <w:r w:rsidR="00E95783" w:rsidRPr="00396508">
        <w:t>–</w:t>
      </w:r>
      <w:r w:rsidRPr="00396508">
        <w:t>1.5 hours post dose, with the second, higher peak, at 8</w:t>
      </w:r>
      <w:r w:rsidR="00E95783" w:rsidRPr="00396508">
        <w:t>–</w:t>
      </w:r>
      <w:r w:rsidRPr="00396508">
        <w:t xml:space="preserve">16 hours post dose. Transient mild light headedness was reported by two volunteers during the first peak, and transient mild headaches were reported by the same two subjects during the second peak. The other volunteers did not report any ill effects. </w:t>
      </w:r>
    </w:p>
    <w:p w:rsidR="00E95783" w:rsidRPr="00396508" w:rsidRDefault="00E95783" w:rsidP="00D82A01"/>
    <w:p w:rsidR="00D82A01" w:rsidRPr="00396508" w:rsidRDefault="00D82A01" w:rsidP="00D82A01">
      <w:pPr>
        <w:rPr>
          <w:caps/>
        </w:rPr>
      </w:pPr>
      <w:r w:rsidRPr="00396508">
        <w:t xml:space="preserve">The first peak observed in the study was consistent with the known </w:t>
      </w:r>
      <w:r w:rsidR="00CC356D" w:rsidRPr="00396508">
        <w:t xml:space="preserve">effects of consuming </w:t>
      </w:r>
      <w:r w:rsidRPr="00396508">
        <w:t>tutin in honey</w:t>
      </w:r>
      <w:r w:rsidR="000E3B31" w:rsidRPr="00396508">
        <w:t xml:space="preserve">. </w:t>
      </w:r>
      <w:r w:rsidRPr="00396508">
        <w:t>The second peak was not</w:t>
      </w:r>
      <w:r w:rsidR="000E3B31" w:rsidRPr="00396508">
        <w:t xml:space="preserve">. </w:t>
      </w:r>
      <w:r w:rsidRPr="00396508">
        <w:t>Subsequent experiments led to the discovery of tutin glycosides (tutin that is chemically bound to carbohydrates), a ‘masked’ form of tutin in addition to free tutin</w:t>
      </w:r>
      <w:r w:rsidR="000E3B31" w:rsidRPr="00396508">
        <w:t xml:space="preserve">. </w:t>
      </w:r>
      <w:r w:rsidRPr="00396508">
        <w:t>The time taken to convert this ’masked’ form of tutin to free tutin explained the second peak observed in blood</w:t>
      </w:r>
      <w:r w:rsidR="000E3B31" w:rsidRPr="00396508">
        <w:t xml:space="preserve">. </w:t>
      </w:r>
    </w:p>
    <w:p w:rsidR="00D82A01" w:rsidRPr="00396508" w:rsidRDefault="00D82A01" w:rsidP="00D82A01">
      <w:pPr>
        <w:pStyle w:val="Heading4"/>
      </w:pPr>
      <w:r w:rsidRPr="00396508">
        <w:t>Conclusions</w:t>
      </w:r>
    </w:p>
    <w:p w:rsidR="00A82B3C" w:rsidRPr="00396508" w:rsidRDefault="00D82A01" w:rsidP="00D82A01">
      <w:r w:rsidRPr="00396508">
        <w:t>Based on these results, it is possible that adverse effects may be experienced following the consumption of honey containing tutin at the current maximum level of 2 mg/kg</w:t>
      </w:r>
      <w:r w:rsidR="000E3B31" w:rsidRPr="00396508">
        <w:t xml:space="preserve">. </w:t>
      </w:r>
      <w:r w:rsidR="00A82B3C" w:rsidRPr="00396508">
        <w:br w:type="page"/>
      </w:r>
    </w:p>
    <w:p w:rsidR="00D82A01" w:rsidRPr="00396508" w:rsidRDefault="00D82A01" w:rsidP="00D82A01">
      <w:pPr>
        <w:rPr>
          <w:color w:val="000000"/>
        </w:rPr>
      </w:pPr>
      <w:r w:rsidRPr="00396508">
        <w:lastRenderedPageBreak/>
        <w:t>Adverse effects are more likely if 0.9 g of honey per kg of bodyweight (as per high consumers) or greater is eaten in one sitting. For a high consuming adult, this equates to consuming approximately 3 tablespoons of honey</w:t>
      </w:r>
      <w:r w:rsidRPr="00396508">
        <w:rPr>
          <w:rStyle w:val="FootnoteReference"/>
          <w:sz w:val="18"/>
          <w:vertAlign w:val="superscript"/>
        </w:rPr>
        <w:footnoteReference w:id="10"/>
      </w:r>
      <w:r w:rsidRPr="00396508">
        <w:t xml:space="preserve"> containing tutin at the current level of 2 mg/kg in one sitting. </w:t>
      </w:r>
      <w:r w:rsidRPr="00396508">
        <w:rPr>
          <w:color w:val="000000"/>
        </w:rPr>
        <w:t xml:space="preserve">Survey data indicates that New Zealand children 5 to 8 years of age may be exposed to higher levels of tutin per </w:t>
      </w:r>
      <w:r w:rsidR="00CC356D" w:rsidRPr="00396508">
        <w:rPr>
          <w:color w:val="000000"/>
        </w:rPr>
        <w:t xml:space="preserve">kg of </w:t>
      </w:r>
      <w:r w:rsidRPr="00396508">
        <w:rPr>
          <w:color w:val="000000"/>
        </w:rPr>
        <w:t>bodyweight than adults.</w:t>
      </w:r>
    </w:p>
    <w:p w:rsidR="00D82A01" w:rsidRPr="00396508" w:rsidRDefault="00D82A01" w:rsidP="00D82A01">
      <w:pPr>
        <w:rPr>
          <w:color w:val="000000"/>
        </w:rPr>
      </w:pPr>
    </w:p>
    <w:p w:rsidR="00D82A01" w:rsidRPr="00396508" w:rsidRDefault="00D82A01" w:rsidP="00D82A01">
      <w:r w:rsidRPr="00396508">
        <w:t>Whilst the effects seen in the pharmacokinetic study were mild light headedness and headaches it should be noted that there is considerable uncertainty in extrapolating the adverse effects seen in a small scale study to an entire population. Considering that a third of the test population in the small scale study were affected, it is most likely that more sensitive individuals would be present in the population who are able to more efficiently convert the tutin to free tutin and therefore would experience more severe effects such as nausea, vomiting and dizziness.</w:t>
      </w:r>
    </w:p>
    <w:p w:rsidR="00D82A01" w:rsidRPr="00396508" w:rsidRDefault="00D82A01" w:rsidP="00D82A01"/>
    <w:p w:rsidR="00D82A01" w:rsidRPr="00396508" w:rsidRDefault="00D82A01" w:rsidP="00D82A01">
      <w:pPr>
        <w:tabs>
          <w:tab w:val="right" w:pos="9027"/>
        </w:tabs>
        <w:rPr>
          <w:color w:val="000000"/>
        </w:rPr>
      </w:pPr>
      <w:r w:rsidRPr="00396508">
        <w:t>As no method is currently available for the quantification of tutin glycosides in honey, the continued use of a maximum level based on the level of tutin in honey instead of total tutin equivalents is necessary</w:t>
      </w:r>
      <w:r w:rsidR="000E3B31" w:rsidRPr="00396508">
        <w:t xml:space="preserve">. </w:t>
      </w:r>
      <w:r w:rsidRPr="00396508">
        <w:rPr>
          <w:rFonts w:eastAsia="Times New Roman"/>
          <w:szCs w:val="24"/>
          <w:lang w:eastAsia="en-US" w:bidi="en-US"/>
        </w:rPr>
        <w:t>In order to protect consumers from adverse effects</w:t>
      </w:r>
      <w:r w:rsidR="00CC356D" w:rsidRPr="00396508">
        <w:rPr>
          <w:rFonts w:eastAsia="Times New Roman"/>
          <w:szCs w:val="24"/>
          <w:lang w:eastAsia="en-US" w:bidi="en-US"/>
        </w:rPr>
        <w:t>,</w:t>
      </w:r>
      <w:r w:rsidRPr="00396508">
        <w:rPr>
          <w:rFonts w:eastAsia="Times New Roman"/>
          <w:szCs w:val="24"/>
          <w:lang w:eastAsia="en-US" w:bidi="en-US"/>
        </w:rPr>
        <w:t xml:space="preserve"> a reduction in the maximum level by a factor of 3 is proposed. This reduction factor is comprised of a factor of 1.5 to account for</w:t>
      </w:r>
      <w:r w:rsidR="00CC356D" w:rsidRPr="00396508">
        <w:rPr>
          <w:rFonts w:eastAsia="Times New Roman"/>
          <w:szCs w:val="24"/>
          <w:lang w:eastAsia="en-US" w:bidi="en-US"/>
        </w:rPr>
        <w:t xml:space="preserve"> variation between individuals </w:t>
      </w:r>
      <w:r w:rsidRPr="00396508">
        <w:rPr>
          <w:rFonts w:eastAsia="Times New Roman"/>
          <w:szCs w:val="24"/>
          <w:lang w:eastAsia="en-US" w:bidi="en-US"/>
        </w:rPr>
        <w:t>in the release of tutin from tutin glycosides, multiplied by a factor of 2 to account for the variability in the ratio of tutin to tutin glycosides in honey.</w:t>
      </w:r>
      <w:r w:rsidRPr="00396508">
        <w:t xml:space="preserve"> This gives a revised maximum level of 0.67 mg/kg or 0.7 mg/kg (rounded) for honey.</w:t>
      </w:r>
    </w:p>
    <w:p w:rsidR="00D82A01" w:rsidRPr="00396508" w:rsidRDefault="00D82A01" w:rsidP="00D82A01">
      <w:pPr>
        <w:rPr>
          <w:color w:val="000000"/>
        </w:rPr>
      </w:pPr>
    </w:p>
    <w:p w:rsidR="00D82A01" w:rsidRPr="00396508" w:rsidRDefault="00D82A01" w:rsidP="00D82A01">
      <w:r w:rsidRPr="00396508">
        <w:t>Assessing the risk for comb honey is problematic as there are insufficient data on the variability of tutin levels within and between combs. Tutin can be concentrated in small sections of the honey comb and in particular cells and frames in the hive so it is conceivable that the tutin level in honey sampled from a specific portion of comb could differ markedly from the tutin level in another part of the comb. FSANZ’s risk assessment concluded that there are insufficient data on the heterogeneity of tutin distribution to characterize the risk for comb honey</w:t>
      </w:r>
      <w:r w:rsidR="000E3B31" w:rsidRPr="00396508">
        <w:t xml:space="preserve">. </w:t>
      </w:r>
      <w:r w:rsidRPr="00396508">
        <w:t>Provided consumers are not exposed to tutin concentrations above 0.7 mg/kg in comb honey, the risk of adverse effects is low.</w:t>
      </w:r>
    </w:p>
    <w:p w:rsidR="00D82A01" w:rsidRPr="00396508" w:rsidRDefault="00D82A01" w:rsidP="00D82A01"/>
    <w:p w:rsidR="00D82A01" w:rsidRPr="00396508" w:rsidRDefault="00D82A01" w:rsidP="00D82A01">
      <w:r w:rsidRPr="00396508">
        <w:t>More information on this research can be found in other FSANZ documents about this proposal on the FSANZ website</w:t>
      </w:r>
      <w:r w:rsidRPr="00396508">
        <w:rPr>
          <w:rStyle w:val="FootnoteReference"/>
          <w:sz w:val="18"/>
          <w:vertAlign w:val="superscript"/>
        </w:rPr>
        <w:footnoteReference w:id="11"/>
      </w:r>
      <w:r w:rsidR="000E3B31" w:rsidRPr="00396508">
        <w:t xml:space="preserve">. </w:t>
      </w:r>
    </w:p>
    <w:p w:rsidR="00D82A01" w:rsidRPr="00396508" w:rsidRDefault="00E92852" w:rsidP="00F56FA6">
      <w:pPr>
        <w:pStyle w:val="Heading2"/>
      </w:pPr>
      <w:bookmarkStart w:id="56" w:name="_Toc397591945"/>
      <w:bookmarkStart w:id="57" w:name="_Toc397597075"/>
      <w:bookmarkStart w:id="58" w:name="_Toc397613102"/>
      <w:bookmarkStart w:id="59" w:name="_Toc402438169"/>
      <w:bookmarkEnd w:id="56"/>
      <w:bookmarkEnd w:id="57"/>
      <w:bookmarkEnd w:id="58"/>
      <w:r w:rsidRPr="00396508">
        <w:t>1.2</w:t>
      </w:r>
      <w:r w:rsidR="00D82A01" w:rsidRPr="00396508">
        <w:tab/>
      </w:r>
      <w:bookmarkStart w:id="60" w:name="_Toc401736600"/>
      <w:r w:rsidR="00D82A01" w:rsidRPr="00396508">
        <w:t>Legislation</w:t>
      </w:r>
      <w:bookmarkEnd w:id="60"/>
      <w:bookmarkEnd w:id="59"/>
    </w:p>
    <w:p w:rsidR="00D82A01" w:rsidRPr="00396508" w:rsidRDefault="00D82A01" w:rsidP="00D82A01">
      <w:r w:rsidRPr="00396508">
        <w:t xml:space="preserve">Those who process, store, sell, or export honey </w:t>
      </w:r>
      <w:r w:rsidR="00CC356D" w:rsidRPr="00396508">
        <w:t xml:space="preserve">in New Zealand </w:t>
      </w:r>
      <w:r w:rsidRPr="00396508">
        <w:t xml:space="preserve">must comply with the requirements of the </w:t>
      </w:r>
      <w:r w:rsidRPr="00396508">
        <w:rPr>
          <w:i/>
        </w:rPr>
        <w:t>Food Act 1981</w:t>
      </w:r>
      <w:r w:rsidRPr="00396508">
        <w:t xml:space="preserve">, the </w:t>
      </w:r>
      <w:r w:rsidRPr="00396508">
        <w:rPr>
          <w:i/>
        </w:rPr>
        <w:t>Food Act 2014</w:t>
      </w:r>
      <w:r w:rsidRPr="00396508">
        <w:t xml:space="preserve">, and the </w:t>
      </w:r>
      <w:r w:rsidRPr="00396508">
        <w:rPr>
          <w:i/>
        </w:rPr>
        <w:t>Animal Products Act 1999</w:t>
      </w:r>
      <w:r w:rsidR="000E3B31" w:rsidRPr="00396508">
        <w:t xml:space="preserve">. </w:t>
      </w:r>
      <w:r w:rsidRPr="00396508">
        <w:t xml:space="preserve">Section 9 of the </w:t>
      </w:r>
      <w:r w:rsidRPr="00396508">
        <w:rPr>
          <w:i/>
        </w:rPr>
        <w:t>Food Act 1981</w:t>
      </w:r>
      <w:r w:rsidR="00396508" w:rsidRPr="00396508">
        <w:t xml:space="preserve"> and s</w:t>
      </w:r>
      <w:r w:rsidRPr="00396508">
        <w:t xml:space="preserve">ection 14 of the </w:t>
      </w:r>
      <w:r w:rsidRPr="00396508">
        <w:rPr>
          <w:i/>
        </w:rPr>
        <w:t>Food Act 2014</w:t>
      </w:r>
      <w:r w:rsidRPr="00396508">
        <w:t xml:space="preserve"> also provides protection for consumers as it prohibits the sale of unsafe or contaminated food. Honey for export is regulated under the </w:t>
      </w:r>
      <w:r w:rsidRPr="00396508">
        <w:rPr>
          <w:i/>
        </w:rPr>
        <w:t>Animal Products Act 1999</w:t>
      </w:r>
      <w:r w:rsidR="000E3B31" w:rsidRPr="00396508">
        <w:t xml:space="preserve">. </w:t>
      </w:r>
      <w:r w:rsidRPr="00396508">
        <w:t xml:space="preserve"> </w:t>
      </w:r>
    </w:p>
    <w:p w:rsidR="00D82A01" w:rsidRPr="00396508" w:rsidRDefault="00D82A01" w:rsidP="00D82A01"/>
    <w:p w:rsidR="00D82A01" w:rsidRPr="00396508" w:rsidRDefault="00D82A01" w:rsidP="00D82A01">
      <w:r w:rsidRPr="00396508">
        <w:t xml:space="preserve">Bee product businesses that extract or pack bee products that are only sold in New Zealand, or that are exported to countries that do not require official assurances (export certificates), must comply with the Food Acts. Most countries do not require export certificates. Countries that require export certificates for honey include Japan and countries that are part of the European Union. To comply with the Food Act, businesses must have a registered Food Safety Programme, or operate under the Food Hygiene Regulations. </w:t>
      </w:r>
    </w:p>
    <w:p w:rsidR="00D82A01" w:rsidRPr="00396508" w:rsidRDefault="00D82A01" w:rsidP="00D82A01"/>
    <w:p w:rsidR="00A82B3C" w:rsidRPr="00396508" w:rsidRDefault="00A82B3C" w:rsidP="00D82A01">
      <w:r w:rsidRPr="00396508">
        <w:br w:type="page"/>
      </w:r>
    </w:p>
    <w:p w:rsidR="00D82A01" w:rsidRPr="00396508" w:rsidRDefault="00D82A01" w:rsidP="00D82A01">
      <w:r w:rsidRPr="00396508">
        <w:lastRenderedPageBreak/>
        <w:t xml:space="preserve">Businesses can also operate under a Risk Management Programme (RMP) under the Animal Products Act. Bee product businesses that export to countries that require official assurances (export certificates) must have a registered RMP, participate in the residues monitoring programme, and meet requirements for export as well as meeting any requirements of the country they are exporting to. </w:t>
      </w:r>
    </w:p>
    <w:p w:rsidR="00D82A01" w:rsidRPr="00396508" w:rsidRDefault="00D82A01" w:rsidP="00D82A01"/>
    <w:p w:rsidR="00D82A01" w:rsidRPr="00396508" w:rsidRDefault="00D82A01" w:rsidP="00D82A01">
      <w:pPr>
        <w:pStyle w:val="spacer"/>
        <w:jc w:val="both"/>
        <w:rPr>
          <w:rFonts w:cs="Arial"/>
          <w:sz w:val="22"/>
        </w:rPr>
      </w:pPr>
      <w:r w:rsidRPr="00396508">
        <w:rPr>
          <w:rFonts w:cs="Arial"/>
          <w:sz w:val="22"/>
        </w:rPr>
        <w:t>Two standards currently regulate tutin in honey for sale:</w:t>
      </w:r>
    </w:p>
    <w:p w:rsidR="00D82A01" w:rsidRPr="00396508" w:rsidRDefault="00D82A01" w:rsidP="00D82A01">
      <w:pPr>
        <w:pStyle w:val="spacer"/>
        <w:jc w:val="both"/>
        <w:rPr>
          <w:rFonts w:cs="Arial"/>
          <w:sz w:val="22"/>
        </w:rPr>
      </w:pPr>
    </w:p>
    <w:p w:rsidR="00D82A01" w:rsidRPr="00396508" w:rsidRDefault="00D82A01" w:rsidP="00A82B3C">
      <w:pPr>
        <w:pStyle w:val="FSBullet1"/>
      </w:pPr>
      <w:r w:rsidRPr="00396508">
        <w:t xml:space="preserve">Standard 1.4.1 of the </w:t>
      </w:r>
      <w:r w:rsidRPr="00396508">
        <w:rPr>
          <w:i/>
        </w:rPr>
        <w:t>Australia New Zealand Food Standards Code</w:t>
      </w:r>
      <w:r w:rsidRPr="00396508">
        <w:t xml:space="preserve"> (the Code) that applies in Australia and New Zealand</w:t>
      </w:r>
      <w:r w:rsidR="00CC356D" w:rsidRPr="00396508">
        <w:t>; and</w:t>
      </w:r>
    </w:p>
    <w:p w:rsidR="00D82A01" w:rsidRPr="00396508" w:rsidRDefault="00D82A01" w:rsidP="00A82B3C">
      <w:pPr>
        <w:pStyle w:val="FSBullet1"/>
      </w:pPr>
      <w:r w:rsidRPr="00396508">
        <w:t xml:space="preserve">The Food (Tutin in Honey) Standard 2010 made under the New Zealand </w:t>
      </w:r>
      <w:r w:rsidRPr="00396508">
        <w:rPr>
          <w:i/>
        </w:rPr>
        <w:t>Food Act 1981</w:t>
      </w:r>
      <w:r w:rsidRPr="00396508">
        <w:t xml:space="preserve"> that applies only in New Zealand. It provides options for demonstrating compliance with the maximum levels in the Code. </w:t>
      </w:r>
    </w:p>
    <w:p w:rsidR="00D82A01" w:rsidRPr="00396508" w:rsidRDefault="00D82A01" w:rsidP="00D82A01">
      <w:pPr>
        <w:pStyle w:val="spacer"/>
        <w:jc w:val="both"/>
        <w:rPr>
          <w:rFonts w:cs="Arial"/>
          <w:sz w:val="22"/>
        </w:rPr>
      </w:pPr>
    </w:p>
    <w:p w:rsidR="00D82A01" w:rsidRPr="00396508" w:rsidRDefault="00D82A01" w:rsidP="00D82A01">
      <w:pPr>
        <w:rPr>
          <w:rFonts w:cs="Arial"/>
        </w:rPr>
      </w:pPr>
      <w:r w:rsidRPr="00396508">
        <w:rPr>
          <w:rFonts w:cs="Arial"/>
        </w:rPr>
        <w:t xml:space="preserve">Additional requirements to be met by RMP operators under the </w:t>
      </w:r>
      <w:r w:rsidRPr="00396508">
        <w:rPr>
          <w:rFonts w:cs="Arial"/>
          <w:i/>
        </w:rPr>
        <w:t>Animal Products Act 1999</w:t>
      </w:r>
      <w:r w:rsidRPr="00396508">
        <w:rPr>
          <w:rFonts w:cs="Arial"/>
        </w:rPr>
        <w:t xml:space="preserve"> are also found in the Animal Products (Harvest Statement and Tutin requirements for Export Bee Products) Notice 2010</w:t>
      </w:r>
      <w:r w:rsidR="000E3B31" w:rsidRPr="00396508">
        <w:rPr>
          <w:rFonts w:cs="Arial"/>
        </w:rPr>
        <w:t xml:space="preserve">. </w:t>
      </w:r>
    </w:p>
    <w:p w:rsidR="00D82A01" w:rsidRPr="00396508" w:rsidRDefault="00D82A01" w:rsidP="00D82A01">
      <w:pPr>
        <w:rPr>
          <w:rFonts w:cs="Arial"/>
        </w:rPr>
      </w:pPr>
    </w:p>
    <w:p w:rsidR="00D82A01" w:rsidRPr="00396508" w:rsidRDefault="00D82A01" w:rsidP="00D82A01">
      <w:pPr>
        <w:rPr>
          <w:rFonts w:cs="Arial"/>
        </w:rPr>
      </w:pPr>
      <w:r w:rsidRPr="00396508">
        <w:rPr>
          <w:rFonts w:cs="Arial"/>
        </w:rPr>
        <w:t xml:space="preserve">This RIS focuses on the maximum levels in Standard 1.4.1 of the Code as these limits form the basis for controls in the </w:t>
      </w:r>
      <w:r w:rsidRPr="00396508">
        <w:rPr>
          <w:rFonts w:cs="Arial"/>
          <w:i/>
        </w:rPr>
        <w:t>Food Act 1981</w:t>
      </w:r>
      <w:r w:rsidRPr="00396508">
        <w:rPr>
          <w:rFonts w:cs="Arial"/>
        </w:rPr>
        <w:t xml:space="preserve"> and 2014 and in Standards under the </w:t>
      </w:r>
      <w:r w:rsidRPr="00396508">
        <w:rPr>
          <w:rFonts w:cs="Arial"/>
          <w:i/>
        </w:rPr>
        <w:t>Animal Products Act 1999</w:t>
      </w:r>
      <w:r w:rsidR="000E3B31" w:rsidRPr="00396508">
        <w:rPr>
          <w:rFonts w:cs="Arial"/>
        </w:rPr>
        <w:t xml:space="preserve">. </w:t>
      </w:r>
      <w:r w:rsidRPr="00396508">
        <w:rPr>
          <w:rFonts w:cs="Arial"/>
        </w:rPr>
        <w:t xml:space="preserve"> </w:t>
      </w:r>
    </w:p>
    <w:p w:rsidR="00D82A01" w:rsidRPr="00396508" w:rsidRDefault="00E92852" w:rsidP="00E92852">
      <w:pPr>
        <w:pStyle w:val="Heading3"/>
      </w:pPr>
      <w:bookmarkStart w:id="61" w:name="_Toc402438170"/>
      <w:r w:rsidRPr="00396508">
        <w:t>1.2.1</w:t>
      </w:r>
      <w:r w:rsidRPr="00396508">
        <w:tab/>
      </w:r>
      <w:r w:rsidR="00D82A01" w:rsidRPr="00396508">
        <w:t xml:space="preserve">Standard 1.4.1 of the </w:t>
      </w:r>
      <w:r w:rsidR="00D82A01" w:rsidRPr="00396508">
        <w:rPr>
          <w:i/>
        </w:rPr>
        <w:t>Australia New Zealand Food Standards Code</w:t>
      </w:r>
      <w:bookmarkEnd w:id="61"/>
    </w:p>
    <w:p w:rsidR="00D82A01" w:rsidRPr="00396508" w:rsidRDefault="00D82A01" w:rsidP="00D82A01">
      <w:r w:rsidRPr="00396508">
        <w:t xml:space="preserve">The Code is administered by FSANZ, an independent statutory agency established by the FSANZ Act. FSANZ’s role includes developing standards that regulate the use of ingredients, the composition of some foods and labelling requirements for packaged and unpackaged foods for sale. </w:t>
      </w:r>
    </w:p>
    <w:p w:rsidR="00D82A01" w:rsidRPr="00396508" w:rsidRDefault="00D82A01" w:rsidP="00D82A01"/>
    <w:p w:rsidR="00D82A01" w:rsidRPr="00396508" w:rsidRDefault="00D82A01" w:rsidP="00D82A01">
      <w:r w:rsidRPr="00396508">
        <w:t xml:space="preserve">Standard 1.4.1 in the Code sets out maximum levels of particular contaminants and natural toxicants in food. Maximum levels are usually only set for risk management purposes for foods that could potentially contain the contaminant or natural toxicant at a level such that it would be a major dietary contributor to the overall intake of that chemical in Australia and New Zealand. For other foods, the general principle is that the levels of contaminants and natural toxicants in food should be kept as low as reasonably achievable, regardless of whether or not a maximum level is set. </w:t>
      </w:r>
    </w:p>
    <w:p w:rsidR="00D82A01" w:rsidRPr="00396508" w:rsidRDefault="00D82A01" w:rsidP="00D82A01"/>
    <w:p w:rsidR="00D82A01" w:rsidRPr="00396508" w:rsidRDefault="00CC356D" w:rsidP="00D82A01">
      <w:pPr>
        <w:autoSpaceDE w:val="0"/>
        <w:autoSpaceDN w:val="0"/>
        <w:adjustRightInd w:val="0"/>
        <w:rPr>
          <w:rFonts w:cs="Arial"/>
        </w:rPr>
      </w:pPr>
      <w:r w:rsidRPr="00396508">
        <w:rPr>
          <w:rFonts w:cs="Arial"/>
        </w:rPr>
        <w:t>Standard 1.4.1</w:t>
      </w:r>
      <w:r w:rsidR="00D82A01" w:rsidRPr="00396508">
        <w:rPr>
          <w:rFonts w:cs="Arial"/>
        </w:rPr>
        <w:t xml:space="preserve"> currently contains temporary maximum levels for tutin in honey of 2.0 mg/kg and for comb honey of 0.1 mg/kg. These maximum levels apply to honey and comb honey produced for sale in both New Zealand and Australia. The temporary maximum levels were introduced as a </w:t>
      </w:r>
      <w:r w:rsidR="00D82A01" w:rsidRPr="00396508">
        <w:rPr>
          <w:rFonts w:ascii="ArialMT" w:hAnsi="ArialMT" w:cs="ArialMT"/>
        </w:rPr>
        <w:t xml:space="preserve">temporary risk management measure in response to a poisoning incident in Coromandel while further research on tutin in honey was undertaken. These temporary maximum levels had an initial expiry date of 31 March 2011. </w:t>
      </w:r>
      <w:r w:rsidR="00D82A01" w:rsidRPr="00396508">
        <w:rPr>
          <w:rFonts w:cs="Arial"/>
        </w:rPr>
        <w:t>The expiry date was extended to 31 March 2015 as additional time was required to complete the research.</w:t>
      </w:r>
    </w:p>
    <w:p w:rsidR="00D82A01" w:rsidRPr="00396508" w:rsidRDefault="00E92852" w:rsidP="00E92852">
      <w:pPr>
        <w:pStyle w:val="Heading3"/>
      </w:pPr>
      <w:bookmarkStart w:id="62" w:name="_Toc402438171"/>
      <w:r w:rsidRPr="00396508">
        <w:t>1.2.2</w:t>
      </w:r>
      <w:r w:rsidRPr="00396508">
        <w:tab/>
      </w:r>
      <w:r w:rsidR="00D82A01" w:rsidRPr="00396508">
        <w:t>Food (Tutin in Honey) Standard 2010</w:t>
      </w:r>
      <w:bookmarkEnd w:id="62"/>
    </w:p>
    <w:p w:rsidR="00A82B3C" w:rsidRPr="00396508" w:rsidRDefault="00D82A01" w:rsidP="00D82A01">
      <w:r w:rsidRPr="00396508">
        <w:rPr>
          <w:rFonts w:eastAsia="SimSun"/>
          <w:lang w:eastAsia="zh-CN"/>
        </w:rPr>
        <w:t xml:space="preserve">While the New Zealand </w:t>
      </w:r>
      <w:r w:rsidRPr="00396508">
        <w:t xml:space="preserve">Food (Tutin in Honey) Standard 2010 (the Tutin Standard) </w:t>
      </w:r>
      <w:r w:rsidRPr="00396508">
        <w:rPr>
          <w:rFonts w:eastAsia="SimSun"/>
          <w:lang w:eastAsia="zh-CN"/>
        </w:rPr>
        <w:t xml:space="preserve">is not the subject of this RIS, the Tutin Standard sets options for demonstrating compliance that support the maximum levels set in Standard 1.4.1 of the Code. </w:t>
      </w:r>
      <w:r w:rsidRPr="00396508">
        <w:t>These options relate to matters such as record keeping and testing, with variations according to whether the honey is harvested from high or low risk areas. The requirements in the Tutin Standard apply to the last person to pack honey for sale for human consumption and any person exporting honey. Beekeepers who supply honey to a packer or exporter must hold records that will enable them to demonstrate compliance with the Tutin Standard</w:t>
      </w:r>
      <w:r w:rsidR="000E3B31" w:rsidRPr="00396508">
        <w:t xml:space="preserve">. </w:t>
      </w:r>
      <w:r w:rsidR="00A82B3C" w:rsidRPr="00396508">
        <w:br w:type="page"/>
      </w:r>
    </w:p>
    <w:p w:rsidR="00D82A01" w:rsidRPr="00396508" w:rsidRDefault="00D82A01" w:rsidP="00D82A01">
      <w:r w:rsidRPr="00396508">
        <w:lastRenderedPageBreak/>
        <w:t>If comb honey is harvested from apiaries located above latitude 42 degrees south, all the drip and leftover honey from a comb honey harvest from a single apiary site must be homogenised and sub-sampled and tested for tutin</w:t>
      </w:r>
      <w:r w:rsidR="000E3B31" w:rsidRPr="00396508">
        <w:t xml:space="preserve">. </w:t>
      </w:r>
      <w:r w:rsidRPr="00396508">
        <w:t>The test result must be lower than 0.01</w:t>
      </w:r>
      <w:r w:rsidR="00D04109" w:rsidRPr="00396508">
        <w:t> </w:t>
      </w:r>
      <w:r w:rsidRPr="00396508">
        <w:t>mg/kg</w:t>
      </w:r>
      <w:r w:rsidR="000E3B31" w:rsidRPr="00396508">
        <w:t xml:space="preserve">. </w:t>
      </w:r>
      <w:r w:rsidRPr="00396508">
        <w:t>If the level of tutin is 0.01 mg/kg or higher, the honey cannot be sold in combs and must be extracted</w:t>
      </w:r>
      <w:r w:rsidR="000E3B31" w:rsidRPr="00396508">
        <w:t xml:space="preserve">. </w:t>
      </w:r>
    </w:p>
    <w:p w:rsidR="00D82A01" w:rsidRPr="00396508" w:rsidRDefault="00E92852" w:rsidP="00E92852">
      <w:pPr>
        <w:pStyle w:val="Heading3"/>
      </w:pPr>
      <w:bookmarkStart w:id="63" w:name="_Toc402438172"/>
      <w:r w:rsidRPr="00396508">
        <w:t>1.2.3</w:t>
      </w:r>
      <w:r w:rsidRPr="00396508">
        <w:tab/>
      </w:r>
      <w:r w:rsidR="00D82A01" w:rsidRPr="00396508">
        <w:t>Regulation prior to 2008</w:t>
      </w:r>
      <w:bookmarkEnd w:id="63"/>
    </w:p>
    <w:p w:rsidR="00D82A01" w:rsidRPr="00396508" w:rsidRDefault="00D82A01" w:rsidP="00D82A01">
      <w:r w:rsidRPr="00396508">
        <w:t>Prior to the introduction of the Tutin Standard beekeepers were required to ensure that honey was not harvested from beehives in areas where it was likely that the honey would be contaminated with harmful levels of tutin</w:t>
      </w:r>
      <w:r w:rsidR="000E3B31" w:rsidRPr="00396508">
        <w:t xml:space="preserve">. </w:t>
      </w:r>
      <w:r w:rsidRPr="00396508">
        <w:t>Prior to the introduction of the Animal Products Act in 1999, risk areas for toxic honey were determined by the then Ministry of Agriculture and Fisheries and periodically reviewed. The last review of these areas was in 1985. Over time the risk areas could change due to reforestation, regenerating scrub and changes in the distribution of vine hoppers. Keeping risk areas up to date requires frequent reviews of the distribution of tutu bushes and the distribution of vine hoppers. This is costly and difficult to accurately assess as tutu bushes often grow in areas that are difficult to access. It can be difficult to accurately locate all bushes in some areas, particularly if tutu has established in new areas. For these reasons, this method was not chosen in 2008 when temporary maximum levels were set to manage tutin in honey.</w:t>
      </w:r>
    </w:p>
    <w:p w:rsidR="00090134" w:rsidRPr="00396508" w:rsidRDefault="00090134" w:rsidP="00D82A01"/>
    <w:p w:rsidR="00D82A01" w:rsidRPr="00396508" w:rsidRDefault="00090134" w:rsidP="00090134">
      <w:pPr>
        <w:pStyle w:val="Heading1"/>
      </w:pPr>
      <w:bookmarkStart w:id="64" w:name="_Toc401736601"/>
      <w:bookmarkStart w:id="65" w:name="_Toc402438173"/>
      <w:r w:rsidRPr="00396508">
        <w:t>2</w:t>
      </w:r>
      <w:r w:rsidRPr="00396508">
        <w:tab/>
      </w:r>
      <w:r w:rsidR="00D82A01" w:rsidRPr="00396508">
        <w:t>Objectives</w:t>
      </w:r>
      <w:bookmarkEnd w:id="64"/>
      <w:bookmarkEnd w:id="65"/>
    </w:p>
    <w:p w:rsidR="00D82A01" w:rsidRPr="00396508" w:rsidRDefault="00E92852" w:rsidP="00F56FA6">
      <w:pPr>
        <w:pStyle w:val="Heading2"/>
      </w:pPr>
      <w:bookmarkStart w:id="66" w:name="_Toc402438174"/>
      <w:r w:rsidRPr="00396508">
        <w:t>2.1</w:t>
      </w:r>
      <w:r w:rsidR="00D82A01" w:rsidRPr="00396508">
        <w:tab/>
      </w:r>
      <w:bookmarkStart w:id="67" w:name="_Toc401736602"/>
      <w:r w:rsidR="00D82A01" w:rsidRPr="00396508">
        <w:t>Legislation</w:t>
      </w:r>
      <w:bookmarkEnd w:id="67"/>
      <w:bookmarkEnd w:id="66"/>
    </w:p>
    <w:p w:rsidR="00D82A01" w:rsidRPr="00396508" w:rsidRDefault="00D82A01" w:rsidP="00D82A01">
      <w:r w:rsidRPr="00396508">
        <w:t>Where statutory interventions are required under statutory requirements in the FSANZ Act (such as developing or varying a food standard), FSANZ is required by its legislation to meet three primary objectives which are set out in section 18 of the FSANZ Act. These are:</w:t>
      </w:r>
    </w:p>
    <w:p w:rsidR="00D82A01" w:rsidRPr="00396508" w:rsidRDefault="00D82A01" w:rsidP="00D82A01"/>
    <w:p w:rsidR="00D82A01" w:rsidRPr="00396508" w:rsidRDefault="002F3CDB" w:rsidP="002F3CDB">
      <w:pPr>
        <w:pStyle w:val="FSBullet1"/>
      </w:pPr>
      <w:r w:rsidRPr="00396508">
        <w:t>t</w:t>
      </w:r>
      <w:r w:rsidR="00D82A01" w:rsidRPr="00396508">
        <w:t>he protection of public health and safety</w:t>
      </w:r>
      <w:r w:rsidR="00CC356D" w:rsidRPr="00396508">
        <w:t>;</w:t>
      </w:r>
    </w:p>
    <w:p w:rsidR="00D82A01" w:rsidRPr="00396508" w:rsidRDefault="002F3CDB" w:rsidP="002F3CDB">
      <w:pPr>
        <w:pStyle w:val="FSBullet1"/>
      </w:pPr>
      <w:r w:rsidRPr="00396508">
        <w:t>t</w:t>
      </w:r>
      <w:r w:rsidR="00D82A01" w:rsidRPr="00396508">
        <w:t>he provision of adequate information relating to food to enable customers to make informed choices</w:t>
      </w:r>
      <w:r w:rsidR="00CC356D" w:rsidRPr="00396508">
        <w:t>; and</w:t>
      </w:r>
    </w:p>
    <w:p w:rsidR="00D82A01" w:rsidRPr="00396508" w:rsidRDefault="002F3CDB" w:rsidP="002F3CDB">
      <w:pPr>
        <w:pStyle w:val="FSBullet1"/>
      </w:pPr>
      <w:r w:rsidRPr="00396508">
        <w:t>t</w:t>
      </w:r>
      <w:r w:rsidR="00D82A01" w:rsidRPr="00396508">
        <w:t>he prevention of misleading or deceptive conduct.</w:t>
      </w:r>
    </w:p>
    <w:p w:rsidR="002F3CDB" w:rsidRPr="00396508" w:rsidRDefault="002F3CDB" w:rsidP="002F3CDB">
      <w:pPr>
        <w:rPr>
          <w:lang w:eastAsia="en-US"/>
        </w:rPr>
      </w:pPr>
    </w:p>
    <w:p w:rsidR="00D82A01" w:rsidRPr="00396508" w:rsidRDefault="00D82A01" w:rsidP="00D82A01">
      <w:r w:rsidRPr="00396508">
        <w:t>In developing and varying food regulatory measures, FSANZ must also give consideration to:</w:t>
      </w:r>
    </w:p>
    <w:p w:rsidR="00D82A01" w:rsidRPr="00396508" w:rsidRDefault="00D82A01" w:rsidP="00D82A01"/>
    <w:p w:rsidR="00D82A01" w:rsidRPr="00396508" w:rsidRDefault="002F3CDB" w:rsidP="002F3CDB">
      <w:pPr>
        <w:pStyle w:val="FSBullet1"/>
      </w:pPr>
      <w:r w:rsidRPr="00396508">
        <w:t>t</w:t>
      </w:r>
      <w:r w:rsidR="00D82A01" w:rsidRPr="00396508">
        <w:t>he need for standards to be based on risk analysis using the best available scientific evidence</w:t>
      </w:r>
      <w:r w:rsidR="00CC356D" w:rsidRPr="00396508">
        <w:t>;</w:t>
      </w:r>
    </w:p>
    <w:p w:rsidR="00D82A01" w:rsidRPr="00396508" w:rsidRDefault="002F3CDB" w:rsidP="002F3CDB">
      <w:pPr>
        <w:pStyle w:val="FSBullet1"/>
      </w:pPr>
      <w:r w:rsidRPr="00396508">
        <w:t>t</w:t>
      </w:r>
      <w:r w:rsidR="00D82A01" w:rsidRPr="00396508">
        <w:t>he promotion of consistency between domestic and international food standards</w:t>
      </w:r>
      <w:r w:rsidR="00CC356D" w:rsidRPr="00396508">
        <w:t>;</w:t>
      </w:r>
    </w:p>
    <w:p w:rsidR="00D82A01" w:rsidRPr="00396508" w:rsidRDefault="002F3CDB" w:rsidP="002F3CDB">
      <w:pPr>
        <w:pStyle w:val="FSBullet1"/>
      </w:pPr>
      <w:r w:rsidRPr="00396508">
        <w:t>t</w:t>
      </w:r>
      <w:r w:rsidR="00D82A01" w:rsidRPr="00396508">
        <w:t>he desirability of an efficient and internationally competitive food industry</w:t>
      </w:r>
      <w:r w:rsidR="00CC356D" w:rsidRPr="00396508">
        <w:t>;</w:t>
      </w:r>
    </w:p>
    <w:p w:rsidR="00D82A01" w:rsidRPr="00396508" w:rsidRDefault="002F3CDB" w:rsidP="002F3CDB">
      <w:pPr>
        <w:pStyle w:val="FSBullet1"/>
      </w:pPr>
      <w:r w:rsidRPr="00396508">
        <w:t>t</w:t>
      </w:r>
      <w:r w:rsidR="00D82A01" w:rsidRPr="00396508">
        <w:t>he promotion of fair trading in food</w:t>
      </w:r>
      <w:r w:rsidR="00CC356D" w:rsidRPr="00396508">
        <w:t>; and</w:t>
      </w:r>
    </w:p>
    <w:p w:rsidR="00D82A01" w:rsidRPr="00396508" w:rsidRDefault="002F3CDB" w:rsidP="002F3CDB">
      <w:pPr>
        <w:pStyle w:val="FSBullet1"/>
        <w:rPr>
          <w:rFonts w:eastAsia="SimSun"/>
          <w:lang w:eastAsia="zh-CN"/>
        </w:rPr>
      </w:pPr>
      <w:r w:rsidRPr="00396508">
        <w:t>a</w:t>
      </w:r>
      <w:r w:rsidR="00D82A01" w:rsidRPr="00396508">
        <w:t>ny written policy guidelines formulated by the Ministerial Council.</w:t>
      </w:r>
      <w:r w:rsidR="00D82A01" w:rsidRPr="00396508" w:rsidDel="00FC0A33">
        <w:t xml:space="preserve"> </w:t>
      </w:r>
    </w:p>
    <w:p w:rsidR="00D82A01" w:rsidRPr="00396508" w:rsidRDefault="00E92852" w:rsidP="00F56FA6">
      <w:pPr>
        <w:pStyle w:val="Heading2"/>
      </w:pPr>
      <w:bookmarkStart w:id="68" w:name="_Toc388274019"/>
      <w:bookmarkStart w:id="69" w:name="_Toc387655319"/>
      <w:bookmarkStart w:id="70" w:name="_Toc385247448"/>
      <w:bookmarkStart w:id="71" w:name="_Toc385502383"/>
      <w:bookmarkStart w:id="72" w:name="_Toc386456254"/>
      <w:bookmarkStart w:id="73" w:name="_Toc386456905"/>
      <w:bookmarkStart w:id="74" w:name="_Toc386528973"/>
      <w:bookmarkStart w:id="75" w:name="_Toc402438175"/>
      <w:bookmarkEnd w:id="68"/>
      <w:bookmarkEnd w:id="69"/>
      <w:bookmarkEnd w:id="70"/>
      <w:bookmarkEnd w:id="71"/>
      <w:bookmarkEnd w:id="72"/>
      <w:bookmarkEnd w:id="73"/>
      <w:bookmarkEnd w:id="74"/>
      <w:r w:rsidRPr="00396508">
        <w:t>2.2</w:t>
      </w:r>
      <w:r w:rsidR="00D82A01" w:rsidRPr="00396508">
        <w:tab/>
      </w:r>
      <w:bookmarkStart w:id="76" w:name="_Toc401736603"/>
      <w:r w:rsidR="00D82A01" w:rsidRPr="00396508">
        <w:t>Criteria</w:t>
      </w:r>
      <w:bookmarkEnd w:id="76"/>
      <w:bookmarkEnd w:id="75"/>
    </w:p>
    <w:p w:rsidR="00D82A01" w:rsidRPr="00396508" w:rsidRDefault="00D82A01" w:rsidP="00D82A01">
      <w:r w:rsidRPr="00396508">
        <w:t>Based on the legislative objectives above, a set of criteria in relation to tutin in honey have been derived for the purposes of this RIS. These are:</w:t>
      </w:r>
    </w:p>
    <w:p w:rsidR="00D82A01" w:rsidRPr="00396508" w:rsidRDefault="00D82A01" w:rsidP="00D82A01"/>
    <w:p w:rsidR="00D82A01" w:rsidRPr="00396508" w:rsidRDefault="002F3CDB" w:rsidP="002F3CDB">
      <w:pPr>
        <w:pStyle w:val="FSBullet1"/>
      </w:pPr>
      <w:r w:rsidRPr="00396508">
        <w:t>p</w:t>
      </w:r>
      <w:r w:rsidR="00D82A01" w:rsidRPr="00396508">
        <w:t>rotection of public health and safety</w:t>
      </w:r>
      <w:r w:rsidR="00CC356D" w:rsidRPr="00396508">
        <w:t>;</w:t>
      </w:r>
      <w:r w:rsidR="00D82A01" w:rsidRPr="00396508">
        <w:t xml:space="preserve">  </w:t>
      </w:r>
    </w:p>
    <w:p w:rsidR="00D82A01" w:rsidRPr="00396508" w:rsidRDefault="002F3CDB" w:rsidP="002F3CDB">
      <w:pPr>
        <w:pStyle w:val="FSBullet1"/>
        <w:rPr>
          <w:rStyle w:val="FSBulletChar"/>
        </w:rPr>
      </w:pPr>
      <w:r w:rsidRPr="00396508">
        <w:t>s</w:t>
      </w:r>
      <w:r w:rsidR="00D82A01" w:rsidRPr="00396508">
        <w:t>tandards should be based on risk analysis using the best available scientific evidence</w:t>
      </w:r>
      <w:r w:rsidR="00CC356D" w:rsidRPr="00396508">
        <w:t>;</w:t>
      </w:r>
    </w:p>
    <w:p w:rsidR="00D82A01" w:rsidRPr="00396508" w:rsidRDefault="002F3CDB" w:rsidP="002F3CDB">
      <w:pPr>
        <w:pStyle w:val="FSBullet1"/>
      </w:pPr>
      <w:r w:rsidRPr="00396508">
        <w:rPr>
          <w:rStyle w:val="FSBulletChar"/>
        </w:rPr>
        <w:t>s</w:t>
      </w:r>
      <w:r w:rsidR="00D82A01" w:rsidRPr="00396508">
        <w:rPr>
          <w:rStyle w:val="FSBulletChar"/>
        </w:rPr>
        <w:t>upporting an efficient and internationally competitive food industry</w:t>
      </w:r>
      <w:r w:rsidR="00CC356D" w:rsidRPr="00396508">
        <w:rPr>
          <w:rStyle w:val="FSBulletChar"/>
        </w:rPr>
        <w:t xml:space="preserve">; and </w:t>
      </w:r>
      <w:r w:rsidR="00D82A01" w:rsidRPr="00396508">
        <w:rPr>
          <w:rStyle w:val="FSBulletChar"/>
        </w:rPr>
        <w:t xml:space="preserve"> </w:t>
      </w:r>
    </w:p>
    <w:p w:rsidR="00D82A01" w:rsidRPr="00396508" w:rsidRDefault="002F3CDB" w:rsidP="002F3CDB">
      <w:pPr>
        <w:pStyle w:val="FSBullet1"/>
      </w:pPr>
      <w:r w:rsidRPr="00396508">
        <w:t>m</w:t>
      </w:r>
      <w:r w:rsidR="00D82A01" w:rsidRPr="00396508">
        <w:t xml:space="preserve">inimising implementation costs for industry and government. </w:t>
      </w:r>
    </w:p>
    <w:p w:rsidR="002F3CDB" w:rsidRPr="00396508" w:rsidRDefault="002F3CDB" w:rsidP="00090134">
      <w:pPr>
        <w:rPr>
          <w:lang w:eastAsia="en-US" w:bidi="en-US"/>
        </w:rPr>
      </w:pPr>
      <w:r w:rsidRPr="00396508">
        <w:rPr>
          <w:lang w:eastAsia="en-US" w:bidi="en-US"/>
        </w:rPr>
        <w:br w:type="page"/>
      </w:r>
    </w:p>
    <w:p w:rsidR="00D82A01" w:rsidRPr="00396508" w:rsidRDefault="00090134" w:rsidP="00090134">
      <w:pPr>
        <w:pStyle w:val="Heading1"/>
      </w:pPr>
      <w:bookmarkStart w:id="77" w:name="_Toc400015982"/>
      <w:bookmarkStart w:id="78" w:name="_Toc400034384"/>
      <w:bookmarkStart w:id="79" w:name="_Toc400034535"/>
      <w:bookmarkStart w:id="80" w:name="_Toc400034585"/>
      <w:bookmarkStart w:id="81" w:name="_Toc385237417"/>
      <w:bookmarkStart w:id="82" w:name="_Toc401736604"/>
      <w:bookmarkStart w:id="83" w:name="_Toc402438176"/>
      <w:bookmarkEnd w:id="39"/>
      <w:bookmarkEnd w:id="40"/>
      <w:bookmarkEnd w:id="41"/>
      <w:bookmarkEnd w:id="42"/>
      <w:bookmarkEnd w:id="43"/>
      <w:bookmarkEnd w:id="44"/>
      <w:bookmarkEnd w:id="45"/>
      <w:bookmarkEnd w:id="46"/>
      <w:bookmarkEnd w:id="47"/>
      <w:bookmarkEnd w:id="48"/>
      <w:bookmarkEnd w:id="49"/>
      <w:bookmarkEnd w:id="77"/>
      <w:bookmarkEnd w:id="78"/>
      <w:bookmarkEnd w:id="79"/>
      <w:bookmarkEnd w:id="80"/>
      <w:bookmarkEnd w:id="81"/>
      <w:r w:rsidRPr="00396508">
        <w:lastRenderedPageBreak/>
        <w:t>3</w:t>
      </w:r>
      <w:r w:rsidRPr="00396508">
        <w:tab/>
      </w:r>
      <w:r w:rsidR="00D82A01" w:rsidRPr="00396508">
        <w:t>Options</w:t>
      </w:r>
      <w:bookmarkEnd w:id="82"/>
      <w:bookmarkEnd w:id="83"/>
    </w:p>
    <w:p w:rsidR="00D82A01" w:rsidRPr="00396508" w:rsidRDefault="00E92852" w:rsidP="00F56FA6">
      <w:pPr>
        <w:pStyle w:val="Heading2"/>
      </w:pPr>
      <w:bookmarkStart w:id="84" w:name="_Toc388274024"/>
      <w:bookmarkStart w:id="85" w:name="_Toc386456257"/>
      <w:bookmarkStart w:id="86" w:name="_Toc386456908"/>
      <w:bookmarkStart w:id="87" w:name="_Toc386528976"/>
      <w:bookmarkStart w:id="88" w:name="_Toc388274025"/>
      <w:bookmarkStart w:id="89" w:name="_Toc401736605"/>
      <w:bookmarkStart w:id="90" w:name="_Toc402438177"/>
      <w:bookmarkEnd w:id="84"/>
      <w:bookmarkEnd w:id="85"/>
      <w:bookmarkEnd w:id="86"/>
      <w:bookmarkEnd w:id="87"/>
      <w:bookmarkEnd w:id="88"/>
      <w:r w:rsidRPr="00396508">
        <w:t>3.1</w:t>
      </w:r>
      <w:r w:rsidRPr="00396508">
        <w:tab/>
      </w:r>
      <w:r w:rsidR="00D82A01" w:rsidRPr="00396508">
        <w:t>Changes to options following consultation</w:t>
      </w:r>
      <w:bookmarkEnd w:id="89"/>
      <w:bookmarkEnd w:id="90"/>
    </w:p>
    <w:p w:rsidR="00D82A01" w:rsidRPr="00396508" w:rsidRDefault="00D82A01" w:rsidP="00D82A01">
      <w:r w:rsidRPr="00396508">
        <w:t>A status quo, or do nothing option, is normally used to compare options against in a cost benefit analysis</w:t>
      </w:r>
      <w:r w:rsidR="000E3B31" w:rsidRPr="00396508">
        <w:t xml:space="preserve">. </w:t>
      </w:r>
      <w:r w:rsidRPr="00396508">
        <w:t>For this analysis, deciding on a status quo option was not straight forward</w:t>
      </w:r>
      <w:r w:rsidR="000E3B31" w:rsidRPr="00396508">
        <w:t xml:space="preserve">. </w:t>
      </w:r>
      <w:r w:rsidRPr="00396508">
        <w:t>While the status quo could be considered to be the situation beyond the expiry of the maximum levels on 31 March 2015, the present-day situation for industry is the requirement to comply with the existing maximum levels in the Code</w:t>
      </w:r>
      <w:r w:rsidR="000E3B31" w:rsidRPr="00396508">
        <w:t xml:space="preserve">. </w:t>
      </w:r>
      <w:r w:rsidRPr="00396508">
        <w:t>Therefore, the status quo for this analysis has been amended since the Consultation RIS to the option which retains the current maximum levels.</w:t>
      </w:r>
      <w:r w:rsidRPr="00396508">
        <w:rPr>
          <w:rFonts w:cs="Arial"/>
        </w:rPr>
        <w:t xml:space="preserve"> This has made analysis easier and more intuitive</w:t>
      </w:r>
      <w:r w:rsidR="000E3B31" w:rsidRPr="00396508">
        <w:t xml:space="preserve">. </w:t>
      </w:r>
    </w:p>
    <w:p w:rsidR="00D82A01" w:rsidRPr="00396508" w:rsidRDefault="00D82A01" w:rsidP="00D82A01"/>
    <w:p w:rsidR="00D82A01" w:rsidRPr="00396508" w:rsidRDefault="00D82A01" w:rsidP="00D82A01">
      <w:pPr>
        <w:rPr>
          <w:rFonts w:cs="Arial"/>
        </w:rPr>
      </w:pPr>
      <w:r w:rsidRPr="00396508">
        <w:rPr>
          <w:rFonts w:cs="Arial"/>
        </w:rPr>
        <w:t xml:space="preserve">The drafting associated with </w:t>
      </w:r>
      <w:r w:rsidR="0091789C" w:rsidRPr="00396508">
        <w:rPr>
          <w:rFonts w:cs="Arial"/>
        </w:rPr>
        <w:t>O</w:t>
      </w:r>
      <w:r w:rsidRPr="00396508">
        <w:rPr>
          <w:rFonts w:cs="Arial"/>
        </w:rPr>
        <w:t>ption 4 has been amended since the Consultation RIS to apply a maximum level of 0.7 mg/kg to all honey (including comb honey), instead of setting separate maximum levels of 0.7 mg/kg for honey and 0.01 mg/kg for comb honey as proposed in the Consultation RIS</w:t>
      </w:r>
      <w:r w:rsidR="000E3B31" w:rsidRPr="00396508">
        <w:rPr>
          <w:rFonts w:cs="Arial"/>
        </w:rPr>
        <w:t xml:space="preserve">. </w:t>
      </w:r>
      <w:r w:rsidRPr="00396508">
        <w:rPr>
          <w:rFonts w:cs="Arial"/>
        </w:rPr>
        <w:t>This change is a result of concern raised in MPI’s submission about the previously proposed drafting for comb honey (see section 5 on consultation). MPI noted that the maximum level of 0.01 mg/kg would conflict with the New Zealand Tutin Standard which requires the drip and leftover comb to contain less than 0.01</w:t>
      </w:r>
      <w:r w:rsidR="008F38D1" w:rsidRPr="00396508">
        <w:rPr>
          <w:rFonts w:cs="Arial"/>
        </w:rPr>
        <w:t> </w:t>
      </w:r>
      <w:r w:rsidRPr="00396508">
        <w:rPr>
          <w:rFonts w:cs="Arial"/>
        </w:rPr>
        <w:t xml:space="preserve">mg/kg at production stage (under the testing compliance options), rather than at retail sale. </w:t>
      </w:r>
    </w:p>
    <w:p w:rsidR="00D82A01" w:rsidRPr="00396508" w:rsidRDefault="00D82A01" w:rsidP="00D82A01">
      <w:pPr>
        <w:rPr>
          <w:rFonts w:cs="Arial"/>
        </w:rPr>
      </w:pPr>
    </w:p>
    <w:p w:rsidR="00D82A01" w:rsidRPr="00396508" w:rsidRDefault="00D82A01" w:rsidP="00D82A01">
      <w:pPr>
        <w:rPr>
          <w:rFonts w:cs="Arial"/>
        </w:rPr>
      </w:pPr>
      <w:r w:rsidRPr="00396508">
        <w:rPr>
          <w:rFonts w:cs="Arial"/>
        </w:rPr>
        <w:t>After considering the submissions, FSANZ agreed that the imposition of such a low maximum level (of 0.01 mg/kg) sold at retail sale is not appropriate</w:t>
      </w:r>
      <w:r w:rsidR="000E3B31" w:rsidRPr="00396508">
        <w:rPr>
          <w:rFonts w:cs="Arial"/>
        </w:rPr>
        <w:t xml:space="preserve">. </w:t>
      </w:r>
      <w:r w:rsidRPr="00396508">
        <w:rPr>
          <w:rFonts w:cs="Arial"/>
        </w:rPr>
        <w:t>As noted above, the New Zealand Tutin Standard already specifies that the level of tutin should be less than 0.01</w:t>
      </w:r>
      <w:r w:rsidR="008F38D1" w:rsidRPr="00396508">
        <w:rPr>
          <w:rFonts w:cs="Arial"/>
        </w:rPr>
        <w:t> </w:t>
      </w:r>
      <w:r w:rsidRPr="00396508">
        <w:rPr>
          <w:rFonts w:cs="Arial"/>
        </w:rPr>
        <w:t>mg/kg for comb honey at the point of production. MPI advised that the compliance options prescribed by the New Zealand Tutin Standard will ensure the safety of comb honey at retail sale. That is, if the drip and leftover comb at production stage contain less than 0.01 mg/kg tutin (i.e. no detectable tutin) as required under the testing options in the New Zealand Standard, the likelihood of an individual portion of comb containing more than 0.7 mg/kg at retail sale, is expected to be low</w:t>
      </w:r>
      <w:r w:rsidR="000E3B31" w:rsidRPr="00396508">
        <w:rPr>
          <w:rFonts w:cs="Arial"/>
        </w:rPr>
        <w:t xml:space="preserve">. </w:t>
      </w:r>
      <w:r w:rsidR="000478D2" w:rsidRPr="00396508">
        <w:rPr>
          <w:rFonts w:cs="Arial"/>
        </w:rPr>
        <w:t>In effect there is no change in the level of safety protection, regardless of whether the maximum level is set at 0.1 mg/kg (as currently prescribed) or 0.7</w:t>
      </w:r>
      <w:r w:rsidR="00C8444F" w:rsidRPr="00396508">
        <w:rPr>
          <w:rFonts w:cs="Arial"/>
        </w:rPr>
        <w:t> </w:t>
      </w:r>
      <w:r w:rsidR="000478D2" w:rsidRPr="00396508">
        <w:rPr>
          <w:rFonts w:cs="Arial"/>
        </w:rPr>
        <w:t>mg/kg (as proposed) because the compliance options in the New Zealand Standard for comb honey remain unchanged i.e. 0.01mg/kg needs to be met for the drip and leftover comb honey</w:t>
      </w:r>
      <w:r w:rsidR="000E3B31" w:rsidRPr="00396508">
        <w:rPr>
          <w:rFonts w:cs="Arial"/>
        </w:rPr>
        <w:t xml:space="preserve">. </w:t>
      </w:r>
      <w:r w:rsidRPr="00396508">
        <w:rPr>
          <w:rFonts w:cs="Arial"/>
        </w:rPr>
        <w:t>As noted in section 1.1.4, FSANZ’s risk assessment indicates that provided consumers are not exposed to tutin concentrations above 0.7 mg/kg in comb honey, the risk of adverse effects is low.</w:t>
      </w:r>
    </w:p>
    <w:p w:rsidR="00D82A01" w:rsidRPr="00396508" w:rsidRDefault="00D82A01" w:rsidP="00D82A01">
      <w:pPr>
        <w:rPr>
          <w:rFonts w:cs="Arial"/>
        </w:rPr>
      </w:pPr>
    </w:p>
    <w:p w:rsidR="00D82A01" w:rsidRPr="00396508" w:rsidRDefault="0091789C" w:rsidP="00D82A01">
      <w:pPr>
        <w:rPr>
          <w:rFonts w:cs="Arial"/>
        </w:rPr>
      </w:pPr>
      <w:r w:rsidRPr="00396508">
        <w:rPr>
          <w:rFonts w:cs="Arial"/>
        </w:rPr>
        <w:t>Consequently, O</w:t>
      </w:r>
      <w:r w:rsidR="00D82A01" w:rsidRPr="00396508">
        <w:rPr>
          <w:rFonts w:cs="Arial"/>
        </w:rPr>
        <w:t>ption 4 has been amended to apply a maximum level of 0.7 mg/kg for all honey (including comb honey) in the Code. This avoids any conflict between the Code and the New Zealand Tutin Standard in relation to comb honey. In practice, this does not impose any change on current industry practices for comb honey since the compliance options in the New Zealand Tutin Standard for comb honey remain unchanged.</w:t>
      </w:r>
    </w:p>
    <w:p w:rsidR="00D82A01" w:rsidRPr="00396508" w:rsidRDefault="00E92852" w:rsidP="00F56FA6">
      <w:pPr>
        <w:pStyle w:val="Heading2"/>
      </w:pPr>
      <w:bookmarkStart w:id="91" w:name="_Toc400015984"/>
      <w:bookmarkStart w:id="92" w:name="_Toc400034386"/>
      <w:bookmarkStart w:id="93" w:name="_Toc400034537"/>
      <w:bookmarkStart w:id="94" w:name="_Toc400034587"/>
      <w:bookmarkStart w:id="95" w:name="_Toc400015986"/>
      <w:bookmarkStart w:id="96" w:name="_Toc400034388"/>
      <w:bookmarkStart w:id="97" w:name="_Toc400034539"/>
      <w:bookmarkStart w:id="98" w:name="_Toc400034589"/>
      <w:bookmarkStart w:id="99" w:name="_Toc400015988"/>
      <w:bookmarkStart w:id="100" w:name="_Toc400034390"/>
      <w:bookmarkStart w:id="101" w:name="_Toc400034541"/>
      <w:bookmarkStart w:id="102" w:name="_Toc400034591"/>
      <w:bookmarkStart w:id="103" w:name="_Toc401736606"/>
      <w:bookmarkStart w:id="104" w:name="_Toc402438178"/>
      <w:bookmarkEnd w:id="91"/>
      <w:bookmarkEnd w:id="92"/>
      <w:bookmarkEnd w:id="93"/>
      <w:bookmarkEnd w:id="94"/>
      <w:bookmarkEnd w:id="95"/>
      <w:bookmarkEnd w:id="96"/>
      <w:bookmarkEnd w:id="97"/>
      <w:bookmarkEnd w:id="98"/>
      <w:bookmarkEnd w:id="99"/>
      <w:bookmarkEnd w:id="100"/>
      <w:bookmarkEnd w:id="101"/>
      <w:bookmarkEnd w:id="102"/>
      <w:r w:rsidRPr="00396508">
        <w:t>3.2</w:t>
      </w:r>
      <w:r w:rsidRPr="00396508">
        <w:tab/>
      </w:r>
      <w:r w:rsidR="00D82A01" w:rsidRPr="00396508">
        <w:t xml:space="preserve">Option 1: </w:t>
      </w:r>
      <w:r w:rsidR="00D82A01" w:rsidRPr="00396508">
        <w:rPr>
          <w:i/>
        </w:rPr>
        <w:t>Status Quo</w:t>
      </w:r>
      <w:r w:rsidR="00D82A01" w:rsidRPr="00396508">
        <w:t>: Retain the current maximum levels</w:t>
      </w:r>
      <w:bookmarkEnd w:id="103"/>
      <w:bookmarkEnd w:id="104"/>
      <w:r w:rsidR="00D82A01" w:rsidRPr="00396508">
        <w:t xml:space="preserve"> </w:t>
      </w:r>
    </w:p>
    <w:p w:rsidR="00D82A01" w:rsidRPr="00396508" w:rsidRDefault="00D82A01" w:rsidP="00D82A01">
      <w:pPr>
        <w:rPr>
          <w:lang w:eastAsia="x-none"/>
        </w:rPr>
      </w:pPr>
      <w:r w:rsidRPr="00396508">
        <w:rPr>
          <w:b/>
          <w:lang w:eastAsia="x-none"/>
        </w:rPr>
        <w:t>Description</w:t>
      </w:r>
      <w:r w:rsidRPr="00396508">
        <w:rPr>
          <w:lang w:eastAsia="x-none"/>
        </w:rPr>
        <w:t xml:space="preserve">: Retain the current maximum levels and make them permanent </w:t>
      </w:r>
    </w:p>
    <w:p w:rsidR="00D82A01" w:rsidRPr="00396508" w:rsidRDefault="00D82A01" w:rsidP="00D82A01">
      <w:pPr>
        <w:rPr>
          <w:lang w:eastAsia="x-none"/>
        </w:rPr>
      </w:pPr>
    </w:p>
    <w:p w:rsidR="000E3B31" w:rsidRPr="00396508" w:rsidRDefault="00D82A01" w:rsidP="00D82A01">
      <w:pPr>
        <w:rPr>
          <w:lang w:eastAsia="x-none"/>
        </w:rPr>
      </w:pPr>
      <w:r w:rsidRPr="00396508">
        <w:rPr>
          <w:lang w:eastAsia="x-none"/>
        </w:rPr>
        <w:t>Under this option the existing maximum levels for tutin in honey of 2 mg/kg and in comb honey of 0.1 mg/kg would become the permanent maximum levels</w:t>
      </w:r>
      <w:r w:rsidR="000E3B31" w:rsidRPr="00396508">
        <w:rPr>
          <w:lang w:eastAsia="x-none"/>
        </w:rPr>
        <w:t xml:space="preserve">. </w:t>
      </w:r>
      <w:r w:rsidRPr="00396508">
        <w:rPr>
          <w:lang w:eastAsia="x-none"/>
        </w:rPr>
        <w:t>The expiry date for the current maximum levels of 31 March 2015 would be removed</w:t>
      </w:r>
      <w:r w:rsidR="000E3B31" w:rsidRPr="00396508">
        <w:rPr>
          <w:lang w:eastAsia="x-none"/>
        </w:rPr>
        <w:t xml:space="preserve">. </w:t>
      </w:r>
      <w:r w:rsidRPr="00396508">
        <w:rPr>
          <w:lang w:eastAsia="x-none"/>
        </w:rPr>
        <w:t>The options for compliance in the Tutin Standard would still apply</w:t>
      </w:r>
      <w:r w:rsidR="000E3B31" w:rsidRPr="00396508">
        <w:rPr>
          <w:lang w:eastAsia="x-none"/>
        </w:rPr>
        <w:t xml:space="preserve">. </w:t>
      </w:r>
      <w:r w:rsidR="000E3B31" w:rsidRPr="00396508">
        <w:rPr>
          <w:lang w:eastAsia="x-none"/>
        </w:rPr>
        <w:br w:type="page"/>
      </w:r>
    </w:p>
    <w:p w:rsidR="00D82A01" w:rsidRPr="00396508" w:rsidRDefault="00D82A01" w:rsidP="00D82A01">
      <w:pPr>
        <w:rPr>
          <w:lang w:eastAsia="x-none"/>
        </w:rPr>
      </w:pPr>
      <w:r w:rsidRPr="00396508">
        <w:lastRenderedPageBreak/>
        <w:t xml:space="preserve">There would also continue to be protection </w:t>
      </w:r>
      <w:r w:rsidR="00E95783" w:rsidRPr="00396508">
        <w:t>for consumers, initially under s</w:t>
      </w:r>
      <w:r w:rsidRPr="00396508">
        <w:t xml:space="preserve">ection 9 of the </w:t>
      </w:r>
      <w:r w:rsidRPr="00396508">
        <w:rPr>
          <w:i/>
        </w:rPr>
        <w:t>Food Act 1981</w:t>
      </w:r>
      <w:r w:rsidRPr="00396508">
        <w:t xml:space="preserve"> and then under </w:t>
      </w:r>
      <w:r w:rsidR="000E3B31" w:rsidRPr="00396508">
        <w:t>s</w:t>
      </w:r>
      <w:r w:rsidRPr="00396508">
        <w:t xml:space="preserve">ection 14 of the </w:t>
      </w:r>
      <w:r w:rsidRPr="00396508">
        <w:rPr>
          <w:i/>
        </w:rPr>
        <w:t>Food Act 2014</w:t>
      </w:r>
      <w:r w:rsidRPr="00396508">
        <w:t>, which prohibit the sale of unsafe or contaminated food. The export requirements under the New Zealand Animal Products Act would still apply</w:t>
      </w:r>
      <w:r w:rsidR="000E3B31" w:rsidRPr="00396508">
        <w:t xml:space="preserve">. </w:t>
      </w:r>
    </w:p>
    <w:p w:rsidR="00D82A01" w:rsidRPr="00396508" w:rsidRDefault="00E92852" w:rsidP="00F56FA6">
      <w:pPr>
        <w:pStyle w:val="Heading2"/>
      </w:pPr>
      <w:bookmarkStart w:id="105" w:name="_Toc398811508"/>
      <w:bookmarkStart w:id="106" w:name="_Toc398811644"/>
      <w:bookmarkStart w:id="107" w:name="_Toc398811780"/>
      <w:bookmarkStart w:id="108" w:name="_Toc398811916"/>
      <w:bookmarkStart w:id="109" w:name="_Toc398812052"/>
      <w:bookmarkStart w:id="110" w:name="_Toc399145870"/>
      <w:bookmarkStart w:id="111" w:name="_Toc399232767"/>
      <w:bookmarkStart w:id="112" w:name="_Toc399232925"/>
      <w:bookmarkStart w:id="113" w:name="_Toc399233083"/>
      <w:bookmarkStart w:id="114" w:name="_Toc399233242"/>
      <w:bookmarkStart w:id="115" w:name="_Toc399233589"/>
      <w:bookmarkStart w:id="116" w:name="_Toc401736607"/>
      <w:bookmarkStart w:id="117" w:name="_Toc402438179"/>
      <w:bookmarkEnd w:id="105"/>
      <w:bookmarkEnd w:id="106"/>
      <w:bookmarkEnd w:id="107"/>
      <w:bookmarkEnd w:id="108"/>
      <w:bookmarkEnd w:id="109"/>
      <w:bookmarkEnd w:id="110"/>
      <w:bookmarkEnd w:id="111"/>
      <w:bookmarkEnd w:id="112"/>
      <w:bookmarkEnd w:id="113"/>
      <w:bookmarkEnd w:id="114"/>
      <w:bookmarkEnd w:id="115"/>
      <w:r w:rsidRPr="00396508">
        <w:t>3.3</w:t>
      </w:r>
      <w:r w:rsidRPr="00396508">
        <w:tab/>
      </w:r>
      <w:r w:rsidR="00D82A01" w:rsidRPr="00396508">
        <w:t>Option 2: Temporary maximum levels expire and are not replaced</w:t>
      </w:r>
      <w:bookmarkEnd w:id="116"/>
      <w:bookmarkEnd w:id="117"/>
    </w:p>
    <w:p w:rsidR="00D82A01" w:rsidRPr="00396508" w:rsidRDefault="00D82A01" w:rsidP="00D82A01">
      <w:r w:rsidRPr="00396508">
        <w:rPr>
          <w:b/>
        </w:rPr>
        <w:t>Description</w:t>
      </w:r>
      <w:r w:rsidRPr="00396508">
        <w:t xml:space="preserve">: Let the temporary maximum levels expire with no new levels or measures in place </w:t>
      </w:r>
    </w:p>
    <w:p w:rsidR="00D82A01" w:rsidRPr="00396508" w:rsidRDefault="00D82A01" w:rsidP="00D82A01"/>
    <w:p w:rsidR="00D82A01" w:rsidRPr="00396508" w:rsidRDefault="00D82A01" w:rsidP="00D82A01">
      <w:r w:rsidRPr="00396508">
        <w:t xml:space="preserve">Under this option the temporary maximum levels in the Code would expire on 31 March 2015 and the Tutin Standard would be revoked in New Zealand. There would still be some protection </w:t>
      </w:r>
      <w:r w:rsidR="00396508" w:rsidRPr="00396508">
        <w:t>for consumers, initially under s</w:t>
      </w:r>
      <w:r w:rsidRPr="00396508">
        <w:t xml:space="preserve">ection 9 of the </w:t>
      </w:r>
      <w:r w:rsidRPr="00396508">
        <w:rPr>
          <w:i/>
        </w:rPr>
        <w:t>Food Act 1981</w:t>
      </w:r>
      <w:r w:rsidR="00396508" w:rsidRPr="00396508">
        <w:t xml:space="preserve"> and then under s</w:t>
      </w:r>
      <w:r w:rsidRPr="00396508">
        <w:t xml:space="preserve">ection 14 of the </w:t>
      </w:r>
      <w:r w:rsidRPr="00396508">
        <w:rPr>
          <w:i/>
        </w:rPr>
        <w:t>Food Act 2014</w:t>
      </w:r>
      <w:r w:rsidRPr="00396508">
        <w:t xml:space="preserve"> which prohibits the sale of unsafe or contaminated food. This option does not provide clarity on what constitutes unsafe food and only allows regulatory action after a poisoning event:  it does not provide for intervention to prevent poisonings occurring in the first place. The export requirements under the New Zealand Animal Products Act would still apply and would probably need to be strengthened to include maximum limits for tutin</w:t>
      </w:r>
      <w:r w:rsidR="000E3B31" w:rsidRPr="00396508">
        <w:t xml:space="preserve">. </w:t>
      </w:r>
    </w:p>
    <w:p w:rsidR="00D82A01" w:rsidRPr="00396508" w:rsidRDefault="00E92852" w:rsidP="00F56FA6">
      <w:pPr>
        <w:pStyle w:val="Heading2"/>
      </w:pPr>
      <w:bookmarkStart w:id="118" w:name="_Toc386456259"/>
      <w:bookmarkStart w:id="119" w:name="_Toc386456910"/>
      <w:bookmarkStart w:id="120" w:name="_Toc386528978"/>
      <w:bookmarkStart w:id="121" w:name="_Toc402438180"/>
      <w:bookmarkEnd w:id="118"/>
      <w:bookmarkEnd w:id="119"/>
      <w:bookmarkEnd w:id="120"/>
      <w:r w:rsidRPr="00396508">
        <w:t>3.4</w:t>
      </w:r>
      <w:r w:rsidR="00D82A01" w:rsidRPr="00396508">
        <w:tab/>
      </w:r>
      <w:bookmarkStart w:id="122" w:name="_Toc401736608"/>
      <w:r w:rsidR="00D82A01" w:rsidRPr="00396508">
        <w:t xml:space="preserve">Option 3: Temporary maximum levels expire and </w:t>
      </w:r>
      <w:r w:rsidR="00204A5F" w:rsidRPr="00396508">
        <w:t xml:space="preserve">are </w:t>
      </w:r>
      <w:r w:rsidR="00D82A01" w:rsidRPr="00396508">
        <w:t>replaced with a voluntary industry code of practice</w:t>
      </w:r>
      <w:bookmarkEnd w:id="122"/>
      <w:bookmarkEnd w:id="121"/>
    </w:p>
    <w:p w:rsidR="00D82A01" w:rsidRPr="00396508" w:rsidRDefault="00D82A01" w:rsidP="00D82A01">
      <w:r w:rsidRPr="00396508">
        <w:rPr>
          <w:b/>
        </w:rPr>
        <w:t>Description:</w:t>
      </w:r>
      <w:r w:rsidRPr="00396508">
        <w:t xml:space="preserve"> Let the temporary maximum levels expire and encourage the honey industry to adopt a code of practice </w:t>
      </w:r>
    </w:p>
    <w:p w:rsidR="00D82A01" w:rsidRPr="00396508" w:rsidRDefault="00D82A01" w:rsidP="00D82A01"/>
    <w:p w:rsidR="00D82A01" w:rsidRPr="00396508" w:rsidRDefault="00D82A01" w:rsidP="00D82A01">
      <w:r w:rsidRPr="00396508">
        <w:t xml:space="preserve">Under this option the temporary maximum levels in the Code would expire on 31 March 2015 and the Tutin Standard would be revoked in New Zealand. Industry would </w:t>
      </w:r>
      <w:r w:rsidR="00CC356D" w:rsidRPr="00396508">
        <w:t xml:space="preserve">then </w:t>
      </w:r>
      <w:r w:rsidRPr="00396508">
        <w:t>be encouraged to adopt a code of practice. This code could be developed by industry or government or a combination of both but would be administered by industry. Government could apply additional measures such as education of the honey industry and would independently monitor the effectiveness of the code. As under Option 1, the sale of unsafe food would be prohibited under the New Zealand Food Acts and the export requirements under the New Zealand Animal Products Act would still apply and would probably need to be strengthened to include maximum limits for tutin</w:t>
      </w:r>
      <w:r w:rsidR="000E3B31" w:rsidRPr="00396508">
        <w:t xml:space="preserve">. </w:t>
      </w:r>
      <w:r w:rsidRPr="00396508">
        <w:t xml:space="preserve">  </w:t>
      </w:r>
    </w:p>
    <w:p w:rsidR="00D82A01" w:rsidRPr="00396508" w:rsidRDefault="00E92852" w:rsidP="00F56FA6">
      <w:pPr>
        <w:pStyle w:val="Heading2"/>
      </w:pPr>
      <w:bookmarkStart w:id="123" w:name="_Toc398811511"/>
      <w:bookmarkStart w:id="124" w:name="_Toc398811647"/>
      <w:bookmarkStart w:id="125" w:name="_Toc398811783"/>
      <w:bookmarkStart w:id="126" w:name="_Toc398811919"/>
      <w:bookmarkStart w:id="127" w:name="_Toc398812055"/>
      <w:bookmarkStart w:id="128" w:name="_Toc399145873"/>
      <w:bookmarkStart w:id="129" w:name="_Toc399232770"/>
      <w:bookmarkStart w:id="130" w:name="_Toc399232928"/>
      <w:bookmarkStart w:id="131" w:name="_Toc399233086"/>
      <w:bookmarkStart w:id="132" w:name="_Toc399233245"/>
      <w:bookmarkStart w:id="133" w:name="_Toc399233592"/>
      <w:bookmarkStart w:id="134" w:name="_Toc398811514"/>
      <w:bookmarkStart w:id="135" w:name="_Toc398811650"/>
      <w:bookmarkStart w:id="136" w:name="_Toc398811786"/>
      <w:bookmarkStart w:id="137" w:name="_Toc398811922"/>
      <w:bookmarkStart w:id="138" w:name="_Toc398812058"/>
      <w:bookmarkStart w:id="139" w:name="_Toc399145876"/>
      <w:bookmarkStart w:id="140" w:name="_Toc399232773"/>
      <w:bookmarkStart w:id="141" w:name="_Toc399232931"/>
      <w:bookmarkStart w:id="142" w:name="_Toc399233089"/>
      <w:bookmarkStart w:id="143" w:name="_Toc399233248"/>
      <w:bookmarkStart w:id="144" w:name="_Toc399233595"/>
      <w:bookmarkStart w:id="145" w:name="_Toc398811515"/>
      <w:bookmarkStart w:id="146" w:name="_Toc398811651"/>
      <w:bookmarkStart w:id="147" w:name="_Toc398811787"/>
      <w:bookmarkStart w:id="148" w:name="_Toc398811923"/>
      <w:bookmarkStart w:id="149" w:name="_Toc398812059"/>
      <w:bookmarkStart w:id="150" w:name="_Toc399145877"/>
      <w:bookmarkStart w:id="151" w:name="_Toc399232774"/>
      <w:bookmarkStart w:id="152" w:name="_Toc399232932"/>
      <w:bookmarkStart w:id="153" w:name="_Toc399233090"/>
      <w:bookmarkStart w:id="154" w:name="_Toc399233249"/>
      <w:bookmarkStart w:id="155" w:name="_Toc399233596"/>
      <w:bookmarkStart w:id="156" w:name="_Toc398811516"/>
      <w:bookmarkStart w:id="157" w:name="_Toc398811652"/>
      <w:bookmarkStart w:id="158" w:name="_Toc398811788"/>
      <w:bookmarkStart w:id="159" w:name="_Toc398811924"/>
      <w:bookmarkStart w:id="160" w:name="_Toc398812060"/>
      <w:bookmarkStart w:id="161" w:name="_Toc399145878"/>
      <w:bookmarkStart w:id="162" w:name="_Toc399232775"/>
      <w:bookmarkStart w:id="163" w:name="_Toc399232933"/>
      <w:bookmarkStart w:id="164" w:name="_Toc399233091"/>
      <w:bookmarkStart w:id="165" w:name="_Toc399233250"/>
      <w:bookmarkStart w:id="166" w:name="_Toc399233597"/>
      <w:bookmarkStart w:id="167" w:name="_Toc386456261"/>
      <w:bookmarkStart w:id="168" w:name="_Toc386456912"/>
      <w:bookmarkStart w:id="169" w:name="_Toc386528980"/>
      <w:bookmarkStart w:id="170" w:name="_Toc401736609"/>
      <w:bookmarkStart w:id="171" w:name="_Toc40243818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396508">
        <w:t>3.5</w:t>
      </w:r>
      <w:r w:rsidRPr="00396508">
        <w:tab/>
      </w:r>
      <w:r w:rsidR="00D82A01" w:rsidRPr="00396508">
        <w:t>Option 4: Amend maximum levels</w:t>
      </w:r>
      <w:bookmarkEnd w:id="170"/>
      <w:bookmarkEnd w:id="171"/>
    </w:p>
    <w:p w:rsidR="00D82A01" w:rsidRPr="00396508" w:rsidRDefault="00D82A01" w:rsidP="00D82A01">
      <w:r w:rsidRPr="00396508">
        <w:rPr>
          <w:b/>
        </w:rPr>
        <w:t>Description:</w:t>
      </w:r>
      <w:r w:rsidRPr="00396508">
        <w:t xml:space="preserve"> Amend the maximum levels due to the results of recent research.</w:t>
      </w:r>
    </w:p>
    <w:p w:rsidR="00D82A01" w:rsidRPr="00396508" w:rsidRDefault="00D82A01" w:rsidP="00D82A01">
      <w:r w:rsidRPr="00396508">
        <w:t xml:space="preserve"> </w:t>
      </w:r>
    </w:p>
    <w:p w:rsidR="00D82A01" w:rsidRPr="00396508" w:rsidRDefault="00D82A01" w:rsidP="00D82A01">
      <w:r w:rsidRPr="00396508">
        <w:t>Under this option, the current maximum levels for tutin in honey of 2 mg/kg and tutin in comb honey of 0.1 mg/kg would both be amended to a permanent maximum level of 0.7 mg/kg</w:t>
      </w:r>
      <w:r w:rsidR="000E3B31" w:rsidRPr="00396508">
        <w:t xml:space="preserve">. </w:t>
      </w:r>
      <w:r w:rsidRPr="00396508">
        <w:t>The amendments to the maximum levels are based on research commissioned by MPI and FSANZ to gain more information about some of the effects observed in the 2008 poisoning in the Coromandel. As under Option 1, the sale of unsafe food would be prohibited under the New Zealand Food Acts and the export requirements under the New Zealand Animal Products Act would still apply.</w:t>
      </w:r>
    </w:p>
    <w:p w:rsidR="00D82A01" w:rsidRPr="00396508" w:rsidRDefault="00D82A01" w:rsidP="00D82A01">
      <w:bookmarkStart w:id="172" w:name="_Toc386456263"/>
      <w:bookmarkStart w:id="173" w:name="_Toc386456914"/>
      <w:bookmarkStart w:id="174" w:name="_Toc386528982"/>
      <w:bookmarkStart w:id="175" w:name="_Toc387045990"/>
      <w:bookmarkStart w:id="176" w:name="_Toc386456265"/>
      <w:bookmarkStart w:id="177" w:name="_Toc386456916"/>
      <w:bookmarkStart w:id="178" w:name="_Toc386528984"/>
      <w:bookmarkStart w:id="179" w:name="_Toc386456267"/>
      <w:bookmarkStart w:id="180" w:name="_Toc386456918"/>
      <w:bookmarkStart w:id="181" w:name="_Toc386528986"/>
      <w:bookmarkStart w:id="182" w:name="_Toc386456268"/>
      <w:bookmarkStart w:id="183" w:name="_Toc386456919"/>
      <w:bookmarkStart w:id="184" w:name="_Toc386528987"/>
      <w:bookmarkStart w:id="185" w:name="_Toc386456269"/>
      <w:bookmarkStart w:id="186" w:name="_Toc386456920"/>
      <w:bookmarkStart w:id="187" w:name="_Toc386528988"/>
      <w:bookmarkStart w:id="188" w:name="_Toc386456270"/>
      <w:bookmarkStart w:id="189" w:name="_Toc386456921"/>
      <w:bookmarkStart w:id="190" w:name="_Toc386528989"/>
      <w:bookmarkStart w:id="191" w:name="_Toc386456271"/>
      <w:bookmarkStart w:id="192" w:name="_Toc386456922"/>
      <w:bookmarkStart w:id="193" w:name="_Toc386528990"/>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0E3B31" w:rsidRPr="00396508" w:rsidRDefault="000E3B31" w:rsidP="00D82A01">
      <w:pPr>
        <w:pStyle w:val="Heading1"/>
      </w:pPr>
      <w:bookmarkStart w:id="194" w:name="_Toc401736610"/>
      <w:r w:rsidRPr="00396508">
        <w:br w:type="page"/>
      </w:r>
    </w:p>
    <w:p w:rsidR="00D82A01" w:rsidRPr="00396508" w:rsidRDefault="00090134" w:rsidP="00D82A01">
      <w:pPr>
        <w:pStyle w:val="Heading1"/>
      </w:pPr>
      <w:bookmarkStart w:id="195" w:name="_Toc402438182"/>
      <w:r w:rsidRPr="00396508">
        <w:lastRenderedPageBreak/>
        <w:t>4</w:t>
      </w:r>
      <w:r w:rsidRPr="00396508">
        <w:tab/>
      </w:r>
      <w:r w:rsidR="00D82A01" w:rsidRPr="00396508">
        <w:t>Impact analysis</w:t>
      </w:r>
      <w:bookmarkEnd w:id="194"/>
      <w:bookmarkEnd w:id="195"/>
    </w:p>
    <w:p w:rsidR="00D82A01" w:rsidRPr="00396508" w:rsidRDefault="00D82A01" w:rsidP="00D82A01">
      <w:pPr>
        <w:rPr>
          <w:lang w:eastAsia="x-none"/>
        </w:rPr>
      </w:pPr>
      <w:bookmarkStart w:id="196" w:name="_Toc382389845"/>
      <w:bookmarkStart w:id="197" w:name="_Toc382390183"/>
      <w:bookmarkStart w:id="198" w:name="_Toc382390298"/>
      <w:bookmarkStart w:id="199" w:name="_Toc382390338"/>
      <w:bookmarkStart w:id="200" w:name="_Toc382390412"/>
      <w:r w:rsidRPr="00396508">
        <w:t>The criteria derived in section 2.2 have been used below to undertake a qualitative analysis of the costs and benefits of each of the options in section 3</w:t>
      </w:r>
      <w:r w:rsidR="000E3B31" w:rsidRPr="00396508">
        <w:t xml:space="preserve">. </w:t>
      </w:r>
      <w:r w:rsidRPr="00396508">
        <w:t>Analysis of whether the objective of the need for standards to be based on risk analysis using the best available scientific evidence is discussed in the text on each option</w:t>
      </w:r>
      <w:r w:rsidR="000E3B31" w:rsidRPr="00396508">
        <w:t xml:space="preserve">. </w:t>
      </w:r>
      <w:bookmarkStart w:id="201" w:name="_Toc397094569"/>
      <w:bookmarkStart w:id="202" w:name="_Toc397591957"/>
      <w:bookmarkStart w:id="203" w:name="_Toc397597087"/>
      <w:bookmarkStart w:id="204" w:name="_Toc397613114"/>
      <w:bookmarkStart w:id="205" w:name="_Toc397094570"/>
      <w:bookmarkStart w:id="206" w:name="_Toc397591958"/>
      <w:bookmarkStart w:id="207" w:name="_Toc397597088"/>
      <w:bookmarkStart w:id="208" w:name="_Toc397613115"/>
      <w:bookmarkStart w:id="209" w:name="_Toc397094575"/>
      <w:bookmarkStart w:id="210" w:name="_Toc397591963"/>
      <w:bookmarkStart w:id="211" w:name="_Toc397597093"/>
      <w:bookmarkStart w:id="212" w:name="_Toc397613120"/>
      <w:bookmarkStart w:id="213" w:name="_Toc397094582"/>
      <w:bookmarkStart w:id="214" w:name="_Toc397591970"/>
      <w:bookmarkStart w:id="215" w:name="_Toc397597100"/>
      <w:bookmarkStart w:id="216" w:name="_Toc397613127"/>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D82A01" w:rsidRPr="00396508" w:rsidRDefault="00E92852" w:rsidP="00F56FA6">
      <w:pPr>
        <w:pStyle w:val="Heading2"/>
      </w:pPr>
      <w:bookmarkStart w:id="217" w:name="_Toc402438183"/>
      <w:r w:rsidRPr="00396508">
        <w:t>4.1</w:t>
      </w:r>
      <w:r w:rsidR="00D82A01" w:rsidRPr="00396508">
        <w:tab/>
      </w:r>
      <w:bookmarkStart w:id="218" w:name="_Toc401736611"/>
      <w:r w:rsidR="00D82A01" w:rsidRPr="00396508">
        <w:t>Cost of the 2008 tutin poisoning outbreak</w:t>
      </w:r>
      <w:bookmarkEnd w:id="218"/>
      <w:bookmarkEnd w:id="217"/>
    </w:p>
    <w:p w:rsidR="00D82A01" w:rsidRPr="00396508" w:rsidRDefault="00D82A01" w:rsidP="00D82A01">
      <w:pPr>
        <w:rPr>
          <w:lang w:eastAsia="x-none"/>
        </w:rPr>
      </w:pPr>
      <w:r w:rsidRPr="00396508">
        <w:rPr>
          <w:lang w:eastAsia="x-none"/>
        </w:rPr>
        <w:t>The cost of lost productivity and medical costs for the 22 cases in the 2008 poisoning incident in Coromandel has been estimated at around $</w:t>
      </w:r>
      <w:r w:rsidR="00DE3641">
        <w:rPr>
          <w:lang w:eastAsia="x-none"/>
        </w:rPr>
        <w:t>NZ</w:t>
      </w:r>
      <w:r w:rsidRPr="00396508">
        <w:rPr>
          <w:lang w:eastAsia="x-none"/>
        </w:rPr>
        <w:t>28,000</w:t>
      </w:r>
      <w:r w:rsidR="000E3B31" w:rsidRPr="00396508">
        <w:rPr>
          <w:lang w:eastAsia="x-none"/>
        </w:rPr>
        <w:t xml:space="preserve">. </w:t>
      </w:r>
      <w:r w:rsidRPr="00396508">
        <w:rPr>
          <w:lang w:eastAsia="x-none"/>
        </w:rPr>
        <w:t>While 9 cases did not seek any medical care, 4 cases visited a general practitioner and 9 sought hospital care</w:t>
      </w:r>
      <w:r w:rsidR="000E3B31" w:rsidRPr="00396508">
        <w:rPr>
          <w:lang w:eastAsia="x-none"/>
        </w:rPr>
        <w:t xml:space="preserve">. </w:t>
      </w:r>
      <w:r w:rsidRPr="00396508">
        <w:rPr>
          <w:lang w:eastAsia="x-none"/>
        </w:rPr>
        <w:t>The main cost for people that do not seek medical attention would be any time needed to recover from the symptoms</w:t>
      </w:r>
      <w:r w:rsidR="000E3B31" w:rsidRPr="00396508">
        <w:rPr>
          <w:lang w:eastAsia="x-none"/>
        </w:rPr>
        <w:t xml:space="preserve">. </w:t>
      </w:r>
      <w:r w:rsidRPr="00396508">
        <w:rPr>
          <w:lang w:eastAsia="x-none"/>
        </w:rPr>
        <w:t>The costs for people that seek general practitioner treatment have been estimated at $</w:t>
      </w:r>
      <w:r w:rsidR="00DE3641">
        <w:rPr>
          <w:lang w:eastAsia="x-none"/>
        </w:rPr>
        <w:t>NZ</w:t>
      </w:r>
      <w:r w:rsidRPr="00396508">
        <w:rPr>
          <w:lang w:eastAsia="x-none"/>
        </w:rPr>
        <w:t>220</w:t>
      </w:r>
      <w:r w:rsidRPr="00DE3641">
        <w:rPr>
          <w:rStyle w:val="FootnoteReference"/>
          <w:rFonts w:cs="GillSans"/>
          <w:sz w:val="18"/>
          <w:vertAlign w:val="superscript"/>
        </w:rPr>
        <w:footnoteReference w:id="12"/>
      </w:r>
      <w:r w:rsidRPr="00396508">
        <w:rPr>
          <w:lang w:eastAsia="x-none"/>
        </w:rPr>
        <w:t xml:space="preserve"> (a visit to a general practitioner and a day off work)</w:t>
      </w:r>
      <w:r w:rsidR="000E3B31" w:rsidRPr="00396508">
        <w:rPr>
          <w:lang w:eastAsia="x-none"/>
        </w:rPr>
        <w:t xml:space="preserve">. </w:t>
      </w:r>
      <w:r w:rsidRPr="00396508">
        <w:rPr>
          <w:lang w:eastAsia="x-none"/>
        </w:rPr>
        <w:t>Costs for severe cases include h</w:t>
      </w:r>
      <w:r w:rsidRPr="00396508">
        <w:rPr>
          <w:rFonts w:cs="GillSans"/>
        </w:rPr>
        <w:t>ospitalisation for several days and recovery at home afterwards and often include paramedic assistance</w:t>
      </w:r>
      <w:r w:rsidR="000E3B31" w:rsidRPr="00396508">
        <w:rPr>
          <w:rFonts w:cs="GillSans"/>
        </w:rPr>
        <w:t xml:space="preserve">. </w:t>
      </w:r>
      <w:r w:rsidRPr="00396508">
        <w:rPr>
          <w:rFonts w:cs="GillSans"/>
        </w:rPr>
        <w:t>Based on experiences in 2008, the estimated public health costs for severe cases per person can vary from $</w:t>
      </w:r>
      <w:r w:rsidR="00DE3641">
        <w:rPr>
          <w:rFonts w:cs="GillSans"/>
        </w:rPr>
        <w:t>NZ</w:t>
      </w:r>
      <w:r w:rsidRPr="00396508">
        <w:rPr>
          <w:rFonts w:cs="GillSans"/>
        </w:rPr>
        <w:t>1,566</w:t>
      </w:r>
      <w:r w:rsidRPr="00396508">
        <w:rPr>
          <w:rStyle w:val="FootnoteReference"/>
          <w:rFonts w:cs="GillSans"/>
          <w:sz w:val="18"/>
          <w:vertAlign w:val="superscript"/>
        </w:rPr>
        <w:footnoteReference w:id="13"/>
      </w:r>
      <w:r w:rsidRPr="00396508">
        <w:rPr>
          <w:rFonts w:cs="GillSans"/>
          <w:sz w:val="24"/>
        </w:rPr>
        <w:t xml:space="preserve"> </w:t>
      </w:r>
      <w:r w:rsidRPr="00396508">
        <w:rPr>
          <w:rFonts w:cs="GillSans"/>
        </w:rPr>
        <w:t>to $</w:t>
      </w:r>
      <w:r w:rsidR="00DE3641">
        <w:rPr>
          <w:rFonts w:cs="GillSans"/>
        </w:rPr>
        <w:t>NZ</w:t>
      </w:r>
      <w:r w:rsidRPr="00396508">
        <w:rPr>
          <w:rFonts w:cs="GillSans"/>
        </w:rPr>
        <w:t>4,674</w:t>
      </w:r>
      <w:r w:rsidRPr="00396508">
        <w:rPr>
          <w:rStyle w:val="FootnoteReference"/>
          <w:rFonts w:cs="GillSans"/>
          <w:sz w:val="18"/>
          <w:vertAlign w:val="superscript"/>
        </w:rPr>
        <w:footnoteReference w:id="14"/>
      </w:r>
      <w:r w:rsidRPr="00396508">
        <w:rPr>
          <w:rFonts w:cs="GillSans"/>
          <w:sz w:val="28"/>
        </w:rPr>
        <w:t xml:space="preserve"> </w:t>
      </w:r>
      <w:r w:rsidRPr="00396508">
        <w:rPr>
          <w:rFonts w:cs="GillSans"/>
        </w:rPr>
        <w:t>excluding drugs and tests</w:t>
      </w:r>
      <w:r w:rsidR="000E3B31" w:rsidRPr="00396508">
        <w:rPr>
          <w:rFonts w:cs="GillSans"/>
        </w:rPr>
        <w:t xml:space="preserve">. </w:t>
      </w:r>
      <w:r w:rsidRPr="00396508">
        <w:rPr>
          <w:rFonts w:cs="GillSans"/>
        </w:rPr>
        <w:t>Additional costs such as the cost of suffering were unable to be quantified</w:t>
      </w:r>
      <w:r w:rsidR="000E3B31" w:rsidRPr="00396508">
        <w:rPr>
          <w:rFonts w:cs="GillSans"/>
        </w:rPr>
        <w:t xml:space="preserve">. </w:t>
      </w:r>
      <w:r w:rsidRPr="00396508">
        <w:rPr>
          <w:lang w:eastAsia="x-none"/>
        </w:rPr>
        <w:t>The costs of specific poisoning incidents vary according to the number of people affected and their symptoms</w:t>
      </w:r>
      <w:r w:rsidR="000E3B31" w:rsidRPr="00396508">
        <w:rPr>
          <w:lang w:eastAsia="x-none"/>
        </w:rPr>
        <w:t xml:space="preserve">. </w:t>
      </w:r>
    </w:p>
    <w:p w:rsidR="00D82A01" w:rsidRPr="00396508" w:rsidRDefault="00D82A01" w:rsidP="00D82A01">
      <w:pPr>
        <w:rPr>
          <w:lang w:eastAsia="x-none"/>
        </w:rPr>
      </w:pPr>
    </w:p>
    <w:p w:rsidR="00D82A01" w:rsidRPr="00396508" w:rsidRDefault="00D82A01" w:rsidP="00D82A01">
      <w:pPr>
        <w:rPr>
          <w:lang w:eastAsia="x-none"/>
        </w:rPr>
      </w:pPr>
      <w:r w:rsidRPr="00396508">
        <w:rPr>
          <w:lang w:eastAsia="x-none"/>
        </w:rPr>
        <w:t>Industry costs include:</w:t>
      </w:r>
    </w:p>
    <w:p w:rsidR="00D82A01" w:rsidRPr="00396508" w:rsidRDefault="00D82A01" w:rsidP="00D82A01">
      <w:pPr>
        <w:rPr>
          <w:lang w:eastAsia="x-none"/>
        </w:rPr>
      </w:pPr>
    </w:p>
    <w:p w:rsidR="00D82A01" w:rsidRPr="00396508" w:rsidRDefault="00D82A01" w:rsidP="000E3B31">
      <w:pPr>
        <w:pStyle w:val="FSBullet1"/>
      </w:pPr>
      <w:r w:rsidRPr="00396508">
        <w:t xml:space="preserve">The company that produced the contaminated honey experienced a loss of honey sales and had to pay recall costs;  </w:t>
      </w:r>
    </w:p>
    <w:p w:rsidR="00D82A01" w:rsidRPr="00396508" w:rsidRDefault="00D82A01" w:rsidP="000E3B31">
      <w:pPr>
        <w:pStyle w:val="FSBullet1"/>
      </w:pPr>
      <w:r w:rsidRPr="00396508">
        <w:t>Other honey companies experienced a temporary loss of sales until consumer confidence in the safety of honey returned; and</w:t>
      </w:r>
    </w:p>
    <w:p w:rsidR="00D82A01" w:rsidRPr="00396508" w:rsidRDefault="00D82A01" w:rsidP="000E3B31">
      <w:pPr>
        <w:pStyle w:val="FSBullet1"/>
      </w:pPr>
      <w:r w:rsidRPr="00396508">
        <w:t>Export sales – companies experienced a temporary reduction in orders until overseas markets regained confidence in the safety of New Zealand honey</w:t>
      </w:r>
      <w:r w:rsidR="000E3B31" w:rsidRPr="00396508">
        <w:t xml:space="preserve">. </w:t>
      </w:r>
    </w:p>
    <w:p w:rsidR="00945EB9" w:rsidRPr="00396508" w:rsidRDefault="00945EB9" w:rsidP="00D82A01">
      <w:pPr>
        <w:rPr>
          <w:lang w:eastAsia="x-none"/>
        </w:rPr>
      </w:pPr>
    </w:p>
    <w:p w:rsidR="00D82A01" w:rsidRPr="00396508" w:rsidRDefault="00D82A01" w:rsidP="00D82A01">
      <w:pPr>
        <w:rPr>
          <w:lang w:eastAsia="x-none"/>
        </w:rPr>
      </w:pPr>
      <w:r w:rsidRPr="00396508">
        <w:rPr>
          <w:lang w:eastAsia="x-none"/>
        </w:rPr>
        <w:t>Government costs include:</w:t>
      </w:r>
    </w:p>
    <w:p w:rsidR="00D82A01" w:rsidRPr="00396508" w:rsidRDefault="00D82A01" w:rsidP="00D82A01">
      <w:pPr>
        <w:rPr>
          <w:lang w:eastAsia="x-none"/>
        </w:rPr>
      </w:pPr>
    </w:p>
    <w:p w:rsidR="00D82A01" w:rsidRPr="00396508" w:rsidRDefault="00D82A01" w:rsidP="000E3B31">
      <w:pPr>
        <w:pStyle w:val="FSBullet1"/>
      </w:pPr>
      <w:r w:rsidRPr="00396508">
        <w:t xml:space="preserve">Costs of investigating the incident; and  </w:t>
      </w:r>
    </w:p>
    <w:p w:rsidR="00D82A01" w:rsidRPr="00396508" w:rsidRDefault="00D82A01" w:rsidP="000E3B31">
      <w:pPr>
        <w:pStyle w:val="FSBullet1"/>
      </w:pPr>
      <w:r w:rsidRPr="00396508">
        <w:t>Prosecution costs for the charges laid against the beekeeper that sold the contaminated honey.</w:t>
      </w:r>
    </w:p>
    <w:p w:rsidR="000E3B31" w:rsidRPr="00396508" w:rsidRDefault="000E3B31" w:rsidP="000E3B31">
      <w:pPr>
        <w:rPr>
          <w:lang w:eastAsia="en-US"/>
        </w:rPr>
      </w:pPr>
      <w:r w:rsidRPr="00396508">
        <w:rPr>
          <w:lang w:eastAsia="en-US"/>
        </w:rPr>
        <w:br w:type="page"/>
      </w:r>
    </w:p>
    <w:p w:rsidR="00D82A01" w:rsidRPr="00396508" w:rsidRDefault="00E92852" w:rsidP="00F56FA6">
      <w:pPr>
        <w:pStyle w:val="Heading2"/>
      </w:pPr>
      <w:bookmarkStart w:id="219" w:name="_Toc398811520"/>
      <w:bookmarkStart w:id="220" w:name="_Toc398811656"/>
      <w:bookmarkStart w:id="221" w:name="_Toc398811792"/>
      <w:bookmarkStart w:id="222" w:name="_Toc398811928"/>
      <w:bookmarkStart w:id="223" w:name="_Toc398812064"/>
      <w:bookmarkStart w:id="224" w:name="_Toc399145882"/>
      <w:bookmarkStart w:id="225" w:name="_Toc399232779"/>
      <w:bookmarkStart w:id="226" w:name="_Toc399232937"/>
      <w:bookmarkStart w:id="227" w:name="_Toc399233095"/>
      <w:bookmarkStart w:id="228" w:name="_Toc399233254"/>
      <w:bookmarkStart w:id="229" w:name="_Toc399233601"/>
      <w:bookmarkStart w:id="230" w:name="_Toc398811521"/>
      <w:bookmarkStart w:id="231" w:name="_Toc398811657"/>
      <w:bookmarkStart w:id="232" w:name="_Toc398811793"/>
      <w:bookmarkStart w:id="233" w:name="_Toc398811929"/>
      <w:bookmarkStart w:id="234" w:name="_Toc398812065"/>
      <w:bookmarkStart w:id="235" w:name="_Toc399145883"/>
      <w:bookmarkStart w:id="236" w:name="_Toc399232780"/>
      <w:bookmarkStart w:id="237" w:name="_Toc399232938"/>
      <w:bookmarkStart w:id="238" w:name="_Toc399233096"/>
      <w:bookmarkStart w:id="239" w:name="_Toc399233255"/>
      <w:bookmarkStart w:id="240" w:name="_Toc399233602"/>
      <w:bookmarkStart w:id="241" w:name="_Toc402438184"/>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396508">
        <w:lastRenderedPageBreak/>
        <w:t>4.2</w:t>
      </w:r>
      <w:r w:rsidR="00D82A01" w:rsidRPr="00396508">
        <w:tab/>
      </w:r>
      <w:bookmarkStart w:id="242" w:name="_Toc401736612"/>
      <w:r w:rsidR="00D82A01" w:rsidRPr="00396508">
        <w:t xml:space="preserve">Option 1: </w:t>
      </w:r>
      <w:r w:rsidR="00D82A01" w:rsidRPr="00396508">
        <w:rPr>
          <w:i/>
        </w:rPr>
        <w:t>Status Quo</w:t>
      </w:r>
      <w:r w:rsidR="00D82A01" w:rsidRPr="00396508">
        <w:t>: Retain the current maximum levels</w:t>
      </w:r>
      <w:bookmarkEnd w:id="242"/>
      <w:bookmarkEnd w:id="241"/>
    </w:p>
    <w:p w:rsidR="00D82A01" w:rsidRPr="00396508" w:rsidRDefault="00D82A01" w:rsidP="00D82A01">
      <w:r w:rsidRPr="00396508">
        <w:t>The costs of this option are described below</w:t>
      </w:r>
      <w:r w:rsidR="000E3B31" w:rsidRPr="00396508">
        <w:t xml:space="preserve">. </w:t>
      </w:r>
      <w:r w:rsidRPr="00396508">
        <w:t xml:space="preserve">  </w:t>
      </w:r>
    </w:p>
    <w:p w:rsidR="00D82A01" w:rsidRPr="00396508" w:rsidRDefault="00E92852" w:rsidP="00E92852">
      <w:pPr>
        <w:pStyle w:val="Heading3"/>
      </w:pPr>
      <w:bookmarkStart w:id="243" w:name="_Toc402438185"/>
      <w:r w:rsidRPr="00396508">
        <w:t>4.2.1</w:t>
      </w:r>
      <w:r w:rsidRPr="00396508">
        <w:tab/>
      </w:r>
      <w:r w:rsidR="00D82A01" w:rsidRPr="00396508">
        <w:t>Honey industry</w:t>
      </w:r>
      <w:bookmarkEnd w:id="243"/>
    </w:p>
    <w:p w:rsidR="00D82A01" w:rsidRPr="00396508" w:rsidRDefault="00D82A01" w:rsidP="00D82A01">
      <w:r w:rsidRPr="00396508">
        <w:rPr>
          <w:rFonts w:cs="GillSans"/>
        </w:rPr>
        <w:t>The industry will face no additional costs</w:t>
      </w:r>
      <w:r w:rsidRPr="00396508">
        <w:t xml:space="preserve"> as the industry is currently required to comply with this option</w:t>
      </w:r>
      <w:r w:rsidR="000E3B31" w:rsidRPr="00396508">
        <w:t xml:space="preserve">. </w:t>
      </w:r>
      <w:r w:rsidRPr="00396508">
        <w:t>Current testing costs for the honey industry, based on averaging the known costs and volumes</w:t>
      </w:r>
      <w:r w:rsidRPr="00396508">
        <w:rPr>
          <w:rFonts w:cs="GillSans"/>
        </w:rPr>
        <w:t>, have been estimated at between $</w:t>
      </w:r>
      <w:r w:rsidR="00DE3641">
        <w:rPr>
          <w:rFonts w:cs="GillSans"/>
        </w:rPr>
        <w:t>NZ</w:t>
      </w:r>
      <w:r w:rsidRPr="00396508">
        <w:rPr>
          <w:rFonts w:cs="GillSans"/>
        </w:rPr>
        <w:t>138,000 and $</w:t>
      </w:r>
      <w:r w:rsidR="00DE3641">
        <w:rPr>
          <w:rFonts w:cs="GillSans"/>
        </w:rPr>
        <w:t>NZ</w:t>
      </w:r>
      <w:r w:rsidRPr="00396508">
        <w:rPr>
          <w:rFonts w:cs="GillSans"/>
        </w:rPr>
        <w:t>213,000 per year</w:t>
      </w:r>
      <w:r w:rsidR="000E3B31" w:rsidRPr="00396508">
        <w:rPr>
          <w:rFonts w:cs="GillSans"/>
        </w:rPr>
        <w:t xml:space="preserve">. </w:t>
      </w:r>
      <w:r w:rsidRPr="00396508">
        <w:rPr>
          <w:rFonts w:cs="GillSans"/>
        </w:rPr>
        <w:t>T</w:t>
      </w:r>
      <w:r w:rsidRPr="00396508">
        <w:t>his option has provided further information on the presence of tutin in honey than was available prior to 2008</w:t>
      </w:r>
      <w:r w:rsidR="000E3B31" w:rsidRPr="00396508">
        <w:t xml:space="preserve">. </w:t>
      </w:r>
      <w:r w:rsidRPr="00396508">
        <w:t>Before 2008, beekeepers were required to ensure that honey was not harvested from areas where it was likely that the honey would be contaminated with high levels of tutin (see section 1.2.3)</w:t>
      </w:r>
      <w:r w:rsidR="000E3B31" w:rsidRPr="00396508">
        <w:t xml:space="preserve">. </w:t>
      </w:r>
      <w:r w:rsidRPr="00396508">
        <w:t>The introduction of maximum levels has enabled beekeepers to collect honey from these high risk areas</w:t>
      </w:r>
      <w:r w:rsidR="000E3B31" w:rsidRPr="00396508">
        <w:t xml:space="preserve">. </w:t>
      </w:r>
      <w:r w:rsidRPr="00396508">
        <w:t xml:space="preserve">It has also enabled beekeepers to maintain quality and safety assurance over their product. </w:t>
      </w:r>
    </w:p>
    <w:p w:rsidR="00D82A01" w:rsidRPr="00396508" w:rsidRDefault="00E92852" w:rsidP="00E92852">
      <w:pPr>
        <w:pStyle w:val="Heading3"/>
      </w:pPr>
      <w:bookmarkStart w:id="244" w:name="_Toc402438186"/>
      <w:r w:rsidRPr="00396508">
        <w:t>4.2.2</w:t>
      </w:r>
      <w:r w:rsidRPr="00396508">
        <w:tab/>
      </w:r>
      <w:r w:rsidR="00D82A01" w:rsidRPr="00396508">
        <w:t>Health sector</w:t>
      </w:r>
      <w:bookmarkEnd w:id="244"/>
    </w:p>
    <w:p w:rsidR="00D82A01" w:rsidRPr="00396508" w:rsidRDefault="00D82A01" w:rsidP="00D82A01">
      <w:r w:rsidRPr="00396508">
        <w:t>The impact on the health system will be similar to what has been experienced since 2008</w:t>
      </w:r>
      <w:r w:rsidR="000E3B31" w:rsidRPr="00396508">
        <w:t xml:space="preserve">. </w:t>
      </w:r>
      <w:r w:rsidRPr="00396508">
        <w:t>The estimated costs for tutin poisonings are given in section 4.1 above</w:t>
      </w:r>
      <w:r w:rsidR="000E3B31" w:rsidRPr="00396508">
        <w:t xml:space="preserve">. </w:t>
      </w:r>
      <w:r w:rsidRPr="00396508">
        <w:t>There has only been one confirmed poisoning (in 2014) since 2008 where the person was hospitalised (a severe case)</w:t>
      </w:r>
      <w:r w:rsidR="000E3B31" w:rsidRPr="00396508">
        <w:t xml:space="preserve">. </w:t>
      </w:r>
    </w:p>
    <w:p w:rsidR="00D82A01" w:rsidRPr="00396508" w:rsidRDefault="00D82A01" w:rsidP="00D82A01"/>
    <w:p w:rsidR="00D82A01" w:rsidRPr="00396508" w:rsidRDefault="00D82A01" w:rsidP="00D82A01">
      <w:r w:rsidRPr="00396508">
        <w:t>While there have been no reported poisoning incidents since 2008 from honey that complied with the temporary maximum levels, the latest research suggests that adverse effects may be occurring in some individuals that are not being attributed to tutin</w:t>
      </w:r>
      <w:r w:rsidR="000E3B31" w:rsidRPr="00396508">
        <w:t xml:space="preserve">. </w:t>
      </w:r>
      <w:r w:rsidRPr="00396508">
        <w:t>Therefore, this option provides inadequate protection for consumers from the risk of consuming honey contaminated with tutin</w:t>
      </w:r>
      <w:r w:rsidR="000E3B31" w:rsidRPr="00396508">
        <w:t xml:space="preserve">. </w:t>
      </w:r>
    </w:p>
    <w:p w:rsidR="00D82A01" w:rsidRPr="00396508" w:rsidRDefault="00E92852" w:rsidP="00E92852">
      <w:pPr>
        <w:pStyle w:val="Heading3"/>
      </w:pPr>
      <w:bookmarkStart w:id="245" w:name="_Toc402438187"/>
      <w:r w:rsidRPr="00396508">
        <w:t>4.2.3</w:t>
      </w:r>
      <w:r w:rsidRPr="00396508">
        <w:tab/>
      </w:r>
      <w:r w:rsidR="00D82A01" w:rsidRPr="00396508">
        <w:t>Best available science</w:t>
      </w:r>
      <w:bookmarkEnd w:id="245"/>
    </w:p>
    <w:p w:rsidR="00D82A01" w:rsidRPr="00396508" w:rsidRDefault="00D82A01" w:rsidP="00D82A01">
      <w:r w:rsidRPr="00396508">
        <w:t>Now that additional research has been completed on tutin, as discussed in section 1.1 above, this option does not satisfy FSANZ’s requirements to base standards on the best available scientific evidence</w:t>
      </w:r>
      <w:r w:rsidR="000E3B31" w:rsidRPr="00396508">
        <w:t xml:space="preserve">. </w:t>
      </w:r>
      <w:r w:rsidRPr="00396508">
        <w:t>This research shows that honey contains higher levels of tutin than previously recognised due to the presence of formerly unidentified tutin glycosides</w:t>
      </w:r>
      <w:r w:rsidR="000E3B31" w:rsidRPr="00396508">
        <w:t xml:space="preserve">. </w:t>
      </w:r>
    </w:p>
    <w:p w:rsidR="00D82A01" w:rsidRPr="00396508" w:rsidRDefault="00E92852" w:rsidP="00E92852">
      <w:pPr>
        <w:pStyle w:val="Heading3"/>
      </w:pPr>
      <w:bookmarkStart w:id="246" w:name="_Toc402438188"/>
      <w:r w:rsidRPr="00396508">
        <w:t>4.2.4</w:t>
      </w:r>
      <w:r w:rsidRPr="00396508">
        <w:tab/>
      </w:r>
      <w:r w:rsidR="00D82A01" w:rsidRPr="00396508">
        <w:t>Internationally competitive food industry</w:t>
      </w:r>
      <w:bookmarkEnd w:id="246"/>
    </w:p>
    <w:p w:rsidR="00D82A01" w:rsidRPr="00396508" w:rsidRDefault="00D82A01" w:rsidP="00D82A01">
      <w:r w:rsidRPr="00396508">
        <w:t>As the results of recent research have now been published, if the maximum levels are not changed to take account of this research there is a risk that there may be negative impacts on honey exports</w:t>
      </w:r>
      <w:r w:rsidR="000E3B31" w:rsidRPr="00396508">
        <w:t xml:space="preserve">. </w:t>
      </w:r>
      <w:r w:rsidRPr="00396508">
        <w:t xml:space="preserve">While it is unlikely that there would be any disruption to exports, overseas markets </w:t>
      </w:r>
      <w:r w:rsidR="00544742" w:rsidRPr="00396508">
        <w:t>c</w:t>
      </w:r>
      <w:r w:rsidRPr="00396508">
        <w:t>ould impose their own testing regimes based on the latest research</w:t>
      </w:r>
      <w:r w:rsidR="000E3B31" w:rsidRPr="00396508">
        <w:t xml:space="preserve">. </w:t>
      </w:r>
      <w:r w:rsidRPr="00396508">
        <w:t>This would likely add cost for the New Zealand honey industry</w:t>
      </w:r>
      <w:r w:rsidR="00544742" w:rsidRPr="00396508">
        <w:t xml:space="preserve"> because of the need to comply with multiple testing regimes, rather than a single one imposed by the New Zealand government</w:t>
      </w:r>
      <w:r w:rsidR="000E3B31" w:rsidRPr="00396508">
        <w:t xml:space="preserve">. </w:t>
      </w:r>
      <w:r w:rsidR="008A2CF5" w:rsidRPr="00396508">
        <w:t>Testing in New Zealand would provide for more targeted testing to ensure compliance at a local level and lower cost to New Zealand industry.</w:t>
      </w:r>
    </w:p>
    <w:p w:rsidR="000E3B31" w:rsidRPr="00396508" w:rsidRDefault="000E3B31" w:rsidP="00D82A01"/>
    <w:p w:rsidR="000E3B31" w:rsidRPr="00396508" w:rsidRDefault="000E3B31" w:rsidP="00D82A01">
      <w:pPr>
        <w:sectPr w:rsidR="000E3B31" w:rsidRPr="00396508" w:rsidSect="00850BCE">
          <w:footerReference w:type="default" r:id="rId10"/>
          <w:pgSz w:w="11907" w:h="16840" w:code="9"/>
          <w:pgMar w:top="1418" w:right="1418" w:bottom="1418" w:left="1418" w:header="680" w:footer="680" w:gutter="0"/>
          <w:cols w:space="720"/>
          <w:docGrid w:linePitch="299"/>
        </w:sectPr>
      </w:pPr>
    </w:p>
    <w:p w:rsidR="00D82A01" w:rsidRPr="00396508" w:rsidRDefault="00D82A01" w:rsidP="00F56FA6">
      <w:pPr>
        <w:pStyle w:val="Heading2"/>
      </w:pPr>
      <w:bookmarkStart w:id="247" w:name="_Toc398811524"/>
      <w:bookmarkStart w:id="248" w:name="_Toc398811660"/>
      <w:bookmarkStart w:id="249" w:name="_Toc398811796"/>
      <w:bookmarkStart w:id="250" w:name="_Toc398811932"/>
      <w:bookmarkStart w:id="251" w:name="_Toc398812068"/>
      <w:bookmarkStart w:id="252" w:name="_Toc399145886"/>
      <w:bookmarkStart w:id="253" w:name="_Toc398811525"/>
      <w:bookmarkStart w:id="254" w:name="_Toc398811661"/>
      <w:bookmarkStart w:id="255" w:name="_Toc398811797"/>
      <w:bookmarkStart w:id="256" w:name="_Toc398811933"/>
      <w:bookmarkStart w:id="257" w:name="_Toc398812069"/>
      <w:bookmarkStart w:id="258" w:name="_Toc399145887"/>
      <w:bookmarkStart w:id="259" w:name="_Toc398811526"/>
      <w:bookmarkStart w:id="260" w:name="_Toc398811662"/>
      <w:bookmarkStart w:id="261" w:name="_Toc398811798"/>
      <w:bookmarkStart w:id="262" w:name="_Toc398811934"/>
      <w:bookmarkStart w:id="263" w:name="_Toc398812070"/>
      <w:bookmarkStart w:id="264" w:name="_Toc399145888"/>
      <w:bookmarkStart w:id="265" w:name="_Toc398811528"/>
      <w:bookmarkStart w:id="266" w:name="_Toc398811664"/>
      <w:bookmarkStart w:id="267" w:name="_Toc398811800"/>
      <w:bookmarkStart w:id="268" w:name="_Toc398811936"/>
      <w:bookmarkStart w:id="269" w:name="_Toc398812072"/>
      <w:bookmarkStart w:id="270" w:name="_Toc399145890"/>
      <w:bookmarkStart w:id="271" w:name="_Toc398811529"/>
      <w:bookmarkStart w:id="272" w:name="_Toc398811665"/>
      <w:bookmarkStart w:id="273" w:name="_Toc398811801"/>
      <w:bookmarkStart w:id="274" w:name="_Toc398811937"/>
      <w:bookmarkStart w:id="275" w:name="_Toc398812073"/>
      <w:bookmarkStart w:id="276" w:name="_Toc399145891"/>
      <w:bookmarkStart w:id="277" w:name="_Toc398811533"/>
      <w:bookmarkStart w:id="278" w:name="_Toc398811669"/>
      <w:bookmarkStart w:id="279" w:name="_Toc398811805"/>
      <w:bookmarkStart w:id="280" w:name="_Toc398811941"/>
      <w:bookmarkStart w:id="281" w:name="_Toc398812077"/>
      <w:bookmarkStart w:id="282" w:name="_Toc399145895"/>
      <w:bookmarkStart w:id="283" w:name="_Toc398811551"/>
      <w:bookmarkStart w:id="284" w:name="_Toc398811687"/>
      <w:bookmarkStart w:id="285" w:name="_Toc398811823"/>
      <w:bookmarkStart w:id="286" w:name="_Toc398811959"/>
      <w:bookmarkStart w:id="287" w:name="_Toc398812095"/>
      <w:bookmarkStart w:id="288" w:name="_Toc399145913"/>
      <w:bookmarkStart w:id="289" w:name="_Toc398811557"/>
      <w:bookmarkStart w:id="290" w:name="_Toc398811693"/>
      <w:bookmarkStart w:id="291" w:name="_Toc398811829"/>
      <w:bookmarkStart w:id="292" w:name="_Toc398811965"/>
      <w:bookmarkStart w:id="293" w:name="_Toc398812101"/>
      <w:bookmarkStart w:id="294" w:name="_Toc399145919"/>
      <w:bookmarkStart w:id="295" w:name="_Toc398811565"/>
      <w:bookmarkStart w:id="296" w:name="_Toc398811701"/>
      <w:bookmarkStart w:id="297" w:name="_Toc398811837"/>
      <w:bookmarkStart w:id="298" w:name="_Toc398811973"/>
      <w:bookmarkStart w:id="299" w:name="_Toc398812109"/>
      <w:bookmarkStart w:id="300" w:name="_Toc399145927"/>
      <w:bookmarkStart w:id="301" w:name="_Toc398811574"/>
      <w:bookmarkStart w:id="302" w:name="_Toc398811710"/>
      <w:bookmarkStart w:id="303" w:name="_Toc398811846"/>
      <w:bookmarkStart w:id="304" w:name="_Toc398811982"/>
      <w:bookmarkStart w:id="305" w:name="_Toc398812118"/>
      <w:bookmarkStart w:id="306" w:name="_Toc399145936"/>
      <w:bookmarkStart w:id="307" w:name="_Toc398811580"/>
      <w:bookmarkStart w:id="308" w:name="_Toc398811716"/>
      <w:bookmarkStart w:id="309" w:name="_Toc398811852"/>
      <w:bookmarkStart w:id="310" w:name="_Toc398811988"/>
      <w:bookmarkStart w:id="311" w:name="_Toc398812124"/>
      <w:bookmarkStart w:id="312" w:name="_Toc399145942"/>
      <w:bookmarkStart w:id="313" w:name="_Toc398811581"/>
      <w:bookmarkStart w:id="314" w:name="_Toc398811717"/>
      <w:bookmarkStart w:id="315" w:name="_Toc398811853"/>
      <w:bookmarkStart w:id="316" w:name="_Toc398811989"/>
      <w:bookmarkStart w:id="317" w:name="_Toc398812125"/>
      <w:bookmarkStart w:id="318" w:name="_Toc399145943"/>
      <w:bookmarkStart w:id="319" w:name="_Toc401736613"/>
      <w:bookmarkStart w:id="320" w:name="_Toc402438189"/>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396508">
        <w:lastRenderedPageBreak/>
        <w:t>Option 2: Temporary maximum levels expire and are not replaced</w:t>
      </w:r>
      <w:bookmarkEnd w:id="319"/>
      <w:bookmarkEnd w:id="320"/>
    </w:p>
    <w:p w:rsidR="00D82A01" w:rsidRPr="00396508" w:rsidRDefault="00D82A01" w:rsidP="00D82A01">
      <w:pPr>
        <w:pStyle w:val="FSTableFigureHeading"/>
        <w:rPr>
          <w:i w:val="0"/>
        </w:rPr>
      </w:pPr>
      <w:r w:rsidRPr="00396508">
        <w:rPr>
          <w:i w:val="0"/>
        </w:rPr>
        <w:t>Table 2: Analysis of costs and benefits for Option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819"/>
        <w:gridCol w:w="3686"/>
        <w:gridCol w:w="3402"/>
      </w:tblGrid>
      <w:tr w:rsidR="00D82A01" w:rsidRPr="00396508" w:rsidTr="000E3B31">
        <w:trPr>
          <w:tblHeader/>
        </w:trPr>
        <w:tc>
          <w:tcPr>
            <w:tcW w:w="2093" w:type="dxa"/>
            <w:shd w:val="clear" w:color="auto" w:fill="E5B8B7" w:themeFill="accent2" w:themeFillTint="66"/>
          </w:tcPr>
          <w:p w:rsidR="00D82A01" w:rsidRPr="00396508" w:rsidRDefault="00D82A01" w:rsidP="00AA5997">
            <w:pPr>
              <w:pStyle w:val="TableText"/>
              <w:rPr>
                <w:rFonts w:cs="GillSans"/>
                <w:b/>
              </w:rPr>
            </w:pPr>
            <w:r w:rsidRPr="00396508">
              <w:rPr>
                <w:rFonts w:cs="GillSans"/>
                <w:b/>
              </w:rPr>
              <w:t>Criteria</w:t>
            </w:r>
          </w:p>
        </w:tc>
        <w:tc>
          <w:tcPr>
            <w:tcW w:w="4819" w:type="dxa"/>
            <w:shd w:val="clear" w:color="auto" w:fill="E5B8B7" w:themeFill="accent2" w:themeFillTint="66"/>
          </w:tcPr>
          <w:p w:rsidR="00D82A01" w:rsidRPr="00396508" w:rsidRDefault="00D82A01" w:rsidP="00AA5997">
            <w:pPr>
              <w:pStyle w:val="TableText"/>
              <w:rPr>
                <w:rFonts w:cs="GillSans"/>
                <w:b/>
              </w:rPr>
            </w:pPr>
            <w:r w:rsidRPr="00396508">
              <w:rPr>
                <w:rFonts w:cs="GillSans"/>
                <w:b/>
              </w:rPr>
              <w:t>Costs</w:t>
            </w:r>
          </w:p>
        </w:tc>
        <w:tc>
          <w:tcPr>
            <w:tcW w:w="3686" w:type="dxa"/>
            <w:shd w:val="clear" w:color="auto" w:fill="E5B8B7" w:themeFill="accent2" w:themeFillTint="66"/>
          </w:tcPr>
          <w:p w:rsidR="00D82A01" w:rsidRPr="00396508" w:rsidRDefault="00D82A01" w:rsidP="00AA5997">
            <w:pPr>
              <w:pStyle w:val="TableText"/>
              <w:rPr>
                <w:rFonts w:cs="GillSans"/>
                <w:b/>
              </w:rPr>
            </w:pPr>
            <w:r w:rsidRPr="00396508">
              <w:rPr>
                <w:rFonts w:cs="GillSans"/>
                <w:b/>
              </w:rPr>
              <w:t>Benefits</w:t>
            </w:r>
          </w:p>
        </w:tc>
        <w:tc>
          <w:tcPr>
            <w:tcW w:w="3402" w:type="dxa"/>
            <w:shd w:val="clear" w:color="auto" w:fill="E5B8B7" w:themeFill="accent2" w:themeFillTint="66"/>
          </w:tcPr>
          <w:p w:rsidR="00D82A01" w:rsidRPr="00396508" w:rsidRDefault="00D82A01" w:rsidP="00AA5997">
            <w:pPr>
              <w:pStyle w:val="TableText"/>
              <w:rPr>
                <w:rFonts w:cs="GillSans"/>
                <w:b/>
              </w:rPr>
            </w:pPr>
            <w:r w:rsidRPr="00396508">
              <w:rPr>
                <w:rFonts w:cs="GillSans"/>
                <w:b/>
              </w:rPr>
              <w:t>Overall</w:t>
            </w:r>
          </w:p>
        </w:tc>
      </w:tr>
      <w:tr w:rsidR="00D82A01" w:rsidRPr="00396508" w:rsidTr="0097564F">
        <w:tc>
          <w:tcPr>
            <w:tcW w:w="2093" w:type="dxa"/>
          </w:tcPr>
          <w:p w:rsidR="00D82A01" w:rsidRPr="00396508" w:rsidRDefault="00D82A01" w:rsidP="00AA5997">
            <w:pPr>
              <w:pStyle w:val="TableText"/>
              <w:rPr>
                <w:rFonts w:cs="GillSans"/>
                <w:sz w:val="20"/>
                <w:szCs w:val="20"/>
              </w:rPr>
            </w:pPr>
            <w:r w:rsidRPr="00396508">
              <w:rPr>
                <w:rFonts w:cs="GillSans"/>
                <w:sz w:val="20"/>
                <w:szCs w:val="20"/>
              </w:rPr>
              <w:t>Minimising implementation costs</w:t>
            </w:r>
          </w:p>
        </w:tc>
        <w:tc>
          <w:tcPr>
            <w:tcW w:w="4819" w:type="dxa"/>
          </w:tcPr>
          <w:p w:rsidR="00D82A01" w:rsidRPr="00396508" w:rsidRDefault="00D82A01" w:rsidP="00AA5997">
            <w:pPr>
              <w:pStyle w:val="TableText"/>
              <w:rPr>
                <w:rFonts w:cs="GillSans"/>
                <w:i/>
                <w:sz w:val="20"/>
                <w:szCs w:val="20"/>
              </w:rPr>
            </w:pPr>
            <w:r w:rsidRPr="00396508">
              <w:rPr>
                <w:rFonts w:cs="GillSans"/>
                <w:i/>
                <w:sz w:val="20"/>
                <w:szCs w:val="20"/>
              </w:rPr>
              <w:t>Honey industry</w:t>
            </w:r>
          </w:p>
          <w:p w:rsidR="00D82A01" w:rsidRPr="00396508" w:rsidRDefault="00D82A01" w:rsidP="00AA5997">
            <w:pPr>
              <w:pStyle w:val="TableText"/>
              <w:rPr>
                <w:rFonts w:cs="GillSans"/>
                <w:sz w:val="20"/>
                <w:szCs w:val="20"/>
              </w:rPr>
            </w:pPr>
            <w:r w:rsidRPr="00396508">
              <w:rPr>
                <w:rFonts w:cs="GillSans"/>
                <w:sz w:val="20"/>
                <w:szCs w:val="20"/>
              </w:rPr>
              <w:t>Beekeepers, packers and processors that do not operate under a Risk Management Programme (RMP) would no longer be required to meet the maximum level. However, many companies would likely continue to test to ensure their products were safe</w:t>
            </w:r>
            <w:r w:rsidR="000E3B31" w:rsidRPr="00396508">
              <w:rPr>
                <w:rFonts w:cs="GillSans"/>
                <w:sz w:val="20"/>
                <w:szCs w:val="20"/>
              </w:rPr>
              <w:t xml:space="preserve">. </w:t>
            </w:r>
            <w:r w:rsidRPr="00396508">
              <w:rPr>
                <w:rFonts w:cs="GillSans"/>
                <w:sz w:val="20"/>
                <w:szCs w:val="20"/>
              </w:rPr>
              <w:t xml:space="preserve"> </w:t>
            </w:r>
          </w:p>
          <w:p w:rsidR="00D82A01" w:rsidRPr="00396508" w:rsidRDefault="00D82A01" w:rsidP="00AA5997">
            <w:pPr>
              <w:pStyle w:val="TableText"/>
              <w:rPr>
                <w:rFonts w:cs="GillSans"/>
                <w:i/>
                <w:sz w:val="20"/>
                <w:szCs w:val="20"/>
              </w:rPr>
            </w:pPr>
            <w:r w:rsidRPr="00396508">
              <w:rPr>
                <w:rFonts w:cs="GillSans"/>
                <w:i/>
                <w:sz w:val="20"/>
                <w:szCs w:val="20"/>
              </w:rPr>
              <w:t>Honey exporters</w:t>
            </w:r>
          </w:p>
          <w:p w:rsidR="00D82A01" w:rsidRPr="00396508" w:rsidRDefault="00D82A01" w:rsidP="00AA5997">
            <w:pPr>
              <w:pStyle w:val="TableText"/>
              <w:rPr>
                <w:rFonts w:cs="GillSans"/>
                <w:sz w:val="20"/>
                <w:szCs w:val="20"/>
              </w:rPr>
            </w:pPr>
            <w:r w:rsidRPr="00396508">
              <w:rPr>
                <w:rFonts w:cs="GillSans"/>
                <w:sz w:val="20"/>
                <w:szCs w:val="20"/>
              </w:rPr>
              <w:t>These businesses will still face the costs of a RMP</w:t>
            </w:r>
            <w:r w:rsidR="000E3B31" w:rsidRPr="00396508">
              <w:rPr>
                <w:rFonts w:cs="GillSans"/>
                <w:sz w:val="20"/>
                <w:szCs w:val="20"/>
              </w:rPr>
              <w:t xml:space="preserve">. </w:t>
            </w:r>
            <w:r w:rsidRPr="00396508">
              <w:rPr>
                <w:rFonts w:cs="GillSans"/>
                <w:sz w:val="20"/>
                <w:szCs w:val="20"/>
              </w:rPr>
              <w:t>As most honey is packed by facilities that have an RMP, this may mean few changes to costs for these producers.</w:t>
            </w:r>
          </w:p>
          <w:p w:rsidR="00D82A01" w:rsidRPr="00396508" w:rsidRDefault="00D82A01" w:rsidP="00AA5997">
            <w:pPr>
              <w:pStyle w:val="TableText"/>
              <w:rPr>
                <w:rFonts w:cs="GillSans"/>
                <w:i/>
                <w:sz w:val="20"/>
                <w:szCs w:val="20"/>
              </w:rPr>
            </w:pPr>
            <w:r w:rsidRPr="00396508">
              <w:rPr>
                <w:rFonts w:cs="GillSans"/>
                <w:i/>
                <w:sz w:val="20"/>
                <w:szCs w:val="20"/>
              </w:rPr>
              <w:t>Testing laboratories</w:t>
            </w:r>
          </w:p>
          <w:p w:rsidR="00D82A01" w:rsidRPr="00396508" w:rsidRDefault="00D82A01" w:rsidP="00AA5997">
            <w:pPr>
              <w:pStyle w:val="TableText"/>
              <w:rPr>
                <w:rFonts w:cs="GillSans"/>
                <w:sz w:val="20"/>
                <w:szCs w:val="20"/>
              </w:rPr>
            </w:pPr>
            <w:r w:rsidRPr="00396508">
              <w:rPr>
                <w:rFonts w:cs="GillSans"/>
                <w:sz w:val="20"/>
                <w:szCs w:val="20"/>
              </w:rPr>
              <w:t>If the number of tests overall dropped, testing laboratories may increase how much they charge for each tutin test</w:t>
            </w:r>
            <w:r w:rsidR="000E3B31" w:rsidRPr="00396508">
              <w:rPr>
                <w:rFonts w:cs="GillSans"/>
                <w:sz w:val="20"/>
                <w:szCs w:val="20"/>
              </w:rPr>
              <w:t xml:space="preserve">. </w:t>
            </w:r>
          </w:p>
          <w:p w:rsidR="00D82A01" w:rsidRPr="00396508" w:rsidRDefault="00D82A01" w:rsidP="00AA5997">
            <w:pPr>
              <w:pStyle w:val="TableText"/>
              <w:rPr>
                <w:rFonts w:cs="GillSans"/>
                <w:i/>
                <w:sz w:val="20"/>
                <w:szCs w:val="20"/>
              </w:rPr>
            </w:pPr>
            <w:r w:rsidRPr="00396508">
              <w:rPr>
                <w:rFonts w:cs="GillSans"/>
                <w:i/>
                <w:sz w:val="20"/>
                <w:szCs w:val="20"/>
              </w:rPr>
              <w:t>Government</w:t>
            </w:r>
          </w:p>
          <w:p w:rsidR="00D82A01" w:rsidRPr="00396508" w:rsidRDefault="00D82A01" w:rsidP="00E307B0">
            <w:pPr>
              <w:pStyle w:val="TableText"/>
              <w:rPr>
                <w:rFonts w:cs="GillSans"/>
                <w:sz w:val="20"/>
                <w:szCs w:val="20"/>
              </w:rPr>
            </w:pPr>
            <w:r w:rsidRPr="00396508">
              <w:rPr>
                <w:rFonts w:cs="GillSans"/>
                <w:sz w:val="20"/>
                <w:szCs w:val="20"/>
              </w:rPr>
              <w:t>MPI would likely impose maximum limits themselves or apply controls involving te</w:t>
            </w:r>
            <w:r w:rsidR="00E83790" w:rsidRPr="00396508">
              <w:rPr>
                <w:rFonts w:cs="GillSans"/>
                <w:sz w:val="20"/>
                <w:szCs w:val="20"/>
              </w:rPr>
              <w:t>sting under other legislation.</w:t>
            </w:r>
          </w:p>
          <w:p w:rsidR="00D82A01" w:rsidRPr="00396508" w:rsidRDefault="00D82A01" w:rsidP="00AA5997">
            <w:pPr>
              <w:pStyle w:val="TableText"/>
              <w:rPr>
                <w:rFonts w:cs="GillSans"/>
                <w:sz w:val="20"/>
                <w:szCs w:val="20"/>
              </w:rPr>
            </w:pPr>
            <w:r w:rsidRPr="00396508">
              <w:rPr>
                <w:rFonts w:cs="GillSans"/>
                <w:sz w:val="20"/>
                <w:szCs w:val="20"/>
              </w:rPr>
              <w:t xml:space="preserve">If the number of poisonings increased there would be direct costs to MPI for enforcing Section 9 of the </w:t>
            </w:r>
            <w:r w:rsidRPr="00396508">
              <w:rPr>
                <w:rFonts w:cs="GillSans"/>
                <w:i/>
                <w:sz w:val="20"/>
                <w:szCs w:val="20"/>
              </w:rPr>
              <w:t>Food Act 1981</w:t>
            </w:r>
            <w:r w:rsidR="00396508" w:rsidRPr="00396508">
              <w:rPr>
                <w:rFonts w:cs="GillSans"/>
                <w:sz w:val="20"/>
                <w:szCs w:val="20"/>
              </w:rPr>
              <w:t xml:space="preserve"> initially, then s</w:t>
            </w:r>
            <w:r w:rsidRPr="00396508">
              <w:rPr>
                <w:rFonts w:cs="GillSans"/>
                <w:sz w:val="20"/>
                <w:szCs w:val="20"/>
              </w:rPr>
              <w:t xml:space="preserve">ection 14 of the </w:t>
            </w:r>
            <w:r w:rsidRPr="00396508">
              <w:rPr>
                <w:rFonts w:cs="GillSans"/>
                <w:i/>
                <w:sz w:val="20"/>
                <w:szCs w:val="20"/>
              </w:rPr>
              <w:t>Food Act 2014</w:t>
            </w:r>
            <w:r w:rsidRPr="00396508">
              <w:rPr>
                <w:rFonts w:cs="GillSans"/>
                <w:sz w:val="20"/>
                <w:szCs w:val="20"/>
              </w:rPr>
              <w:t>, and RMP requirements.</w:t>
            </w:r>
          </w:p>
        </w:tc>
        <w:tc>
          <w:tcPr>
            <w:tcW w:w="3686" w:type="dxa"/>
          </w:tcPr>
          <w:p w:rsidR="00D82A01" w:rsidRPr="00396508" w:rsidRDefault="00D82A01" w:rsidP="00AA5997">
            <w:pPr>
              <w:pStyle w:val="TableText"/>
              <w:rPr>
                <w:rFonts w:cs="GillSans"/>
                <w:i/>
                <w:sz w:val="20"/>
                <w:szCs w:val="20"/>
              </w:rPr>
            </w:pPr>
            <w:r w:rsidRPr="00396508">
              <w:rPr>
                <w:rFonts w:cs="GillSans"/>
                <w:i/>
                <w:sz w:val="20"/>
                <w:szCs w:val="20"/>
              </w:rPr>
              <w:t>Honey industry</w:t>
            </w:r>
          </w:p>
          <w:p w:rsidR="00D82A01" w:rsidRPr="00396508" w:rsidRDefault="00D82A01" w:rsidP="00AA5997">
            <w:pPr>
              <w:pStyle w:val="TableText"/>
              <w:rPr>
                <w:rFonts w:cs="GillSans"/>
                <w:sz w:val="20"/>
                <w:szCs w:val="20"/>
              </w:rPr>
            </w:pPr>
            <w:r w:rsidRPr="00396508">
              <w:rPr>
                <w:rFonts w:cs="GillSans"/>
                <w:sz w:val="20"/>
                <w:szCs w:val="20"/>
              </w:rPr>
              <w:t>Lowered compliance costs for those that do not operate under an RMP</w:t>
            </w:r>
            <w:r w:rsidR="000E3B31" w:rsidRPr="00396508">
              <w:rPr>
                <w:rFonts w:cs="GillSans"/>
                <w:sz w:val="20"/>
                <w:szCs w:val="20"/>
              </w:rPr>
              <w:t xml:space="preserve">. </w:t>
            </w:r>
          </w:p>
          <w:p w:rsidR="00D82A01" w:rsidRPr="00396508" w:rsidRDefault="00D82A01" w:rsidP="00AA5997">
            <w:pPr>
              <w:pStyle w:val="TableText"/>
              <w:rPr>
                <w:rFonts w:cs="GillSans"/>
                <w:sz w:val="20"/>
                <w:szCs w:val="20"/>
              </w:rPr>
            </w:pPr>
            <w:r w:rsidRPr="00396508">
              <w:rPr>
                <w:rFonts w:cs="GillSans"/>
                <w:sz w:val="20"/>
                <w:szCs w:val="20"/>
              </w:rPr>
              <w:t>The current cost of testing, based on averaging the known costs and volumes, is between $</w:t>
            </w:r>
            <w:r w:rsidR="00DE3641">
              <w:rPr>
                <w:rFonts w:cs="GillSans"/>
                <w:sz w:val="20"/>
                <w:szCs w:val="20"/>
              </w:rPr>
              <w:t>NZ</w:t>
            </w:r>
            <w:r w:rsidRPr="00396508">
              <w:rPr>
                <w:rFonts w:cs="GillSans"/>
                <w:sz w:val="20"/>
                <w:szCs w:val="20"/>
              </w:rPr>
              <w:t>138,000 and $</w:t>
            </w:r>
            <w:r w:rsidR="00DE3641">
              <w:rPr>
                <w:rFonts w:cs="GillSans"/>
                <w:sz w:val="20"/>
                <w:szCs w:val="20"/>
              </w:rPr>
              <w:t>NZ</w:t>
            </w:r>
            <w:r w:rsidRPr="00396508">
              <w:rPr>
                <w:rFonts w:cs="GillSans"/>
                <w:sz w:val="20"/>
                <w:szCs w:val="20"/>
              </w:rPr>
              <w:t xml:space="preserve">213,000 per year. </w:t>
            </w:r>
          </w:p>
          <w:p w:rsidR="00D82A01" w:rsidRPr="00396508" w:rsidRDefault="00D82A01" w:rsidP="00AA5997">
            <w:pPr>
              <w:pStyle w:val="TableText"/>
              <w:rPr>
                <w:rFonts w:cs="GillSans"/>
                <w:sz w:val="20"/>
                <w:szCs w:val="20"/>
              </w:rPr>
            </w:pPr>
            <w:r w:rsidRPr="00396508">
              <w:rPr>
                <w:rFonts w:cs="GillSans"/>
                <w:sz w:val="20"/>
                <w:szCs w:val="20"/>
              </w:rPr>
              <w:t>It is not possible to estimate how many companies producing solely for the domestic market would actually stop testing and thence the costs that would be saved</w:t>
            </w:r>
            <w:r w:rsidR="000E3B31" w:rsidRPr="00396508">
              <w:rPr>
                <w:rFonts w:cs="GillSans"/>
                <w:sz w:val="20"/>
                <w:szCs w:val="20"/>
              </w:rPr>
              <w:t xml:space="preserve">. </w:t>
            </w:r>
            <w:r w:rsidRPr="00396508">
              <w:rPr>
                <w:rFonts w:cs="GillSans"/>
                <w:sz w:val="20"/>
                <w:szCs w:val="20"/>
              </w:rPr>
              <w:t xml:space="preserve"> </w:t>
            </w:r>
          </w:p>
          <w:p w:rsidR="00D82A01" w:rsidRPr="00396508" w:rsidRDefault="00D82A01" w:rsidP="00AA5997">
            <w:pPr>
              <w:pStyle w:val="TableText"/>
              <w:rPr>
                <w:rFonts w:cs="GillSans"/>
                <w:sz w:val="20"/>
                <w:szCs w:val="20"/>
              </w:rPr>
            </w:pPr>
            <w:r w:rsidRPr="00396508">
              <w:rPr>
                <w:rFonts w:cs="GillSans"/>
                <w:sz w:val="20"/>
                <w:szCs w:val="20"/>
              </w:rPr>
              <w:t>Beekeepers in lower risk areas would no longer be required to keep geographic and harvest records for four years to demonstrate that their product is not affected by tutin.</w:t>
            </w:r>
          </w:p>
        </w:tc>
        <w:tc>
          <w:tcPr>
            <w:tcW w:w="3402" w:type="dxa"/>
          </w:tcPr>
          <w:p w:rsidR="00D82A01" w:rsidRPr="00396508" w:rsidRDefault="00D82A01" w:rsidP="00AA5997">
            <w:pPr>
              <w:pStyle w:val="TableText"/>
              <w:rPr>
                <w:rFonts w:cs="GillSans"/>
                <w:sz w:val="20"/>
                <w:szCs w:val="20"/>
              </w:rPr>
            </w:pPr>
            <w:r w:rsidRPr="00396508">
              <w:rPr>
                <w:rFonts w:cs="GillSans"/>
                <w:sz w:val="20"/>
                <w:szCs w:val="20"/>
              </w:rPr>
              <w:t>Small net benefit</w:t>
            </w:r>
            <w:r w:rsidRPr="00396508">
              <w:rPr>
                <w:rStyle w:val="FootnoteReference"/>
                <w:rFonts w:cs="GillSans"/>
                <w:sz w:val="14"/>
                <w:szCs w:val="20"/>
              </w:rPr>
              <w:footnoteReference w:id="15"/>
            </w:r>
            <w:r w:rsidRPr="00396508">
              <w:rPr>
                <w:rFonts w:cs="GillSans"/>
                <w:sz w:val="20"/>
                <w:szCs w:val="20"/>
              </w:rPr>
              <w:t xml:space="preserve"> for producers under the Food Acts who stop testing for tutin</w:t>
            </w:r>
            <w:r w:rsidR="000E3B31" w:rsidRPr="00396508">
              <w:rPr>
                <w:rFonts w:cs="GillSans"/>
                <w:sz w:val="20"/>
                <w:szCs w:val="20"/>
              </w:rPr>
              <w:t xml:space="preserve">. </w:t>
            </w:r>
          </w:p>
          <w:p w:rsidR="00D82A01" w:rsidRPr="00396508" w:rsidRDefault="00D82A01" w:rsidP="00AA5997">
            <w:pPr>
              <w:pStyle w:val="TableText"/>
              <w:rPr>
                <w:rFonts w:cs="GillSans"/>
                <w:sz w:val="20"/>
                <w:szCs w:val="20"/>
              </w:rPr>
            </w:pPr>
          </w:p>
        </w:tc>
      </w:tr>
      <w:tr w:rsidR="00D82A01" w:rsidRPr="00396508" w:rsidTr="000E3B31">
        <w:trPr>
          <w:cantSplit/>
        </w:trPr>
        <w:tc>
          <w:tcPr>
            <w:tcW w:w="2093" w:type="dxa"/>
          </w:tcPr>
          <w:p w:rsidR="00D82A01" w:rsidRPr="00396508" w:rsidRDefault="00D82A01" w:rsidP="00AA5997">
            <w:pPr>
              <w:pStyle w:val="TableText"/>
              <w:rPr>
                <w:rFonts w:cs="GillSans"/>
                <w:sz w:val="20"/>
              </w:rPr>
            </w:pPr>
            <w:r w:rsidRPr="00396508">
              <w:rPr>
                <w:rFonts w:cs="GillSans"/>
                <w:sz w:val="20"/>
              </w:rPr>
              <w:lastRenderedPageBreak/>
              <w:t>Protection of Public health and safety</w:t>
            </w:r>
          </w:p>
        </w:tc>
        <w:tc>
          <w:tcPr>
            <w:tcW w:w="4819" w:type="dxa"/>
          </w:tcPr>
          <w:p w:rsidR="00D82A01" w:rsidRPr="00396508" w:rsidRDefault="00D82A01" w:rsidP="00AA5997">
            <w:pPr>
              <w:pStyle w:val="TableText"/>
              <w:rPr>
                <w:rFonts w:cs="GillSans"/>
                <w:i/>
                <w:sz w:val="20"/>
              </w:rPr>
            </w:pPr>
            <w:r w:rsidRPr="00396508">
              <w:rPr>
                <w:rFonts w:cs="GillSans"/>
                <w:i/>
                <w:sz w:val="20"/>
              </w:rPr>
              <w:t>Consumers</w:t>
            </w:r>
          </w:p>
          <w:p w:rsidR="00D82A01" w:rsidRPr="00396508" w:rsidRDefault="00D82A01" w:rsidP="00E307B0">
            <w:pPr>
              <w:pStyle w:val="TableText"/>
              <w:rPr>
                <w:rFonts w:cs="GillSans"/>
                <w:sz w:val="20"/>
              </w:rPr>
            </w:pPr>
            <w:r w:rsidRPr="00396508">
              <w:rPr>
                <w:rFonts w:cs="GillSans"/>
                <w:sz w:val="20"/>
              </w:rPr>
              <w:t xml:space="preserve">Inadequate protection from the risk of consuming honey contaminated with tutin. </w:t>
            </w:r>
          </w:p>
          <w:p w:rsidR="00D82A01" w:rsidRPr="00396508" w:rsidRDefault="00D82A01" w:rsidP="00AA5997">
            <w:pPr>
              <w:pStyle w:val="TableText"/>
              <w:rPr>
                <w:rFonts w:cs="GillSans"/>
                <w:i/>
                <w:sz w:val="20"/>
              </w:rPr>
            </w:pPr>
            <w:r w:rsidRPr="00396508">
              <w:rPr>
                <w:rFonts w:cs="GillSans"/>
                <w:i/>
                <w:sz w:val="20"/>
              </w:rPr>
              <w:t>Health Sector</w:t>
            </w:r>
          </w:p>
          <w:p w:rsidR="00D82A01" w:rsidRPr="00396508" w:rsidRDefault="00D82A01" w:rsidP="00AA5997">
            <w:pPr>
              <w:pStyle w:val="TableText"/>
              <w:rPr>
                <w:rFonts w:cs="GillSans"/>
                <w:sz w:val="20"/>
              </w:rPr>
            </w:pPr>
            <w:r w:rsidRPr="00396508">
              <w:rPr>
                <w:rFonts w:cs="GillSans"/>
                <w:sz w:val="20"/>
              </w:rPr>
              <w:t>A possible increase in the frequency of tutin poisonings from honey packed for the domestic market, and possible incidents affecting more than just one or two individuals.</w:t>
            </w:r>
          </w:p>
          <w:p w:rsidR="00D82A01" w:rsidRPr="00396508" w:rsidRDefault="00D82A01" w:rsidP="00AA5997">
            <w:pPr>
              <w:pStyle w:val="TableText"/>
              <w:rPr>
                <w:rFonts w:cs="GillSans"/>
                <w:sz w:val="20"/>
              </w:rPr>
            </w:pPr>
            <w:r w:rsidRPr="00396508">
              <w:rPr>
                <w:rFonts w:cs="GillSans"/>
                <w:sz w:val="20"/>
              </w:rPr>
              <w:t>The estimated costs for mild and severe poisonings are given in section 4.1 above. Costs would be higher if more people were affected</w:t>
            </w:r>
            <w:r w:rsidR="000E3B31" w:rsidRPr="00396508">
              <w:rPr>
                <w:rFonts w:cs="GillSans"/>
                <w:sz w:val="20"/>
              </w:rPr>
              <w:t xml:space="preserve">. </w:t>
            </w:r>
            <w:r w:rsidRPr="00396508">
              <w:rPr>
                <w:rFonts w:cs="GillSans"/>
                <w:sz w:val="20"/>
              </w:rPr>
              <w:t>Poisoning incident frequency and severity are difficult to predict</w:t>
            </w:r>
            <w:r w:rsidR="000E3B31" w:rsidRPr="00396508">
              <w:rPr>
                <w:rFonts w:cs="GillSans"/>
                <w:sz w:val="20"/>
              </w:rPr>
              <w:t xml:space="preserve">. </w:t>
            </w:r>
            <w:r w:rsidRPr="00396508">
              <w:rPr>
                <w:rFonts w:cs="GillSans"/>
                <w:sz w:val="20"/>
              </w:rPr>
              <w:t xml:space="preserve"> </w:t>
            </w:r>
          </w:p>
        </w:tc>
        <w:tc>
          <w:tcPr>
            <w:tcW w:w="3686" w:type="dxa"/>
          </w:tcPr>
          <w:p w:rsidR="00D82A01" w:rsidRPr="00396508" w:rsidRDefault="00D82A01" w:rsidP="00AA5997">
            <w:pPr>
              <w:pStyle w:val="TableText"/>
              <w:rPr>
                <w:rFonts w:cs="GillSans"/>
                <w:sz w:val="20"/>
              </w:rPr>
            </w:pPr>
            <w:r w:rsidRPr="00396508">
              <w:rPr>
                <w:rFonts w:cs="GillSans"/>
                <w:sz w:val="20"/>
              </w:rPr>
              <w:t>No benefits</w:t>
            </w:r>
          </w:p>
        </w:tc>
        <w:tc>
          <w:tcPr>
            <w:tcW w:w="3402" w:type="dxa"/>
          </w:tcPr>
          <w:p w:rsidR="00D82A01" w:rsidRPr="00396508" w:rsidRDefault="00D82A01" w:rsidP="00AA5997">
            <w:pPr>
              <w:pStyle w:val="TableText"/>
              <w:rPr>
                <w:rFonts w:cs="GillSans"/>
                <w:sz w:val="20"/>
              </w:rPr>
            </w:pPr>
            <w:r w:rsidRPr="00396508">
              <w:rPr>
                <w:rFonts w:cs="GillSans"/>
                <w:sz w:val="20"/>
              </w:rPr>
              <w:t>Small net costs of up to $</w:t>
            </w:r>
            <w:r w:rsidR="00DE3641">
              <w:rPr>
                <w:rFonts w:cs="GillSans"/>
                <w:sz w:val="20"/>
              </w:rPr>
              <w:t>NZ</w:t>
            </w:r>
            <w:r w:rsidRPr="00396508">
              <w:rPr>
                <w:rFonts w:cs="GillSans"/>
                <w:sz w:val="20"/>
              </w:rPr>
              <w:t>5,000 per case</w:t>
            </w:r>
            <w:r w:rsidR="000E3B31" w:rsidRPr="00396508">
              <w:rPr>
                <w:rFonts w:cs="GillSans"/>
                <w:sz w:val="20"/>
              </w:rPr>
              <w:t xml:space="preserve">. </w:t>
            </w:r>
            <w:r w:rsidRPr="00396508">
              <w:rPr>
                <w:rFonts w:cs="GillSans"/>
                <w:sz w:val="20"/>
              </w:rPr>
              <w:t>Costs increase with the number of cases and their severity</w:t>
            </w:r>
            <w:r w:rsidR="000E3B31" w:rsidRPr="00396508">
              <w:rPr>
                <w:rFonts w:cs="GillSans"/>
                <w:sz w:val="20"/>
              </w:rPr>
              <w:t xml:space="preserve">. </w:t>
            </w:r>
          </w:p>
          <w:p w:rsidR="00D82A01" w:rsidRPr="00396508" w:rsidRDefault="00D82A01" w:rsidP="00AA5997">
            <w:pPr>
              <w:pStyle w:val="TableText"/>
              <w:rPr>
                <w:rFonts w:cs="GillSans"/>
                <w:sz w:val="20"/>
              </w:rPr>
            </w:pPr>
          </w:p>
        </w:tc>
      </w:tr>
      <w:tr w:rsidR="00D82A01" w:rsidRPr="00396508" w:rsidTr="0097564F">
        <w:tc>
          <w:tcPr>
            <w:tcW w:w="2093" w:type="dxa"/>
          </w:tcPr>
          <w:p w:rsidR="00D82A01" w:rsidRPr="00396508" w:rsidRDefault="00D82A01" w:rsidP="00AA5997">
            <w:pPr>
              <w:pStyle w:val="TableText"/>
              <w:rPr>
                <w:rFonts w:cs="GillSans"/>
                <w:sz w:val="20"/>
              </w:rPr>
            </w:pPr>
            <w:r w:rsidRPr="00396508">
              <w:rPr>
                <w:rFonts w:cs="GillSans"/>
                <w:sz w:val="20"/>
              </w:rPr>
              <w:t>Internationally competitive food industry</w:t>
            </w:r>
          </w:p>
        </w:tc>
        <w:tc>
          <w:tcPr>
            <w:tcW w:w="4819" w:type="dxa"/>
          </w:tcPr>
          <w:p w:rsidR="00D82A01" w:rsidRPr="00396508" w:rsidRDefault="00D82A01" w:rsidP="00AA5997">
            <w:pPr>
              <w:pStyle w:val="TableText"/>
              <w:rPr>
                <w:rFonts w:cs="GillSans"/>
                <w:i/>
                <w:sz w:val="20"/>
              </w:rPr>
            </w:pPr>
            <w:r w:rsidRPr="00396508">
              <w:rPr>
                <w:rFonts w:cs="GillSans"/>
                <w:i/>
                <w:sz w:val="20"/>
              </w:rPr>
              <w:t>Honey exporters</w:t>
            </w:r>
          </w:p>
          <w:p w:rsidR="00D82A01" w:rsidRPr="00396508" w:rsidRDefault="00D82A01" w:rsidP="00AA5997">
            <w:pPr>
              <w:pStyle w:val="TableText"/>
              <w:rPr>
                <w:rFonts w:cs="GillSans"/>
                <w:sz w:val="20"/>
              </w:rPr>
            </w:pPr>
            <w:r w:rsidRPr="00396508">
              <w:rPr>
                <w:rFonts w:cs="GillSans"/>
                <w:sz w:val="20"/>
              </w:rPr>
              <w:t>New Zealand’s honey exports have grown from $</w:t>
            </w:r>
            <w:r w:rsidR="00DE3641">
              <w:rPr>
                <w:rFonts w:cs="GillSans"/>
                <w:sz w:val="20"/>
              </w:rPr>
              <w:t>NZ</w:t>
            </w:r>
            <w:r w:rsidRPr="00396508">
              <w:rPr>
                <w:rFonts w:cs="GillSans"/>
                <w:sz w:val="20"/>
              </w:rPr>
              <w:t>81 million in 2008</w:t>
            </w:r>
            <w:r w:rsidR="00DE3641">
              <w:rPr>
                <w:rFonts w:cs="GillSans"/>
                <w:sz w:val="20"/>
              </w:rPr>
              <w:t>–</w:t>
            </w:r>
            <w:r w:rsidRPr="00396508">
              <w:rPr>
                <w:rFonts w:cs="GillSans"/>
                <w:sz w:val="20"/>
              </w:rPr>
              <w:t>09 to $</w:t>
            </w:r>
            <w:r w:rsidR="00DE3641">
              <w:rPr>
                <w:rFonts w:cs="GillSans"/>
                <w:sz w:val="20"/>
              </w:rPr>
              <w:t>NZ</w:t>
            </w:r>
            <w:r w:rsidRPr="00396508">
              <w:rPr>
                <w:rFonts w:cs="GillSans"/>
                <w:sz w:val="20"/>
              </w:rPr>
              <w:t>187 million in 2013</w:t>
            </w:r>
            <w:r w:rsidR="00DE3641">
              <w:rPr>
                <w:rFonts w:cs="GillSans"/>
                <w:sz w:val="20"/>
              </w:rPr>
              <w:t>–</w:t>
            </w:r>
            <w:r w:rsidRPr="00396508">
              <w:rPr>
                <w:rFonts w:cs="GillSans"/>
                <w:sz w:val="20"/>
              </w:rPr>
              <w:t>14</w:t>
            </w:r>
            <w:r w:rsidR="000E3B31" w:rsidRPr="00396508">
              <w:rPr>
                <w:rFonts w:cs="GillSans"/>
                <w:sz w:val="20"/>
              </w:rPr>
              <w:t xml:space="preserve">. </w:t>
            </w:r>
          </w:p>
          <w:p w:rsidR="00D82A01" w:rsidRPr="00396508" w:rsidRDefault="00D82A01" w:rsidP="00AA5997">
            <w:pPr>
              <w:pStyle w:val="TableText"/>
              <w:rPr>
                <w:rFonts w:cs="GillSans"/>
                <w:sz w:val="20"/>
              </w:rPr>
            </w:pPr>
            <w:r w:rsidRPr="00396508">
              <w:rPr>
                <w:rFonts w:cs="GillSans"/>
                <w:sz w:val="20"/>
              </w:rPr>
              <w:t>The proportion of New Zealand’s honey exported to China grew from 3% in 2011</w:t>
            </w:r>
            <w:r w:rsidR="00DE3641">
              <w:rPr>
                <w:rFonts w:cs="GillSans"/>
                <w:sz w:val="20"/>
              </w:rPr>
              <w:t>–</w:t>
            </w:r>
            <w:r w:rsidRPr="00396508">
              <w:rPr>
                <w:rFonts w:cs="GillSans"/>
                <w:sz w:val="20"/>
              </w:rPr>
              <w:t>12 to 12% in 2013</w:t>
            </w:r>
            <w:r w:rsidR="00DE3641">
              <w:rPr>
                <w:rFonts w:cs="GillSans"/>
                <w:sz w:val="20"/>
              </w:rPr>
              <w:t>–</w:t>
            </w:r>
            <w:r w:rsidRPr="00396508">
              <w:rPr>
                <w:rFonts w:cs="GillSans"/>
                <w:sz w:val="20"/>
              </w:rPr>
              <w:t>14</w:t>
            </w:r>
            <w:r w:rsidR="000E3B31" w:rsidRPr="00396508">
              <w:rPr>
                <w:rFonts w:cs="GillSans"/>
                <w:sz w:val="20"/>
              </w:rPr>
              <w:t xml:space="preserve">. </w:t>
            </w:r>
            <w:r w:rsidRPr="00396508">
              <w:rPr>
                <w:rFonts w:cs="GillSans"/>
                <w:sz w:val="20"/>
              </w:rPr>
              <w:t>China is very sensitive to food safety issues</w:t>
            </w:r>
            <w:r w:rsidR="000E3B31" w:rsidRPr="00396508">
              <w:rPr>
                <w:rFonts w:cs="GillSans"/>
                <w:sz w:val="20"/>
              </w:rPr>
              <w:t xml:space="preserve">. </w:t>
            </w:r>
            <w:r w:rsidRPr="00396508">
              <w:rPr>
                <w:rFonts w:cs="GillSans"/>
                <w:sz w:val="20"/>
              </w:rPr>
              <w:t xml:space="preserve">   </w:t>
            </w:r>
          </w:p>
          <w:p w:rsidR="00D82A01" w:rsidRPr="00396508" w:rsidRDefault="00D82A01" w:rsidP="00AA5997">
            <w:pPr>
              <w:pStyle w:val="TableText"/>
              <w:rPr>
                <w:rFonts w:cs="GillSans"/>
                <w:sz w:val="20"/>
              </w:rPr>
            </w:pPr>
            <w:r w:rsidRPr="00396508">
              <w:rPr>
                <w:rFonts w:cs="GillSans"/>
                <w:sz w:val="20"/>
              </w:rPr>
              <w:t>A loss of confidence in overseas markets could also mean overseas countries may impose their own testing regimes or suspend or restrict exports.</w:t>
            </w:r>
          </w:p>
        </w:tc>
        <w:tc>
          <w:tcPr>
            <w:tcW w:w="3686" w:type="dxa"/>
          </w:tcPr>
          <w:p w:rsidR="00D82A01" w:rsidRPr="00396508" w:rsidRDefault="00D82A01" w:rsidP="00AA5997">
            <w:pPr>
              <w:pStyle w:val="TableText"/>
              <w:rPr>
                <w:rFonts w:cs="GillSans"/>
                <w:sz w:val="20"/>
              </w:rPr>
            </w:pPr>
            <w:r w:rsidRPr="00396508">
              <w:rPr>
                <w:rFonts w:cs="GillSans"/>
                <w:sz w:val="20"/>
              </w:rPr>
              <w:t>No benefits</w:t>
            </w:r>
          </w:p>
        </w:tc>
        <w:tc>
          <w:tcPr>
            <w:tcW w:w="3402" w:type="dxa"/>
          </w:tcPr>
          <w:p w:rsidR="00D82A01" w:rsidRPr="00396508" w:rsidRDefault="00D82A01" w:rsidP="00AA5997">
            <w:pPr>
              <w:pStyle w:val="TableText"/>
              <w:rPr>
                <w:rFonts w:cs="GillSans"/>
                <w:sz w:val="20"/>
              </w:rPr>
            </w:pPr>
            <w:r w:rsidRPr="00396508">
              <w:rPr>
                <w:rFonts w:cs="GillSans"/>
                <w:sz w:val="20"/>
              </w:rPr>
              <w:t xml:space="preserve">Probable high net cost if export markets impose their own testing regimes or restrict or suspend exports. </w:t>
            </w:r>
          </w:p>
          <w:p w:rsidR="00D82A01" w:rsidRPr="00396508" w:rsidRDefault="00D82A01" w:rsidP="00AA5997">
            <w:pPr>
              <w:pStyle w:val="TableText"/>
              <w:rPr>
                <w:rFonts w:cs="GillSans"/>
                <w:sz w:val="20"/>
              </w:rPr>
            </w:pPr>
            <w:r w:rsidRPr="00396508">
              <w:rPr>
                <w:rFonts w:cs="GillSans"/>
                <w:sz w:val="20"/>
              </w:rPr>
              <w:t>$</w:t>
            </w:r>
            <w:r w:rsidR="00DE3641">
              <w:rPr>
                <w:rFonts w:cs="GillSans"/>
                <w:sz w:val="20"/>
              </w:rPr>
              <w:t>NZ</w:t>
            </w:r>
            <w:r w:rsidRPr="00396508">
              <w:rPr>
                <w:rFonts w:cs="GillSans"/>
                <w:sz w:val="20"/>
              </w:rPr>
              <w:t>187 million of exports at risk</w:t>
            </w:r>
          </w:p>
        </w:tc>
      </w:tr>
    </w:tbl>
    <w:p w:rsidR="00D82A01" w:rsidRPr="00396508" w:rsidRDefault="00E92852" w:rsidP="00E92852">
      <w:pPr>
        <w:pStyle w:val="Heading3"/>
      </w:pPr>
      <w:bookmarkStart w:id="321" w:name="_Toc402438190"/>
      <w:r w:rsidRPr="00396508">
        <w:t>4.2.5</w:t>
      </w:r>
      <w:r w:rsidRPr="00396508">
        <w:tab/>
      </w:r>
      <w:r w:rsidR="00D82A01" w:rsidRPr="00396508">
        <w:t>Conclusion</w:t>
      </w:r>
      <w:bookmarkEnd w:id="321"/>
    </w:p>
    <w:p w:rsidR="00D82A01" w:rsidRPr="00396508" w:rsidRDefault="00D82A01" w:rsidP="00D82A01">
      <w:r w:rsidRPr="00396508">
        <w:rPr>
          <w:rFonts w:cs="GillSans"/>
        </w:rPr>
        <w:t>This option is not based on the best available science as research undertaken since the 2008 poisoning would not be taken into account</w:t>
      </w:r>
      <w:r w:rsidR="000E3B31" w:rsidRPr="00396508">
        <w:rPr>
          <w:rFonts w:cs="GillSans"/>
        </w:rPr>
        <w:t xml:space="preserve">. </w:t>
      </w:r>
      <w:r w:rsidRPr="00396508">
        <w:t>This option would not provide adequate protection for consumers due to the potentially severe effects of poisonings on some individuals so does not meet the FSANZ Act objective to protect public health and safety. While the honey industry that are only packing for the New Zealand market are likely to save on the cost of testing, many may continue to test due to the benefits testing offers in being able to safely produce honey in high risk areas.</w:t>
      </w:r>
    </w:p>
    <w:p w:rsidR="00D82A01" w:rsidRPr="00396508" w:rsidRDefault="00E92852" w:rsidP="00F56FA6">
      <w:pPr>
        <w:pStyle w:val="Heading2"/>
      </w:pPr>
      <w:bookmarkStart w:id="322" w:name="_Toc387045993"/>
      <w:bookmarkStart w:id="323" w:name="_Toc386804180"/>
      <w:bookmarkStart w:id="324" w:name="_Toc386804213"/>
      <w:bookmarkStart w:id="325" w:name="_Toc386807124"/>
      <w:bookmarkStart w:id="326" w:name="_Toc387045994"/>
      <w:bookmarkStart w:id="327" w:name="_Toc386456274"/>
      <w:bookmarkStart w:id="328" w:name="_Toc386456925"/>
      <w:bookmarkStart w:id="329" w:name="_Toc386528993"/>
      <w:bookmarkStart w:id="330" w:name="_Toc402438191"/>
      <w:bookmarkEnd w:id="322"/>
      <w:bookmarkEnd w:id="323"/>
      <w:bookmarkEnd w:id="324"/>
      <w:bookmarkEnd w:id="325"/>
      <w:bookmarkEnd w:id="326"/>
      <w:bookmarkEnd w:id="327"/>
      <w:bookmarkEnd w:id="328"/>
      <w:bookmarkEnd w:id="329"/>
      <w:r w:rsidRPr="00396508">
        <w:lastRenderedPageBreak/>
        <w:t>4.3</w:t>
      </w:r>
      <w:r w:rsidR="00D82A01" w:rsidRPr="00396508">
        <w:tab/>
      </w:r>
      <w:bookmarkStart w:id="331" w:name="_Toc401736614"/>
      <w:r w:rsidR="00D82A01" w:rsidRPr="00396508">
        <w:t xml:space="preserve">Option 3: Temporary maximum levels expire and </w:t>
      </w:r>
      <w:r w:rsidR="00204A5F" w:rsidRPr="00396508">
        <w:t xml:space="preserve">are </w:t>
      </w:r>
      <w:r w:rsidR="00D82A01" w:rsidRPr="00396508">
        <w:t>replaced with a voluntary industry code of practice</w:t>
      </w:r>
      <w:bookmarkEnd w:id="331"/>
      <w:bookmarkEnd w:id="330"/>
      <w:r w:rsidR="00D82A01" w:rsidRPr="00396508">
        <w:t xml:space="preserve"> </w:t>
      </w:r>
    </w:p>
    <w:p w:rsidR="00D82A01" w:rsidRPr="00396508" w:rsidRDefault="00D82A01" w:rsidP="00D82A01">
      <w:r w:rsidRPr="00396508">
        <w:t>As there is a strong public health and safety risk, and two industry organisations that operate independently of each other, a voluntary code of practice (CoP) is unlikely to be a viable option</w:t>
      </w:r>
      <w:r w:rsidR="000E3B31" w:rsidRPr="00396508">
        <w:t xml:space="preserve">. </w:t>
      </w:r>
      <w:r w:rsidRPr="00396508">
        <w:t>In addition, many members of the industry do not belong to either industry group</w:t>
      </w:r>
      <w:r w:rsidR="000E3B31" w:rsidRPr="00396508">
        <w:t xml:space="preserve">. </w:t>
      </w:r>
      <w:r w:rsidRPr="00396508">
        <w:t>Industry also supports the current tutin regulation rather than a CoP</w:t>
      </w:r>
      <w:r w:rsidR="000E3B31" w:rsidRPr="00396508">
        <w:t xml:space="preserve">. </w:t>
      </w:r>
      <w:r w:rsidRPr="00396508">
        <w:t>No submissions on the consultation RIS supported a CoP, and the Food and Grocery Council’s submission acknowledged that overall a CoP alone would not necessarily address the issues</w:t>
      </w:r>
      <w:r w:rsidR="000E3B31" w:rsidRPr="00396508">
        <w:t xml:space="preserve">. </w:t>
      </w:r>
      <w:r w:rsidRPr="00396508">
        <w:t>More information can be found in section 5</w:t>
      </w:r>
      <w:r w:rsidR="000E3B31" w:rsidRPr="00396508">
        <w:t xml:space="preserve">. </w:t>
      </w:r>
    </w:p>
    <w:p w:rsidR="00D82A01" w:rsidRPr="00396508" w:rsidRDefault="00D82A01" w:rsidP="00D82A01">
      <w:pPr>
        <w:pStyle w:val="FSTableFigureHeading"/>
        <w:rPr>
          <w:i w:val="0"/>
        </w:rPr>
      </w:pPr>
      <w:r w:rsidRPr="00396508">
        <w:rPr>
          <w:i w:val="0"/>
        </w:rPr>
        <w:t xml:space="preserve">Table 3: Analysis of costs and benefits of </w:t>
      </w:r>
      <w:r w:rsidR="00D61708" w:rsidRPr="00396508">
        <w:rPr>
          <w:i w:val="0"/>
        </w:rPr>
        <w:t>O</w:t>
      </w:r>
      <w:r w:rsidRPr="00396508">
        <w:rPr>
          <w:i w:val="0"/>
        </w:rPr>
        <w:t>ption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978"/>
        <w:gridCol w:w="3535"/>
        <w:gridCol w:w="3536"/>
      </w:tblGrid>
      <w:tr w:rsidR="00D82A01" w:rsidRPr="00396508" w:rsidTr="000E3B31">
        <w:trPr>
          <w:tblHeader/>
        </w:trPr>
        <w:tc>
          <w:tcPr>
            <w:tcW w:w="2093" w:type="dxa"/>
            <w:shd w:val="clear" w:color="auto" w:fill="E5B8B7" w:themeFill="accent2" w:themeFillTint="66"/>
          </w:tcPr>
          <w:p w:rsidR="00D82A01" w:rsidRPr="00396508" w:rsidRDefault="00D82A01" w:rsidP="00AA5997">
            <w:pPr>
              <w:pStyle w:val="TableText"/>
              <w:rPr>
                <w:rFonts w:cs="GillSans"/>
                <w:b/>
              </w:rPr>
            </w:pPr>
            <w:r w:rsidRPr="00396508">
              <w:rPr>
                <w:rFonts w:cs="GillSans"/>
                <w:b/>
              </w:rPr>
              <w:t>Criteria</w:t>
            </w:r>
          </w:p>
        </w:tc>
        <w:tc>
          <w:tcPr>
            <w:tcW w:w="4978" w:type="dxa"/>
            <w:shd w:val="clear" w:color="auto" w:fill="E5B8B7" w:themeFill="accent2" w:themeFillTint="66"/>
          </w:tcPr>
          <w:p w:rsidR="00D82A01" w:rsidRPr="00396508" w:rsidRDefault="00D82A01" w:rsidP="00AA5997">
            <w:pPr>
              <w:pStyle w:val="TableText"/>
              <w:rPr>
                <w:rFonts w:cs="GillSans"/>
                <w:b/>
              </w:rPr>
            </w:pPr>
            <w:r w:rsidRPr="00396508">
              <w:rPr>
                <w:rFonts w:cs="GillSans"/>
                <w:b/>
              </w:rPr>
              <w:t>Costs</w:t>
            </w:r>
          </w:p>
        </w:tc>
        <w:tc>
          <w:tcPr>
            <w:tcW w:w="3535" w:type="dxa"/>
            <w:shd w:val="clear" w:color="auto" w:fill="E5B8B7" w:themeFill="accent2" w:themeFillTint="66"/>
          </w:tcPr>
          <w:p w:rsidR="00D82A01" w:rsidRPr="00396508" w:rsidRDefault="00D82A01" w:rsidP="00AA5997">
            <w:pPr>
              <w:pStyle w:val="TableText"/>
              <w:rPr>
                <w:rFonts w:cs="GillSans"/>
                <w:b/>
              </w:rPr>
            </w:pPr>
            <w:r w:rsidRPr="00396508">
              <w:rPr>
                <w:rFonts w:cs="GillSans"/>
                <w:b/>
              </w:rPr>
              <w:t>Benefits</w:t>
            </w:r>
          </w:p>
        </w:tc>
        <w:tc>
          <w:tcPr>
            <w:tcW w:w="3536" w:type="dxa"/>
            <w:shd w:val="clear" w:color="auto" w:fill="E5B8B7" w:themeFill="accent2" w:themeFillTint="66"/>
          </w:tcPr>
          <w:p w:rsidR="00D82A01" w:rsidRPr="00396508" w:rsidRDefault="00D82A01" w:rsidP="00AA5997">
            <w:pPr>
              <w:pStyle w:val="TableText"/>
              <w:rPr>
                <w:rFonts w:cs="GillSans"/>
                <w:b/>
              </w:rPr>
            </w:pPr>
            <w:r w:rsidRPr="00396508">
              <w:rPr>
                <w:rFonts w:cs="GillSans"/>
                <w:b/>
              </w:rPr>
              <w:t>Overall</w:t>
            </w:r>
          </w:p>
        </w:tc>
      </w:tr>
      <w:tr w:rsidR="00D82A01" w:rsidRPr="00396508" w:rsidTr="00AA5997">
        <w:tc>
          <w:tcPr>
            <w:tcW w:w="2093" w:type="dxa"/>
          </w:tcPr>
          <w:p w:rsidR="00D82A01" w:rsidRPr="00396508" w:rsidRDefault="00D82A01" w:rsidP="00AA5997">
            <w:pPr>
              <w:pStyle w:val="TableText"/>
              <w:rPr>
                <w:rFonts w:cs="GillSans"/>
                <w:sz w:val="20"/>
                <w:szCs w:val="20"/>
              </w:rPr>
            </w:pPr>
            <w:r w:rsidRPr="00396508">
              <w:rPr>
                <w:rFonts w:cs="GillSans"/>
                <w:sz w:val="20"/>
                <w:szCs w:val="20"/>
              </w:rPr>
              <w:t>Minimising implementation costs</w:t>
            </w:r>
          </w:p>
        </w:tc>
        <w:tc>
          <w:tcPr>
            <w:tcW w:w="4978" w:type="dxa"/>
          </w:tcPr>
          <w:p w:rsidR="00D82A01" w:rsidRPr="00396508" w:rsidRDefault="00D82A01" w:rsidP="00AA5997">
            <w:pPr>
              <w:pStyle w:val="TableText"/>
              <w:rPr>
                <w:rFonts w:cs="GillSans"/>
                <w:i/>
                <w:sz w:val="20"/>
                <w:szCs w:val="20"/>
              </w:rPr>
            </w:pPr>
            <w:r w:rsidRPr="00396508">
              <w:rPr>
                <w:rFonts w:cs="GillSans"/>
                <w:i/>
                <w:sz w:val="20"/>
                <w:szCs w:val="20"/>
              </w:rPr>
              <w:t>Honey industry bodies</w:t>
            </w:r>
          </w:p>
          <w:p w:rsidR="00D82A01" w:rsidRPr="00396508" w:rsidRDefault="00D82A01" w:rsidP="00AA5997">
            <w:pPr>
              <w:pStyle w:val="TableText"/>
              <w:rPr>
                <w:rFonts w:cs="GillSans"/>
                <w:sz w:val="20"/>
                <w:szCs w:val="20"/>
              </w:rPr>
            </w:pPr>
            <w:r w:rsidRPr="00396508">
              <w:rPr>
                <w:rFonts w:cs="GillSans"/>
                <w:sz w:val="20"/>
                <w:szCs w:val="20"/>
              </w:rPr>
              <w:t>Based on similar processes in other sectors, the cost of developing the CoP would likely range between $</w:t>
            </w:r>
            <w:r w:rsidR="00DE3641">
              <w:rPr>
                <w:rFonts w:cs="GillSans"/>
                <w:sz w:val="20"/>
                <w:szCs w:val="20"/>
              </w:rPr>
              <w:t>NZ</w:t>
            </w:r>
            <w:r w:rsidRPr="00396508">
              <w:rPr>
                <w:rFonts w:cs="GillSans"/>
                <w:sz w:val="20"/>
                <w:szCs w:val="20"/>
              </w:rPr>
              <w:t>100,000 and $</w:t>
            </w:r>
            <w:r w:rsidR="00DE3641">
              <w:rPr>
                <w:rFonts w:cs="GillSans"/>
                <w:sz w:val="20"/>
                <w:szCs w:val="20"/>
              </w:rPr>
              <w:t>NZ</w:t>
            </w:r>
            <w:r w:rsidRPr="00396508">
              <w:rPr>
                <w:rFonts w:cs="GillSans"/>
                <w:sz w:val="20"/>
                <w:szCs w:val="20"/>
              </w:rPr>
              <w:t>200,000</w:t>
            </w:r>
            <w:r w:rsidRPr="00DE3641">
              <w:rPr>
                <w:rStyle w:val="FootnoteReference"/>
                <w:rFonts w:cs="GillSans"/>
                <w:sz w:val="18"/>
                <w:szCs w:val="20"/>
                <w:vertAlign w:val="superscript"/>
              </w:rPr>
              <w:footnoteReference w:id="16"/>
            </w:r>
            <w:r w:rsidRPr="00396508">
              <w:rPr>
                <w:rFonts w:cs="GillSans"/>
                <w:sz w:val="20"/>
                <w:szCs w:val="20"/>
              </w:rPr>
              <w:t xml:space="preserve">. </w:t>
            </w:r>
          </w:p>
          <w:p w:rsidR="00D82A01" w:rsidRPr="00396508" w:rsidRDefault="00D82A01" w:rsidP="00AA5997">
            <w:pPr>
              <w:pStyle w:val="TableText"/>
              <w:rPr>
                <w:rFonts w:cs="GillSans"/>
                <w:sz w:val="20"/>
                <w:szCs w:val="20"/>
              </w:rPr>
            </w:pPr>
            <w:r w:rsidRPr="00396508">
              <w:rPr>
                <w:rFonts w:cs="GillSans"/>
                <w:sz w:val="20"/>
                <w:szCs w:val="20"/>
              </w:rPr>
              <w:t xml:space="preserve">Alternatively, industry may decide to use what has already been developed by FSANZ and MPI so may face few additional costs. </w:t>
            </w:r>
          </w:p>
          <w:p w:rsidR="00D82A01" w:rsidRPr="00396508" w:rsidRDefault="00D82A01" w:rsidP="00AA5997">
            <w:pPr>
              <w:pStyle w:val="TableText"/>
              <w:rPr>
                <w:rFonts w:cs="GillSans"/>
                <w:sz w:val="20"/>
                <w:szCs w:val="20"/>
              </w:rPr>
            </w:pPr>
            <w:r w:rsidRPr="00396508">
              <w:rPr>
                <w:rFonts w:cs="GillSans"/>
                <w:sz w:val="20"/>
                <w:szCs w:val="20"/>
              </w:rPr>
              <w:t>There would also be costs for ongoing management and auditing of the CoP</w:t>
            </w:r>
            <w:r w:rsidR="000E3B31" w:rsidRPr="00396508">
              <w:rPr>
                <w:rFonts w:cs="GillSans"/>
                <w:sz w:val="20"/>
                <w:szCs w:val="20"/>
              </w:rPr>
              <w:t xml:space="preserve">. </w:t>
            </w:r>
          </w:p>
          <w:p w:rsidR="00D82A01" w:rsidRPr="00396508" w:rsidRDefault="00D82A01" w:rsidP="00AA5997">
            <w:pPr>
              <w:pStyle w:val="TableText"/>
              <w:rPr>
                <w:rFonts w:cs="GillSans"/>
                <w:i/>
                <w:sz w:val="20"/>
                <w:szCs w:val="20"/>
              </w:rPr>
            </w:pPr>
            <w:r w:rsidRPr="00396508">
              <w:rPr>
                <w:rFonts w:cs="GillSans"/>
                <w:i/>
                <w:sz w:val="20"/>
                <w:szCs w:val="20"/>
              </w:rPr>
              <w:t>Honey industry</w:t>
            </w:r>
          </w:p>
          <w:p w:rsidR="00D82A01" w:rsidRPr="00396508" w:rsidRDefault="00D82A01" w:rsidP="00AA5997">
            <w:pPr>
              <w:pStyle w:val="TableText"/>
              <w:rPr>
                <w:rFonts w:cs="GillSans"/>
                <w:sz w:val="20"/>
                <w:szCs w:val="20"/>
              </w:rPr>
            </w:pPr>
            <w:r w:rsidRPr="00396508">
              <w:rPr>
                <w:rFonts w:cs="GillSans"/>
                <w:sz w:val="20"/>
                <w:szCs w:val="20"/>
              </w:rPr>
              <w:t>Assuming a CoP was developed by the two major industry associations, it would only apply to those beekeepers and producers that are members of one of the organisations. Beekeepers and producers that were not members of either body would not have to comply with the CoP</w:t>
            </w:r>
            <w:r w:rsidR="000E3B31" w:rsidRPr="00396508">
              <w:rPr>
                <w:rFonts w:cs="GillSans"/>
                <w:sz w:val="20"/>
                <w:szCs w:val="20"/>
              </w:rPr>
              <w:t xml:space="preserve">. </w:t>
            </w:r>
          </w:p>
          <w:p w:rsidR="000E3B31" w:rsidRPr="00396508" w:rsidRDefault="000E3B31" w:rsidP="00AA5997">
            <w:pPr>
              <w:pStyle w:val="TableText"/>
              <w:rPr>
                <w:rFonts w:cs="GillSans"/>
                <w:sz w:val="20"/>
                <w:szCs w:val="20"/>
              </w:rPr>
            </w:pPr>
          </w:p>
          <w:p w:rsidR="000E3B31" w:rsidRPr="00396508" w:rsidRDefault="000E3B31" w:rsidP="00AA5997">
            <w:pPr>
              <w:pStyle w:val="TableText"/>
              <w:rPr>
                <w:rFonts w:cs="GillSans"/>
                <w:sz w:val="20"/>
                <w:szCs w:val="20"/>
              </w:rPr>
            </w:pPr>
          </w:p>
          <w:p w:rsidR="00D82A01" w:rsidRPr="00396508" w:rsidRDefault="00D82A01" w:rsidP="00AA5997">
            <w:pPr>
              <w:pStyle w:val="TableText"/>
              <w:rPr>
                <w:rFonts w:cs="GillSans"/>
                <w:i/>
                <w:sz w:val="20"/>
                <w:szCs w:val="20"/>
              </w:rPr>
            </w:pPr>
            <w:r w:rsidRPr="00396508">
              <w:rPr>
                <w:rFonts w:cs="GillSans"/>
                <w:i/>
                <w:sz w:val="20"/>
                <w:szCs w:val="20"/>
              </w:rPr>
              <w:lastRenderedPageBreak/>
              <w:t>Government</w:t>
            </w:r>
          </w:p>
          <w:p w:rsidR="00D82A01" w:rsidRPr="00396508" w:rsidRDefault="00D82A01" w:rsidP="00AA5997">
            <w:pPr>
              <w:pStyle w:val="TableText"/>
              <w:rPr>
                <w:rFonts w:cs="GillSans"/>
                <w:sz w:val="20"/>
                <w:szCs w:val="20"/>
              </w:rPr>
            </w:pPr>
            <w:r w:rsidRPr="00396508">
              <w:rPr>
                <w:rFonts w:cs="GillSans"/>
                <w:sz w:val="20"/>
                <w:szCs w:val="20"/>
              </w:rPr>
              <w:t>The time needed to develop a CoP may mean that the expiry dates of the maximum levels in the Code need to be extended</w:t>
            </w:r>
            <w:r w:rsidR="000E3B31" w:rsidRPr="00396508">
              <w:rPr>
                <w:rFonts w:cs="GillSans"/>
                <w:sz w:val="20"/>
                <w:szCs w:val="20"/>
              </w:rPr>
              <w:t xml:space="preserve">. </w:t>
            </w:r>
          </w:p>
          <w:p w:rsidR="00D82A01" w:rsidRPr="00396508" w:rsidRDefault="00D82A01" w:rsidP="00CB6A9B">
            <w:pPr>
              <w:pStyle w:val="TableText"/>
              <w:rPr>
                <w:rFonts w:cs="GillSans"/>
                <w:sz w:val="20"/>
                <w:szCs w:val="20"/>
              </w:rPr>
            </w:pPr>
            <w:r w:rsidRPr="00396508">
              <w:rPr>
                <w:rFonts w:cs="GillSans"/>
                <w:sz w:val="20"/>
                <w:szCs w:val="20"/>
              </w:rPr>
              <w:t xml:space="preserve">Government would also face costs for monitoring the effectiveness of the CoP. The Government may also face </w:t>
            </w:r>
            <w:r w:rsidRPr="00396508">
              <w:rPr>
                <w:sz w:val="20"/>
                <w:szCs w:val="20"/>
              </w:rPr>
              <w:t xml:space="preserve">greater costs for investigation </w:t>
            </w:r>
            <w:r w:rsidR="00CB6A9B" w:rsidRPr="00396508">
              <w:rPr>
                <w:sz w:val="20"/>
                <w:szCs w:val="20"/>
              </w:rPr>
              <w:t>and</w:t>
            </w:r>
            <w:r w:rsidRPr="00396508">
              <w:rPr>
                <w:sz w:val="20"/>
                <w:szCs w:val="20"/>
              </w:rPr>
              <w:t xml:space="preserve"> prosecution if the code proves ineffective and poisonings result.</w:t>
            </w:r>
          </w:p>
        </w:tc>
        <w:tc>
          <w:tcPr>
            <w:tcW w:w="3535" w:type="dxa"/>
          </w:tcPr>
          <w:p w:rsidR="00D82A01" w:rsidRPr="00396508" w:rsidRDefault="00D82A01" w:rsidP="00AA5997">
            <w:pPr>
              <w:pStyle w:val="TableText"/>
              <w:rPr>
                <w:rFonts w:cs="GillSans"/>
                <w:i/>
                <w:sz w:val="20"/>
                <w:szCs w:val="20"/>
              </w:rPr>
            </w:pPr>
            <w:r w:rsidRPr="00396508">
              <w:rPr>
                <w:rFonts w:cs="GillSans"/>
                <w:i/>
                <w:sz w:val="20"/>
                <w:szCs w:val="20"/>
              </w:rPr>
              <w:lastRenderedPageBreak/>
              <w:t>Honey Industry</w:t>
            </w:r>
          </w:p>
          <w:p w:rsidR="00D82A01" w:rsidRPr="00396508" w:rsidRDefault="00D82A01" w:rsidP="00AA5997">
            <w:pPr>
              <w:pStyle w:val="TableText"/>
              <w:rPr>
                <w:rFonts w:cs="GillSans"/>
                <w:sz w:val="20"/>
                <w:szCs w:val="20"/>
              </w:rPr>
            </w:pPr>
            <w:r w:rsidRPr="00396508">
              <w:rPr>
                <w:rFonts w:cs="GillSans"/>
                <w:sz w:val="20"/>
                <w:szCs w:val="20"/>
              </w:rPr>
              <w:t>The key benefits will derive from a high level of buy-in to the CoP from the industry, as they own it</w:t>
            </w:r>
            <w:r w:rsidR="000E3B31" w:rsidRPr="00396508">
              <w:rPr>
                <w:rFonts w:cs="GillSans"/>
                <w:sz w:val="20"/>
                <w:szCs w:val="20"/>
              </w:rPr>
              <w:t xml:space="preserve">. </w:t>
            </w:r>
            <w:r w:rsidR="00CB6A9B" w:rsidRPr="00396508">
              <w:rPr>
                <w:rFonts w:cs="GillSans"/>
                <w:sz w:val="20"/>
                <w:szCs w:val="20"/>
              </w:rPr>
              <w:t>However, this buy-in is unlikely given the low membership of the two industry organisations</w:t>
            </w:r>
            <w:r w:rsidR="000E3B31" w:rsidRPr="00396508">
              <w:rPr>
                <w:rFonts w:cs="GillSans"/>
                <w:sz w:val="20"/>
                <w:szCs w:val="20"/>
              </w:rPr>
              <w:t xml:space="preserve">. </w:t>
            </w:r>
          </w:p>
          <w:p w:rsidR="00D82A01" w:rsidRPr="00396508" w:rsidRDefault="00D82A01" w:rsidP="00AA5997">
            <w:pPr>
              <w:pStyle w:val="TableText"/>
              <w:rPr>
                <w:rFonts w:cs="GillSans"/>
                <w:sz w:val="20"/>
                <w:szCs w:val="20"/>
              </w:rPr>
            </w:pPr>
          </w:p>
          <w:p w:rsidR="000107E0" w:rsidRPr="00396508" w:rsidRDefault="000107E0" w:rsidP="00AA5997">
            <w:pPr>
              <w:pStyle w:val="TableText"/>
              <w:rPr>
                <w:rFonts w:cs="GillSans"/>
                <w:sz w:val="20"/>
                <w:szCs w:val="20"/>
              </w:rPr>
            </w:pPr>
          </w:p>
          <w:p w:rsidR="00D82A01" w:rsidRPr="00396508" w:rsidRDefault="00D82A01" w:rsidP="00AA5997">
            <w:pPr>
              <w:pStyle w:val="TableText"/>
              <w:rPr>
                <w:rFonts w:cs="GillSans"/>
                <w:i/>
                <w:sz w:val="20"/>
                <w:szCs w:val="20"/>
              </w:rPr>
            </w:pPr>
            <w:r w:rsidRPr="00396508">
              <w:rPr>
                <w:rFonts w:cs="GillSans"/>
                <w:i/>
                <w:sz w:val="20"/>
                <w:szCs w:val="20"/>
              </w:rPr>
              <w:t>Government</w:t>
            </w:r>
          </w:p>
          <w:p w:rsidR="00D82A01" w:rsidRPr="00396508" w:rsidRDefault="00D82A01" w:rsidP="00AA5997">
            <w:pPr>
              <w:pStyle w:val="TableText"/>
              <w:rPr>
                <w:rFonts w:cs="GillSans"/>
                <w:sz w:val="20"/>
                <w:szCs w:val="20"/>
              </w:rPr>
            </w:pPr>
            <w:r w:rsidRPr="00396508">
              <w:rPr>
                <w:rFonts w:cs="GillSans"/>
                <w:sz w:val="20"/>
                <w:szCs w:val="20"/>
              </w:rPr>
              <w:t>There could be a small cost saving for government as they may no longer need to do as much ongoing monitoring</w:t>
            </w:r>
            <w:r w:rsidR="000E3B31" w:rsidRPr="00396508">
              <w:rPr>
                <w:rFonts w:cs="GillSans"/>
                <w:sz w:val="20"/>
                <w:szCs w:val="20"/>
              </w:rPr>
              <w:t xml:space="preserve">. </w:t>
            </w:r>
            <w:r w:rsidRPr="00396508">
              <w:rPr>
                <w:rFonts w:cs="GillSans"/>
                <w:sz w:val="20"/>
                <w:szCs w:val="20"/>
              </w:rPr>
              <w:t xml:space="preserve"> </w:t>
            </w:r>
          </w:p>
        </w:tc>
        <w:tc>
          <w:tcPr>
            <w:tcW w:w="3536" w:type="dxa"/>
          </w:tcPr>
          <w:p w:rsidR="00D82A01" w:rsidRPr="00396508" w:rsidRDefault="00D82A01" w:rsidP="00AA5997">
            <w:pPr>
              <w:pStyle w:val="TableText"/>
              <w:rPr>
                <w:rFonts w:cs="GillSans"/>
                <w:sz w:val="20"/>
                <w:szCs w:val="20"/>
              </w:rPr>
            </w:pPr>
            <w:r w:rsidRPr="00396508">
              <w:rPr>
                <w:rFonts w:cs="GillSans"/>
                <w:sz w:val="20"/>
                <w:szCs w:val="20"/>
              </w:rPr>
              <w:t>Medium net cost: one off set up cost of around $</w:t>
            </w:r>
            <w:r w:rsidR="00DE3641">
              <w:rPr>
                <w:rFonts w:cs="GillSans"/>
                <w:sz w:val="20"/>
                <w:szCs w:val="20"/>
              </w:rPr>
              <w:t>NZ</w:t>
            </w:r>
            <w:r w:rsidRPr="00396508">
              <w:rPr>
                <w:rFonts w:cs="GillSans"/>
                <w:sz w:val="20"/>
                <w:szCs w:val="20"/>
              </w:rPr>
              <w:t xml:space="preserve">200,000 plus ongoing monitoring costs </w:t>
            </w:r>
          </w:p>
          <w:p w:rsidR="00D82A01" w:rsidRPr="00396508" w:rsidRDefault="00D82A01" w:rsidP="00AA5997">
            <w:pPr>
              <w:pStyle w:val="TableText"/>
              <w:rPr>
                <w:rFonts w:cs="GillSans"/>
                <w:sz w:val="20"/>
                <w:szCs w:val="20"/>
              </w:rPr>
            </w:pPr>
          </w:p>
        </w:tc>
      </w:tr>
      <w:tr w:rsidR="00D82A01" w:rsidRPr="00396508" w:rsidTr="00AA5997">
        <w:tc>
          <w:tcPr>
            <w:tcW w:w="2093" w:type="dxa"/>
          </w:tcPr>
          <w:p w:rsidR="00D82A01" w:rsidRPr="00396508" w:rsidRDefault="00D82A01" w:rsidP="00AA5997">
            <w:pPr>
              <w:pStyle w:val="TableText"/>
              <w:rPr>
                <w:rFonts w:cs="GillSans"/>
                <w:sz w:val="20"/>
              </w:rPr>
            </w:pPr>
            <w:r w:rsidRPr="00396508">
              <w:rPr>
                <w:rFonts w:cs="GillSans"/>
                <w:sz w:val="20"/>
              </w:rPr>
              <w:lastRenderedPageBreak/>
              <w:t>Protection of public health and safety</w:t>
            </w:r>
          </w:p>
        </w:tc>
        <w:tc>
          <w:tcPr>
            <w:tcW w:w="4978" w:type="dxa"/>
          </w:tcPr>
          <w:p w:rsidR="00D82A01" w:rsidRPr="00396508" w:rsidRDefault="00D82A01" w:rsidP="00AA5997">
            <w:pPr>
              <w:pStyle w:val="TableText"/>
              <w:rPr>
                <w:rFonts w:cs="GillSans"/>
                <w:i/>
                <w:sz w:val="20"/>
                <w:szCs w:val="20"/>
              </w:rPr>
            </w:pPr>
            <w:r w:rsidRPr="00396508">
              <w:rPr>
                <w:rFonts w:cs="GillSans"/>
                <w:i/>
                <w:sz w:val="20"/>
                <w:szCs w:val="20"/>
              </w:rPr>
              <w:t>Consumers</w:t>
            </w:r>
          </w:p>
          <w:p w:rsidR="00D82A01" w:rsidRPr="00396508" w:rsidRDefault="00D82A01" w:rsidP="00AA5997">
            <w:pPr>
              <w:pStyle w:val="TableText"/>
              <w:rPr>
                <w:rFonts w:cs="GillSans"/>
                <w:sz w:val="20"/>
                <w:szCs w:val="20"/>
              </w:rPr>
            </w:pPr>
            <w:r w:rsidRPr="00396508">
              <w:rPr>
                <w:rFonts w:cs="GillSans"/>
                <w:sz w:val="20"/>
                <w:szCs w:val="20"/>
              </w:rPr>
              <w:t xml:space="preserve">During the development of a CoP and in the transition period, there is increased risk of a tutin poisoning incident. </w:t>
            </w:r>
          </w:p>
          <w:p w:rsidR="00D82A01" w:rsidRPr="00396508" w:rsidRDefault="00D82A01" w:rsidP="00AA5997">
            <w:pPr>
              <w:pStyle w:val="TableText"/>
              <w:rPr>
                <w:rFonts w:cs="GillSans"/>
                <w:i/>
                <w:sz w:val="20"/>
                <w:szCs w:val="20"/>
              </w:rPr>
            </w:pPr>
            <w:r w:rsidRPr="00396508">
              <w:rPr>
                <w:rFonts w:cs="GillSans"/>
                <w:i/>
                <w:sz w:val="20"/>
                <w:szCs w:val="20"/>
              </w:rPr>
              <w:t>Health Sector</w:t>
            </w:r>
          </w:p>
          <w:p w:rsidR="00D82A01" w:rsidRPr="00396508" w:rsidRDefault="00D82A01" w:rsidP="00AA5997">
            <w:pPr>
              <w:pStyle w:val="TableText"/>
              <w:rPr>
                <w:rFonts w:cs="GillSans"/>
                <w:sz w:val="20"/>
                <w:szCs w:val="20"/>
              </w:rPr>
            </w:pPr>
            <w:r w:rsidRPr="00396508">
              <w:rPr>
                <w:rFonts w:cs="GillSans"/>
                <w:sz w:val="20"/>
                <w:szCs w:val="20"/>
              </w:rPr>
              <w:t>There is a risk that the CoP may not fully reflect recent scientific evidence. If this was the case, the public health costs would potentially be similar to those for Option 2</w:t>
            </w:r>
            <w:r w:rsidR="000E3B31" w:rsidRPr="00396508">
              <w:rPr>
                <w:rFonts w:cs="GillSans"/>
                <w:sz w:val="20"/>
                <w:szCs w:val="20"/>
              </w:rPr>
              <w:t xml:space="preserve">. </w:t>
            </w:r>
            <w:r w:rsidRPr="00396508">
              <w:rPr>
                <w:rFonts w:cs="GillSans"/>
                <w:sz w:val="20"/>
                <w:szCs w:val="20"/>
              </w:rPr>
              <w:t>See information given on the costs of mild and severe cases in section 4.1 above</w:t>
            </w:r>
            <w:r w:rsidR="000E3B31" w:rsidRPr="00396508">
              <w:rPr>
                <w:rFonts w:cs="GillSans"/>
                <w:sz w:val="20"/>
                <w:szCs w:val="20"/>
              </w:rPr>
              <w:t xml:space="preserve">. </w:t>
            </w:r>
          </w:p>
          <w:p w:rsidR="00D82A01" w:rsidRPr="00396508" w:rsidRDefault="00D82A01" w:rsidP="00AA5997">
            <w:pPr>
              <w:pStyle w:val="TableText"/>
              <w:rPr>
                <w:rFonts w:cs="GillSans"/>
                <w:sz w:val="20"/>
                <w:szCs w:val="20"/>
              </w:rPr>
            </w:pPr>
            <w:r w:rsidRPr="00396508">
              <w:rPr>
                <w:rFonts w:cs="GillSans"/>
                <w:sz w:val="20"/>
                <w:szCs w:val="20"/>
              </w:rPr>
              <w:t xml:space="preserve">There is potential for poisonings to increase unless the CoP reflected up to date science and the whole industry complied with it. </w:t>
            </w:r>
          </w:p>
        </w:tc>
        <w:tc>
          <w:tcPr>
            <w:tcW w:w="3535" w:type="dxa"/>
          </w:tcPr>
          <w:p w:rsidR="00D82A01" w:rsidRPr="00396508" w:rsidRDefault="00D82A01" w:rsidP="00AA5997">
            <w:pPr>
              <w:pStyle w:val="TableText"/>
              <w:rPr>
                <w:rFonts w:cs="GillSans"/>
                <w:i/>
                <w:sz w:val="20"/>
                <w:szCs w:val="20"/>
              </w:rPr>
            </w:pPr>
            <w:r w:rsidRPr="00396508">
              <w:rPr>
                <w:rFonts w:cs="GillSans"/>
                <w:i/>
                <w:sz w:val="20"/>
                <w:szCs w:val="20"/>
              </w:rPr>
              <w:t>Health Sector</w:t>
            </w:r>
          </w:p>
          <w:p w:rsidR="00D82A01" w:rsidRPr="00396508" w:rsidRDefault="00D82A01" w:rsidP="00AA5997">
            <w:pPr>
              <w:pStyle w:val="TableText"/>
              <w:rPr>
                <w:rFonts w:cs="GillSans"/>
                <w:sz w:val="20"/>
                <w:szCs w:val="20"/>
              </w:rPr>
            </w:pPr>
            <w:r w:rsidRPr="00396508">
              <w:rPr>
                <w:rFonts w:cs="GillSans"/>
                <w:sz w:val="20"/>
                <w:szCs w:val="20"/>
              </w:rPr>
              <w:t>Once successfully implemented, and if recent scientific evidence is reflected, the CoP would assist in minimising the costs on the public health system of tutin in honey.</w:t>
            </w:r>
          </w:p>
          <w:p w:rsidR="00D82A01" w:rsidRPr="00396508" w:rsidRDefault="00D82A01" w:rsidP="00AA5997">
            <w:pPr>
              <w:pStyle w:val="TableText"/>
              <w:rPr>
                <w:rFonts w:cs="GillSans"/>
                <w:sz w:val="20"/>
                <w:szCs w:val="20"/>
              </w:rPr>
            </w:pPr>
          </w:p>
        </w:tc>
        <w:tc>
          <w:tcPr>
            <w:tcW w:w="3536" w:type="dxa"/>
          </w:tcPr>
          <w:p w:rsidR="00D82A01" w:rsidRPr="00396508" w:rsidRDefault="00D82A01" w:rsidP="00AA5997">
            <w:pPr>
              <w:pStyle w:val="TableText"/>
              <w:rPr>
                <w:rFonts w:cs="GillSans"/>
                <w:sz w:val="20"/>
                <w:szCs w:val="20"/>
              </w:rPr>
            </w:pPr>
            <w:r w:rsidRPr="00396508">
              <w:rPr>
                <w:rFonts w:cs="GillSans"/>
                <w:sz w:val="20"/>
                <w:szCs w:val="20"/>
              </w:rPr>
              <w:t xml:space="preserve">Small net cost </w:t>
            </w:r>
          </w:p>
          <w:p w:rsidR="00D82A01" w:rsidRPr="00396508" w:rsidRDefault="00D82A01" w:rsidP="00AA5997">
            <w:pPr>
              <w:pStyle w:val="TableText"/>
              <w:rPr>
                <w:rFonts w:cs="GillSans"/>
                <w:sz w:val="20"/>
                <w:szCs w:val="20"/>
              </w:rPr>
            </w:pPr>
            <w:r w:rsidRPr="00396508">
              <w:rPr>
                <w:rFonts w:cs="GillSans"/>
                <w:sz w:val="20"/>
                <w:szCs w:val="20"/>
              </w:rPr>
              <w:t>Up to $</w:t>
            </w:r>
            <w:r w:rsidR="00DE3641">
              <w:rPr>
                <w:rFonts w:cs="GillSans"/>
                <w:sz w:val="20"/>
                <w:szCs w:val="20"/>
              </w:rPr>
              <w:t>NZ</w:t>
            </w:r>
            <w:r w:rsidRPr="00396508">
              <w:rPr>
                <w:rFonts w:cs="GillSans"/>
                <w:sz w:val="20"/>
                <w:szCs w:val="20"/>
              </w:rPr>
              <w:t>5,000 per case</w:t>
            </w:r>
          </w:p>
        </w:tc>
      </w:tr>
      <w:tr w:rsidR="00D82A01" w:rsidRPr="00396508" w:rsidTr="00AA5997">
        <w:tc>
          <w:tcPr>
            <w:tcW w:w="2093" w:type="dxa"/>
          </w:tcPr>
          <w:p w:rsidR="00D82A01" w:rsidRPr="00396508" w:rsidRDefault="00D82A01" w:rsidP="00AA5997">
            <w:pPr>
              <w:pStyle w:val="TableText"/>
              <w:rPr>
                <w:rFonts w:cs="GillSans"/>
                <w:sz w:val="20"/>
                <w:szCs w:val="20"/>
              </w:rPr>
            </w:pPr>
            <w:r w:rsidRPr="00396508">
              <w:rPr>
                <w:rFonts w:cs="GillSans"/>
                <w:sz w:val="20"/>
                <w:szCs w:val="20"/>
              </w:rPr>
              <w:t xml:space="preserve">Internationally competitive food industry </w:t>
            </w:r>
          </w:p>
        </w:tc>
        <w:tc>
          <w:tcPr>
            <w:tcW w:w="4978" w:type="dxa"/>
          </w:tcPr>
          <w:p w:rsidR="00D82A01" w:rsidRPr="00396508" w:rsidRDefault="00D82A01" w:rsidP="00AA5997">
            <w:pPr>
              <w:pStyle w:val="TableText"/>
              <w:rPr>
                <w:rFonts w:cs="GillSans"/>
                <w:i/>
                <w:sz w:val="20"/>
                <w:szCs w:val="20"/>
              </w:rPr>
            </w:pPr>
            <w:r w:rsidRPr="00396508">
              <w:rPr>
                <w:rFonts w:cs="GillSans"/>
                <w:i/>
                <w:sz w:val="20"/>
                <w:szCs w:val="20"/>
              </w:rPr>
              <w:t>Honey exporters</w:t>
            </w:r>
          </w:p>
          <w:p w:rsidR="00D82A01" w:rsidRPr="00396508" w:rsidRDefault="00D82A01" w:rsidP="00AA5997">
            <w:pPr>
              <w:pStyle w:val="TableText"/>
              <w:rPr>
                <w:rFonts w:cs="GillSans"/>
                <w:sz w:val="20"/>
                <w:szCs w:val="20"/>
              </w:rPr>
            </w:pPr>
            <w:r w:rsidRPr="00396508">
              <w:rPr>
                <w:rFonts w:cs="GillSans"/>
                <w:sz w:val="20"/>
                <w:szCs w:val="20"/>
              </w:rPr>
              <w:t>The greatest risk for honey exporters is the perception of trading partners. Any CoP would need to be sufficiently rigorous so that export markets would accept the CoP without imposing their own testing regimes or restricting or suspending exports.</w:t>
            </w:r>
          </w:p>
        </w:tc>
        <w:tc>
          <w:tcPr>
            <w:tcW w:w="3535" w:type="dxa"/>
          </w:tcPr>
          <w:p w:rsidR="00D82A01" w:rsidRPr="00396508" w:rsidRDefault="00D82A01" w:rsidP="00AA5997">
            <w:pPr>
              <w:pStyle w:val="TableText"/>
              <w:rPr>
                <w:rFonts w:cs="GillSans"/>
                <w:sz w:val="20"/>
                <w:szCs w:val="20"/>
              </w:rPr>
            </w:pPr>
            <w:r w:rsidRPr="00396508">
              <w:rPr>
                <w:rFonts w:cs="GillSans"/>
                <w:sz w:val="20"/>
                <w:szCs w:val="20"/>
              </w:rPr>
              <w:t xml:space="preserve">No significant benefits, relative to status quo. </w:t>
            </w:r>
          </w:p>
        </w:tc>
        <w:tc>
          <w:tcPr>
            <w:tcW w:w="3536" w:type="dxa"/>
          </w:tcPr>
          <w:p w:rsidR="00D82A01" w:rsidRPr="00396508" w:rsidRDefault="00D82A01" w:rsidP="00AA5997">
            <w:pPr>
              <w:pStyle w:val="TableText"/>
              <w:rPr>
                <w:rFonts w:cs="GillSans"/>
                <w:sz w:val="20"/>
                <w:szCs w:val="20"/>
              </w:rPr>
            </w:pPr>
            <w:r w:rsidRPr="00396508">
              <w:rPr>
                <w:rFonts w:cs="GillSans"/>
                <w:sz w:val="20"/>
                <w:szCs w:val="20"/>
              </w:rPr>
              <w:t>Probable high net cost</w:t>
            </w:r>
          </w:p>
          <w:p w:rsidR="00D82A01" w:rsidRPr="00396508" w:rsidRDefault="00D82A01" w:rsidP="00AA5997">
            <w:pPr>
              <w:pStyle w:val="TableText"/>
              <w:rPr>
                <w:rFonts w:cs="GillSans"/>
                <w:sz w:val="20"/>
                <w:szCs w:val="20"/>
              </w:rPr>
            </w:pPr>
            <w:r w:rsidRPr="00396508">
              <w:rPr>
                <w:rFonts w:cs="GillSans"/>
                <w:sz w:val="20"/>
                <w:szCs w:val="20"/>
              </w:rPr>
              <w:t>$</w:t>
            </w:r>
            <w:r w:rsidR="00DE3641">
              <w:rPr>
                <w:rFonts w:cs="GillSans"/>
                <w:sz w:val="20"/>
                <w:szCs w:val="20"/>
              </w:rPr>
              <w:t>NZ</w:t>
            </w:r>
            <w:r w:rsidRPr="00396508">
              <w:rPr>
                <w:rFonts w:cs="GillSans"/>
                <w:sz w:val="20"/>
                <w:szCs w:val="20"/>
              </w:rPr>
              <w:t>187 million of export revenue at risk</w:t>
            </w:r>
          </w:p>
          <w:p w:rsidR="00D82A01" w:rsidRPr="00396508" w:rsidRDefault="00D82A01" w:rsidP="00AA5997">
            <w:pPr>
              <w:pStyle w:val="TableText"/>
              <w:rPr>
                <w:rFonts w:cs="GillSans"/>
                <w:sz w:val="20"/>
                <w:szCs w:val="20"/>
              </w:rPr>
            </w:pPr>
          </w:p>
        </w:tc>
      </w:tr>
    </w:tbl>
    <w:p w:rsidR="00D82A01" w:rsidRPr="00396508" w:rsidRDefault="00E92852" w:rsidP="00E92852">
      <w:pPr>
        <w:pStyle w:val="Heading3"/>
      </w:pPr>
      <w:bookmarkStart w:id="332" w:name="_Toc402438192"/>
      <w:r w:rsidRPr="00396508">
        <w:lastRenderedPageBreak/>
        <w:t>4.3.1</w:t>
      </w:r>
      <w:r w:rsidRPr="00396508">
        <w:tab/>
      </w:r>
      <w:r w:rsidR="00D82A01" w:rsidRPr="00396508">
        <w:t>Conclusion</w:t>
      </w:r>
      <w:bookmarkEnd w:id="332"/>
    </w:p>
    <w:p w:rsidR="00D82A01" w:rsidRPr="00396508" w:rsidRDefault="00D82A01" w:rsidP="00D82A01">
      <w:r w:rsidRPr="00396508">
        <w:t>There is likely to be a diversity of views in the industry, as evidenced in the submissions, during the development of the CoP</w:t>
      </w:r>
      <w:r w:rsidR="000E3B31" w:rsidRPr="00396508">
        <w:t xml:space="preserve">. </w:t>
      </w:r>
      <w:r w:rsidRPr="00396508">
        <w:t>This could lead to difficulty in getting agreement on a CoP</w:t>
      </w:r>
      <w:r w:rsidR="000E3B31" w:rsidRPr="00396508">
        <w:t xml:space="preserve">. </w:t>
      </w:r>
      <w:r w:rsidRPr="00396508">
        <w:t>Depending on the content of the CoP, this option may not adequately protect public health and safety and may not meet the FSANZ Act objective for standards to be based on risk analysis using the best available science</w:t>
      </w:r>
      <w:r w:rsidR="000E3B31" w:rsidRPr="00396508">
        <w:t xml:space="preserve">. </w:t>
      </w:r>
    </w:p>
    <w:p w:rsidR="00D82A01" w:rsidRPr="00396508" w:rsidRDefault="00D82A01" w:rsidP="00D82A01"/>
    <w:p w:rsidR="00D82A01" w:rsidRPr="00396508" w:rsidRDefault="00D82A01" w:rsidP="00D82A01">
      <w:r w:rsidRPr="00396508">
        <w:t>The effect of the CoP may be limited because many industry members are not members of either industry group</w:t>
      </w:r>
      <w:r w:rsidR="000E3B31" w:rsidRPr="00396508">
        <w:t xml:space="preserve">. </w:t>
      </w:r>
      <w:r w:rsidRPr="00396508">
        <w:t>It would also be inconsistent with the approach taken for other high-risk foods such as shellfish and would not provide adequate protection for consumers due to the potential for poisonings to occur</w:t>
      </w:r>
      <w:r w:rsidR="000E3B31" w:rsidRPr="00396508">
        <w:t xml:space="preserve">. </w:t>
      </w:r>
      <w:r w:rsidRPr="00396508">
        <w:t>It therefore does not meet the FSANZ Act objective to protect public health and safety</w:t>
      </w:r>
      <w:r w:rsidR="000E3B31" w:rsidRPr="00396508">
        <w:t xml:space="preserve">. </w:t>
      </w:r>
    </w:p>
    <w:p w:rsidR="00D82A01" w:rsidRPr="00396508" w:rsidRDefault="00E92852" w:rsidP="00F56FA6">
      <w:pPr>
        <w:pStyle w:val="Heading2"/>
      </w:pPr>
      <w:bookmarkStart w:id="333" w:name="_Toc399232785"/>
      <w:bookmarkStart w:id="334" w:name="_Toc399232943"/>
      <w:bookmarkStart w:id="335" w:name="_Toc399233101"/>
      <w:bookmarkStart w:id="336" w:name="_Toc399233260"/>
      <w:bookmarkStart w:id="337" w:name="_Toc399233607"/>
      <w:bookmarkStart w:id="338" w:name="_Toc399232786"/>
      <w:bookmarkStart w:id="339" w:name="_Toc399232944"/>
      <w:bookmarkStart w:id="340" w:name="_Toc399233102"/>
      <w:bookmarkStart w:id="341" w:name="_Toc399233261"/>
      <w:bookmarkStart w:id="342" w:name="_Toc399233608"/>
      <w:bookmarkStart w:id="343" w:name="_Toc399232789"/>
      <w:bookmarkStart w:id="344" w:name="_Toc399232947"/>
      <w:bookmarkStart w:id="345" w:name="_Toc399233105"/>
      <w:bookmarkStart w:id="346" w:name="_Toc399233264"/>
      <w:bookmarkStart w:id="347" w:name="_Toc399233611"/>
      <w:bookmarkStart w:id="348" w:name="_Toc399232790"/>
      <w:bookmarkStart w:id="349" w:name="_Toc399232948"/>
      <w:bookmarkStart w:id="350" w:name="_Toc399233106"/>
      <w:bookmarkStart w:id="351" w:name="_Toc399233265"/>
      <w:bookmarkStart w:id="352" w:name="_Toc399233612"/>
      <w:bookmarkStart w:id="353" w:name="_Toc386804182"/>
      <w:bookmarkStart w:id="354" w:name="_Toc386804215"/>
      <w:bookmarkStart w:id="355" w:name="_Toc386807126"/>
      <w:bookmarkStart w:id="356" w:name="_Toc387045996"/>
      <w:bookmarkStart w:id="357" w:name="_Toc386456276"/>
      <w:bookmarkStart w:id="358" w:name="_Toc386456927"/>
      <w:bookmarkStart w:id="359" w:name="_Toc386528995"/>
      <w:bookmarkStart w:id="360" w:name="_Toc398811584"/>
      <w:bookmarkStart w:id="361" w:name="_Toc398811720"/>
      <w:bookmarkStart w:id="362" w:name="_Toc398811856"/>
      <w:bookmarkStart w:id="363" w:name="_Toc398811992"/>
      <w:bookmarkStart w:id="364" w:name="_Toc398812128"/>
      <w:bookmarkStart w:id="365" w:name="_Toc399145946"/>
      <w:bookmarkStart w:id="366" w:name="_Toc399232792"/>
      <w:bookmarkStart w:id="367" w:name="_Toc399232950"/>
      <w:bookmarkStart w:id="368" w:name="_Toc399233108"/>
      <w:bookmarkStart w:id="369" w:name="_Toc399233267"/>
      <w:bookmarkStart w:id="370" w:name="_Toc399233614"/>
      <w:bookmarkStart w:id="371" w:name="_Toc398811585"/>
      <w:bookmarkStart w:id="372" w:name="_Toc398811721"/>
      <w:bookmarkStart w:id="373" w:name="_Toc398811857"/>
      <w:bookmarkStart w:id="374" w:name="_Toc398811993"/>
      <w:bookmarkStart w:id="375" w:name="_Toc398812129"/>
      <w:bookmarkStart w:id="376" w:name="_Toc399145947"/>
      <w:bookmarkStart w:id="377" w:name="_Toc399232793"/>
      <w:bookmarkStart w:id="378" w:name="_Toc399232951"/>
      <w:bookmarkStart w:id="379" w:name="_Toc399233109"/>
      <w:bookmarkStart w:id="380" w:name="_Toc399233268"/>
      <w:bookmarkStart w:id="381" w:name="_Toc399233615"/>
      <w:bookmarkStart w:id="382" w:name="_Toc398811625"/>
      <w:bookmarkStart w:id="383" w:name="_Toc398811761"/>
      <w:bookmarkStart w:id="384" w:name="_Toc398811897"/>
      <w:bookmarkStart w:id="385" w:name="_Toc398812033"/>
      <w:bookmarkStart w:id="386" w:name="_Toc398812169"/>
      <w:bookmarkStart w:id="387" w:name="_Toc399145987"/>
      <w:bookmarkStart w:id="388" w:name="_Toc399232833"/>
      <w:bookmarkStart w:id="389" w:name="_Toc399232991"/>
      <w:bookmarkStart w:id="390" w:name="_Toc399233149"/>
      <w:bookmarkStart w:id="391" w:name="_Toc399233308"/>
      <w:bookmarkStart w:id="392" w:name="_Toc399233655"/>
      <w:bookmarkStart w:id="393" w:name="_Toc387045998"/>
      <w:bookmarkStart w:id="394" w:name="_Toc386456278"/>
      <w:bookmarkStart w:id="395" w:name="_Toc386456929"/>
      <w:bookmarkStart w:id="396" w:name="_Toc386528997"/>
      <w:bookmarkStart w:id="397" w:name="_Toc402438193"/>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396508">
        <w:t>4.4</w:t>
      </w:r>
      <w:r w:rsidR="00D82A01" w:rsidRPr="00396508">
        <w:tab/>
      </w:r>
      <w:bookmarkStart w:id="398" w:name="_Toc401736615"/>
      <w:r w:rsidR="00D82A01" w:rsidRPr="00396508">
        <w:t>Option 4: Amend maximum levels</w:t>
      </w:r>
      <w:bookmarkEnd w:id="398"/>
      <w:bookmarkEnd w:id="397"/>
    </w:p>
    <w:p w:rsidR="00D82A01" w:rsidRPr="00396508" w:rsidRDefault="00D82A01" w:rsidP="00D82A01">
      <w:pPr>
        <w:pStyle w:val="FSTableFigureHeading"/>
        <w:rPr>
          <w:i w:val="0"/>
        </w:rPr>
      </w:pPr>
      <w:r w:rsidRPr="00396508">
        <w:rPr>
          <w:i w:val="0"/>
        </w:rPr>
        <w:t xml:space="preserve">Table 4: Analysis of costs and benefits of </w:t>
      </w:r>
      <w:r w:rsidR="00D61708" w:rsidRPr="00396508">
        <w:rPr>
          <w:i w:val="0"/>
        </w:rPr>
        <w:t>O</w:t>
      </w:r>
      <w:r w:rsidRPr="00396508">
        <w:rPr>
          <w:i w:val="0"/>
        </w:rPr>
        <w:t>ption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907"/>
        <w:gridCol w:w="3500"/>
        <w:gridCol w:w="3500"/>
      </w:tblGrid>
      <w:tr w:rsidR="00D82A01" w:rsidRPr="00396508" w:rsidTr="000E3B31">
        <w:trPr>
          <w:tblHeader/>
        </w:trPr>
        <w:tc>
          <w:tcPr>
            <w:tcW w:w="2093" w:type="dxa"/>
            <w:shd w:val="clear" w:color="auto" w:fill="E5B8B7" w:themeFill="accent2" w:themeFillTint="66"/>
          </w:tcPr>
          <w:p w:rsidR="00D82A01" w:rsidRPr="00396508" w:rsidRDefault="00D82A01" w:rsidP="00AA5997">
            <w:pPr>
              <w:pStyle w:val="TableText"/>
              <w:rPr>
                <w:rFonts w:cs="GillSans"/>
                <w:b/>
              </w:rPr>
            </w:pPr>
            <w:r w:rsidRPr="00396508">
              <w:rPr>
                <w:rFonts w:cs="GillSans"/>
                <w:b/>
              </w:rPr>
              <w:t>Criteria</w:t>
            </w:r>
          </w:p>
        </w:tc>
        <w:tc>
          <w:tcPr>
            <w:tcW w:w="4907" w:type="dxa"/>
            <w:shd w:val="clear" w:color="auto" w:fill="E5B8B7" w:themeFill="accent2" w:themeFillTint="66"/>
          </w:tcPr>
          <w:p w:rsidR="00D82A01" w:rsidRPr="00396508" w:rsidRDefault="00D82A01" w:rsidP="00AA5997">
            <w:pPr>
              <w:pStyle w:val="TableText"/>
              <w:rPr>
                <w:rFonts w:cs="GillSans"/>
                <w:b/>
              </w:rPr>
            </w:pPr>
            <w:r w:rsidRPr="00396508">
              <w:rPr>
                <w:rFonts w:cs="GillSans"/>
                <w:b/>
              </w:rPr>
              <w:t>Costs</w:t>
            </w:r>
          </w:p>
        </w:tc>
        <w:tc>
          <w:tcPr>
            <w:tcW w:w="3500" w:type="dxa"/>
            <w:shd w:val="clear" w:color="auto" w:fill="E5B8B7" w:themeFill="accent2" w:themeFillTint="66"/>
          </w:tcPr>
          <w:p w:rsidR="00D82A01" w:rsidRPr="00396508" w:rsidRDefault="00D82A01" w:rsidP="00AA5997">
            <w:pPr>
              <w:pStyle w:val="TableText"/>
              <w:rPr>
                <w:rFonts w:cs="GillSans"/>
                <w:b/>
              </w:rPr>
            </w:pPr>
            <w:r w:rsidRPr="00396508">
              <w:rPr>
                <w:rFonts w:cs="GillSans"/>
                <w:b/>
              </w:rPr>
              <w:t>Benefits</w:t>
            </w:r>
          </w:p>
        </w:tc>
        <w:tc>
          <w:tcPr>
            <w:tcW w:w="3500" w:type="dxa"/>
            <w:shd w:val="clear" w:color="auto" w:fill="E5B8B7" w:themeFill="accent2" w:themeFillTint="66"/>
          </w:tcPr>
          <w:p w:rsidR="00D82A01" w:rsidRPr="00396508" w:rsidRDefault="00D82A01" w:rsidP="00AA5997">
            <w:pPr>
              <w:pStyle w:val="TableText"/>
              <w:rPr>
                <w:rFonts w:cs="GillSans"/>
                <w:b/>
              </w:rPr>
            </w:pPr>
            <w:r w:rsidRPr="00396508">
              <w:rPr>
                <w:rFonts w:cs="GillSans"/>
                <w:b/>
              </w:rPr>
              <w:t>Overall</w:t>
            </w:r>
          </w:p>
        </w:tc>
      </w:tr>
      <w:tr w:rsidR="00D82A01" w:rsidRPr="00396508" w:rsidTr="00AA5997">
        <w:tc>
          <w:tcPr>
            <w:tcW w:w="2093" w:type="dxa"/>
          </w:tcPr>
          <w:p w:rsidR="00D82A01" w:rsidRPr="00396508" w:rsidRDefault="00D82A01" w:rsidP="00AA5997">
            <w:pPr>
              <w:pStyle w:val="TableText"/>
              <w:rPr>
                <w:rFonts w:cs="GillSans"/>
                <w:sz w:val="20"/>
                <w:szCs w:val="20"/>
              </w:rPr>
            </w:pPr>
            <w:r w:rsidRPr="00396508">
              <w:rPr>
                <w:rFonts w:cs="GillSans"/>
                <w:sz w:val="20"/>
                <w:szCs w:val="20"/>
              </w:rPr>
              <w:t>Minimising implementation costs</w:t>
            </w:r>
          </w:p>
        </w:tc>
        <w:tc>
          <w:tcPr>
            <w:tcW w:w="4907" w:type="dxa"/>
          </w:tcPr>
          <w:p w:rsidR="00D82A01" w:rsidRPr="00396508" w:rsidRDefault="00D82A01" w:rsidP="00AA5997">
            <w:pPr>
              <w:pStyle w:val="TableText"/>
              <w:rPr>
                <w:rFonts w:cs="GillSans"/>
                <w:i/>
                <w:sz w:val="20"/>
                <w:szCs w:val="20"/>
              </w:rPr>
            </w:pPr>
            <w:r w:rsidRPr="00396508">
              <w:rPr>
                <w:rFonts w:cs="GillSans"/>
                <w:i/>
                <w:sz w:val="20"/>
                <w:szCs w:val="20"/>
              </w:rPr>
              <w:t>Honey industry</w:t>
            </w:r>
          </w:p>
          <w:p w:rsidR="00D82A01" w:rsidRPr="00396508" w:rsidRDefault="00D82A01" w:rsidP="00AA5997">
            <w:pPr>
              <w:pStyle w:val="TableText"/>
              <w:rPr>
                <w:rFonts w:cs="GillSans"/>
                <w:sz w:val="20"/>
                <w:szCs w:val="20"/>
              </w:rPr>
            </w:pPr>
            <w:r w:rsidRPr="00396508">
              <w:rPr>
                <w:rFonts w:cs="GillSans"/>
                <w:sz w:val="20"/>
                <w:szCs w:val="20"/>
              </w:rPr>
              <w:t>In addition to the testing costs estimated for Option 1, there would also be costs arising from extracted honey that meets the temporary maximum level but would not meet the reduced maximum level</w:t>
            </w:r>
            <w:r w:rsidR="000E3B31" w:rsidRPr="00396508">
              <w:rPr>
                <w:rFonts w:cs="GillSans"/>
                <w:sz w:val="20"/>
                <w:szCs w:val="20"/>
              </w:rPr>
              <w:t xml:space="preserve">. </w:t>
            </w:r>
            <w:r w:rsidRPr="00396508">
              <w:rPr>
                <w:rFonts w:cs="GillSans"/>
                <w:sz w:val="20"/>
                <w:szCs w:val="20"/>
              </w:rPr>
              <w:t xml:space="preserve">Data from Hill laboratories for 2014 shows that 3.8 </w:t>
            </w:r>
            <w:r w:rsidR="00E95783" w:rsidRPr="00396508">
              <w:rPr>
                <w:rFonts w:cs="GillSans"/>
                <w:sz w:val="20"/>
                <w:szCs w:val="20"/>
              </w:rPr>
              <w:t>per cent</w:t>
            </w:r>
            <w:r w:rsidRPr="00396508">
              <w:rPr>
                <w:rFonts w:cs="GillSans"/>
                <w:sz w:val="20"/>
                <w:szCs w:val="20"/>
              </w:rPr>
              <w:t xml:space="preserve"> of single samples had more than 0.7 mg/kg while 0.9 </w:t>
            </w:r>
            <w:r w:rsidR="00E95783" w:rsidRPr="00396508">
              <w:rPr>
                <w:rFonts w:cs="GillSans"/>
                <w:sz w:val="20"/>
                <w:szCs w:val="20"/>
              </w:rPr>
              <w:t>per cent</w:t>
            </w:r>
            <w:r w:rsidRPr="00396508">
              <w:rPr>
                <w:rFonts w:cs="GillSans"/>
                <w:sz w:val="20"/>
                <w:szCs w:val="20"/>
              </w:rPr>
              <w:t xml:space="preserve"> had tutin levels over 2.0 mg/kg</w:t>
            </w:r>
            <w:r w:rsidR="000E3B31" w:rsidRPr="00396508">
              <w:rPr>
                <w:rFonts w:cs="GillSans"/>
                <w:sz w:val="20"/>
                <w:szCs w:val="20"/>
              </w:rPr>
              <w:t xml:space="preserve">. </w:t>
            </w:r>
            <w:r w:rsidRPr="00396508">
              <w:rPr>
                <w:rFonts w:cs="GillSans"/>
                <w:sz w:val="20"/>
                <w:szCs w:val="20"/>
              </w:rPr>
              <w:t xml:space="preserve">  </w:t>
            </w:r>
          </w:p>
          <w:p w:rsidR="00D82A01" w:rsidRPr="00396508" w:rsidRDefault="00D82A01" w:rsidP="00AA5997">
            <w:pPr>
              <w:pStyle w:val="TableText"/>
              <w:rPr>
                <w:rFonts w:cs="GillSans"/>
                <w:sz w:val="20"/>
                <w:szCs w:val="20"/>
              </w:rPr>
            </w:pPr>
            <w:r w:rsidRPr="00396508">
              <w:rPr>
                <w:rFonts w:cs="GillSans"/>
                <w:sz w:val="20"/>
                <w:szCs w:val="20"/>
              </w:rPr>
              <w:t>The additional costs for this honey would include blending and retesting extracted honey to ensure it met the proposed new maximum level</w:t>
            </w:r>
            <w:r w:rsidR="000E3B31" w:rsidRPr="00396508">
              <w:rPr>
                <w:rFonts w:cs="GillSans"/>
                <w:sz w:val="20"/>
                <w:szCs w:val="20"/>
              </w:rPr>
              <w:t xml:space="preserve">. </w:t>
            </w:r>
            <w:r w:rsidRPr="00396508">
              <w:rPr>
                <w:rFonts w:cs="GillSans"/>
                <w:sz w:val="20"/>
                <w:szCs w:val="20"/>
              </w:rPr>
              <w:t>Management practices may also need to be changed so honey meets the lower maximum level</w:t>
            </w:r>
            <w:r w:rsidR="000E3B31" w:rsidRPr="00396508">
              <w:rPr>
                <w:rFonts w:cs="GillSans"/>
                <w:sz w:val="20"/>
                <w:szCs w:val="20"/>
              </w:rPr>
              <w:t xml:space="preserve">. </w:t>
            </w:r>
          </w:p>
          <w:p w:rsidR="00D82A01" w:rsidRPr="00396508" w:rsidRDefault="00D82A01" w:rsidP="00AA5997">
            <w:pPr>
              <w:pStyle w:val="TableText"/>
              <w:rPr>
                <w:rFonts w:cs="GillSans"/>
                <w:sz w:val="20"/>
                <w:szCs w:val="20"/>
              </w:rPr>
            </w:pPr>
            <w:r w:rsidRPr="00396508">
              <w:rPr>
                <w:rFonts w:cs="GillSans"/>
                <w:sz w:val="20"/>
                <w:szCs w:val="20"/>
              </w:rPr>
              <w:t>The estimated additional re-testing cost is $</w:t>
            </w:r>
            <w:r w:rsidR="00DE3641">
              <w:rPr>
                <w:rFonts w:cs="GillSans"/>
                <w:sz w:val="20"/>
                <w:szCs w:val="20"/>
              </w:rPr>
              <w:t>NZ</w:t>
            </w:r>
            <w:r w:rsidRPr="00396508">
              <w:rPr>
                <w:rFonts w:cs="GillSans"/>
                <w:sz w:val="20"/>
                <w:szCs w:val="20"/>
              </w:rPr>
              <w:t>12,000 across the honey industry depending on whether re-testing is done using composite or single sample tests. This cost may fall more on some operators than on others. It also may vary between years as tutin levels in honey vary from year to year</w:t>
            </w:r>
            <w:r w:rsidR="000E3B31" w:rsidRPr="00396508">
              <w:rPr>
                <w:rFonts w:cs="GillSans"/>
                <w:sz w:val="20"/>
                <w:szCs w:val="20"/>
              </w:rPr>
              <w:t xml:space="preserve">. </w:t>
            </w:r>
          </w:p>
          <w:p w:rsidR="00850BCE" w:rsidRPr="00396508" w:rsidRDefault="00850BCE" w:rsidP="00AA5997">
            <w:pPr>
              <w:pStyle w:val="TableText"/>
              <w:rPr>
                <w:rFonts w:cs="GillSans"/>
                <w:sz w:val="20"/>
                <w:szCs w:val="20"/>
              </w:rPr>
            </w:pPr>
          </w:p>
          <w:p w:rsidR="00D82A01" w:rsidRPr="00396508" w:rsidRDefault="00D82A01" w:rsidP="00AA5997">
            <w:pPr>
              <w:pStyle w:val="TableText"/>
              <w:rPr>
                <w:rFonts w:cs="GillSans"/>
                <w:sz w:val="20"/>
                <w:szCs w:val="20"/>
              </w:rPr>
            </w:pPr>
            <w:r w:rsidRPr="00396508">
              <w:rPr>
                <w:rFonts w:cs="GillSans"/>
                <w:sz w:val="20"/>
                <w:szCs w:val="20"/>
              </w:rPr>
              <w:lastRenderedPageBreak/>
              <w:t>The National Beekeepers Association commented in their submission that lower maximum levels could cause significant problems for some early</w:t>
            </w:r>
            <w:r w:rsidRPr="00DE3641">
              <w:rPr>
                <w:rStyle w:val="FootnoteReference"/>
                <w:rFonts w:cs="GillSans"/>
                <w:sz w:val="18"/>
                <w:szCs w:val="20"/>
                <w:vertAlign w:val="superscript"/>
              </w:rPr>
              <w:footnoteReference w:id="17"/>
            </w:r>
            <w:r w:rsidRPr="00396508">
              <w:rPr>
                <w:rFonts w:cs="GillSans"/>
                <w:sz w:val="14"/>
                <w:szCs w:val="20"/>
              </w:rPr>
              <w:t xml:space="preserve"> </w:t>
            </w:r>
            <w:r w:rsidRPr="00396508">
              <w:rPr>
                <w:rFonts w:cs="GillSans"/>
                <w:sz w:val="20"/>
                <w:szCs w:val="20"/>
              </w:rPr>
              <w:t>manuka areas that produce active manuka honey of high value</w:t>
            </w:r>
            <w:r w:rsidR="000E3B31" w:rsidRPr="00396508">
              <w:rPr>
                <w:rFonts w:cs="GillSans"/>
                <w:sz w:val="20"/>
                <w:szCs w:val="20"/>
              </w:rPr>
              <w:t xml:space="preserve">. </w:t>
            </w:r>
            <w:r w:rsidRPr="00396508">
              <w:rPr>
                <w:rFonts w:cs="GillSans"/>
                <w:sz w:val="20"/>
                <w:szCs w:val="20"/>
              </w:rPr>
              <w:t>Blending could result in considerable loss of value for this honey</w:t>
            </w:r>
            <w:r w:rsidR="000E3B31" w:rsidRPr="00396508">
              <w:rPr>
                <w:rFonts w:cs="GillSans"/>
                <w:sz w:val="20"/>
                <w:szCs w:val="20"/>
              </w:rPr>
              <w:t xml:space="preserve">. </w:t>
            </w:r>
            <w:r w:rsidR="004F0863" w:rsidRPr="00396508">
              <w:rPr>
                <w:rFonts w:cs="GillSans"/>
                <w:sz w:val="20"/>
                <w:szCs w:val="20"/>
              </w:rPr>
              <w:t>This is a small sector of the industry that has high profit and high retail prices</w:t>
            </w:r>
            <w:r w:rsidR="000E3B31" w:rsidRPr="00396508">
              <w:rPr>
                <w:rFonts w:cs="GillSans"/>
                <w:sz w:val="20"/>
                <w:szCs w:val="20"/>
              </w:rPr>
              <w:t xml:space="preserve">. </w:t>
            </w:r>
          </w:p>
          <w:p w:rsidR="00D82A01" w:rsidRPr="00396508" w:rsidRDefault="00D82A01" w:rsidP="00AA5997">
            <w:pPr>
              <w:pStyle w:val="TableText"/>
              <w:rPr>
                <w:rFonts w:cs="GillSans"/>
                <w:sz w:val="20"/>
                <w:szCs w:val="20"/>
              </w:rPr>
            </w:pPr>
            <w:r w:rsidRPr="00396508">
              <w:rPr>
                <w:rFonts w:cs="GillSans"/>
                <w:sz w:val="20"/>
                <w:szCs w:val="20"/>
              </w:rPr>
              <w:t>Industry would also face a cost to learn about the changes and determine if any changes nee</w:t>
            </w:r>
            <w:r w:rsidR="00A75861" w:rsidRPr="00396508">
              <w:rPr>
                <w:rFonts w:cs="GillSans"/>
                <w:sz w:val="20"/>
                <w:szCs w:val="20"/>
              </w:rPr>
              <w:t>d to be made to their systems.</w:t>
            </w:r>
          </w:p>
        </w:tc>
        <w:tc>
          <w:tcPr>
            <w:tcW w:w="3500" w:type="dxa"/>
          </w:tcPr>
          <w:p w:rsidR="00D82A01" w:rsidRPr="00396508" w:rsidRDefault="00D82A01" w:rsidP="00AA5997">
            <w:pPr>
              <w:pStyle w:val="TableText"/>
              <w:rPr>
                <w:rFonts w:cs="GillSans"/>
                <w:i/>
                <w:sz w:val="20"/>
                <w:szCs w:val="20"/>
              </w:rPr>
            </w:pPr>
            <w:r w:rsidRPr="00396508">
              <w:rPr>
                <w:rFonts w:cs="GillSans"/>
                <w:i/>
                <w:sz w:val="20"/>
                <w:szCs w:val="20"/>
              </w:rPr>
              <w:lastRenderedPageBreak/>
              <w:t>Honey industry</w:t>
            </w:r>
          </w:p>
          <w:p w:rsidR="00D82A01" w:rsidRPr="00396508" w:rsidRDefault="00D82A01" w:rsidP="00AA5997">
            <w:pPr>
              <w:pStyle w:val="TableText"/>
              <w:rPr>
                <w:rFonts w:cs="GillSans"/>
                <w:sz w:val="20"/>
                <w:szCs w:val="20"/>
              </w:rPr>
            </w:pPr>
            <w:r w:rsidRPr="00396508">
              <w:rPr>
                <w:rFonts w:cs="GillSans"/>
                <w:sz w:val="20"/>
                <w:szCs w:val="20"/>
              </w:rPr>
              <w:t>It may enable beekeepers to collect manuka honey from areas that have high levels of tutin by providing an assurance that this product is safe</w:t>
            </w:r>
            <w:r w:rsidR="000E3B31" w:rsidRPr="00396508">
              <w:rPr>
                <w:rFonts w:cs="GillSans"/>
                <w:sz w:val="20"/>
                <w:szCs w:val="20"/>
              </w:rPr>
              <w:t xml:space="preserve">. </w:t>
            </w:r>
            <w:r w:rsidRPr="00396508">
              <w:rPr>
                <w:rFonts w:cs="GillSans"/>
                <w:sz w:val="20"/>
                <w:szCs w:val="20"/>
              </w:rPr>
              <w:t>If the manuka honey has high levels of activity, this could bring considerable benefits</w:t>
            </w:r>
            <w:r w:rsidR="000E3B31" w:rsidRPr="00396508">
              <w:rPr>
                <w:rFonts w:cs="GillSans"/>
                <w:sz w:val="20"/>
                <w:szCs w:val="20"/>
              </w:rPr>
              <w:t xml:space="preserve">. </w:t>
            </w:r>
          </w:p>
          <w:p w:rsidR="00D82A01" w:rsidRPr="00396508" w:rsidRDefault="00D82A01" w:rsidP="00AA5997">
            <w:pPr>
              <w:pStyle w:val="TableText"/>
              <w:rPr>
                <w:rFonts w:cs="GillSans"/>
                <w:sz w:val="20"/>
                <w:szCs w:val="20"/>
              </w:rPr>
            </w:pPr>
          </w:p>
        </w:tc>
        <w:tc>
          <w:tcPr>
            <w:tcW w:w="3500" w:type="dxa"/>
          </w:tcPr>
          <w:p w:rsidR="00D82A01" w:rsidRPr="00396508" w:rsidRDefault="00D82A01" w:rsidP="00AA5997">
            <w:pPr>
              <w:pStyle w:val="TableText"/>
              <w:rPr>
                <w:rFonts w:cs="GillSans"/>
                <w:sz w:val="20"/>
                <w:szCs w:val="20"/>
              </w:rPr>
            </w:pPr>
            <w:r w:rsidRPr="00396508">
              <w:rPr>
                <w:rFonts w:cs="GillSans"/>
                <w:sz w:val="20"/>
                <w:szCs w:val="20"/>
              </w:rPr>
              <w:t>Possible medium net cost due to potential loss of value for high value early manuka honey</w:t>
            </w:r>
            <w:r w:rsidR="000E3B31" w:rsidRPr="00396508">
              <w:rPr>
                <w:rFonts w:cs="GillSans"/>
                <w:sz w:val="20"/>
                <w:szCs w:val="20"/>
              </w:rPr>
              <w:t xml:space="preserve">. </w:t>
            </w:r>
            <w:r w:rsidRPr="00396508">
              <w:rPr>
                <w:rFonts w:cs="GillSans"/>
                <w:sz w:val="20"/>
                <w:szCs w:val="20"/>
              </w:rPr>
              <w:t xml:space="preserve"> </w:t>
            </w:r>
          </w:p>
          <w:p w:rsidR="00D82A01" w:rsidRPr="00396508" w:rsidRDefault="00D82A01" w:rsidP="00AA5997">
            <w:pPr>
              <w:pStyle w:val="TableText"/>
              <w:rPr>
                <w:rFonts w:cs="GillSans"/>
                <w:sz w:val="20"/>
                <w:szCs w:val="20"/>
              </w:rPr>
            </w:pPr>
            <w:r w:rsidRPr="00396508">
              <w:rPr>
                <w:sz w:val="20"/>
                <w:szCs w:val="20"/>
              </w:rPr>
              <w:t>The National Beekeepers Association commented in their submission that it would not surprise them if this impact would cost the New Zealand beekeeping industry perhaps $</w:t>
            </w:r>
            <w:r w:rsidR="00DE3641">
              <w:rPr>
                <w:sz w:val="20"/>
                <w:szCs w:val="20"/>
              </w:rPr>
              <w:t>NZ</w:t>
            </w:r>
            <w:r w:rsidRPr="00396508">
              <w:rPr>
                <w:sz w:val="20"/>
                <w:szCs w:val="20"/>
              </w:rPr>
              <w:t>1 million per year. However they did not provide justification for this assertion.</w:t>
            </w:r>
          </w:p>
          <w:p w:rsidR="00D82A01" w:rsidRPr="00396508" w:rsidRDefault="00D82A01" w:rsidP="00AA5997">
            <w:pPr>
              <w:pStyle w:val="TableText"/>
              <w:rPr>
                <w:rFonts w:cs="GillSans"/>
                <w:sz w:val="20"/>
                <w:szCs w:val="20"/>
              </w:rPr>
            </w:pPr>
          </w:p>
        </w:tc>
      </w:tr>
      <w:tr w:rsidR="00D82A01" w:rsidRPr="00396508" w:rsidTr="00AA5997">
        <w:tc>
          <w:tcPr>
            <w:tcW w:w="2093" w:type="dxa"/>
          </w:tcPr>
          <w:p w:rsidR="00D82A01" w:rsidRPr="00396508" w:rsidRDefault="00D82A01" w:rsidP="00AA5997">
            <w:pPr>
              <w:pStyle w:val="TableText"/>
              <w:rPr>
                <w:rFonts w:cs="GillSans"/>
                <w:sz w:val="20"/>
              </w:rPr>
            </w:pPr>
            <w:r w:rsidRPr="00396508">
              <w:rPr>
                <w:rFonts w:cs="GillSans"/>
                <w:sz w:val="20"/>
              </w:rPr>
              <w:lastRenderedPageBreak/>
              <w:t>Protection of public health and safety</w:t>
            </w:r>
          </w:p>
        </w:tc>
        <w:tc>
          <w:tcPr>
            <w:tcW w:w="4907" w:type="dxa"/>
          </w:tcPr>
          <w:p w:rsidR="00D82A01" w:rsidRPr="00396508" w:rsidRDefault="00D82A01" w:rsidP="00AA5997">
            <w:pPr>
              <w:pStyle w:val="TableText"/>
              <w:rPr>
                <w:rFonts w:cs="GillSans"/>
                <w:i/>
                <w:sz w:val="20"/>
              </w:rPr>
            </w:pPr>
            <w:r w:rsidRPr="00396508">
              <w:rPr>
                <w:rFonts w:cs="GillSans"/>
                <w:i/>
                <w:sz w:val="20"/>
              </w:rPr>
              <w:t>Health system</w:t>
            </w:r>
          </w:p>
          <w:p w:rsidR="00D82A01" w:rsidRPr="00396508" w:rsidRDefault="00D82A01" w:rsidP="00AA5997">
            <w:pPr>
              <w:pStyle w:val="TableText"/>
              <w:rPr>
                <w:rFonts w:cs="GillSans"/>
                <w:i/>
                <w:sz w:val="20"/>
              </w:rPr>
            </w:pPr>
            <w:r w:rsidRPr="00396508">
              <w:rPr>
                <w:rFonts w:cs="GillSans"/>
                <w:sz w:val="20"/>
              </w:rPr>
              <w:t>The direct impacts on the health system will be similar to what has been experienced since 2008. See information given on the costs of mild and severe cases in section 4.1 above</w:t>
            </w:r>
            <w:r w:rsidR="000E3B31" w:rsidRPr="00396508">
              <w:rPr>
                <w:rFonts w:cs="GillSans"/>
                <w:sz w:val="20"/>
              </w:rPr>
              <w:t xml:space="preserve">. </w:t>
            </w:r>
          </w:p>
          <w:p w:rsidR="00D82A01" w:rsidRPr="00396508" w:rsidRDefault="00D82A01" w:rsidP="00AA5997">
            <w:pPr>
              <w:pStyle w:val="TableText"/>
              <w:rPr>
                <w:rFonts w:cs="GillSans"/>
                <w:sz w:val="20"/>
              </w:rPr>
            </w:pPr>
          </w:p>
        </w:tc>
        <w:tc>
          <w:tcPr>
            <w:tcW w:w="3500" w:type="dxa"/>
          </w:tcPr>
          <w:p w:rsidR="00D82A01" w:rsidRPr="00396508" w:rsidRDefault="00D82A01" w:rsidP="00AA5997">
            <w:pPr>
              <w:pStyle w:val="TableText"/>
              <w:rPr>
                <w:rFonts w:cs="GillSans"/>
                <w:i/>
                <w:sz w:val="20"/>
              </w:rPr>
            </w:pPr>
            <w:r w:rsidRPr="00396508">
              <w:rPr>
                <w:rFonts w:cs="GillSans"/>
                <w:i/>
                <w:sz w:val="20"/>
              </w:rPr>
              <w:t>Consumers</w:t>
            </w:r>
          </w:p>
          <w:p w:rsidR="00D82A01" w:rsidRPr="00396508" w:rsidRDefault="00D82A01" w:rsidP="00AA5997">
            <w:pPr>
              <w:pStyle w:val="TableText"/>
              <w:rPr>
                <w:rFonts w:cs="GillSans"/>
                <w:sz w:val="20"/>
              </w:rPr>
            </w:pPr>
            <w:r w:rsidRPr="00396508">
              <w:rPr>
                <w:rFonts w:cs="GillSans"/>
                <w:sz w:val="20"/>
              </w:rPr>
              <w:t xml:space="preserve">A reduction in ongoing costs such as loss of income and/or lower productivity from minor tutin poisoning incidents. </w:t>
            </w:r>
          </w:p>
        </w:tc>
        <w:tc>
          <w:tcPr>
            <w:tcW w:w="3500" w:type="dxa"/>
          </w:tcPr>
          <w:p w:rsidR="00D82A01" w:rsidRPr="00396508" w:rsidRDefault="00D82A01" w:rsidP="00AA5997">
            <w:pPr>
              <w:pStyle w:val="TableText"/>
              <w:rPr>
                <w:rFonts w:cs="GillSans"/>
                <w:sz w:val="20"/>
              </w:rPr>
            </w:pPr>
            <w:r w:rsidRPr="00396508">
              <w:rPr>
                <w:rFonts w:cs="GillSans"/>
                <w:sz w:val="20"/>
              </w:rPr>
              <w:t>Small net benefit</w:t>
            </w:r>
          </w:p>
          <w:p w:rsidR="00D82A01" w:rsidRPr="00396508" w:rsidRDefault="00D82A01" w:rsidP="00AA5997">
            <w:pPr>
              <w:pStyle w:val="TableText"/>
              <w:rPr>
                <w:rFonts w:cs="GillSans"/>
                <w:sz w:val="20"/>
              </w:rPr>
            </w:pPr>
            <w:r w:rsidRPr="00396508">
              <w:rPr>
                <w:rFonts w:cs="GillSans"/>
                <w:sz w:val="20"/>
              </w:rPr>
              <w:t>Likely saving of one day of lost productivity per case at $</w:t>
            </w:r>
            <w:r w:rsidR="00DE3641">
              <w:rPr>
                <w:rFonts w:cs="GillSans"/>
                <w:sz w:val="20"/>
              </w:rPr>
              <w:t>NZ</w:t>
            </w:r>
            <w:r w:rsidRPr="00396508">
              <w:rPr>
                <w:rFonts w:cs="GillSans"/>
                <w:sz w:val="20"/>
              </w:rPr>
              <w:t>172.64.</w:t>
            </w:r>
          </w:p>
        </w:tc>
      </w:tr>
      <w:tr w:rsidR="00D82A01" w:rsidRPr="00396508" w:rsidTr="00AA5997">
        <w:tc>
          <w:tcPr>
            <w:tcW w:w="2093" w:type="dxa"/>
          </w:tcPr>
          <w:p w:rsidR="00D82A01" w:rsidRPr="00396508" w:rsidRDefault="00D82A01" w:rsidP="00AA5997">
            <w:pPr>
              <w:pStyle w:val="TableText"/>
              <w:rPr>
                <w:rFonts w:cs="GillSans"/>
                <w:sz w:val="20"/>
              </w:rPr>
            </w:pPr>
            <w:r w:rsidRPr="00396508">
              <w:rPr>
                <w:rFonts w:cs="GillSans"/>
                <w:sz w:val="20"/>
              </w:rPr>
              <w:t xml:space="preserve">Internationally competitive food industry </w:t>
            </w:r>
          </w:p>
        </w:tc>
        <w:tc>
          <w:tcPr>
            <w:tcW w:w="4907" w:type="dxa"/>
          </w:tcPr>
          <w:p w:rsidR="00D82A01" w:rsidRPr="00396508" w:rsidRDefault="00D82A01" w:rsidP="00AA5997">
            <w:pPr>
              <w:pStyle w:val="TableText"/>
              <w:rPr>
                <w:rFonts w:cs="GillSans"/>
                <w:sz w:val="20"/>
              </w:rPr>
            </w:pPr>
            <w:r w:rsidRPr="00396508">
              <w:rPr>
                <w:rFonts w:cs="GillSans"/>
                <w:sz w:val="20"/>
              </w:rPr>
              <w:t>There are unlikely to be any costs for this option.</w:t>
            </w:r>
          </w:p>
        </w:tc>
        <w:tc>
          <w:tcPr>
            <w:tcW w:w="3500" w:type="dxa"/>
          </w:tcPr>
          <w:p w:rsidR="00D82A01" w:rsidRPr="00396508" w:rsidRDefault="00D82A01" w:rsidP="00AA5997">
            <w:pPr>
              <w:pStyle w:val="TableText"/>
              <w:rPr>
                <w:rFonts w:cs="GillSans"/>
                <w:i/>
                <w:sz w:val="20"/>
              </w:rPr>
            </w:pPr>
            <w:r w:rsidRPr="00396508">
              <w:rPr>
                <w:rFonts w:cs="GillSans"/>
                <w:i/>
                <w:sz w:val="20"/>
              </w:rPr>
              <w:t>Overseas markets</w:t>
            </w:r>
          </w:p>
          <w:p w:rsidR="00D82A01" w:rsidRPr="00396508" w:rsidRDefault="00D82A01" w:rsidP="00AA5997">
            <w:pPr>
              <w:pStyle w:val="TableText"/>
              <w:rPr>
                <w:rFonts w:cs="GillSans"/>
                <w:sz w:val="20"/>
              </w:rPr>
            </w:pPr>
            <w:r w:rsidRPr="00396508">
              <w:rPr>
                <w:rFonts w:cs="GillSans"/>
                <w:sz w:val="20"/>
              </w:rPr>
              <w:t>This change will send clear signals to NZ’s markets that food safety is a paramount concern. Given the sensitivity of some markets around food safety, this messaging is critical</w:t>
            </w:r>
            <w:r w:rsidR="000E3B31" w:rsidRPr="00396508">
              <w:rPr>
                <w:rFonts w:cs="GillSans"/>
                <w:sz w:val="20"/>
              </w:rPr>
              <w:t xml:space="preserve">. </w:t>
            </w:r>
            <w:r w:rsidRPr="00396508">
              <w:rPr>
                <w:rFonts w:cs="GillSans"/>
                <w:sz w:val="20"/>
              </w:rPr>
              <w:t>Honey exports have been growing at a compound annual growth rate (CAGR) of 18.21% per year since 2009.</w:t>
            </w:r>
          </w:p>
        </w:tc>
        <w:tc>
          <w:tcPr>
            <w:tcW w:w="3500" w:type="dxa"/>
          </w:tcPr>
          <w:p w:rsidR="00D82A01" w:rsidRPr="00396508" w:rsidRDefault="00D82A01" w:rsidP="00AA5997">
            <w:pPr>
              <w:pStyle w:val="TableText"/>
              <w:rPr>
                <w:rFonts w:cs="GillSans"/>
                <w:sz w:val="20"/>
              </w:rPr>
            </w:pPr>
            <w:r w:rsidRPr="00396508">
              <w:rPr>
                <w:rFonts w:cs="GillSans"/>
                <w:sz w:val="20"/>
              </w:rPr>
              <w:t>High net benefit as compound annual growth rate of 18.21</w:t>
            </w:r>
            <w:r w:rsidR="00DE3641">
              <w:rPr>
                <w:rFonts w:cs="GillSans"/>
                <w:sz w:val="20"/>
              </w:rPr>
              <w:t>%</w:t>
            </w:r>
            <w:r w:rsidRPr="00396508">
              <w:rPr>
                <w:rFonts w:cs="GillSans"/>
                <w:sz w:val="20"/>
              </w:rPr>
              <w:t xml:space="preserve"> per year likely to continue</w:t>
            </w:r>
            <w:r w:rsidR="000E3B31" w:rsidRPr="00396508">
              <w:rPr>
                <w:rFonts w:cs="GillSans"/>
                <w:sz w:val="20"/>
              </w:rPr>
              <w:t xml:space="preserve">. </w:t>
            </w:r>
            <w:r w:rsidRPr="00396508">
              <w:rPr>
                <w:rFonts w:cs="GillSans"/>
                <w:sz w:val="20"/>
              </w:rPr>
              <w:t>Honey exports were $</w:t>
            </w:r>
            <w:r w:rsidR="00DE3641">
              <w:rPr>
                <w:rFonts w:cs="GillSans"/>
                <w:sz w:val="20"/>
              </w:rPr>
              <w:t>NZ</w:t>
            </w:r>
            <w:r w:rsidRPr="00396508">
              <w:rPr>
                <w:rFonts w:cs="GillSans"/>
                <w:sz w:val="20"/>
              </w:rPr>
              <w:t>187 million for 2014.</w:t>
            </w:r>
          </w:p>
          <w:p w:rsidR="00D82A01" w:rsidRPr="00396508" w:rsidRDefault="00D82A01" w:rsidP="00AA5997">
            <w:pPr>
              <w:pStyle w:val="TableText"/>
              <w:rPr>
                <w:rFonts w:cs="GillSans"/>
                <w:sz w:val="20"/>
              </w:rPr>
            </w:pPr>
          </w:p>
        </w:tc>
      </w:tr>
    </w:tbl>
    <w:p w:rsidR="00850BCE" w:rsidRPr="00396508" w:rsidRDefault="00850BCE" w:rsidP="00E92852">
      <w:pPr>
        <w:pStyle w:val="Heading3"/>
      </w:pPr>
      <w:r w:rsidRPr="00396508">
        <w:br w:type="page"/>
      </w:r>
    </w:p>
    <w:p w:rsidR="00D82A01" w:rsidRPr="00396508" w:rsidRDefault="00E92852" w:rsidP="00E92852">
      <w:pPr>
        <w:pStyle w:val="Heading3"/>
      </w:pPr>
      <w:bookmarkStart w:id="399" w:name="_Toc402438194"/>
      <w:r w:rsidRPr="00396508">
        <w:lastRenderedPageBreak/>
        <w:t>4.4.1</w:t>
      </w:r>
      <w:r w:rsidRPr="00396508">
        <w:tab/>
      </w:r>
      <w:r w:rsidR="00D82A01" w:rsidRPr="00396508">
        <w:t>Conclusion</w:t>
      </w:r>
      <w:bookmarkEnd w:id="399"/>
    </w:p>
    <w:p w:rsidR="00D82A01" w:rsidRPr="00396508" w:rsidRDefault="00D82A01" w:rsidP="00D82A01">
      <w:r w:rsidRPr="00396508">
        <w:t xml:space="preserve">While this option will impose higher costs on industry, in particular a potential loss of value for high value early manuka honey which may exceed the new tutin limits, it will reduce public health costs as fewer people will experience the minor effects of a poisoning. It is the only option that takes full account of the risk analysis using the best available scientific evidence, which FSANZ is required to have regard to under the FSANZ Act. It also achieves the objective in the FSANZ Act to protect health and safety. The costs will likely be outweighed by the support this option provides </w:t>
      </w:r>
      <w:r w:rsidR="0097564F" w:rsidRPr="00396508">
        <w:t>for</w:t>
      </w:r>
      <w:r w:rsidRPr="00396508">
        <w:t xml:space="preserve"> maintaining the reputation of New Zealand honey, and the confidence and trust of consumers. It works to grow and protect access to markets by maintaining the confidence of overseas markets and trading partners, </w:t>
      </w:r>
      <w:r w:rsidR="004F0863" w:rsidRPr="00396508">
        <w:t xml:space="preserve">by </w:t>
      </w:r>
      <w:r w:rsidRPr="00396508">
        <w:t xml:space="preserve">using the best available science to support food safety. </w:t>
      </w:r>
    </w:p>
    <w:p w:rsidR="00850BCE" w:rsidRPr="00396508" w:rsidRDefault="00850BCE" w:rsidP="00D82A01"/>
    <w:p w:rsidR="00850BCE" w:rsidRPr="00396508" w:rsidRDefault="00850BCE" w:rsidP="00D82A01">
      <w:pPr>
        <w:sectPr w:rsidR="00850BCE" w:rsidRPr="00396508" w:rsidSect="00850BCE">
          <w:pgSz w:w="16840" w:h="11907" w:orient="landscape" w:code="9"/>
          <w:pgMar w:top="1418" w:right="1418" w:bottom="1418" w:left="1418" w:header="680" w:footer="680" w:gutter="0"/>
          <w:cols w:space="720"/>
          <w:docGrid w:linePitch="299"/>
        </w:sectPr>
      </w:pPr>
    </w:p>
    <w:p w:rsidR="00D82A01" w:rsidRPr="00396508" w:rsidRDefault="00090134" w:rsidP="00D82A01">
      <w:pPr>
        <w:pStyle w:val="Heading1"/>
        <w:spacing w:before="240"/>
      </w:pPr>
      <w:bookmarkStart w:id="400" w:name="_Toc387046000"/>
      <w:bookmarkStart w:id="401" w:name="_Toc385237422"/>
      <w:bookmarkStart w:id="402" w:name="_Toc383069879"/>
      <w:bookmarkStart w:id="403" w:name="_Toc385502397"/>
      <w:bookmarkStart w:id="404" w:name="_Toc385344131"/>
      <w:bookmarkStart w:id="405" w:name="_Toc385347992"/>
      <w:bookmarkStart w:id="406" w:name="_Toc385344133"/>
      <w:bookmarkStart w:id="407" w:name="_Toc385347994"/>
      <w:bookmarkStart w:id="408" w:name="_Toc385344135"/>
      <w:bookmarkStart w:id="409" w:name="_Toc385347996"/>
      <w:bookmarkStart w:id="410" w:name="_Toc385344136"/>
      <w:bookmarkStart w:id="411" w:name="_Toc385347997"/>
      <w:bookmarkStart w:id="412" w:name="_Toc385247468"/>
      <w:bookmarkStart w:id="413" w:name="_Toc385247471"/>
      <w:bookmarkStart w:id="414" w:name="_Toc385247472"/>
      <w:bookmarkStart w:id="415" w:name="_Toc384377906"/>
      <w:bookmarkStart w:id="416" w:name="_Toc383597983"/>
      <w:bookmarkStart w:id="417" w:name="_Toc385502401"/>
      <w:bookmarkStart w:id="418" w:name="_Toc401736616"/>
      <w:bookmarkStart w:id="419" w:name="_Toc402438195"/>
      <w:bookmarkEnd w:id="196"/>
      <w:bookmarkEnd w:id="197"/>
      <w:bookmarkEnd w:id="198"/>
      <w:bookmarkEnd w:id="199"/>
      <w:bookmarkEnd w:id="200"/>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396508">
        <w:lastRenderedPageBreak/>
        <w:t>5</w:t>
      </w:r>
      <w:r w:rsidRPr="00396508">
        <w:tab/>
      </w:r>
      <w:r w:rsidR="00D82A01" w:rsidRPr="00396508">
        <w:t>Consultation</w:t>
      </w:r>
      <w:bookmarkEnd w:id="418"/>
      <w:bookmarkEnd w:id="419"/>
    </w:p>
    <w:p w:rsidR="00D82A01" w:rsidRPr="00396508" w:rsidRDefault="00D82A01" w:rsidP="00D82A01">
      <w:bookmarkStart w:id="420" w:name="_Toc386804187"/>
      <w:bookmarkStart w:id="421" w:name="_Toc386804220"/>
      <w:bookmarkStart w:id="422" w:name="_Toc386807131"/>
      <w:bookmarkStart w:id="423" w:name="_Toc387046003"/>
      <w:bookmarkEnd w:id="420"/>
      <w:bookmarkEnd w:id="421"/>
      <w:bookmarkEnd w:id="422"/>
      <w:bookmarkEnd w:id="423"/>
      <w:r w:rsidRPr="00396508">
        <w:t xml:space="preserve">The honey industry has been kept updated on the review of the maximum levels for tutin in honey and comb honey through ongoing regular presentations at industry forums and conferences. FSANZ and MPI provided regular updates to the Bee Products Standards Council on the progress of the review and the proposed changes to the maximum levels at Council meetings. The Council has been supportive of amending the maximum levels based on recent research. FSANZ also provided information on the Proposal P1029 and the opportunity to provide submissions at the New Zealand Apiculture Industry Conference in June 2014. </w:t>
      </w:r>
    </w:p>
    <w:p w:rsidR="00D82A01" w:rsidRPr="00396508" w:rsidRDefault="00E92852" w:rsidP="00FA701A">
      <w:pPr>
        <w:pStyle w:val="Heading2"/>
      </w:pPr>
      <w:bookmarkStart w:id="424" w:name="_Toc402438196"/>
      <w:r w:rsidRPr="00396508">
        <w:t>5.1</w:t>
      </w:r>
      <w:r w:rsidRPr="00396508">
        <w:tab/>
      </w:r>
      <w:r w:rsidR="00D82A01" w:rsidRPr="00396508">
        <w:t>Industry views</w:t>
      </w:r>
      <w:bookmarkEnd w:id="424"/>
    </w:p>
    <w:p w:rsidR="00D82A01" w:rsidRPr="00396508" w:rsidRDefault="00D82A01" w:rsidP="00D82A01">
      <w:r w:rsidRPr="00396508">
        <w:t>Overall feedback from industry since 2008 is that they have welcomed the tutin regulation</w:t>
      </w:r>
      <w:r w:rsidR="000E3B31" w:rsidRPr="00396508">
        <w:t xml:space="preserve">. </w:t>
      </w:r>
      <w:r w:rsidRPr="00396508">
        <w:t>Comments tend to focus on the increased certainty about the safety of honey due to the additional research since 2008. Testing also provides a management tool that allows hives to be placed in areas previously considered to be too high risk</w:t>
      </w:r>
      <w:r w:rsidR="000E3B31" w:rsidRPr="00396508">
        <w:t xml:space="preserve">. </w:t>
      </w:r>
    </w:p>
    <w:p w:rsidR="00D82A01" w:rsidRPr="00396508" w:rsidRDefault="00FA701A" w:rsidP="00FA701A">
      <w:pPr>
        <w:pStyle w:val="Heading2"/>
      </w:pPr>
      <w:bookmarkStart w:id="425" w:name="_Toc402438197"/>
      <w:r w:rsidRPr="00396508">
        <w:t>5.2</w:t>
      </w:r>
      <w:r w:rsidRPr="00396508">
        <w:tab/>
      </w:r>
      <w:r w:rsidR="00D82A01" w:rsidRPr="00396508">
        <w:t>2014 consultation</w:t>
      </w:r>
      <w:bookmarkEnd w:id="425"/>
    </w:p>
    <w:p w:rsidR="00D82A01" w:rsidRPr="00396508" w:rsidRDefault="00D82A01" w:rsidP="00D82A01">
      <w:r w:rsidRPr="00396508">
        <w:t>A Consultation RIS (OBPR reference 13847) was released for comment as part of FSANZ’s formal consultation on the Call for Submissions for Proposal P1029 – Maximum Level for Tutin in Honey on 10 July 2014</w:t>
      </w:r>
      <w:r w:rsidR="000E3B31" w:rsidRPr="00396508">
        <w:t xml:space="preserve">. </w:t>
      </w:r>
      <w:r w:rsidRPr="00396508">
        <w:t>Consultation closed on 21 August 2014</w:t>
      </w:r>
      <w:r w:rsidR="000E3B31" w:rsidRPr="00396508">
        <w:t xml:space="preserve">. </w:t>
      </w:r>
      <w:r w:rsidRPr="00396508">
        <w:t xml:space="preserve">Public feedback was sought on the proposed option of reducing the maximum levels for tutin in honey and comb honey in the Code. A total of eight submissions were received from industry, peak bodies and jurisdictions as follows: </w:t>
      </w:r>
    </w:p>
    <w:p w:rsidR="00D82A01" w:rsidRPr="00396508" w:rsidRDefault="00D82A01" w:rsidP="00D82A01"/>
    <w:p w:rsidR="00D82A01" w:rsidRPr="00396508" w:rsidRDefault="00D82A01" w:rsidP="00850BCE">
      <w:pPr>
        <w:pStyle w:val="FSBullet1"/>
      </w:pPr>
      <w:r w:rsidRPr="00396508">
        <w:t>National Beekeepers Association of New Zealand (NBA)</w:t>
      </w:r>
    </w:p>
    <w:p w:rsidR="00D82A01" w:rsidRPr="00396508" w:rsidRDefault="00D82A01" w:rsidP="00850BCE">
      <w:pPr>
        <w:pStyle w:val="FSBullet1"/>
      </w:pPr>
      <w:r w:rsidRPr="00396508">
        <w:t>Bay of Plenty Branch of the National Beekeepers Association (BOP Branch NBA)</w:t>
      </w:r>
    </w:p>
    <w:p w:rsidR="00D82A01" w:rsidRPr="00396508" w:rsidRDefault="00D82A01" w:rsidP="00850BCE">
      <w:pPr>
        <w:pStyle w:val="FSBullet1"/>
      </w:pPr>
      <w:r w:rsidRPr="00396508">
        <w:t>Hikutaia Honey Ltd</w:t>
      </w:r>
    </w:p>
    <w:p w:rsidR="00D82A01" w:rsidRPr="00396508" w:rsidRDefault="00D82A01" w:rsidP="00850BCE">
      <w:pPr>
        <w:pStyle w:val="FSBullet1"/>
      </w:pPr>
      <w:r w:rsidRPr="00396508">
        <w:t>New Zealand Food and Grocery Council (NZFGC)</w:t>
      </w:r>
    </w:p>
    <w:p w:rsidR="00D82A01" w:rsidRPr="00396508" w:rsidRDefault="00D82A01" w:rsidP="00850BCE">
      <w:pPr>
        <w:pStyle w:val="FSBullet1"/>
      </w:pPr>
      <w:r w:rsidRPr="00396508">
        <w:t>New Zealand Ministry for Primary Industries (MPI)</w:t>
      </w:r>
    </w:p>
    <w:p w:rsidR="00D82A01" w:rsidRPr="00396508" w:rsidRDefault="00D82A01" w:rsidP="00850BCE">
      <w:pPr>
        <w:pStyle w:val="FSBullet1"/>
      </w:pPr>
      <w:r w:rsidRPr="00396508">
        <w:t>Department of Health, Victoria</w:t>
      </w:r>
    </w:p>
    <w:p w:rsidR="00D82A01" w:rsidRPr="00396508" w:rsidRDefault="00D82A01" w:rsidP="00850BCE">
      <w:pPr>
        <w:pStyle w:val="FSBullet1"/>
      </w:pPr>
      <w:r w:rsidRPr="00396508">
        <w:t>Federated Farmers of New Zealand, Bee Industry Group (FF BIG)</w:t>
      </w:r>
    </w:p>
    <w:p w:rsidR="00D82A01" w:rsidRPr="00396508" w:rsidRDefault="00D82A01" w:rsidP="00850BCE">
      <w:pPr>
        <w:pStyle w:val="FSBullet1"/>
      </w:pPr>
      <w:r w:rsidRPr="00396508">
        <w:t>Food Technology Association of Australia</w:t>
      </w:r>
    </w:p>
    <w:p w:rsidR="00D82A01" w:rsidRPr="00396508" w:rsidRDefault="00D82A01" w:rsidP="00D82A01">
      <w:pPr>
        <w:rPr>
          <w:lang w:eastAsia="en-US" w:bidi="en-US"/>
        </w:rPr>
      </w:pPr>
    </w:p>
    <w:p w:rsidR="00D82A01" w:rsidRPr="00396508" w:rsidRDefault="00D82A01" w:rsidP="00D82A01">
      <w:r w:rsidRPr="00396508">
        <w:t>Five submissions from industry and government agencies supported the draft variation proposed in FSANZ’s Call for Submissions to reduce the maximum levels for tutin in honey and comb honey</w:t>
      </w:r>
      <w:r w:rsidR="000E3B31" w:rsidRPr="00396508">
        <w:t xml:space="preserve">. </w:t>
      </w:r>
      <w:r w:rsidRPr="00396508">
        <w:t>Supporters were NZFGC, MPI, FF BIG, Department of Health (Victoria) and the Food Technology of Australia</w:t>
      </w:r>
      <w:r w:rsidR="000E3B31" w:rsidRPr="00396508">
        <w:t xml:space="preserve">. </w:t>
      </w:r>
      <w:r w:rsidRPr="00396508">
        <w:t>While MPI supported the proposed reductions to the maximum levels, they requested a sampling plan for comb honey to ensure the Code does not conflict with the New Zealand Tutin Standard</w:t>
      </w:r>
      <w:r w:rsidR="000E3B31" w:rsidRPr="00396508">
        <w:t xml:space="preserve">. </w:t>
      </w:r>
      <w:r w:rsidRPr="00396508">
        <w:t>A late submission was also received from the Bee Products Standards Council that supported the proposed draft variation to reduce the maximum levels for tutin in honey and comb honey</w:t>
      </w:r>
      <w:r w:rsidR="000E3B31" w:rsidRPr="00396508">
        <w:t xml:space="preserve">. </w:t>
      </w:r>
    </w:p>
    <w:p w:rsidR="00D82A01" w:rsidRPr="00396508" w:rsidRDefault="00D82A01" w:rsidP="00D82A01"/>
    <w:p w:rsidR="00D82A01" w:rsidRPr="00396508" w:rsidRDefault="00D82A01" w:rsidP="00850BCE">
      <w:r w:rsidRPr="00396508">
        <w:t>The NBA said that they could support the proposal if they were satisfied that the methodology behind the pharmacological study was sound</w:t>
      </w:r>
      <w:r w:rsidR="000E3B31" w:rsidRPr="00396508">
        <w:t xml:space="preserve">. </w:t>
      </w:r>
    </w:p>
    <w:p w:rsidR="00850BCE" w:rsidRPr="00396508" w:rsidRDefault="00850BCE" w:rsidP="00850BCE"/>
    <w:p w:rsidR="00850BCE" w:rsidRPr="00396508" w:rsidRDefault="00D82A01" w:rsidP="00850BCE">
      <w:r w:rsidRPr="00396508">
        <w:t>The Bay of Plenty Branch of the NBA and Hikutaia Honey Ltd did not support the proposal as they have concerns about the quality and methodology of the research the proposed was based on</w:t>
      </w:r>
      <w:r w:rsidR="000E3B31" w:rsidRPr="00396508">
        <w:t xml:space="preserve">. </w:t>
      </w:r>
      <w:r w:rsidRPr="00396508">
        <w:t xml:space="preserve">  </w:t>
      </w:r>
      <w:r w:rsidR="00850BCE" w:rsidRPr="00396508">
        <w:br w:type="page"/>
      </w:r>
    </w:p>
    <w:p w:rsidR="00D82A01" w:rsidRPr="00396508" w:rsidRDefault="00D82A01" w:rsidP="00850BCE">
      <w:r w:rsidRPr="00396508">
        <w:lastRenderedPageBreak/>
        <w:t>The main issues raised in submissions relevant to this RIS and the response</w:t>
      </w:r>
      <w:r w:rsidR="0097564F" w:rsidRPr="00396508">
        <w:t>s</w:t>
      </w:r>
      <w:r w:rsidRPr="00396508">
        <w:t xml:space="preserve"> are given in Table 5 below</w:t>
      </w:r>
      <w:r w:rsidR="000E3B31" w:rsidRPr="00396508">
        <w:t xml:space="preserve">. </w:t>
      </w:r>
      <w:r w:rsidRPr="00396508">
        <w:t xml:space="preserve">Other issues that were raised that are not relevant to the Decision RIS are addressed in FSANZ documents about this proposal on their website. </w:t>
      </w:r>
      <w:r w:rsidRPr="00396508">
        <w:rPr>
          <w:rStyle w:val="FootnoteReference"/>
          <w:sz w:val="18"/>
          <w:vertAlign w:val="superscript"/>
        </w:rPr>
        <w:footnoteReference w:id="18"/>
      </w:r>
      <w:r w:rsidRPr="00396508">
        <w:rPr>
          <w:sz w:val="24"/>
          <w:vertAlign w:val="superscript"/>
        </w:rPr>
        <w:t xml:space="preserve"> </w:t>
      </w:r>
      <w:r w:rsidRPr="00396508">
        <w:t xml:space="preserve">  </w:t>
      </w:r>
    </w:p>
    <w:p w:rsidR="00D82A01" w:rsidRPr="00396508" w:rsidRDefault="00D82A01" w:rsidP="00D82A01">
      <w:pPr>
        <w:pStyle w:val="FSTableFigureHeading"/>
        <w:rPr>
          <w:i w:val="0"/>
        </w:rPr>
      </w:pPr>
      <w:r w:rsidRPr="00396508">
        <w:rPr>
          <w:i w:val="0"/>
        </w:rPr>
        <w:t>Table 5: Issues raised in submissions relevant to the RIS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40"/>
      </w:tblGrid>
      <w:tr w:rsidR="00D82A01" w:rsidRPr="00396508" w:rsidTr="00850BCE">
        <w:trPr>
          <w:cantSplit/>
          <w:tblHeader/>
        </w:trPr>
        <w:tc>
          <w:tcPr>
            <w:tcW w:w="4621" w:type="dxa"/>
            <w:shd w:val="clear" w:color="auto" w:fill="D6E3BC" w:themeFill="accent3" w:themeFillTint="66"/>
          </w:tcPr>
          <w:p w:rsidR="00D82A01" w:rsidRPr="00396508" w:rsidRDefault="00D82A01" w:rsidP="00AA5997">
            <w:pPr>
              <w:spacing w:before="60" w:after="60"/>
              <w:rPr>
                <w:b/>
              </w:rPr>
            </w:pPr>
            <w:r w:rsidRPr="00396508">
              <w:rPr>
                <w:b/>
              </w:rPr>
              <w:t>Issue</w:t>
            </w:r>
          </w:p>
        </w:tc>
        <w:tc>
          <w:tcPr>
            <w:tcW w:w="4622" w:type="dxa"/>
            <w:shd w:val="clear" w:color="auto" w:fill="D6E3BC" w:themeFill="accent3" w:themeFillTint="66"/>
          </w:tcPr>
          <w:p w:rsidR="00D82A01" w:rsidRPr="00396508" w:rsidRDefault="00D82A01" w:rsidP="00AA5997">
            <w:pPr>
              <w:spacing w:before="60" w:after="60"/>
              <w:rPr>
                <w:b/>
              </w:rPr>
            </w:pPr>
            <w:r w:rsidRPr="00396508">
              <w:rPr>
                <w:b/>
              </w:rPr>
              <w:t>Response</w:t>
            </w:r>
          </w:p>
        </w:tc>
      </w:tr>
      <w:tr w:rsidR="00D82A01" w:rsidRPr="00396508" w:rsidTr="00850BCE">
        <w:trPr>
          <w:cantSplit/>
        </w:trPr>
        <w:tc>
          <w:tcPr>
            <w:tcW w:w="4621" w:type="dxa"/>
          </w:tcPr>
          <w:p w:rsidR="00D82A01" w:rsidRPr="00396508" w:rsidRDefault="00D82A01" w:rsidP="00AA5997">
            <w:pPr>
              <w:spacing w:before="60" w:after="60"/>
              <w:rPr>
                <w:sz w:val="20"/>
              </w:rPr>
            </w:pPr>
            <w:r w:rsidRPr="00396508">
              <w:rPr>
                <w:sz w:val="20"/>
              </w:rPr>
              <w:t xml:space="preserve">Three industry submissions raised concerns about the quality and methodology of the research on which the proposed draft variation is based. </w:t>
            </w:r>
          </w:p>
        </w:tc>
        <w:tc>
          <w:tcPr>
            <w:tcW w:w="4622" w:type="dxa"/>
          </w:tcPr>
          <w:p w:rsidR="00D82A01" w:rsidRPr="00396508" w:rsidRDefault="00D82A01" w:rsidP="00AA5997">
            <w:pPr>
              <w:spacing w:before="60" w:after="60"/>
              <w:rPr>
                <w:sz w:val="20"/>
              </w:rPr>
            </w:pPr>
            <w:r w:rsidRPr="00396508">
              <w:rPr>
                <w:sz w:val="20"/>
              </w:rPr>
              <w:t>The research on which the draft variation is based included a human pharmacokinetic study which was conducted in accordance with Good Clinical Practice and based on European Medical Agency Guidelines for human pharmacokinetic studies</w:t>
            </w:r>
            <w:r w:rsidR="000E3B31" w:rsidRPr="00396508">
              <w:rPr>
                <w:sz w:val="20"/>
              </w:rPr>
              <w:t xml:space="preserve">. </w:t>
            </w:r>
            <w:r w:rsidRPr="00396508">
              <w:rPr>
                <w:sz w:val="20"/>
              </w:rPr>
              <w:t>The study has recently been published in a peer-reviewed scientific journal. More information can be found in section 1.1.4</w:t>
            </w:r>
            <w:r w:rsidR="000E3B31" w:rsidRPr="00396508">
              <w:rPr>
                <w:sz w:val="20"/>
              </w:rPr>
              <w:t xml:space="preserve">. </w:t>
            </w:r>
          </w:p>
        </w:tc>
      </w:tr>
      <w:tr w:rsidR="00D82A01" w:rsidRPr="00396508" w:rsidTr="00850BCE">
        <w:trPr>
          <w:cantSplit/>
        </w:trPr>
        <w:tc>
          <w:tcPr>
            <w:tcW w:w="4621" w:type="dxa"/>
          </w:tcPr>
          <w:p w:rsidR="00D82A01" w:rsidRPr="00396508" w:rsidRDefault="00D82A01" w:rsidP="00AA5997">
            <w:pPr>
              <w:spacing w:before="60" w:after="60"/>
              <w:rPr>
                <w:sz w:val="20"/>
              </w:rPr>
            </w:pPr>
            <w:r w:rsidRPr="00396508">
              <w:rPr>
                <w:sz w:val="20"/>
              </w:rPr>
              <w:t xml:space="preserve">Three industry submissions did not support the proposed approach of having no transitional arrangements and sought some transitional period. Two also questioned why honey packaged for retail sale should have a stock-in-trade provision but not bulk honey as this constitutes a double standard. </w:t>
            </w:r>
          </w:p>
        </w:tc>
        <w:tc>
          <w:tcPr>
            <w:tcW w:w="4622" w:type="dxa"/>
          </w:tcPr>
          <w:p w:rsidR="00D82A01" w:rsidRPr="00396508" w:rsidRDefault="00D82A01" w:rsidP="00AA5997">
            <w:pPr>
              <w:spacing w:before="60" w:after="60"/>
              <w:rPr>
                <w:sz w:val="20"/>
              </w:rPr>
            </w:pPr>
            <w:r w:rsidRPr="00396508">
              <w:rPr>
                <w:sz w:val="20"/>
              </w:rPr>
              <w:t>As the main reason for amending the maximum levels is to protect public health and safety, FSANZ is maintaining its approach of no transitional arrangements for bulk honey</w:t>
            </w:r>
            <w:r w:rsidR="000E3B31" w:rsidRPr="00396508">
              <w:rPr>
                <w:sz w:val="20"/>
              </w:rPr>
              <w:t xml:space="preserve">. </w:t>
            </w:r>
            <w:r w:rsidRPr="00396508">
              <w:rPr>
                <w:sz w:val="20"/>
              </w:rPr>
              <w:t xml:space="preserve">As noted in section 5, industry has been given prior notice of the proposed reduction for extracted honey help minimise the impact. </w:t>
            </w:r>
          </w:p>
          <w:p w:rsidR="00D82A01" w:rsidRPr="00396508" w:rsidRDefault="00D82A01" w:rsidP="00AA5997">
            <w:pPr>
              <w:spacing w:before="60" w:after="60"/>
              <w:rPr>
                <w:sz w:val="20"/>
              </w:rPr>
            </w:pPr>
            <w:r w:rsidRPr="00396508">
              <w:rPr>
                <w:sz w:val="20"/>
              </w:rPr>
              <w:t>There is likely to be minimal impacts for comb honey as the drafting has been amended to ensure that the Code does not conflict with the New Zealand Tutin standard (see section 3)</w:t>
            </w:r>
            <w:r w:rsidR="000E3B31" w:rsidRPr="00396508">
              <w:rPr>
                <w:sz w:val="20"/>
              </w:rPr>
              <w:t xml:space="preserve">. </w:t>
            </w:r>
            <w:r w:rsidRPr="00396508">
              <w:rPr>
                <w:sz w:val="20"/>
              </w:rPr>
              <w:t>In effect, this means that there will be no change to industry practices for comb honey</w:t>
            </w:r>
            <w:r w:rsidR="000E3B31" w:rsidRPr="00396508">
              <w:rPr>
                <w:sz w:val="20"/>
              </w:rPr>
              <w:t xml:space="preserve">. </w:t>
            </w:r>
          </w:p>
          <w:p w:rsidR="00D82A01" w:rsidRPr="00396508" w:rsidRDefault="00D82A01" w:rsidP="00AA5997">
            <w:pPr>
              <w:spacing w:before="60" w:after="60"/>
              <w:rPr>
                <w:sz w:val="20"/>
              </w:rPr>
            </w:pPr>
            <w:r w:rsidRPr="00396508">
              <w:rPr>
                <w:sz w:val="20"/>
              </w:rPr>
              <w:t>The stock-in-trade provision has been applied to honey packaged for retail sale as the cost to recall, re-blend and re-package retail products could be substantial. As laboratory test results in recent years indicate that most honey samples tested already meet the lower maximum levels, the risk from existing retail product stocks is expected to be low.</w:t>
            </w:r>
          </w:p>
          <w:p w:rsidR="00D82A01" w:rsidRPr="00396508" w:rsidRDefault="00D82A01" w:rsidP="00AA5997">
            <w:pPr>
              <w:spacing w:before="60" w:after="60"/>
              <w:rPr>
                <w:sz w:val="20"/>
              </w:rPr>
            </w:pPr>
            <w:r w:rsidRPr="00396508">
              <w:rPr>
                <w:sz w:val="20"/>
              </w:rPr>
              <w:t xml:space="preserve">FSANZ has not applied a stock-in-trade to bulk honey as industry can test and re-blend stock according to the new level prior to packaging at minimal additional cost. Determining which retail products are made from bulk honey stocks which existed prior to gazettal from those made with bulk honey procured after gazettal would make enforcement difficult. </w:t>
            </w:r>
          </w:p>
        </w:tc>
      </w:tr>
      <w:tr w:rsidR="00D82A01" w:rsidRPr="00396508" w:rsidTr="00850BCE">
        <w:trPr>
          <w:cantSplit/>
        </w:trPr>
        <w:tc>
          <w:tcPr>
            <w:tcW w:w="4621" w:type="dxa"/>
          </w:tcPr>
          <w:p w:rsidR="00D82A01" w:rsidRPr="00396508" w:rsidRDefault="00D82A01" w:rsidP="00AA5997">
            <w:pPr>
              <w:spacing w:before="60" w:after="60"/>
              <w:rPr>
                <w:sz w:val="20"/>
              </w:rPr>
            </w:pPr>
            <w:r w:rsidRPr="00396508">
              <w:rPr>
                <w:sz w:val="20"/>
              </w:rPr>
              <w:t xml:space="preserve">Two submissions identified that some additional costs could be incurred from the proposed lower levels due to increased blending and testing. One industry submission noted that the lower levels could cause significant problems and expense for early manuka areas that provide active manuka honey of very high value. Blending could result in a loss of value of this honey. </w:t>
            </w:r>
          </w:p>
        </w:tc>
        <w:tc>
          <w:tcPr>
            <w:tcW w:w="4622" w:type="dxa"/>
          </w:tcPr>
          <w:p w:rsidR="00D82A01" w:rsidRPr="00396508" w:rsidRDefault="00D82A01" w:rsidP="00AA5997">
            <w:pPr>
              <w:spacing w:before="60" w:after="60"/>
              <w:rPr>
                <w:sz w:val="20"/>
              </w:rPr>
            </w:pPr>
            <w:r w:rsidRPr="00396508">
              <w:rPr>
                <w:sz w:val="20"/>
              </w:rPr>
              <w:t>The additional costs have been incorporated into the analysis of options in sections 4 and 6 of this Decision RIS</w:t>
            </w:r>
            <w:r w:rsidR="000E3B31" w:rsidRPr="00396508">
              <w:rPr>
                <w:sz w:val="20"/>
              </w:rPr>
              <w:t xml:space="preserve">. </w:t>
            </w:r>
          </w:p>
          <w:p w:rsidR="00D82A01" w:rsidRPr="00396508" w:rsidRDefault="00204A5F" w:rsidP="00AA5997">
            <w:pPr>
              <w:spacing w:before="60" w:after="60"/>
              <w:rPr>
                <w:sz w:val="20"/>
              </w:rPr>
            </w:pPr>
            <w:r w:rsidRPr="00396508">
              <w:rPr>
                <w:sz w:val="20"/>
              </w:rPr>
              <w:t>This is a small sector of the industry that has the highest profit and retail prices</w:t>
            </w:r>
            <w:r w:rsidR="000E3B31" w:rsidRPr="00396508">
              <w:rPr>
                <w:sz w:val="20"/>
              </w:rPr>
              <w:t xml:space="preserve">. </w:t>
            </w:r>
            <w:r w:rsidRPr="00396508">
              <w:rPr>
                <w:sz w:val="20"/>
              </w:rPr>
              <w:t>These costs are likely to be outweighed by the benefit of maintaining NZ’s reputation for safe food exports</w:t>
            </w:r>
            <w:r w:rsidR="000E3B31" w:rsidRPr="00396508">
              <w:rPr>
                <w:sz w:val="20"/>
              </w:rPr>
              <w:t xml:space="preserve">. </w:t>
            </w:r>
          </w:p>
          <w:p w:rsidR="00D82A01" w:rsidRPr="00396508" w:rsidRDefault="00D82A01" w:rsidP="00AA5997">
            <w:pPr>
              <w:spacing w:before="60" w:after="60"/>
              <w:rPr>
                <w:sz w:val="20"/>
              </w:rPr>
            </w:pPr>
          </w:p>
        </w:tc>
      </w:tr>
      <w:tr w:rsidR="00D82A01" w:rsidRPr="00396508" w:rsidTr="00850BCE">
        <w:trPr>
          <w:cantSplit/>
        </w:trPr>
        <w:tc>
          <w:tcPr>
            <w:tcW w:w="4621" w:type="dxa"/>
          </w:tcPr>
          <w:p w:rsidR="00D82A01" w:rsidRPr="00396508" w:rsidRDefault="00D82A01" w:rsidP="00AA5997">
            <w:pPr>
              <w:spacing w:before="60" w:after="60"/>
              <w:rPr>
                <w:sz w:val="20"/>
              </w:rPr>
            </w:pPr>
            <w:r w:rsidRPr="00396508">
              <w:rPr>
                <w:sz w:val="20"/>
              </w:rPr>
              <w:lastRenderedPageBreak/>
              <w:t>The maximum level for comb honey should be linked to a sampling plan to ensure it doesn’t conflict with compliance options in the NZ Tutin Standard.</w:t>
            </w:r>
          </w:p>
          <w:p w:rsidR="00D82A01" w:rsidRPr="00396508" w:rsidRDefault="00D82A01" w:rsidP="00AA5997">
            <w:pPr>
              <w:spacing w:before="60" w:after="60"/>
              <w:rPr>
                <w:sz w:val="20"/>
              </w:rPr>
            </w:pPr>
          </w:p>
        </w:tc>
        <w:tc>
          <w:tcPr>
            <w:tcW w:w="4622" w:type="dxa"/>
          </w:tcPr>
          <w:p w:rsidR="00D82A01" w:rsidRPr="00396508" w:rsidRDefault="00D82A01" w:rsidP="00AA5997">
            <w:pPr>
              <w:spacing w:before="60" w:after="60"/>
              <w:rPr>
                <w:sz w:val="20"/>
              </w:rPr>
            </w:pPr>
            <w:r w:rsidRPr="00396508">
              <w:rPr>
                <w:sz w:val="20"/>
              </w:rPr>
              <w:t>FSANZ considers that a sampling plan would be more appropriate in the New Zealand Tutin Standard instead of the Code. As a result of this submission, the drafting has been amended to apply one maximum level to all honey of 0.7 mg/kg</w:t>
            </w:r>
            <w:r w:rsidR="000E3B31" w:rsidRPr="00396508">
              <w:rPr>
                <w:sz w:val="20"/>
              </w:rPr>
              <w:t xml:space="preserve">. </w:t>
            </w:r>
            <w:r w:rsidRPr="00396508">
              <w:rPr>
                <w:sz w:val="20"/>
              </w:rPr>
              <w:t>Options for compliance for comb honey will remain the same as those currently in the New Zealand Tutin Standard</w:t>
            </w:r>
            <w:r w:rsidR="000E3B31" w:rsidRPr="00396508">
              <w:rPr>
                <w:sz w:val="20"/>
              </w:rPr>
              <w:t xml:space="preserve">. </w:t>
            </w:r>
            <w:r w:rsidRPr="00396508">
              <w:rPr>
                <w:sz w:val="20"/>
              </w:rPr>
              <w:t>This will not impose any change on industry practices for comb honey as the current compliance options in the New Zealand Tutin Standard will continue to apply (see section 3).</w:t>
            </w:r>
          </w:p>
          <w:p w:rsidR="00D82A01" w:rsidRPr="00396508" w:rsidRDefault="00D82A01" w:rsidP="00AA5997">
            <w:pPr>
              <w:spacing w:before="60" w:after="60"/>
              <w:rPr>
                <w:sz w:val="20"/>
              </w:rPr>
            </w:pPr>
            <w:r w:rsidRPr="00396508">
              <w:rPr>
                <w:sz w:val="20"/>
              </w:rPr>
              <w:t>FSANZ has further consulted with MPI on this issue. MPI supports the drafting amendment and the decision not to include a sampling plan in the Code. MPI will take the amended drafting into account in its review of the New Zealand Tutin Standard.</w:t>
            </w:r>
          </w:p>
        </w:tc>
      </w:tr>
    </w:tbl>
    <w:p w:rsidR="00850BCE" w:rsidRPr="00396508" w:rsidRDefault="00850BCE" w:rsidP="00850BCE">
      <w:bookmarkStart w:id="426" w:name="_Toc399145991"/>
      <w:bookmarkStart w:id="427" w:name="_Toc399232837"/>
      <w:bookmarkStart w:id="428" w:name="_Toc399232995"/>
      <w:bookmarkStart w:id="429" w:name="_Toc399233153"/>
      <w:bookmarkStart w:id="430" w:name="_Toc399233312"/>
      <w:bookmarkStart w:id="431" w:name="_Toc399233659"/>
      <w:bookmarkStart w:id="432" w:name="_Toc397613133"/>
      <w:bookmarkStart w:id="433" w:name="_Toc397613134"/>
      <w:bookmarkStart w:id="434" w:name="_Toc401736617"/>
      <w:bookmarkEnd w:id="426"/>
      <w:bookmarkEnd w:id="427"/>
      <w:bookmarkEnd w:id="428"/>
      <w:bookmarkEnd w:id="429"/>
      <w:bookmarkEnd w:id="430"/>
      <w:bookmarkEnd w:id="431"/>
      <w:bookmarkEnd w:id="432"/>
      <w:bookmarkEnd w:id="433"/>
    </w:p>
    <w:p w:rsidR="0097564F" w:rsidRPr="00396508" w:rsidRDefault="00FA701A" w:rsidP="00090134">
      <w:pPr>
        <w:pStyle w:val="Heading1"/>
      </w:pPr>
      <w:bookmarkStart w:id="435" w:name="_Toc402438198"/>
      <w:r w:rsidRPr="00396508">
        <w:rPr>
          <w:rFonts w:cs="Arial"/>
        </w:rPr>
        <w:t>6</w:t>
      </w:r>
      <w:r w:rsidR="00090134" w:rsidRPr="00396508">
        <w:rPr>
          <w:rFonts w:cs="Arial"/>
        </w:rPr>
        <w:tab/>
      </w:r>
      <w:r w:rsidR="0097564F" w:rsidRPr="00396508">
        <w:t>Evaluation and conclusions</w:t>
      </w:r>
      <w:bookmarkEnd w:id="434"/>
      <w:bookmarkEnd w:id="435"/>
      <w:r w:rsidR="0097564F" w:rsidRPr="00396508">
        <w:t xml:space="preserve"> </w:t>
      </w:r>
    </w:p>
    <w:p w:rsidR="00D82A01" w:rsidRPr="00396508" w:rsidRDefault="00D82A01" w:rsidP="00D82A01">
      <w:pPr>
        <w:rPr>
          <w:rFonts w:cs="Arial"/>
        </w:rPr>
      </w:pPr>
      <w:r w:rsidRPr="00396508">
        <w:rPr>
          <w:rFonts w:cs="Arial"/>
        </w:rPr>
        <w:t>As discussed in section 3 above, status quo for this analysis has been changed to retain the current maximum levels as this reflect</w:t>
      </w:r>
      <w:r w:rsidR="0076753C" w:rsidRPr="00396508">
        <w:rPr>
          <w:rFonts w:cs="Arial"/>
        </w:rPr>
        <w:t>s the current practice</w:t>
      </w:r>
      <w:r w:rsidR="000E3B31" w:rsidRPr="00396508">
        <w:rPr>
          <w:rFonts w:cs="Arial"/>
        </w:rPr>
        <w:t xml:space="preserve">. </w:t>
      </w:r>
      <w:r w:rsidR="0076753C" w:rsidRPr="00396508">
        <w:rPr>
          <w:rFonts w:cs="Arial"/>
        </w:rPr>
        <w:t xml:space="preserve">Table 6 </w:t>
      </w:r>
      <w:r w:rsidRPr="00396508">
        <w:rPr>
          <w:rFonts w:cs="Arial"/>
        </w:rPr>
        <w:t>below provides a summary of the costs and benefits for each option against the criteria derived in section 2</w:t>
      </w:r>
      <w:r w:rsidR="000E3B31" w:rsidRPr="00396508">
        <w:rPr>
          <w:rFonts w:cs="Arial"/>
        </w:rPr>
        <w:t xml:space="preserve">. </w:t>
      </w:r>
    </w:p>
    <w:p w:rsidR="00D82A01" w:rsidRPr="00396508" w:rsidRDefault="00D82A01" w:rsidP="00D82A01">
      <w:pPr>
        <w:pStyle w:val="FSTableFigureHeading"/>
        <w:rPr>
          <w:i w:val="0"/>
          <w:sz w:val="18"/>
          <w:szCs w:val="18"/>
        </w:rPr>
      </w:pPr>
      <w:r w:rsidRPr="00396508">
        <w:rPr>
          <w:i w:val="0"/>
        </w:rPr>
        <w:t xml:space="preserve">Table 6: Summary of the net benefits for each option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814"/>
        <w:gridCol w:w="1815"/>
        <w:gridCol w:w="1815"/>
        <w:gridCol w:w="1815"/>
      </w:tblGrid>
      <w:tr w:rsidR="00D82A01" w:rsidRPr="00396508" w:rsidTr="00850BCE">
        <w:trPr>
          <w:cantSplit/>
          <w:tblHeader/>
        </w:trPr>
        <w:tc>
          <w:tcPr>
            <w:tcW w:w="1842" w:type="dxa"/>
            <w:shd w:val="clear" w:color="auto" w:fill="D6E3BC" w:themeFill="accent3" w:themeFillTint="66"/>
          </w:tcPr>
          <w:p w:rsidR="00D82A01" w:rsidRPr="00396508" w:rsidRDefault="00D82A01" w:rsidP="00AA5997">
            <w:pPr>
              <w:pStyle w:val="TableText"/>
              <w:rPr>
                <w:rFonts w:cs="Arial"/>
                <w:b/>
                <w:sz w:val="20"/>
                <w:szCs w:val="20"/>
              </w:rPr>
            </w:pPr>
            <w:bookmarkStart w:id="436" w:name="_Toc244580366"/>
            <w:bookmarkStart w:id="437" w:name="_Toc244587042"/>
            <w:bookmarkStart w:id="438" w:name="_Toc244857276"/>
            <w:bookmarkStart w:id="439" w:name="_Toc244912541"/>
            <w:bookmarkStart w:id="440" w:name="_Toc244916998"/>
            <w:bookmarkStart w:id="441" w:name="_Toc362368107"/>
            <w:bookmarkStart w:id="442" w:name="_Toc362434948"/>
            <w:bookmarkStart w:id="443" w:name="_Toc362589334"/>
            <w:bookmarkStart w:id="444" w:name="_Toc362619034"/>
            <w:bookmarkStart w:id="445" w:name="_Toc362940598"/>
            <w:bookmarkStart w:id="446" w:name="_Toc363047106"/>
            <w:bookmarkStart w:id="447" w:name="_Toc382389854"/>
            <w:bookmarkStart w:id="448" w:name="_Toc382390209"/>
            <w:bookmarkStart w:id="449" w:name="_Toc382390324"/>
            <w:bookmarkStart w:id="450" w:name="_Toc382390364"/>
            <w:bookmarkStart w:id="451" w:name="_Toc382390438"/>
          </w:p>
        </w:tc>
        <w:tc>
          <w:tcPr>
            <w:tcW w:w="1843" w:type="dxa"/>
            <w:shd w:val="clear" w:color="auto" w:fill="D6E3BC" w:themeFill="accent3" w:themeFillTint="66"/>
          </w:tcPr>
          <w:p w:rsidR="00D82A01" w:rsidRPr="00396508" w:rsidRDefault="00D82A01" w:rsidP="00AA5997">
            <w:pPr>
              <w:spacing w:before="60" w:after="60"/>
              <w:rPr>
                <w:rFonts w:cs="Arial"/>
                <w:b/>
                <w:sz w:val="20"/>
                <w:szCs w:val="20"/>
              </w:rPr>
            </w:pPr>
            <w:r w:rsidRPr="00396508">
              <w:rPr>
                <w:rFonts w:cs="Arial"/>
                <w:b/>
                <w:sz w:val="20"/>
                <w:szCs w:val="20"/>
              </w:rPr>
              <w:t xml:space="preserve">Option 1: </w:t>
            </w:r>
            <w:r w:rsidRPr="00396508">
              <w:rPr>
                <w:rFonts w:cs="Arial"/>
                <w:b/>
                <w:i/>
                <w:sz w:val="20"/>
                <w:szCs w:val="20"/>
              </w:rPr>
              <w:t>Status Quo</w:t>
            </w:r>
            <w:r w:rsidRPr="00396508">
              <w:rPr>
                <w:rFonts w:cs="Arial"/>
                <w:b/>
                <w:sz w:val="20"/>
                <w:szCs w:val="20"/>
              </w:rPr>
              <w:t>: Retain the current maximum levels</w:t>
            </w:r>
          </w:p>
        </w:tc>
        <w:tc>
          <w:tcPr>
            <w:tcW w:w="1843" w:type="dxa"/>
            <w:shd w:val="clear" w:color="auto" w:fill="D6E3BC" w:themeFill="accent3" w:themeFillTint="66"/>
          </w:tcPr>
          <w:p w:rsidR="00D82A01" w:rsidRPr="00396508" w:rsidRDefault="00D82A01" w:rsidP="00AA5997">
            <w:pPr>
              <w:spacing w:before="60" w:after="60"/>
              <w:rPr>
                <w:rFonts w:cs="Arial"/>
                <w:b/>
                <w:sz w:val="20"/>
                <w:szCs w:val="20"/>
              </w:rPr>
            </w:pPr>
            <w:r w:rsidRPr="00396508">
              <w:rPr>
                <w:rFonts w:cs="Arial"/>
                <w:b/>
                <w:sz w:val="20"/>
                <w:szCs w:val="20"/>
              </w:rPr>
              <w:t xml:space="preserve">Option 2: </w:t>
            </w:r>
          </w:p>
          <w:p w:rsidR="00D82A01" w:rsidRPr="00396508" w:rsidRDefault="00D82A01" w:rsidP="00AA5997">
            <w:pPr>
              <w:spacing w:before="60" w:after="60"/>
              <w:rPr>
                <w:rFonts w:cs="Arial"/>
                <w:b/>
                <w:sz w:val="20"/>
                <w:szCs w:val="20"/>
              </w:rPr>
            </w:pPr>
            <w:r w:rsidRPr="00396508">
              <w:rPr>
                <w:rFonts w:cs="Arial"/>
                <w:b/>
                <w:sz w:val="20"/>
                <w:szCs w:val="20"/>
              </w:rPr>
              <w:t>Temporary maximum levels expire and are not replaced</w:t>
            </w:r>
          </w:p>
        </w:tc>
        <w:tc>
          <w:tcPr>
            <w:tcW w:w="1843" w:type="dxa"/>
            <w:shd w:val="clear" w:color="auto" w:fill="D6E3BC" w:themeFill="accent3" w:themeFillTint="66"/>
          </w:tcPr>
          <w:p w:rsidR="00D82A01" w:rsidRPr="00396508" w:rsidRDefault="00D82A01" w:rsidP="00AA5997">
            <w:pPr>
              <w:pStyle w:val="TableText"/>
              <w:rPr>
                <w:rFonts w:cs="Arial"/>
                <w:b/>
                <w:sz w:val="20"/>
                <w:szCs w:val="20"/>
              </w:rPr>
            </w:pPr>
            <w:r w:rsidRPr="00396508">
              <w:rPr>
                <w:rFonts w:cs="Arial"/>
                <w:b/>
                <w:sz w:val="20"/>
                <w:szCs w:val="20"/>
              </w:rPr>
              <w:t xml:space="preserve">Option 3: Temporary maximum levels expire and </w:t>
            </w:r>
            <w:r w:rsidR="00204A5F" w:rsidRPr="00396508">
              <w:rPr>
                <w:rFonts w:cs="Arial"/>
                <w:b/>
                <w:sz w:val="20"/>
                <w:szCs w:val="20"/>
              </w:rPr>
              <w:t xml:space="preserve">are </w:t>
            </w:r>
            <w:r w:rsidRPr="00396508">
              <w:rPr>
                <w:rFonts w:cs="Arial"/>
                <w:b/>
                <w:sz w:val="20"/>
                <w:szCs w:val="20"/>
              </w:rPr>
              <w:t xml:space="preserve">replaced with a voluntary industry code of practice </w:t>
            </w:r>
          </w:p>
        </w:tc>
        <w:tc>
          <w:tcPr>
            <w:tcW w:w="1843" w:type="dxa"/>
            <w:shd w:val="clear" w:color="auto" w:fill="D6E3BC" w:themeFill="accent3" w:themeFillTint="66"/>
          </w:tcPr>
          <w:p w:rsidR="00D82A01" w:rsidRPr="00396508" w:rsidRDefault="00D82A01" w:rsidP="00AA5997">
            <w:pPr>
              <w:pStyle w:val="TableText"/>
              <w:rPr>
                <w:rFonts w:cs="Arial"/>
                <w:b/>
                <w:sz w:val="20"/>
                <w:szCs w:val="20"/>
              </w:rPr>
            </w:pPr>
            <w:r w:rsidRPr="00396508">
              <w:rPr>
                <w:rFonts w:cs="Arial"/>
                <w:b/>
                <w:sz w:val="20"/>
                <w:szCs w:val="20"/>
              </w:rPr>
              <w:t>Option 4: Amend maximum levels</w:t>
            </w:r>
          </w:p>
        </w:tc>
      </w:tr>
      <w:tr w:rsidR="00D82A01" w:rsidRPr="00396508" w:rsidTr="00850BCE">
        <w:trPr>
          <w:cantSplit/>
        </w:trPr>
        <w:tc>
          <w:tcPr>
            <w:tcW w:w="1842" w:type="dxa"/>
          </w:tcPr>
          <w:p w:rsidR="00D82A01" w:rsidRPr="00396508" w:rsidRDefault="00D82A01" w:rsidP="00AA5997">
            <w:pPr>
              <w:pStyle w:val="TableText"/>
              <w:rPr>
                <w:rFonts w:cs="Arial"/>
                <w:sz w:val="20"/>
                <w:szCs w:val="20"/>
              </w:rPr>
            </w:pPr>
            <w:r w:rsidRPr="00396508">
              <w:rPr>
                <w:rFonts w:cs="Arial"/>
                <w:sz w:val="20"/>
                <w:szCs w:val="20"/>
              </w:rPr>
              <w:t>Implementation costs</w:t>
            </w:r>
          </w:p>
        </w:tc>
        <w:tc>
          <w:tcPr>
            <w:tcW w:w="1843" w:type="dxa"/>
          </w:tcPr>
          <w:p w:rsidR="00D82A01" w:rsidRPr="00396508" w:rsidRDefault="00D82A01" w:rsidP="00AA5997">
            <w:pPr>
              <w:pStyle w:val="TableText"/>
              <w:rPr>
                <w:rFonts w:cs="Arial"/>
                <w:sz w:val="20"/>
                <w:szCs w:val="20"/>
              </w:rPr>
            </w:pPr>
            <w:r w:rsidRPr="00396508">
              <w:rPr>
                <w:rFonts w:cs="Arial"/>
                <w:sz w:val="20"/>
                <w:szCs w:val="20"/>
              </w:rPr>
              <w:t>No change</w:t>
            </w:r>
          </w:p>
        </w:tc>
        <w:tc>
          <w:tcPr>
            <w:tcW w:w="1843" w:type="dxa"/>
          </w:tcPr>
          <w:p w:rsidR="00D82A01" w:rsidRPr="00396508" w:rsidRDefault="00D82A01" w:rsidP="00AA5997">
            <w:pPr>
              <w:pStyle w:val="TableText"/>
              <w:rPr>
                <w:rFonts w:cs="Arial"/>
                <w:sz w:val="20"/>
                <w:szCs w:val="20"/>
              </w:rPr>
            </w:pPr>
            <w:r w:rsidRPr="00396508">
              <w:rPr>
                <w:rFonts w:cs="Arial"/>
                <w:sz w:val="20"/>
                <w:szCs w:val="20"/>
              </w:rPr>
              <w:t>Small</w:t>
            </w:r>
            <w:r w:rsidRPr="00396508">
              <w:rPr>
                <w:rStyle w:val="FootnoteReference"/>
                <w:rFonts w:cs="Arial"/>
                <w:sz w:val="20"/>
                <w:szCs w:val="20"/>
              </w:rPr>
              <w:footnoteReference w:id="19"/>
            </w:r>
            <w:r w:rsidRPr="00396508">
              <w:rPr>
                <w:rFonts w:cs="Arial"/>
                <w:sz w:val="20"/>
                <w:szCs w:val="20"/>
              </w:rPr>
              <w:t xml:space="preserve"> net benefit </w:t>
            </w:r>
          </w:p>
        </w:tc>
        <w:tc>
          <w:tcPr>
            <w:tcW w:w="1843" w:type="dxa"/>
          </w:tcPr>
          <w:p w:rsidR="00D82A01" w:rsidRPr="00396508" w:rsidRDefault="00D82A01" w:rsidP="00AA5997">
            <w:pPr>
              <w:pStyle w:val="TableText"/>
              <w:rPr>
                <w:rFonts w:cs="Arial"/>
                <w:sz w:val="20"/>
                <w:szCs w:val="20"/>
              </w:rPr>
            </w:pPr>
            <w:r w:rsidRPr="00396508">
              <w:rPr>
                <w:rFonts w:cs="Arial"/>
                <w:sz w:val="20"/>
                <w:szCs w:val="20"/>
              </w:rPr>
              <w:t xml:space="preserve">Medium net cost </w:t>
            </w:r>
          </w:p>
        </w:tc>
        <w:tc>
          <w:tcPr>
            <w:tcW w:w="1843" w:type="dxa"/>
          </w:tcPr>
          <w:p w:rsidR="00D82A01" w:rsidRPr="00396508" w:rsidRDefault="00D82A01" w:rsidP="00AA5997">
            <w:pPr>
              <w:pStyle w:val="TableText"/>
              <w:rPr>
                <w:rFonts w:cs="Arial"/>
                <w:sz w:val="20"/>
                <w:szCs w:val="20"/>
              </w:rPr>
            </w:pPr>
            <w:r w:rsidRPr="00396508">
              <w:rPr>
                <w:rFonts w:cs="Arial"/>
                <w:sz w:val="20"/>
                <w:szCs w:val="20"/>
              </w:rPr>
              <w:t xml:space="preserve">Possible medium net cost </w:t>
            </w:r>
          </w:p>
        </w:tc>
      </w:tr>
      <w:tr w:rsidR="00D82A01" w:rsidRPr="00396508" w:rsidTr="00850BCE">
        <w:trPr>
          <w:cantSplit/>
        </w:trPr>
        <w:tc>
          <w:tcPr>
            <w:tcW w:w="1842" w:type="dxa"/>
            <w:tcBorders>
              <w:bottom w:val="single" w:sz="4" w:space="0" w:color="auto"/>
            </w:tcBorders>
          </w:tcPr>
          <w:p w:rsidR="00D82A01" w:rsidRPr="00396508" w:rsidRDefault="00D82A01" w:rsidP="00AA5997">
            <w:pPr>
              <w:pStyle w:val="TableText"/>
              <w:rPr>
                <w:rFonts w:cs="Arial"/>
                <w:sz w:val="20"/>
                <w:szCs w:val="20"/>
              </w:rPr>
            </w:pPr>
            <w:r w:rsidRPr="00396508">
              <w:rPr>
                <w:rFonts w:cs="Arial"/>
                <w:sz w:val="20"/>
                <w:szCs w:val="20"/>
              </w:rPr>
              <w:t>Protection of public health and safety</w:t>
            </w:r>
          </w:p>
        </w:tc>
        <w:tc>
          <w:tcPr>
            <w:tcW w:w="1843" w:type="dxa"/>
            <w:tcBorders>
              <w:bottom w:val="single" w:sz="4" w:space="0" w:color="auto"/>
            </w:tcBorders>
          </w:tcPr>
          <w:p w:rsidR="00D82A01" w:rsidRPr="00396508" w:rsidRDefault="00D82A01" w:rsidP="00AA5997">
            <w:pPr>
              <w:pStyle w:val="TableText"/>
              <w:rPr>
                <w:rFonts w:cs="Arial"/>
                <w:sz w:val="20"/>
                <w:szCs w:val="20"/>
              </w:rPr>
            </w:pPr>
            <w:r w:rsidRPr="00396508">
              <w:rPr>
                <w:rFonts w:cs="Arial"/>
                <w:sz w:val="20"/>
                <w:szCs w:val="20"/>
              </w:rPr>
              <w:t>Possible small net cost</w:t>
            </w:r>
          </w:p>
        </w:tc>
        <w:tc>
          <w:tcPr>
            <w:tcW w:w="1843" w:type="dxa"/>
            <w:tcBorders>
              <w:bottom w:val="single" w:sz="4" w:space="0" w:color="auto"/>
            </w:tcBorders>
          </w:tcPr>
          <w:p w:rsidR="00D82A01" w:rsidRPr="00396508" w:rsidRDefault="00D82A01" w:rsidP="00AA5997">
            <w:pPr>
              <w:pStyle w:val="TableText"/>
              <w:rPr>
                <w:rFonts w:cs="Arial"/>
                <w:sz w:val="20"/>
                <w:szCs w:val="20"/>
              </w:rPr>
            </w:pPr>
            <w:r w:rsidRPr="00396508">
              <w:rPr>
                <w:rFonts w:cs="Arial"/>
                <w:sz w:val="20"/>
                <w:szCs w:val="20"/>
              </w:rPr>
              <w:t>Small net cost</w:t>
            </w:r>
          </w:p>
        </w:tc>
        <w:tc>
          <w:tcPr>
            <w:tcW w:w="1843" w:type="dxa"/>
            <w:tcBorders>
              <w:bottom w:val="single" w:sz="4" w:space="0" w:color="auto"/>
            </w:tcBorders>
          </w:tcPr>
          <w:p w:rsidR="00D82A01" w:rsidRPr="00396508" w:rsidRDefault="00D82A01" w:rsidP="00AA5997">
            <w:pPr>
              <w:pStyle w:val="TableText"/>
              <w:rPr>
                <w:rFonts w:cs="Arial"/>
                <w:sz w:val="20"/>
                <w:szCs w:val="20"/>
              </w:rPr>
            </w:pPr>
            <w:r w:rsidRPr="00396508">
              <w:rPr>
                <w:rFonts w:cs="Arial"/>
                <w:sz w:val="20"/>
                <w:szCs w:val="20"/>
              </w:rPr>
              <w:t xml:space="preserve">Small net cost </w:t>
            </w:r>
          </w:p>
        </w:tc>
        <w:tc>
          <w:tcPr>
            <w:tcW w:w="1843" w:type="dxa"/>
            <w:tcBorders>
              <w:bottom w:val="single" w:sz="4" w:space="0" w:color="auto"/>
            </w:tcBorders>
          </w:tcPr>
          <w:p w:rsidR="00D82A01" w:rsidRPr="00396508" w:rsidRDefault="00D82A01" w:rsidP="00AA5997">
            <w:pPr>
              <w:pStyle w:val="TableText"/>
              <w:rPr>
                <w:rFonts w:cs="Arial"/>
                <w:sz w:val="20"/>
                <w:szCs w:val="20"/>
              </w:rPr>
            </w:pPr>
            <w:r w:rsidRPr="00396508">
              <w:rPr>
                <w:rFonts w:cs="Arial"/>
                <w:sz w:val="20"/>
                <w:szCs w:val="20"/>
              </w:rPr>
              <w:t xml:space="preserve">Small net benefit </w:t>
            </w:r>
          </w:p>
        </w:tc>
      </w:tr>
      <w:tr w:rsidR="00D82A01" w:rsidRPr="00396508" w:rsidTr="00850BCE">
        <w:trPr>
          <w:cantSplit/>
        </w:trPr>
        <w:tc>
          <w:tcPr>
            <w:tcW w:w="1842" w:type="dxa"/>
          </w:tcPr>
          <w:p w:rsidR="00D82A01" w:rsidRPr="00396508" w:rsidDel="006026A6" w:rsidRDefault="00D82A01" w:rsidP="00AA5997">
            <w:pPr>
              <w:pStyle w:val="TableText"/>
              <w:rPr>
                <w:rFonts w:cs="Arial"/>
                <w:sz w:val="20"/>
                <w:szCs w:val="20"/>
              </w:rPr>
            </w:pPr>
            <w:r w:rsidRPr="00396508">
              <w:rPr>
                <w:rFonts w:cs="Arial"/>
                <w:sz w:val="20"/>
                <w:szCs w:val="20"/>
              </w:rPr>
              <w:t>Standards to be based on risk analysis using best available science</w:t>
            </w:r>
          </w:p>
        </w:tc>
        <w:tc>
          <w:tcPr>
            <w:tcW w:w="1843" w:type="dxa"/>
          </w:tcPr>
          <w:p w:rsidR="00D82A01" w:rsidRPr="00396508" w:rsidRDefault="00D82A01" w:rsidP="00AA5997">
            <w:pPr>
              <w:pStyle w:val="TableText"/>
              <w:rPr>
                <w:rFonts w:cs="Arial"/>
                <w:sz w:val="20"/>
                <w:szCs w:val="20"/>
              </w:rPr>
            </w:pPr>
            <w:r w:rsidRPr="00396508">
              <w:rPr>
                <w:rFonts w:cs="Arial"/>
                <w:sz w:val="20"/>
                <w:szCs w:val="20"/>
              </w:rPr>
              <w:t>Does not meet this criteria</w:t>
            </w:r>
          </w:p>
        </w:tc>
        <w:tc>
          <w:tcPr>
            <w:tcW w:w="1843" w:type="dxa"/>
          </w:tcPr>
          <w:p w:rsidR="00D82A01" w:rsidRPr="00396508" w:rsidRDefault="00D82A01" w:rsidP="00AA5997">
            <w:pPr>
              <w:pStyle w:val="TableText"/>
              <w:rPr>
                <w:rFonts w:cs="Arial"/>
                <w:sz w:val="20"/>
                <w:szCs w:val="20"/>
              </w:rPr>
            </w:pPr>
            <w:r w:rsidRPr="00396508">
              <w:rPr>
                <w:rFonts w:cs="Arial"/>
                <w:sz w:val="20"/>
                <w:szCs w:val="20"/>
              </w:rPr>
              <w:t>Does not meet this criteria</w:t>
            </w:r>
          </w:p>
        </w:tc>
        <w:tc>
          <w:tcPr>
            <w:tcW w:w="1843" w:type="dxa"/>
          </w:tcPr>
          <w:p w:rsidR="00D82A01" w:rsidRPr="00396508" w:rsidRDefault="00D82A01" w:rsidP="00AA5997">
            <w:pPr>
              <w:pStyle w:val="TableText"/>
              <w:rPr>
                <w:rFonts w:cs="Arial"/>
                <w:sz w:val="20"/>
                <w:szCs w:val="20"/>
              </w:rPr>
            </w:pPr>
            <w:r w:rsidRPr="00396508">
              <w:rPr>
                <w:rFonts w:cs="Arial"/>
                <w:sz w:val="20"/>
                <w:szCs w:val="20"/>
              </w:rPr>
              <w:t>May or may not meet this criteria</w:t>
            </w:r>
          </w:p>
        </w:tc>
        <w:tc>
          <w:tcPr>
            <w:tcW w:w="1843" w:type="dxa"/>
          </w:tcPr>
          <w:p w:rsidR="00D82A01" w:rsidRPr="00396508" w:rsidRDefault="00D82A01" w:rsidP="00AA5997">
            <w:pPr>
              <w:pStyle w:val="TableText"/>
              <w:rPr>
                <w:rFonts w:cs="Arial"/>
                <w:sz w:val="20"/>
                <w:szCs w:val="20"/>
              </w:rPr>
            </w:pPr>
            <w:r w:rsidRPr="00396508">
              <w:rPr>
                <w:rFonts w:cs="Arial"/>
                <w:sz w:val="20"/>
                <w:szCs w:val="20"/>
              </w:rPr>
              <w:t>Meets this criteria</w:t>
            </w:r>
          </w:p>
        </w:tc>
      </w:tr>
      <w:tr w:rsidR="00D82A01" w:rsidRPr="00396508" w:rsidTr="00850BCE">
        <w:trPr>
          <w:cantSplit/>
        </w:trPr>
        <w:tc>
          <w:tcPr>
            <w:tcW w:w="1842" w:type="dxa"/>
          </w:tcPr>
          <w:p w:rsidR="00D82A01" w:rsidRPr="00396508" w:rsidRDefault="00D82A01" w:rsidP="00850BCE">
            <w:pPr>
              <w:pStyle w:val="TableText"/>
              <w:keepNext/>
              <w:rPr>
                <w:rFonts w:cs="GillSans"/>
                <w:sz w:val="20"/>
              </w:rPr>
            </w:pPr>
            <w:r w:rsidRPr="00396508">
              <w:rPr>
                <w:rFonts w:cs="GillSans"/>
                <w:sz w:val="20"/>
              </w:rPr>
              <w:lastRenderedPageBreak/>
              <w:t>Internationally competitive food industry</w:t>
            </w:r>
          </w:p>
        </w:tc>
        <w:tc>
          <w:tcPr>
            <w:tcW w:w="1843" w:type="dxa"/>
          </w:tcPr>
          <w:p w:rsidR="00D82A01" w:rsidRPr="00396508" w:rsidRDefault="00D82A01" w:rsidP="00AA5997">
            <w:pPr>
              <w:pStyle w:val="TableText"/>
              <w:rPr>
                <w:rFonts w:cs="GillSans"/>
                <w:sz w:val="20"/>
              </w:rPr>
            </w:pPr>
            <w:r w:rsidRPr="00396508">
              <w:rPr>
                <w:rFonts w:cs="GillSans"/>
                <w:sz w:val="20"/>
              </w:rPr>
              <w:t xml:space="preserve">Possible high net cost </w:t>
            </w:r>
          </w:p>
        </w:tc>
        <w:tc>
          <w:tcPr>
            <w:tcW w:w="1843" w:type="dxa"/>
          </w:tcPr>
          <w:p w:rsidR="00D82A01" w:rsidRPr="00396508" w:rsidRDefault="00D82A01" w:rsidP="00AA5997">
            <w:pPr>
              <w:pStyle w:val="TableText"/>
              <w:rPr>
                <w:rFonts w:cs="GillSans"/>
                <w:sz w:val="20"/>
              </w:rPr>
            </w:pPr>
            <w:r w:rsidRPr="00396508">
              <w:rPr>
                <w:rFonts w:cs="GillSans"/>
                <w:sz w:val="20"/>
              </w:rPr>
              <w:t xml:space="preserve">Probable high net cost </w:t>
            </w:r>
          </w:p>
        </w:tc>
        <w:tc>
          <w:tcPr>
            <w:tcW w:w="1843" w:type="dxa"/>
          </w:tcPr>
          <w:p w:rsidR="00D82A01" w:rsidRPr="00396508" w:rsidRDefault="00D82A01" w:rsidP="00AA5997">
            <w:pPr>
              <w:pStyle w:val="TableText"/>
              <w:rPr>
                <w:rFonts w:cs="GillSans"/>
                <w:sz w:val="20"/>
              </w:rPr>
            </w:pPr>
            <w:r w:rsidRPr="00396508">
              <w:rPr>
                <w:rFonts w:cs="GillSans"/>
                <w:sz w:val="20"/>
              </w:rPr>
              <w:t xml:space="preserve">Probable high net cost </w:t>
            </w:r>
          </w:p>
        </w:tc>
        <w:tc>
          <w:tcPr>
            <w:tcW w:w="1843" w:type="dxa"/>
          </w:tcPr>
          <w:p w:rsidR="00D82A01" w:rsidRPr="00396508" w:rsidRDefault="00D82A01" w:rsidP="00AA5997">
            <w:pPr>
              <w:pStyle w:val="TableText"/>
              <w:rPr>
                <w:rFonts w:cs="GillSans"/>
                <w:sz w:val="20"/>
              </w:rPr>
            </w:pPr>
            <w:r w:rsidRPr="00396508">
              <w:rPr>
                <w:rFonts w:cs="GillSans"/>
                <w:sz w:val="20"/>
              </w:rPr>
              <w:t>High net benefit</w:t>
            </w:r>
          </w:p>
        </w:tc>
      </w:tr>
      <w:tr w:rsidR="00D82A01" w:rsidRPr="00396508" w:rsidTr="00850BCE">
        <w:trPr>
          <w:cantSplit/>
        </w:trPr>
        <w:tc>
          <w:tcPr>
            <w:tcW w:w="1842" w:type="dxa"/>
            <w:tcBorders>
              <w:bottom w:val="single" w:sz="4" w:space="0" w:color="auto"/>
            </w:tcBorders>
          </w:tcPr>
          <w:p w:rsidR="00D82A01" w:rsidRPr="00396508" w:rsidRDefault="00D82A01" w:rsidP="00AA5997">
            <w:pPr>
              <w:pStyle w:val="TableText"/>
              <w:rPr>
                <w:rFonts w:cs="GillSans"/>
                <w:b/>
              </w:rPr>
            </w:pPr>
            <w:r w:rsidRPr="00396508">
              <w:rPr>
                <w:rFonts w:cs="GillSans"/>
                <w:b/>
              </w:rPr>
              <w:t>Overall</w:t>
            </w:r>
          </w:p>
        </w:tc>
        <w:tc>
          <w:tcPr>
            <w:tcW w:w="1843" w:type="dxa"/>
            <w:tcBorders>
              <w:bottom w:val="single" w:sz="4" w:space="0" w:color="auto"/>
            </w:tcBorders>
          </w:tcPr>
          <w:p w:rsidR="00D82A01" w:rsidRPr="00396508" w:rsidRDefault="00D82A01" w:rsidP="00AA5997">
            <w:pPr>
              <w:pStyle w:val="TableText"/>
              <w:rPr>
                <w:rFonts w:cs="GillSans"/>
                <w:b/>
              </w:rPr>
            </w:pPr>
            <w:r w:rsidRPr="00396508">
              <w:rPr>
                <w:rFonts w:cs="GillSans"/>
                <w:b/>
              </w:rPr>
              <w:t xml:space="preserve">Possible high net cost </w:t>
            </w:r>
          </w:p>
        </w:tc>
        <w:tc>
          <w:tcPr>
            <w:tcW w:w="1843" w:type="dxa"/>
            <w:tcBorders>
              <w:bottom w:val="single" w:sz="4" w:space="0" w:color="auto"/>
            </w:tcBorders>
          </w:tcPr>
          <w:p w:rsidR="00D82A01" w:rsidRPr="00396508" w:rsidRDefault="00D82A01" w:rsidP="00AA5997">
            <w:pPr>
              <w:pStyle w:val="TableText"/>
              <w:rPr>
                <w:rFonts w:cs="GillSans"/>
                <w:b/>
              </w:rPr>
            </w:pPr>
            <w:r w:rsidRPr="00396508">
              <w:rPr>
                <w:rFonts w:cs="GillSans"/>
                <w:b/>
              </w:rPr>
              <w:t xml:space="preserve">Probable high net cost </w:t>
            </w:r>
          </w:p>
        </w:tc>
        <w:tc>
          <w:tcPr>
            <w:tcW w:w="1843" w:type="dxa"/>
            <w:tcBorders>
              <w:bottom w:val="single" w:sz="4" w:space="0" w:color="auto"/>
            </w:tcBorders>
          </w:tcPr>
          <w:p w:rsidR="00D82A01" w:rsidRPr="00396508" w:rsidRDefault="00D82A01" w:rsidP="00AA5997">
            <w:pPr>
              <w:pStyle w:val="TableText"/>
              <w:rPr>
                <w:rFonts w:cs="GillSans"/>
                <w:b/>
              </w:rPr>
            </w:pPr>
            <w:r w:rsidRPr="00396508">
              <w:rPr>
                <w:rFonts w:cs="GillSans"/>
                <w:b/>
              </w:rPr>
              <w:t>Probable high net cost</w:t>
            </w:r>
          </w:p>
        </w:tc>
        <w:tc>
          <w:tcPr>
            <w:tcW w:w="1843" w:type="dxa"/>
            <w:tcBorders>
              <w:bottom w:val="single" w:sz="4" w:space="0" w:color="auto"/>
            </w:tcBorders>
          </w:tcPr>
          <w:p w:rsidR="00D82A01" w:rsidRPr="00396508" w:rsidRDefault="00D82A01" w:rsidP="00AA5997">
            <w:pPr>
              <w:pStyle w:val="TableText"/>
              <w:rPr>
                <w:rFonts w:cs="GillSans"/>
                <w:b/>
              </w:rPr>
            </w:pPr>
            <w:r w:rsidRPr="00396508">
              <w:rPr>
                <w:rFonts w:cs="GillSans"/>
                <w:b/>
              </w:rPr>
              <w:t xml:space="preserve">High net benefit </w:t>
            </w:r>
          </w:p>
        </w:tc>
      </w:tr>
    </w:tbl>
    <w:p w:rsidR="00D82A01" w:rsidRPr="00396508" w:rsidRDefault="00D82A01" w:rsidP="00D82A01"/>
    <w:p w:rsidR="00D82A01" w:rsidRPr="00396508" w:rsidRDefault="00D82A01" w:rsidP="00D82A01">
      <w:r w:rsidRPr="00396508">
        <w:t>Option 1 has a possible high net cost</w:t>
      </w:r>
      <w:r w:rsidR="000E3B31" w:rsidRPr="00396508">
        <w:t xml:space="preserve">. </w:t>
      </w:r>
      <w:r w:rsidR="00204A5F" w:rsidRPr="00396508">
        <w:t>Although it has no additional direct costs for industry, the possible high net cost could come from:</w:t>
      </w:r>
      <w:r w:rsidR="00204A5F" w:rsidRPr="00396508" w:rsidDel="00204A5F">
        <w:t xml:space="preserve"> </w:t>
      </w:r>
    </w:p>
    <w:p w:rsidR="0076753C" w:rsidRPr="00396508" w:rsidRDefault="0076753C" w:rsidP="00D82A01"/>
    <w:p w:rsidR="00D82A01" w:rsidRPr="00396508" w:rsidRDefault="00D82A01" w:rsidP="00850BCE">
      <w:pPr>
        <w:pStyle w:val="FSBullet1"/>
      </w:pPr>
      <w:r w:rsidRPr="00396508">
        <w:t xml:space="preserve">the possible risk of export markets imposing their own testing regimes based on the recent published research and </w:t>
      </w:r>
    </w:p>
    <w:p w:rsidR="00D82A01" w:rsidRPr="00396508" w:rsidRDefault="00D82A01" w:rsidP="00850BCE">
      <w:pPr>
        <w:pStyle w:val="FSBullet1"/>
      </w:pPr>
      <w:r w:rsidRPr="00396508">
        <w:t>consequential compliance costs for New Zealand industry if the maximum levels are not changed to take account of recently published research</w:t>
      </w:r>
      <w:r w:rsidR="000E3B31" w:rsidRPr="00396508">
        <w:t xml:space="preserve">. </w:t>
      </w:r>
    </w:p>
    <w:p w:rsidR="00D82A01" w:rsidRPr="00396508" w:rsidRDefault="00D82A01" w:rsidP="00D82A01">
      <w:pPr>
        <w:ind w:left="360"/>
      </w:pPr>
    </w:p>
    <w:p w:rsidR="00D82A01" w:rsidRPr="00396508" w:rsidRDefault="00D82A01" w:rsidP="00D82A01">
      <w:r w:rsidRPr="00396508">
        <w:t>Maximum levels imposed by export markets would likely be stricter than current maximum levels</w:t>
      </w:r>
      <w:r w:rsidR="000E3B31" w:rsidRPr="00396508">
        <w:t xml:space="preserve">. </w:t>
      </w:r>
      <w:r w:rsidRPr="00396508">
        <w:t>This option would likely also lead to MPI having to implement maximum limits itself or to continue to apply controls under the Animal Products Act</w:t>
      </w:r>
      <w:r w:rsidR="000E3B31" w:rsidRPr="00396508">
        <w:t xml:space="preserve">. </w:t>
      </w:r>
      <w:r w:rsidRPr="00396508">
        <w:t>It also does not meet the FSANZ Act objective to protect public health and safety or the requirement to base standards on risk analysis using the best available science</w:t>
      </w:r>
      <w:r w:rsidR="000E3B31" w:rsidRPr="00396508">
        <w:t xml:space="preserve">. </w:t>
      </w:r>
    </w:p>
    <w:p w:rsidR="00D82A01" w:rsidRPr="00396508" w:rsidRDefault="00D82A01" w:rsidP="00D82A01"/>
    <w:p w:rsidR="00204A5F" w:rsidRPr="00396508" w:rsidRDefault="00204A5F" w:rsidP="00204A5F">
      <w:r w:rsidRPr="00396508">
        <w:t>Option 2 has a probable high net cost as the increased likelihood of a poisoning incident outweighs the small benefit (for producers who operate under the Food Acts) of reduced testing costs</w:t>
      </w:r>
      <w:r w:rsidR="000E3B31" w:rsidRPr="00396508">
        <w:t xml:space="preserve">. </w:t>
      </w:r>
      <w:r w:rsidRPr="00396508">
        <w:t>Export markets may impose stricter maximum tutin levels under this option than under the status quo, which could lead to the increased compliance costs noted above for Option 1</w:t>
      </w:r>
      <w:r w:rsidR="000E3B31" w:rsidRPr="00396508">
        <w:t xml:space="preserve">. </w:t>
      </w:r>
      <w:r w:rsidRPr="00396508">
        <w:t>Option 2 also fails to meet the FSANZ Act objective to protect public health and safety or the requirement to base standards on risk analysis using the best available science</w:t>
      </w:r>
      <w:r w:rsidR="000E3B31" w:rsidRPr="00396508">
        <w:t xml:space="preserve">. </w:t>
      </w:r>
    </w:p>
    <w:p w:rsidR="00204A5F" w:rsidRPr="00396508" w:rsidRDefault="00204A5F" w:rsidP="00204A5F"/>
    <w:p w:rsidR="00204A5F" w:rsidRPr="00396508" w:rsidRDefault="00204A5F" w:rsidP="00204A5F">
      <w:r w:rsidRPr="00396508">
        <w:t xml:space="preserve">Option 3 </w:t>
      </w:r>
      <w:r w:rsidR="0097564F" w:rsidRPr="00396508">
        <w:t xml:space="preserve">is </w:t>
      </w:r>
      <w:r w:rsidRPr="00396508">
        <w:t>not likely to be viable given the high risk to health and safety, the lack of a single cohesive industry association and the lack of industry support for this option. If implemented, it would constitute a probable high cost for industry of developing and monitoring an industry code of practice</w:t>
      </w:r>
      <w:r w:rsidR="000E3B31" w:rsidRPr="00396508">
        <w:t xml:space="preserve">. </w:t>
      </w:r>
      <w:r w:rsidRPr="00396508">
        <w:t>Depending on the how the code of practice is set up, there may be an increased risk of people getting poisoned and difficulty enforcing the code</w:t>
      </w:r>
      <w:r w:rsidR="000E3B31" w:rsidRPr="00396508">
        <w:t xml:space="preserve">. </w:t>
      </w:r>
      <w:r w:rsidRPr="00396508">
        <w:t>This option may also not meet the FSANZ Act requirement to base standards on risk analysis using the best available science and may have a negative impact on exports</w:t>
      </w:r>
      <w:r w:rsidR="000E3B31" w:rsidRPr="00396508">
        <w:t xml:space="preserve">. </w:t>
      </w:r>
    </w:p>
    <w:p w:rsidR="00204A5F" w:rsidRPr="00396508" w:rsidRDefault="00204A5F" w:rsidP="00204A5F"/>
    <w:p w:rsidR="00204A5F" w:rsidRPr="00396508" w:rsidRDefault="00204A5F" w:rsidP="00204A5F">
      <w:r w:rsidRPr="00396508">
        <w:t>The recommended option is Option 4: to amend the maximum levels for tutin in honey (from 2 mg/kg) and comb honey (from 0.01 mg/kg) to 0.7 mg/kg</w:t>
      </w:r>
      <w:r w:rsidR="000E3B31" w:rsidRPr="00396508">
        <w:t xml:space="preserve">. </w:t>
      </w:r>
      <w:r w:rsidRPr="00396508">
        <w:t>The compliance options in the New Zealand Food (Tutin in Honey) Standard will still apply</w:t>
      </w:r>
      <w:r w:rsidR="000E3B31" w:rsidRPr="00396508">
        <w:t xml:space="preserve">. </w:t>
      </w:r>
      <w:r w:rsidRPr="00396508">
        <w:t>For comb honey, all the drip and leftover comb from a comb honey harvest from a single apiary site must be homogenised and sub-sampled and tested for tutin</w:t>
      </w:r>
      <w:r w:rsidR="000E3B31" w:rsidRPr="00396508">
        <w:t xml:space="preserve">. </w:t>
      </w:r>
      <w:r w:rsidRPr="00396508">
        <w:t>Cut comb honey will only comply if the if individual samples contain less than 0.01 mg/kg of tutin</w:t>
      </w:r>
      <w:r w:rsidR="000E3B31" w:rsidRPr="00396508">
        <w:t xml:space="preserve">. </w:t>
      </w:r>
    </w:p>
    <w:p w:rsidR="00204A5F" w:rsidRPr="00396508" w:rsidRDefault="00204A5F" w:rsidP="00204A5F"/>
    <w:p w:rsidR="00850BCE" w:rsidRPr="00396508" w:rsidRDefault="00204A5F" w:rsidP="00204A5F">
      <w:r w:rsidRPr="00396508">
        <w:t>Option 4 has a high net benefit. There will be some cost to industry—in particular a potential loss of value for high-value early manuka honey which may exceed the new tutin limits</w:t>
      </w:r>
      <w:r w:rsidR="000E3B31" w:rsidRPr="00396508">
        <w:t xml:space="preserve">. </w:t>
      </w:r>
      <w:r w:rsidRPr="00396508">
        <w:t>These costs are, however, outweighed by the support this option provides for maintaining the reputation of the New Zealand honey industry and its long term growth and value</w:t>
      </w:r>
      <w:r w:rsidR="000E3B31" w:rsidRPr="00396508">
        <w:t xml:space="preserve">. </w:t>
      </w:r>
      <w:r w:rsidR="00850BCE" w:rsidRPr="00396508">
        <w:br w:type="page"/>
      </w:r>
    </w:p>
    <w:p w:rsidR="00204A5F" w:rsidRPr="00396508" w:rsidRDefault="00204A5F" w:rsidP="00204A5F">
      <w:r w:rsidRPr="00396508">
        <w:lastRenderedPageBreak/>
        <w:t xml:space="preserve">This option provides a good environment for the compound annual growth rate (CAGR) of 18.21 </w:t>
      </w:r>
      <w:r w:rsidR="00E95783" w:rsidRPr="00396508">
        <w:t>per cent</w:t>
      </w:r>
      <w:r w:rsidRPr="00396508">
        <w:t xml:space="preserve"> per year experienced by honey exports in the period 2009-2014 to continue</w:t>
      </w:r>
      <w:r w:rsidR="000E3B31" w:rsidRPr="00396508">
        <w:t xml:space="preserve">. </w:t>
      </w:r>
      <w:r w:rsidRPr="00396508">
        <w:t>It is the only option that:</w:t>
      </w:r>
    </w:p>
    <w:p w:rsidR="00F173A1" w:rsidRPr="00396508" w:rsidRDefault="00F173A1" w:rsidP="00204A5F"/>
    <w:p w:rsidR="00D82A01" w:rsidRPr="00396508" w:rsidRDefault="00D82A01" w:rsidP="00FA701A">
      <w:pPr>
        <w:pStyle w:val="FSBullet1"/>
      </w:pPr>
      <w:r w:rsidRPr="00396508">
        <w:t xml:space="preserve">takes full account of the risk analysis using the best available scientific evidence, </w:t>
      </w:r>
    </w:p>
    <w:p w:rsidR="00D82A01" w:rsidRPr="00396508" w:rsidRDefault="00D82A01" w:rsidP="00FA701A">
      <w:pPr>
        <w:pStyle w:val="FSBullet1"/>
      </w:pPr>
      <w:r w:rsidRPr="00396508">
        <w:t xml:space="preserve">meets the FSANZ Act objective to protect public health and safety, and  </w:t>
      </w:r>
    </w:p>
    <w:p w:rsidR="00D82A01" w:rsidRPr="00396508" w:rsidRDefault="00D82A01" w:rsidP="00FA701A">
      <w:pPr>
        <w:pStyle w:val="FSBullet1"/>
      </w:pPr>
      <w:r w:rsidRPr="00396508">
        <w:t xml:space="preserve">has regard to the desirability of an efficient and internationally competitive food market. </w:t>
      </w:r>
    </w:p>
    <w:p w:rsidR="00D82A01" w:rsidRPr="00396508" w:rsidRDefault="00090134" w:rsidP="00D82A01">
      <w:pPr>
        <w:pStyle w:val="Heading1"/>
        <w:spacing w:before="240" w:after="0"/>
      </w:pPr>
      <w:bookmarkStart w:id="452" w:name="_Toc400034404"/>
      <w:bookmarkStart w:id="453" w:name="_Toc400034555"/>
      <w:bookmarkStart w:id="454" w:name="_Toc400034605"/>
      <w:bookmarkStart w:id="455" w:name="_Toc400034405"/>
      <w:bookmarkStart w:id="456" w:name="_Toc400034556"/>
      <w:bookmarkStart w:id="457" w:name="_Toc400034606"/>
      <w:bookmarkStart w:id="458" w:name="_Toc401736618"/>
      <w:bookmarkStart w:id="459" w:name="_Toc402438199"/>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396508">
        <w:t>7</w:t>
      </w:r>
      <w:r w:rsidRPr="00396508">
        <w:tab/>
      </w:r>
      <w:r w:rsidR="00D82A01" w:rsidRPr="00396508">
        <w:t>Implementation and review</w:t>
      </w:r>
      <w:bookmarkEnd w:id="458"/>
      <w:bookmarkEnd w:id="459"/>
    </w:p>
    <w:p w:rsidR="00D82A01" w:rsidRPr="00396508" w:rsidRDefault="00E92852" w:rsidP="00F56FA6">
      <w:pPr>
        <w:pStyle w:val="Heading2"/>
      </w:pPr>
      <w:bookmarkStart w:id="460" w:name="_Toc401736619"/>
      <w:bookmarkStart w:id="461" w:name="_Toc402438200"/>
      <w:r w:rsidRPr="00396508">
        <w:t>7.1</w:t>
      </w:r>
      <w:r w:rsidRPr="00396508">
        <w:tab/>
      </w:r>
      <w:r w:rsidR="00D82A01" w:rsidRPr="00396508">
        <w:t>Implementation</w:t>
      </w:r>
      <w:bookmarkEnd w:id="460"/>
      <w:bookmarkEnd w:id="461"/>
    </w:p>
    <w:p w:rsidR="00D82A01" w:rsidRPr="00396508" w:rsidRDefault="00D82A01" w:rsidP="00D82A01">
      <w:r w:rsidRPr="00396508">
        <w:t xml:space="preserve">If regulatory changes are made, they will come into effect immediately on gazettal in the Code and there will be no transitional arrangements. The draft variation is expected to be gazetted in the Code in January 2015. A Standard giving legal effect to the changes in New Zealand will then be issued under the New Zealand </w:t>
      </w:r>
      <w:r w:rsidRPr="00396508">
        <w:rPr>
          <w:i/>
        </w:rPr>
        <w:t>Food Act 1981</w:t>
      </w:r>
      <w:r w:rsidRPr="00396508">
        <w:t xml:space="preserve"> and will come into force in New Zealand 28 days after that date.</w:t>
      </w:r>
    </w:p>
    <w:p w:rsidR="00D82A01" w:rsidRPr="00396508" w:rsidRDefault="00D82A01" w:rsidP="00D82A01"/>
    <w:p w:rsidR="00D82A01" w:rsidRPr="00396508" w:rsidRDefault="00D82A01" w:rsidP="00D82A01">
      <w:r w:rsidRPr="00396508">
        <w:t>Whilst there will be no transitional arrangements, there will be a stock-in-trade provision so that any honey packed for retail sale before the date of gazettal will not need to comply at any time with the new requirements. These products will need to comply with the maximum levels that applied on the day they were packaged for retail sale</w:t>
      </w:r>
      <w:r w:rsidR="000E3B31" w:rsidRPr="00396508">
        <w:t xml:space="preserve">. </w:t>
      </w:r>
    </w:p>
    <w:p w:rsidR="00D82A01" w:rsidRPr="00396508" w:rsidRDefault="00D82A01" w:rsidP="00D82A01"/>
    <w:p w:rsidR="00D82A01" w:rsidRPr="00396508" w:rsidRDefault="00D82A01" w:rsidP="00D82A01">
      <w:r w:rsidRPr="00396508">
        <w:t>While honey generally has a five year shelf life, and there is likely to be honey that complies with the temporary level available for retail sale for up to five years after the permanent maximum levels are gazetted, this amount of honey is expected to be small. The cost of requiring extracted honey already packaged for retail sale to be recalled, re-blended and re-packaged to meet the new maximum level is estimated to outweigh the potential public health costs of leaving this honey on shelves</w:t>
      </w:r>
      <w:r w:rsidR="000E3B31" w:rsidRPr="00396508">
        <w:t xml:space="preserve">. </w:t>
      </w:r>
      <w:r w:rsidRPr="00396508">
        <w:t>Although the stock-in-trade provision includes comb honey packaged for retail sale, it is expected to have a minimal impact on comb honey products as in practice there is no change to implementation for comb honey under the current New Zealand Tutin Standard.</w:t>
      </w:r>
    </w:p>
    <w:p w:rsidR="00D82A01" w:rsidRPr="00396508" w:rsidRDefault="00D82A01" w:rsidP="00D82A01"/>
    <w:p w:rsidR="00D82A01" w:rsidRPr="00396508" w:rsidRDefault="00D82A01" w:rsidP="00D82A01">
      <w:r w:rsidRPr="00396508">
        <w:t>Three submissions on the consultation RIS supported having transitional arrangements and two commented that there should be a transitional period as well as a stock in trade provision for bulk honey</w:t>
      </w:r>
      <w:r w:rsidR="000E3B31" w:rsidRPr="00396508">
        <w:t xml:space="preserve">. </w:t>
      </w:r>
      <w:r w:rsidRPr="00396508">
        <w:t>FSANZ has decided against a transition period for bulk honey as the main reason to amend the maximum level for extracted honey is to protect public health and safety</w:t>
      </w:r>
      <w:r w:rsidR="000E3B31" w:rsidRPr="00396508">
        <w:t xml:space="preserve">. </w:t>
      </w:r>
      <w:r w:rsidRPr="00396508">
        <w:t>FSANZ has not applied a stock-in-trade to bulk honey as industry can re-blend this stock according to the new level at minimal additional cost</w:t>
      </w:r>
      <w:r w:rsidR="000E3B31" w:rsidRPr="00396508">
        <w:t xml:space="preserve">. </w:t>
      </w:r>
      <w:r w:rsidRPr="00396508">
        <w:t>More information can be found in section 5 or in other FSANZ documents about this proposal on their website.</w:t>
      </w:r>
      <w:r w:rsidRPr="00396508">
        <w:rPr>
          <w:rStyle w:val="FootnoteReference"/>
          <w:sz w:val="18"/>
          <w:vertAlign w:val="superscript"/>
        </w:rPr>
        <w:footnoteReference w:id="20"/>
      </w:r>
      <w:r w:rsidRPr="00396508">
        <w:t xml:space="preserve">   </w:t>
      </w:r>
    </w:p>
    <w:p w:rsidR="00D82A01" w:rsidRPr="00396508" w:rsidRDefault="00E92852" w:rsidP="00F56FA6">
      <w:pPr>
        <w:pStyle w:val="Heading2"/>
      </w:pPr>
      <w:bookmarkStart w:id="462" w:name="_Toc400373542"/>
      <w:bookmarkStart w:id="463" w:name="_Toc401736620"/>
      <w:bookmarkStart w:id="464" w:name="_Toc402438201"/>
      <w:r w:rsidRPr="00396508">
        <w:t>7.2</w:t>
      </w:r>
      <w:r w:rsidRPr="00396508">
        <w:tab/>
      </w:r>
      <w:r w:rsidR="00D82A01" w:rsidRPr="00396508">
        <w:t>Review</w:t>
      </w:r>
      <w:bookmarkEnd w:id="462"/>
      <w:bookmarkEnd w:id="463"/>
      <w:bookmarkEnd w:id="464"/>
    </w:p>
    <w:p w:rsidR="00D82A01" w:rsidRPr="00396508" w:rsidRDefault="0097564F" w:rsidP="00D82A01">
      <w:r w:rsidRPr="00396508">
        <w:t xml:space="preserve">If </w:t>
      </w:r>
      <w:r w:rsidR="00D82A01" w:rsidRPr="00396508">
        <w:t>the new maximum level is implemented, FSANZ and MPI will continue to monitor reported poisonings and relevant science as part of ongoing oversight of the effectiveness of regulations in fulfilling the objectives of the FSANZ Act</w:t>
      </w:r>
      <w:r w:rsidR="000E3B31" w:rsidRPr="00396508">
        <w:t xml:space="preserve">. </w:t>
      </w:r>
    </w:p>
    <w:p w:rsidR="00D82A01" w:rsidRPr="00396508" w:rsidRDefault="00D82A01" w:rsidP="00F173A1">
      <w:pPr>
        <w:pStyle w:val="Heading1"/>
        <w:ind w:left="0" w:firstLine="0"/>
      </w:pPr>
      <w:bookmarkStart w:id="465" w:name="_Toc399146063"/>
      <w:bookmarkStart w:id="466" w:name="_Toc399232909"/>
      <w:bookmarkStart w:id="467" w:name="_Toc399233067"/>
      <w:bookmarkStart w:id="468" w:name="_Toc399233225"/>
      <w:bookmarkStart w:id="469" w:name="_Toc399233384"/>
      <w:bookmarkStart w:id="470" w:name="_Toc399233731"/>
      <w:bookmarkStart w:id="471" w:name="_Toc399146064"/>
      <w:bookmarkStart w:id="472" w:name="_Toc399232910"/>
      <w:bookmarkStart w:id="473" w:name="_Toc399233068"/>
      <w:bookmarkStart w:id="474" w:name="_Toc399233226"/>
      <w:bookmarkStart w:id="475" w:name="_Toc399233385"/>
      <w:bookmarkStart w:id="476" w:name="_Toc399233732"/>
      <w:bookmarkStart w:id="477" w:name="_Toc399146065"/>
      <w:bookmarkStart w:id="478" w:name="_Toc399232911"/>
      <w:bookmarkStart w:id="479" w:name="_Toc399233069"/>
      <w:bookmarkStart w:id="480" w:name="_Toc399233227"/>
      <w:bookmarkStart w:id="481" w:name="_Toc399233386"/>
      <w:bookmarkStart w:id="482" w:name="_Toc399233733"/>
      <w:bookmarkStart w:id="483" w:name="_Toc387046008"/>
      <w:bookmarkStart w:id="484" w:name="_Toc399233229"/>
      <w:bookmarkStart w:id="485" w:name="_Toc399233388"/>
      <w:bookmarkEnd w:id="7"/>
      <w:bookmarkEnd w:id="8"/>
      <w:bookmarkEnd w:id="9"/>
      <w:bookmarkEnd w:id="10"/>
      <w:bookmarkEnd w:id="11"/>
      <w:bookmarkEnd w:id="12"/>
      <w:bookmarkEnd w:id="13"/>
      <w:bookmarkEnd w:id="14"/>
      <w:bookmarkEnd w:id="15"/>
      <w:bookmarkEnd w:id="16"/>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396508">
        <w:br w:type="page"/>
      </w:r>
      <w:bookmarkStart w:id="486" w:name="_Toc401736621"/>
      <w:bookmarkStart w:id="487" w:name="_Toc402438202"/>
      <w:r w:rsidRPr="00396508">
        <w:lastRenderedPageBreak/>
        <w:t>Appendix 1: Honey industry profile</w:t>
      </w:r>
      <w:bookmarkEnd w:id="486"/>
      <w:bookmarkEnd w:id="487"/>
    </w:p>
    <w:p w:rsidR="00D82A01" w:rsidRPr="00396508" w:rsidRDefault="00D82A01" w:rsidP="00D82A01">
      <w:pPr>
        <w:rPr>
          <w:rFonts w:cs="Arial"/>
        </w:rPr>
      </w:pPr>
      <w:r w:rsidRPr="00396508">
        <w:rPr>
          <w:rFonts w:cs="Arial"/>
        </w:rPr>
        <w:t xml:space="preserve">Apiculture is a significant contributor to New Zealand’s primary production sector. There were over 4,800 beekeepers in New Zealand as at June 2014 with 30,688 apiaries and 507,247 hives as at June 2014. </w:t>
      </w:r>
    </w:p>
    <w:p w:rsidR="0097564F" w:rsidRPr="00396508" w:rsidRDefault="0097564F" w:rsidP="00D82A01"/>
    <w:p w:rsidR="00D82A01" w:rsidRPr="00396508" w:rsidRDefault="00D82A01" w:rsidP="00D82A01">
      <w:r w:rsidRPr="00396508">
        <w:rPr>
          <w:rFonts w:cs="Arial"/>
        </w:rPr>
        <w:t>Most registered beekeepers</w:t>
      </w:r>
      <w:r w:rsidR="0097564F" w:rsidRPr="00396508">
        <w:rPr>
          <w:rFonts w:cs="Arial"/>
        </w:rPr>
        <w:t xml:space="preserve"> (85</w:t>
      </w:r>
      <w:r w:rsidR="00D61708" w:rsidRPr="00396508">
        <w:rPr>
          <w:rFonts w:cs="Arial"/>
        </w:rPr>
        <w:t xml:space="preserve"> </w:t>
      </w:r>
      <w:r w:rsidR="00E95783" w:rsidRPr="00396508">
        <w:rPr>
          <w:rFonts w:cs="Arial"/>
        </w:rPr>
        <w:t>per cent</w:t>
      </w:r>
      <w:r w:rsidR="0097564F" w:rsidRPr="00396508">
        <w:rPr>
          <w:rFonts w:cs="Arial"/>
        </w:rPr>
        <w:t xml:space="preserve">) </w:t>
      </w:r>
      <w:r w:rsidRPr="00396508">
        <w:rPr>
          <w:rFonts w:cs="Arial"/>
        </w:rPr>
        <w:t>have fewer than 50 hives and over half of these have fewer than 5 hives (66.1</w:t>
      </w:r>
      <w:r w:rsidR="00E95783" w:rsidRPr="00396508">
        <w:rPr>
          <w:rFonts w:cs="Arial"/>
        </w:rPr>
        <w:t>per cent</w:t>
      </w:r>
      <w:r w:rsidRPr="00396508">
        <w:rPr>
          <w:rFonts w:cs="Arial"/>
        </w:rPr>
        <w:t xml:space="preserve">). Small beekeepers (those with fewer than 50 hives) average 4 hives per apiary while commercial beekeepers (those with over 500 hives) average 21 hives per apiary. About 80 </w:t>
      </w:r>
      <w:r w:rsidR="00E95783" w:rsidRPr="00396508">
        <w:rPr>
          <w:rFonts w:cs="Arial"/>
        </w:rPr>
        <w:t>per cent</w:t>
      </w:r>
      <w:r w:rsidRPr="00396508">
        <w:rPr>
          <w:rFonts w:cs="Arial"/>
        </w:rPr>
        <w:t xml:space="preserve"> of all hives are managed by 221 commercial beekeepers. </w:t>
      </w:r>
      <w:r w:rsidRPr="00396508">
        <w:t>There are 133 commercial beekeepers in the North Island and 88 commercial beekeepers in the South Island</w:t>
      </w:r>
      <w:r w:rsidRPr="00396508">
        <w:rPr>
          <w:rStyle w:val="FootnoteReference"/>
          <w:sz w:val="18"/>
          <w:vertAlign w:val="superscript"/>
        </w:rPr>
        <w:footnoteReference w:id="21"/>
      </w:r>
      <w:r w:rsidRPr="00396508">
        <w:t xml:space="preserve">. </w:t>
      </w:r>
    </w:p>
    <w:p w:rsidR="00D82A01" w:rsidRPr="00396508" w:rsidRDefault="00D82A01" w:rsidP="00D82A01">
      <w:pPr>
        <w:rPr>
          <w:rFonts w:cs="Arial"/>
        </w:rPr>
      </w:pPr>
    </w:p>
    <w:p w:rsidR="00D82A01" w:rsidRPr="00396508" w:rsidRDefault="00D82A01" w:rsidP="00D82A01">
      <w:r w:rsidRPr="00396508">
        <w:t>The New Zealand honey crop has averaged 13,356 tonnes per year</w:t>
      </w:r>
      <w:r w:rsidRPr="00396508">
        <w:rPr>
          <w:rStyle w:val="FootnoteReference"/>
          <w:sz w:val="18"/>
          <w:vertAlign w:val="superscript"/>
        </w:rPr>
        <w:footnoteReference w:id="22"/>
      </w:r>
      <w:r w:rsidRPr="00396508">
        <w:t xml:space="preserve"> since 2009</w:t>
      </w:r>
      <w:r w:rsidR="000E3B31" w:rsidRPr="00396508">
        <w:t xml:space="preserve">. </w:t>
      </w:r>
      <w:r w:rsidRPr="00396508">
        <w:t>The crop for the year to June 2014 is estimated at 17,608 tonnes</w:t>
      </w:r>
      <w:r w:rsidR="000E3B31" w:rsidRPr="00396508">
        <w:t xml:space="preserve">. </w:t>
      </w:r>
      <w:r w:rsidRPr="00396508">
        <w:t xml:space="preserve">The value of honey exports has grown significantly in recent years: between 2009 and 2014 </w:t>
      </w:r>
      <w:r w:rsidR="00D61708" w:rsidRPr="00396508">
        <w:t>exports</w:t>
      </w:r>
      <w:r w:rsidR="00B5555A" w:rsidRPr="00396508">
        <w:t xml:space="preserve"> </w:t>
      </w:r>
      <w:r w:rsidRPr="00396508">
        <w:t>grew from $</w:t>
      </w:r>
      <w:r w:rsidR="00DE3641">
        <w:t>NZ</w:t>
      </w:r>
      <w:r w:rsidRPr="00396508">
        <w:t>81 million to $</w:t>
      </w:r>
      <w:r w:rsidR="00DE3641">
        <w:t>NZ</w:t>
      </w:r>
      <w:r w:rsidRPr="00396508">
        <w:t>187 million (a compound annual g</w:t>
      </w:r>
      <w:r w:rsidR="00B5555A" w:rsidRPr="00396508">
        <w:t xml:space="preserve">rowth rate </w:t>
      </w:r>
      <w:r w:rsidRPr="00396508">
        <w:t xml:space="preserve">of 18.21 </w:t>
      </w:r>
      <w:r w:rsidR="00E95783" w:rsidRPr="00396508">
        <w:t>per cent</w:t>
      </w:r>
      <w:r w:rsidRPr="00396508">
        <w:t xml:space="preserve"> per year). The volume of honey exported in the year to 2014 was 8,704 tonnes, valued at $</w:t>
      </w:r>
      <w:r w:rsidR="00DE3641">
        <w:t>NZ</w:t>
      </w:r>
      <w:r w:rsidRPr="00396508">
        <w:t>187 million</w:t>
      </w:r>
      <w:r w:rsidRPr="00396508">
        <w:rPr>
          <w:rStyle w:val="FootnoteReference"/>
          <w:rFonts w:cs="Arial"/>
          <w:sz w:val="20"/>
          <w:vertAlign w:val="superscript"/>
        </w:rPr>
        <w:footnoteReference w:id="23"/>
      </w:r>
      <w:r w:rsidR="000E3B31" w:rsidRPr="00396508">
        <w:t xml:space="preserve">. </w:t>
      </w:r>
      <w:r w:rsidRPr="00396508">
        <w:t>This included exports of 53.3 tonnes of comb honey valued at $</w:t>
      </w:r>
      <w:r w:rsidR="00DE3641">
        <w:t>NZ</w:t>
      </w:r>
      <w:r w:rsidRPr="00396508">
        <w:t>1.5 million</w:t>
      </w:r>
      <w:r w:rsidRPr="00396508">
        <w:rPr>
          <w:rStyle w:val="FootnoteReference"/>
          <w:rFonts w:cs="Arial"/>
          <w:sz w:val="20"/>
          <w:szCs w:val="20"/>
          <w:vertAlign w:val="superscript"/>
        </w:rPr>
        <w:footnoteReference w:id="24"/>
      </w:r>
      <w:r w:rsidR="00DE3641">
        <w:t>.</w:t>
      </w:r>
      <w:bookmarkStart w:id="488" w:name="_GoBack"/>
      <w:bookmarkEnd w:id="488"/>
      <w:r w:rsidR="000E3B31" w:rsidRPr="00396508">
        <w:rPr>
          <w:vertAlign w:val="superscript"/>
        </w:rPr>
        <w:t>.</w:t>
      </w:r>
      <w:r w:rsidR="000E3B31" w:rsidRPr="00396508">
        <w:t xml:space="preserve"> </w:t>
      </w:r>
      <w:r w:rsidRPr="00396508">
        <w:t xml:space="preserve"> </w:t>
      </w:r>
    </w:p>
    <w:p w:rsidR="00D82A01" w:rsidRPr="00396508" w:rsidRDefault="00D82A01" w:rsidP="00D82A01"/>
    <w:p w:rsidR="00DE3641" w:rsidRDefault="00D82A01" w:rsidP="00D82A01">
      <w:pPr>
        <w:rPr>
          <w:rFonts w:eastAsia="SimSun"/>
          <w:lang w:eastAsia="zh-CN"/>
        </w:rPr>
      </w:pPr>
      <w:r w:rsidRPr="00396508">
        <w:rPr>
          <w:rFonts w:eastAsia="SimSun"/>
          <w:lang w:eastAsia="zh-CN"/>
        </w:rPr>
        <w:t xml:space="preserve">While the United Kingdom took around a third of New Zealand’s honey exports between </w:t>
      </w:r>
    </w:p>
    <w:p w:rsidR="00D82A01" w:rsidRPr="00396508" w:rsidRDefault="00D82A01" w:rsidP="00D82A01">
      <w:pPr>
        <w:rPr>
          <w:rFonts w:eastAsia="SimSun"/>
          <w:lang w:eastAsia="zh-CN"/>
        </w:rPr>
      </w:pPr>
      <w:r w:rsidRPr="00396508">
        <w:rPr>
          <w:rFonts w:eastAsia="SimSun"/>
          <w:lang w:eastAsia="zh-CN"/>
        </w:rPr>
        <w:t>1 July 2011 and 30 June 2012, this began to decline in 2013. China’s share of New Zealand exports is beginning to increase</w:t>
      </w:r>
      <w:r w:rsidR="000E3B31" w:rsidRPr="00396508">
        <w:rPr>
          <w:rFonts w:eastAsia="SimSun"/>
          <w:lang w:eastAsia="zh-CN"/>
        </w:rPr>
        <w:t xml:space="preserve">. </w:t>
      </w:r>
      <w:r w:rsidRPr="00396508">
        <w:rPr>
          <w:rFonts w:eastAsia="SimSun"/>
          <w:lang w:eastAsia="zh-CN"/>
        </w:rPr>
        <w:t xml:space="preserve">While it took only 3 </w:t>
      </w:r>
      <w:r w:rsidR="00E95783" w:rsidRPr="00396508">
        <w:rPr>
          <w:rFonts w:eastAsia="SimSun"/>
          <w:lang w:eastAsia="zh-CN"/>
        </w:rPr>
        <w:t>per cent</w:t>
      </w:r>
      <w:r w:rsidRPr="00396508">
        <w:rPr>
          <w:rFonts w:eastAsia="SimSun"/>
          <w:lang w:eastAsia="zh-CN"/>
        </w:rPr>
        <w:t xml:space="preserve"> in the year to June 2012, this increased to 11 </w:t>
      </w:r>
      <w:r w:rsidR="00E95783" w:rsidRPr="00396508">
        <w:rPr>
          <w:rFonts w:eastAsia="SimSun"/>
          <w:lang w:eastAsia="zh-CN"/>
        </w:rPr>
        <w:t>per cent</w:t>
      </w:r>
      <w:r w:rsidRPr="00396508">
        <w:rPr>
          <w:rFonts w:eastAsia="SimSun"/>
          <w:lang w:eastAsia="zh-CN"/>
        </w:rPr>
        <w:t xml:space="preserve"> in 2013 and to 12 </w:t>
      </w:r>
      <w:r w:rsidR="00E95783" w:rsidRPr="00396508">
        <w:rPr>
          <w:rFonts w:eastAsia="SimSun"/>
          <w:lang w:eastAsia="zh-CN"/>
        </w:rPr>
        <w:t>per cent</w:t>
      </w:r>
      <w:r w:rsidRPr="00396508">
        <w:rPr>
          <w:rFonts w:eastAsia="SimSun"/>
          <w:lang w:eastAsia="zh-CN"/>
        </w:rPr>
        <w:t xml:space="preserve"> in 2014</w:t>
      </w:r>
      <w:r w:rsidR="000E3B31" w:rsidRPr="00396508">
        <w:rPr>
          <w:rFonts w:eastAsia="SimSun"/>
          <w:lang w:eastAsia="zh-CN"/>
        </w:rPr>
        <w:t xml:space="preserve">. </w:t>
      </w:r>
      <w:r w:rsidRPr="00396508">
        <w:rPr>
          <w:rFonts w:eastAsia="SimSun"/>
          <w:lang w:eastAsia="zh-CN"/>
        </w:rPr>
        <w:t xml:space="preserve">Other important markets are Hong Kong, the European Union and Singapore. </w:t>
      </w:r>
    </w:p>
    <w:p w:rsidR="00D82A01" w:rsidRPr="00396508" w:rsidRDefault="00D82A01" w:rsidP="00D82A01">
      <w:pPr>
        <w:rPr>
          <w:rFonts w:eastAsia="SimSun"/>
          <w:lang w:eastAsia="zh-CN"/>
        </w:rPr>
      </w:pPr>
    </w:p>
    <w:p w:rsidR="00D82A01" w:rsidRPr="00396508" w:rsidRDefault="00D82A01" w:rsidP="00D82A01">
      <w:pPr>
        <w:rPr>
          <w:rFonts w:cs="Arial"/>
        </w:rPr>
      </w:pPr>
      <w:r w:rsidRPr="00396508">
        <w:rPr>
          <w:rFonts w:eastAsia="SimSun"/>
          <w:lang w:eastAsia="zh-CN"/>
        </w:rPr>
        <w:t>A</w:t>
      </w:r>
      <w:r w:rsidRPr="00396508">
        <w:rPr>
          <w:rFonts w:cs="Arial"/>
        </w:rPr>
        <w:t xml:space="preserve"> significant proportion of honey that is packed in New Zealand, whether it is sold on the domestic market or exported, is packed under risk management programmes (RMPs) under the Animal Products Act. Honey not packed under an RMP is usually packed by small producers solely for the domestic market. </w:t>
      </w:r>
    </w:p>
    <w:p w:rsidR="00D82A01" w:rsidRPr="00396508" w:rsidRDefault="00D82A01" w:rsidP="00D82A01"/>
    <w:p w:rsidR="00D82A01" w:rsidRPr="00396508" w:rsidRDefault="00D82A01" w:rsidP="00D82A01">
      <w:r w:rsidRPr="00396508">
        <w:t>Most compliance costs fall on beekeepers harvesting honey in high risk areas above latitude 42 degrees south. This line runs across the top of the South Island, from above Greymouth on one side to between Kaikoura and Blenheim on the other side</w:t>
      </w:r>
      <w:r w:rsidR="000E3B31" w:rsidRPr="00396508">
        <w:t xml:space="preserve">. </w:t>
      </w:r>
      <w:r w:rsidRPr="00396508">
        <w:t xml:space="preserve">Around 73 </w:t>
      </w:r>
      <w:r w:rsidR="00E95783" w:rsidRPr="00396508">
        <w:t>per cent</w:t>
      </w:r>
      <w:r w:rsidRPr="00396508">
        <w:t xml:space="preserve"> of all beekeepers harvest honey in areas above latitude 42 degrees south</w:t>
      </w:r>
      <w:r w:rsidR="000E3B31" w:rsidRPr="00396508">
        <w:t xml:space="preserve">. </w:t>
      </w:r>
    </w:p>
    <w:p w:rsidR="00D82A01" w:rsidRPr="00396508" w:rsidRDefault="00D82A01" w:rsidP="00D82A01"/>
    <w:sectPr w:rsidR="00D82A01" w:rsidRPr="00396508" w:rsidSect="00850BCE">
      <w:footerReference w:type="default" r:id="rId11"/>
      <w:pgSz w:w="11907" w:h="16840" w:code="9"/>
      <w:pgMar w:top="1418" w:right="1418" w:bottom="1418" w:left="1418" w:header="680"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852" w:rsidRDefault="00E92852" w:rsidP="00F72085">
      <w:r>
        <w:separator/>
      </w:r>
    </w:p>
  </w:endnote>
  <w:endnote w:type="continuationSeparator" w:id="0">
    <w:p w:rsidR="00E92852" w:rsidRDefault="00E92852" w:rsidP="00F7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w:altName w:val="Arial"/>
    <w:panose1 w:val="020B07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852" w:rsidRPr="00D82A01" w:rsidRDefault="00E92852" w:rsidP="00090134">
    <w:pPr>
      <w:pStyle w:val="Footer"/>
      <w:jc w:val="center"/>
    </w:pPr>
    <w:r>
      <w:fldChar w:fldCharType="begin"/>
    </w:r>
    <w:r>
      <w:instrText xml:space="preserve"> PAGE   \* MERGEFORMAT </w:instrText>
    </w:r>
    <w:r>
      <w:fldChar w:fldCharType="separate"/>
    </w:r>
    <w:r w:rsidR="00DE3641">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852" w:rsidRPr="00BD013B" w:rsidRDefault="00E92852" w:rsidP="00850BCE">
    <w:pPr>
      <w:pStyle w:val="Footer"/>
      <w:jc w:val="center"/>
    </w:pPr>
    <w:r>
      <w:fldChar w:fldCharType="begin"/>
    </w:r>
    <w:r>
      <w:instrText xml:space="preserve"> PAGE   \* MERGEFORMAT </w:instrText>
    </w:r>
    <w:r>
      <w:fldChar w:fldCharType="separate"/>
    </w:r>
    <w:r w:rsidR="00DE3641">
      <w:rPr>
        <w:noProof/>
      </w:rPr>
      <w:t>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852" w:rsidRDefault="00E92852" w:rsidP="00430CFF">
      <w:r>
        <w:separator/>
      </w:r>
    </w:p>
  </w:footnote>
  <w:footnote w:type="continuationSeparator" w:id="0">
    <w:p w:rsidR="00E92852" w:rsidRDefault="00E92852" w:rsidP="00F72085">
      <w:r>
        <w:continuationSeparator/>
      </w:r>
    </w:p>
  </w:footnote>
  <w:footnote w:id="1">
    <w:p w:rsidR="00E92852" w:rsidRPr="00804874" w:rsidRDefault="00E92852" w:rsidP="00D82A01">
      <w:pPr>
        <w:pStyle w:val="FootnoteText"/>
        <w:rPr>
          <w:lang w:val="en-NZ"/>
        </w:rPr>
      </w:pPr>
      <w:r w:rsidRPr="00A82B3C">
        <w:rPr>
          <w:rStyle w:val="FootnoteReference"/>
          <w:sz w:val="18"/>
          <w:vertAlign w:val="superscript"/>
        </w:rPr>
        <w:footnoteRef/>
      </w:r>
      <w:r>
        <w:t xml:space="preserve"> </w:t>
      </w:r>
      <w:r>
        <w:rPr>
          <w:lang w:val="en-NZ"/>
        </w:rPr>
        <w:t>Low is defined as being under $</w:t>
      </w:r>
      <w:r w:rsidR="00DE3641">
        <w:rPr>
          <w:lang w:val="en-NZ"/>
        </w:rPr>
        <w:t>NZ</w:t>
      </w:r>
      <w:r>
        <w:rPr>
          <w:lang w:val="en-NZ"/>
        </w:rPr>
        <w:t>100, 000</w:t>
      </w:r>
      <w:r w:rsidR="000E3B31">
        <w:rPr>
          <w:lang w:val="en-NZ"/>
        </w:rPr>
        <w:t xml:space="preserve">. </w:t>
      </w:r>
      <w:r>
        <w:rPr>
          <w:lang w:val="en-NZ"/>
        </w:rPr>
        <w:t>Medium is between $</w:t>
      </w:r>
      <w:r w:rsidR="00DE3641">
        <w:rPr>
          <w:lang w:val="en-NZ"/>
        </w:rPr>
        <w:t>NZ</w:t>
      </w:r>
      <w:r>
        <w:rPr>
          <w:lang w:val="en-NZ"/>
        </w:rPr>
        <w:t>100,000 and $</w:t>
      </w:r>
      <w:r w:rsidR="00DE3641">
        <w:rPr>
          <w:lang w:val="en-NZ"/>
        </w:rPr>
        <w:t>NZ</w:t>
      </w:r>
      <w:r>
        <w:rPr>
          <w:lang w:val="en-NZ"/>
        </w:rPr>
        <w:t>1 million</w:t>
      </w:r>
      <w:r w:rsidR="000E3B31">
        <w:rPr>
          <w:lang w:val="en-NZ"/>
        </w:rPr>
        <w:t xml:space="preserve">. </w:t>
      </w:r>
      <w:r>
        <w:rPr>
          <w:lang w:val="en-NZ"/>
        </w:rPr>
        <w:t>High is defined as over $</w:t>
      </w:r>
      <w:r w:rsidR="00DE3641">
        <w:rPr>
          <w:lang w:val="en-NZ"/>
        </w:rPr>
        <w:t>NZ</w:t>
      </w:r>
      <w:r w:rsidRPr="00804874">
        <w:rPr>
          <w:lang w:val="en-NZ"/>
        </w:rPr>
        <w:t>1 million</w:t>
      </w:r>
      <w:r w:rsidR="000E3B31">
        <w:rPr>
          <w:lang w:val="en-NZ"/>
        </w:rPr>
        <w:t xml:space="preserve">. </w:t>
      </w:r>
    </w:p>
  </w:footnote>
  <w:footnote w:id="2">
    <w:p w:rsidR="00E92852" w:rsidRPr="00533BA5" w:rsidRDefault="00E92852">
      <w:pPr>
        <w:pStyle w:val="FootnoteText"/>
        <w:rPr>
          <w:lang w:val="en-NZ"/>
        </w:rPr>
      </w:pPr>
      <w:r w:rsidRPr="00A82B3C">
        <w:rPr>
          <w:rStyle w:val="FootnoteReference"/>
          <w:sz w:val="18"/>
          <w:vertAlign w:val="superscript"/>
        </w:rPr>
        <w:footnoteRef/>
      </w:r>
      <w:r w:rsidRPr="00804874">
        <w:t xml:space="preserve"> </w:t>
      </w:r>
      <w:r w:rsidRPr="00804874">
        <w:rPr>
          <w:lang w:val="en-NZ"/>
        </w:rPr>
        <w:t>The National Beekeepers‘ Association did not define what they meant by ‘early’ manuka honey in their submission</w:t>
      </w:r>
    </w:p>
  </w:footnote>
  <w:footnote w:id="3">
    <w:p w:rsidR="00E92852" w:rsidRPr="00A82B3C" w:rsidRDefault="00E92852" w:rsidP="00D82A01">
      <w:pPr>
        <w:pStyle w:val="FootnoteText"/>
        <w:rPr>
          <w:szCs w:val="18"/>
          <w:lang w:val="en-NZ"/>
        </w:rPr>
      </w:pPr>
      <w:r w:rsidRPr="00A82B3C">
        <w:rPr>
          <w:rStyle w:val="FootnoteReference"/>
          <w:sz w:val="18"/>
          <w:szCs w:val="18"/>
          <w:vertAlign w:val="superscript"/>
        </w:rPr>
        <w:footnoteRef/>
      </w:r>
      <w:r w:rsidRPr="00A82B3C">
        <w:rPr>
          <w:szCs w:val="18"/>
        </w:rPr>
        <w:t xml:space="preserve"> </w:t>
      </w:r>
      <w:r w:rsidRPr="00A82B3C">
        <w:rPr>
          <w:szCs w:val="18"/>
          <w:lang w:val="en-NZ"/>
        </w:rPr>
        <w:t>Tests for tutin in honey are undertaken at a variety of places in the supply chain – for example from honey immediately after it is extracted from the honeycomb, when it is packed in bulk drums, or when it is packed for retail sale</w:t>
      </w:r>
      <w:r w:rsidR="000E3B31">
        <w:rPr>
          <w:szCs w:val="18"/>
          <w:lang w:val="en-NZ"/>
        </w:rPr>
        <w:t xml:space="preserve">. </w:t>
      </w:r>
    </w:p>
  </w:footnote>
  <w:footnote w:id="4">
    <w:p w:rsidR="00E92852" w:rsidRPr="00A82B3C" w:rsidRDefault="00E92852" w:rsidP="00D82A01">
      <w:pPr>
        <w:pStyle w:val="FootnoteText"/>
        <w:rPr>
          <w:szCs w:val="18"/>
          <w:lang w:val="en-NZ"/>
        </w:rPr>
      </w:pPr>
      <w:r w:rsidRPr="00A82B3C">
        <w:rPr>
          <w:rStyle w:val="FootnoteReference"/>
          <w:sz w:val="18"/>
          <w:szCs w:val="18"/>
          <w:vertAlign w:val="superscript"/>
        </w:rPr>
        <w:footnoteRef/>
      </w:r>
      <w:r w:rsidRPr="00A82B3C">
        <w:rPr>
          <w:szCs w:val="18"/>
        </w:rPr>
        <w:t xml:space="preserve"> Goodwin, Mark (2013) A New Zealand History of Toxic Honey Page </w:t>
      </w:r>
      <w:r w:rsidRPr="00A82B3C">
        <w:rPr>
          <w:szCs w:val="18"/>
          <w:lang w:val="en-NZ"/>
        </w:rPr>
        <w:t>155</w:t>
      </w:r>
    </w:p>
  </w:footnote>
  <w:footnote w:id="5">
    <w:p w:rsidR="00E92852" w:rsidRPr="00A82B3C" w:rsidRDefault="00E92852" w:rsidP="00D82A01">
      <w:pPr>
        <w:pStyle w:val="FootnoteText"/>
        <w:rPr>
          <w:szCs w:val="18"/>
          <w:lang w:val="en-NZ"/>
        </w:rPr>
      </w:pPr>
      <w:r w:rsidRPr="00A82B3C">
        <w:rPr>
          <w:rStyle w:val="FootnoteReference"/>
          <w:sz w:val="18"/>
          <w:szCs w:val="18"/>
          <w:vertAlign w:val="superscript"/>
        </w:rPr>
        <w:footnoteRef/>
      </w:r>
      <w:r w:rsidRPr="00A82B3C">
        <w:rPr>
          <w:szCs w:val="18"/>
        </w:rPr>
        <w:t xml:space="preserve"> Low – no medical attention sought</w:t>
      </w:r>
      <w:r w:rsidR="000E3B31">
        <w:rPr>
          <w:szCs w:val="18"/>
        </w:rPr>
        <w:t xml:space="preserve">. </w:t>
      </w:r>
      <w:r w:rsidRPr="00A82B3C">
        <w:rPr>
          <w:szCs w:val="18"/>
          <w:lang w:val="en-NZ"/>
        </w:rPr>
        <w:t>Medium - most persons visited a general practitioner but some may have required hospitalisation. High - all persons were hospitalised. Unconfirmed – testing showed high levels of tutin in honey consumed but symptoms were not typical of a tutin poisoning</w:t>
      </w:r>
    </w:p>
  </w:footnote>
  <w:footnote w:id="6">
    <w:p w:rsidR="00E92852" w:rsidRPr="00ED5C53" w:rsidRDefault="00E92852" w:rsidP="00D82A01">
      <w:pPr>
        <w:spacing w:after="60"/>
        <w:rPr>
          <w:lang w:val="en-NZ"/>
        </w:rPr>
      </w:pPr>
      <w:r w:rsidRPr="00A82B3C">
        <w:rPr>
          <w:rStyle w:val="FootnoteReference"/>
          <w:sz w:val="18"/>
          <w:vertAlign w:val="superscript"/>
        </w:rPr>
        <w:footnoteRef/>
      </w:r>
      <w:r w:rsidRPr="00A82B3C">
        <w:rPr>
          <w:sz w:val="28"/>
          <w:vertAlign w:val="superscript"/>
        </w:rPr>
        <w:t xml:space="preserve"> </w:t>
      </w:r>
      <w:r w:rsidRPr="00AD37DD">
        <w:rPr>
          <w:sz w:val="18"/>
          <w:szCs w:val="18"/>
        </w:rPr>
        <w:t>The Bee Products Standards Council is made up of representatives from a number of industry groups with an interest in honey issues: the National Beekeepers Association, Federated Farmers Bees Group and the Honey Packers and Exporters Association</w:t>
      </w:r>
      <w:r>
        <w:rPr>
          <w:sz w:val="18"/>
          <w:szCs w:val="18"/>
        </w:rPr>
        <w:t>.</w:t>
      </w:r>
      <w:r>
        <w:t xml:space="preserve"> </w:t>
      </w:r>
    </w:p>
  </w:footnote>
  <w:footnote w:id="7">
    <w:p w:rsidR="00E92852" w:rsidRPr="00793A3D" w:rsidRDefault="00E92852" w:rsidP="00D82A01">
      <w:pPr>
        <w:pStyle w:val="FootnoteText"/>
        <w:rPr>
          <w:lang w:val="en-NZ"/>
        </w:rPr>
      </w:pPr>
      <w:r w:rsidRPr="00A82B3C">
        <w:rPr>
          <w:rStyle w:val="FootnoteReference"/>
          <w:sz w:val="18"/>
          <w:vertAlign w:val="superscript"/>
        </w:rPr>
        <w:footnoteRef/>
      </w:r>
      <w:r w:rsidRPr="00A82B3C">
        <w:rPr>
          <w:sz w:val="20"/>
          <w:vertAlign w:val="superscript"/>
        </w:rPr>
        <w:t xml:space="preserve"> </w:t>
      </w:r>
      <w:r>
        <w:rPr>
          <w:lang w:val="en-NZ"/>
        </w:rPr>
        <w:t>Consumption data were obtained from the 1997 New Zealand National Nutrition Survey which indicated that the 97.5</w:t>
      </w:r>
      <w:r w:rsidRPr="00793A3D">
        <w:rPr>
          <w:vertAlign w:val="superscript"/>
          <w:lang w:val="en-NZ"/>
        </w:rPr>
        <w:t>th</w:t>
      </w:r>
      <w:r>
        <w:rPr>
          <w:lang w:val="en-NZ"/>
        </w:rPr>
        <w:t xml:space="preserve"> percentile honey consumption for consumers aged 15 years and above was 0.9 g per kg of bodyweight per day</w:t>
      </w:r>
      <w:r w:rsidR="000E3B31">
        <w:rPr>
          <w:lang w:val="en-NZ"/>
        </w:rPr>
        <w:t xml:space="preserve">. </w:t>
      </w:r>
      <w:r>
        <w:rPr>
          <w:lang w:val="en-NZ"/>
        </w:rPr>
        <w:t>Honey consumption data from a subsequent New Zealand adult nutrition survey (2008-09) indicated slightly lower consumption for 97.5</w:t>
      </w:r>
      <w:r w:rsidRPr="00C8120A">
        <w:rPr>
          <w:vertAlign w:val="superscript"/>
          <w:lang w:val="en-NZ"/>
        </w:rPr>
        <w:t>th</w:t>
      </w:r>
      <w:r>
        <w:rPr>
          <w:vertAlign w:val="superscript"/>
          <w:lang w:val="en-NZ"/>
        </w:rPr>
        <w:t xml:space="preserve"> </w:t>
      </w:r>
      <w:r w:rsidRPr="00C8120A">
        <w:rPr>
          <w:lang w:val="en-NZ"/>
        </w:rPr>
        <w:t>percentile consumers aged</w:t>
      </w:r>
      <w:r>
        <w:rPr>
          <w:lang w:val="en-NZ"/>
        </w:rPr>
        <w:t xml:space="preserve"> 15 years and above: 0.8 g honey/kg bodyweight per day</w:t>
      </w:r>
      <w:r w:rsidR="000E3B31">
        <w:rPr>
          <w:lang w:val="en-NZ"/>
        </w:rPr>
        <w:t xml:space="preserve">. </w:t>
      </w:r>
    </w:p>
  </w:footnote>
  <w:footnote w:id="8">
    <w:p w:rsidR="00E92852" w:rsidRPr="00A82B3C" w:rsidRDefault="00E92852" w:rsidP="00D82A01">
      <w:pPr>
        <w:rPr>
          <w:sz w:val="18"/>
        </w:rPr>
      </w:pPr>
      <w:r w:rsidRPr="00A82B3C">
        <w:rPr>
          <w:rStyle w:val="FootnoteReference"/>
          <w:sz w:val="18"/>
          <w:szCs w:val="18"/>
          <w:vertAlign w:val="superscript"/>
        </w:rPr>
        <w:footnoteRef/>
      </w:r>
      <w:r w:rsidRPr="00A82B3C">
        <w:rPr>
          <w:szCs w:val="18"/>
          <w:vertAlign w:val="superscript"/>
        </w:rPr>
        <w:t xml:space="preserve"> </w:t>
      </w:r>
      <w:r w:rsidRPr="0044205E">
        <w:rPr>
          <w:sz w:val="18"/>
          <w:szCs w:val="18"/>
        </w:rPr>
        <w:t xml:space="preserve">Fields BA, Reeve </w:t>
      </w:r>
      <w:r>
        <w:rPr>
          <w:sz w:val="18"/>
          <w:szCs w:val="18"/>
        </w:rPr>
        <w:t>J</w:t>
      </w:r>
      <w:r w:rsidRPr="0044205E">
        <w:rPr>
          <w:sz w:val="18"/>
          <w:szCs w:val="18"/>
        </w:rPr>
        <w:t xml:space="preserve">, Bartholomaeus A, Mueller U. (2014) Human pharmacokinetic study of tutin in honey; a plant-derived Neurotoxin. Food Chem. Toxicol. </w:t>
      </w:r>
      <w:r w:rsidRPr="0044205E">
        <w:rPr>
          <w:b/>
          <w:bCs/>
          <w:sz w:val="18"/>
          <w:szCs w:val="18"/>
        </w:rPr>
        <w:t>72:</w:t>
      </w:r>
      <w:r>
        <w:rPr>
          <w:sz w:val="18"/>
          <w:szCs w:val="18"/>
        </w:rPr>
        <w:t xml:space="preserve"> 234–241</w:t>
      </w:r>
    </w:p>
  </w:footnote>
  <w:footnote w:id="9">
    <w:p w:rsidR="00E92852" w:rsidRPr="002F6AC8" w:rsidRDefault="00E92852" w:rsidP="00D82A01">
      <w:pPr>
        <w:pStyle w:val="FootnoteText"/>
        <w:rPr>
          <w:lang w:val="en-NZ"/>
        </w:rPr>
      </w:pPr>
      <w:r w:rsidRPr="00A82B3C">
        <w:rPr>
          <w:vertAlign w:val="superscript"/>
        </w:rPr>
        <w:footnoteRef/>
      </w:r>
      <w:r w:rsidRPr="00A82B3C">
        <w:rPr>
          <w:vertAlign w:val="superscript"/>
        </w:rPr>
        <w:t xml:space="preserve">  </w:t>
      </w:r>
      <w:hyperlink r:id="rId1" w:history="1">
        <w:r w:rsidRPr="00A82B3C">
          <w:rPr>
            <w:rStyle w:val="Hyperlink"/>
          </w:rPr>
          <w:t>http://www.ema.europa.eu/docs/en_GB/document_library/Scientific_guideline/2009/09/WC500003127.pdf</w:t>
        </w:r>
      </w:hyperlink>
      <w:r w:rsidRPr="002F6AC8">
        <w:rPr>
          <w:lang w:val="en-NZ"/>
        </w:rPr>
        <w:t xml:space="preserve"> </w:t>
      </w:r>
    </w:p>
  </w:footnote>
  <w:footnote w:id="10">
    <w:p w:rsidR="00E92852" w:rsidRPr="00451E43" w:rsidRDefault="00E92852" w:rsidP="004F15EE">
      <w:pPr>
        <w:spacing w:after="60"/>
        <w:rPr>
          <w:lang w:val="en-NZ"/>
        </w:rPr>
      </w:pPr>
      <w:r w:rsidRPr="00E95783">
        <w:rPr>
          <w:rStyle w:val="FootnoteReference"/>
          <w:szCs w:val="18"/>
          <w:vertAlign w:val="superscript"/>
        </w:rPr>
        <w:footnoteRef/>
      </w:r>
      <w:r w:rsidRPr="00E95783">
        <w:rPr>
          <w:sz w:val="16"/>
          <w:szCs w:val="18"/>
        </w:rPr>
        <w:t xml:space="preserve"> </w:t>
      </w:r>
      <w:r w:rsidRPr="0044205E">
        <w:rPr>
          <w:sz w:val="18"/>
          <w:szCs w:val="18"/>
          <w:lang w:val="en-NZ"/>
        </w:rPr>
        <w:t>Assumes a standard</w:t>
      </w:r>
      <w:r w:rsidR="00A82B3C">
        <w:rPr>
          <w:sz w:val="18"/>
          <w:szCs w:val="18"/>
          <w:lang w:val="en-NZ"/>
        </w:rPr>
        <w:t xml:space="preserve"> New Zealand tablespoon is 15 mL</w:t>
      </w:r>
      <w:r w:rsidRPr="0044205E">
        <w:rPr>
          <w:sz w:val="18"/>
          <w:szCs w:val="18"/>
          <w:lang w:val="en-NZ"/>
        </w:rPr>
        <w:t>.</w:t>
      </w:r>
    </w:p>
  </w:footnote>
  <w:footnote w:id="11">
    <w:p w:rsidR="00E92852" w:rsidRPr="00E404A1" w:rsidRDefault="00E92852" w:rsidP="00D82A01">
      <w:pPr>
        <w:pStyle w:val="FootnoteText"/>
        <w:rPr>
          <w:lang w:val="en-NZ"/>
        </w:rPr>
      </w:pPr>
      <w:r w:rsidRPr="00A82B3C">
        <w:rPr>
          <w:rStyle w:val="FootnoteReference"/>
          <w:vertAlign w:val="superscript"/>
        </w:rPr>
        <w:footnoteRef/>
      </w:r>
      <w:r>
        <w:t xml:space="preserve"> </w:t>
      </w:r>
      <w:hyperlink r:id="rId2" w:history="1">
        <w:r w:rsidRPr="00AE6E6C">
          <w:rPr>
            <w:rStyle w:val="Hyperlink"/>
          </w:rPr>
          <w:t>http://www.foodstandards.gov.au/code/proposals/Pages/P1029-Maximun-Level-for-Tutin-in-Honey.aspx</w:t>
        </w:r>
      </w:hyperlink>
      <w:r>
        <w:t xml:space="preserve"> </w:t>
      </w:r>
    </w:p>
  </w:footnote>
  <w:footnote w:id="12">
    <w:p w:rsidR="00E92852" w:rsidRPr="00090134" w:rsidRDefault="00E92852" w:rsidP="00D82A01">
      <w:pPr>
        <w:spacing w:after="60"/>
        <w:rPr>
          <w:rFonts w:cs="Arial"/>
          <w:sz w:val="18"/>
          <w:szCs w:val="18"/>
          <w:lang w:val="en-NZ"/>
        </w:rPr>
      </w:pPr>
      <w:r w:rsidRPr="000E3B31">
        <w:rPr>
          <w:rStyle w:val="FootnoteReference"/>
          <w:rFonts w:cs="Arial"/>
          <w:sz w:val="18"/>
          <w:szCs w:val="18"/>
          <w:vertAlign w:val="superscript"/>
        </w:rPr>
        <w:footnoteRef/>
      </w:r>
      <w:r w:rsidRPr="00090134">
        <w:rPr>
          <w:rFonts w:cs="Arial"/>
          <w:sz w:val="18"/>
          <w:szCs w:val="18"/>
        </w:rPr>
        <w:t>This analysis assumes that a general practitioner visit costs $</w:t>
      </w:r>
      <w:r w:rsidR="00DE3641">
        <w:rPr>
          <w:rFonts w:cs="Arial"/>
          <w:sz w:val="18"/>
          <w:szCs w:val="18"/>
        </w:rPr>
        <w:t>NZ</w:t>
      </w:r>
      <w:r w:rsidRPr="00090134">
        <w:rPr>
          <w:rFonts w:cs="Arial"/>
          <w:sz w:val="18"/>
          <w:szCs w:val="18"/>
        </w:rPr>
        <w:t>48. The cost of a day of lost wages is estimated using the median wage per hour of $</w:t>
      </w:r>
      <w:r w:rsidR="00DE3641">
        <w:rPr>
          <w:rFonts w:cs="Arial"/>
          <w:sz w:val="18"/>
          <w:szCs w:val="18"/>
        </w:rPr>
        <w:t>NZ</w:t>
      </w:r>
      <w:r w:rsidRPr="00090134">
        <w:rPr>
          <w:rFonts w:cs="Arial"/>
          <w:sz w:val="18"/>
          <w:szCs w:val="18"/>
        </w:rPr>
        <w:t>21.48 and assumes an 8 hour day for a total cost of lost wages per day of $</w:t>
      </w:r>
      <w:r w:rsidR="00DE3641">
        <w:rPr>
          <w:rFonts w:cs="Arial"/>
          <w:sz w:val="18"/>
          <w:szCs w:val="18"/>
        </w:rPr>
        <w:t>NZ</w:t>
      </w:r>
      <w:r w:rsidRPr="00090134">
        <w:rPr>
          <w:rFonts w:cs="Arial"/>
          <w:sz w:val="18"/>
          <w:szCs w:val="18"/>
        </w:rPr>
        <w:t>172.64</w:t>
      </w:r>
      <w:r w:rsidR="000E3B31">
        <w:rPr>
          <w:rFonts w:cs="Arial"/>
          <w:sz w:val="18"/>
          <w:szCs w:val="18"/>
        </w:rPr>
        <w:t xml:space="preserve">. </w:t>
      </w:r>
      <w:r w:rsidRPr="00090134">
        <w:rPr>
          <w:rFonts w:cs="Arial"/>
          <w:sz w:val="18"/>
          <w:szCs w:val="18"/>
        </w:rPr>
        <w:t xml:space="preserve">Median wage  available at </w:t>
      </w:r>
      <w:hyperlink r:id="rId3" w:history="1">
        <w:r w:rsidRPr="00090134">
          <w:rPr>
            <w:rStyle w:val="Hyperlink"/>
            <w:rFonts w:cs="Arial"/>
            <w:sz w:val="18"/>
            <w:szCs w:val="18"/>
          </w:rPr>
          <w:t>http://www.stats.govt.nz/browse_for_stats/income-and-work/Income/NZIncomeSurvey_HOTPJun13qtr.aspx</w:t>
        </w:r>
      </w:hyperlink>
      <w:r w:rsidRPr="00090134">
        <w:rPr>
          <w:rFonts w:cs="Arial"/>
          <w:sz w:val="18"/>
          <w:szCs w:val="18"/>
        </w:rPr>
        <w:t xml:space="preserve"> </w:t>
      </w:r>
    </w:p>
  </w:footnote>
  <w:footnote w:id="13">
    <w:p w:rsidR="00E92852" w:rsidRPr="00090134" w:rsidRDefault="00E92852" w:rsidP="00D82A01">
      <w:pPr>
        <w:spacing w:after="60"/>
        <w:rPr>
          <w:rFonts w:cs="Arial"/>
          <w:sz w:val="18"/>
          <w:szCs w:val="18"/>
          <w:lang w:val="en-NZ"/>
        </w:rPr>
      </w:pPr>
      <w:r w:rsidRPr="000E3B31">
        <w:rPr>
          <w:rStyle w:val="FootnoteReference"/>
          <w:rFonts w:cs="Arial"/>
          <w:sz w:val="18"/>
          <w:szCs w:val="18"/>
          <w:vertAlign w:val="superscript"/>
        </w:rPr>
        <w:footnoteRef/>
      </w:r>
      <w:r w:rsidRPr="00090134">
        <w:rPr>
          <w:rFonts w:cs="Arial"/>
          <w:sz w:val="18"/>
          <w:szCs w:val="18"/>
        </w:rPr>
        <w:t xml:space="preserve"> This analysis assumes 3 nights in hospital and 3 days off work as per the cases documented in ‘Toxic honey victim released from hospital’ New Zealand Herald 23 March 2008 downloaded from </w:t>
      </w:r>
      <w:hyperlink r:id="rId4" w:history="1">
        <w:r w:rsidRPr="00090134">
          <w:rPr>
            <w:rStyle w:val="Hyperlink"/>
            <w:rFonts w:cs="Arial"/>
            <w:sz w:val="18"/>
            <w:szCs w:val="18"/>
          </w:rPr>
          <w:t>http://www.nzherald.co.nz/nz/news/article.cfm?c_id=1&amp;objectid=10499707</w:t>
        </w:r>
      </w:hyperlink>
      <w:r w:rsidRPr="00090134">
        <w:rPr>
          <w:rFonts w:cs="Arial"/>
          <w:sz w:val="18"/>
          <w:szCs w:val="18"/>
        </w:rPr>
        <w:t xml:space="preserve">. </w:t>
      </w:r>
      <w:r w:rsidRPr="00090134">
        <w:rPr>
          <w:rFonts w:cs="Arial"/>
          <w:sz w:val="18"/>
          <w:szCs w:val="18"/>
          <w:lang w:val="en-NZ"/>
        </w:rPr>
        <w:t>The cost of a day of lost wages is estimated using the median wage per hour from Statistics New Zealand and assumes an 8 hour day. The median wage is available from Statistics NZ as per above</w:t>
      </w:r>
      <w:r w:rsidR="000E3B31">
        <w:rPr>
          <w:rFonts w:cs="Arial"/>
          <w:sz w:val="18"/>
          <w:szCs w:val="18"/>
          <w:lang w:val="en-NZ"/>
        </w:rPr>
        <w:t xml:space="preserve">. </w:t>
      </w:r>
      <w:r w:rsidRPr="00090134">
        <w:rPr>
          <w:rFonts w:cs="Arial"/>
          <w:sz w:val="18"/>
          <w:szCs w:val="18"/>
        </w:rPr>
        <w:t>The cost of a bed night in hospital has been estimated at $</w:t>
      </w:r>
      <w:r w:rsidR="00DE3641">
        <w:rPr>
          <w:rFonts w:cs="Arial"/>
          <w:sz w:val="18"/>
          <w:szCs w:val="18"/>
        </w:rPr>
        <w:t>NZ</w:t>
      </w:r>
      <w:r w:rsidRPr="00090134">
        <w:rPr>
          <w:rFonts w:cs="Arial"/>
          <w:sz w:val="18"/>
          <w:szCs w:val="18"/>
        </w:rPr>
        <w:t xml:space="preserve">349.5 in 2005 dollars based on the cost of a night in a tertiary hospital from   </w:t>
      </w:r>
      <w:hyperlink r:id="rId5" w:history="1">
        <w:r w:rsidRPr="00090134">
          <w:rPr>
            <w:rStyle w:val="Hyperlink"/>
            <w:rFonts w:cs="Arial"/>
            <w:sz w:val="18"/>
            <w:szCs w:val="18"/>
            <w:lang w:val="en-NZ"/>
          </w:rPr>
          <w:t xml:space="preserve">http://www.who.int/choice/country/nzl/cost/en/ </w:t>
        </w:r>
      </w:hyperlink>
      <w:r w:rsidRPr="00090134" w:rsidDel="00C55746">
        <w:rPr>
          <w:rFonts w:cs="Arial"/>
          <w:color w:val="0000FF"/>
          <w:sz w:val="18"/>
          <w:szCs w:val="18"/>
          <w:u w:val="single"/>
          <w:lang w:val="en-NZ"/>
        </w:rPr>
        <w:t xml:space="preserve"> </w:t>
      </w:r>
    </w:p>
  </w:footnote>
  <w:footnote w:id="14">
    <w:p w:rsidR="00E92852" w:rsidRPr="00090134" w:rsidRDefault="00E92852" w:rsidP="00D82A01">
      <w:pPr>
        <w:pStyle w:val="FootnoteText"/>
        <w:rPr>
          <w:rFonts w:cs="Arial"/>
          <w:szCs w:val="18"/>
          <w:lang w:val="en-NZ"/>
        </w:rPr>
      </w:pPr>
      <w:r w:rsidRPr="000E3B31">
        <w:rPr>
          <w:rStyle w:val="FootnoteReference"/>
          <w:rFonts w:cs="Arial"/>
          <w:sz w:val="18"/>
          <w:szCs w:val="18"/>
          <w:vertAlign w:val="superscript"/>
        </w:rPr>
        <w:footnoteRef/>
      </w:r>
      <w:r w:rsidRPr="000E3B31">
        <w:rPr>
          <w:rFonts w:cs="Arial"/>
          <w:szCs w:val="18"/>
          <w:vertAlign w:val="superscript"/>
        </w:rPr>
        <w:t xml:space="preserve"> </w:t>
      </w:r>
      <w:r w:rsidRPr="00090134">
        <w:rPr>
          <w:rFonts w:cs="Arial"/>
          <w:szCs w:val="18"/>
        </w:rPr>
        <w:t xml:space="preserve">This analysis assumes 3 nights in hospital and 21 days off work as per the case documented in </w:t>
      </w:r>
      <w:r w:rsidRPr="00090134">
        <w:rPr>
          <w:rFonts w:cs="Arial"/>
          <w:szCs w:val="18"/>
          <w:lang w:val="en-NZ"/>
        </w:rPr>
        <w:t xml:space="preserve">ACC Focus (15 February 2009) ‘Four charges over toxic honey’ downloaded from </w:t>
      </w:r>
      <w:hyperlink r:id="rId6" w:history="1">
        <w:r w:rsidRPr="00090134">
          <w:rPr>
            <w:rStyle w:val="Hyperlink"/>
            <w:rFonts w:cs="Arial"/>
            <w:szCs w:val="18"/>
            <w:lang w:val="en-NZ"/>
          </w:rPr>
          <w:t>http://accfocus.org/health/item/642-four-charges-over-toxic-honey.html</w:t>
        </w:r>
      </w:hyperlink>
      <w:r w:rsidRPr="00090134">
        <w:rPr>
          <w:rFonts w:cs="Arial"/>
          <w:szCs w:val="18"/>
          <w:lang w:val="en-NZ"/>
        </w:rPr>
        <w:t xml:space="preserve">. The cost of a day of lost wages is estimated using the median wage per hour as per above and the cost of a night in hospital has also been estimated as per above. </w:t>
      </w:r>
    </w:p>
  </w:footnote>
  <w:footnote w:id="15">
    <w:p w:rsidR="00E92852" w:rsidRPr="00DC4280" w:rsidRDefault="00E92852" w:rsidP="00D82A01">
      <w:pPr>
        <w:pStyle w:val="FootnoteText"/>
        <w:rPr>
          <w:lang w:val="en-NZ"/>
        </w:rPr>
      </w:pPr>
      <w:r w:rsidRPr="000E3B31">
        <w:rPr>
          <w:rStyle w:val="FootnoteReference"/>
          <w:sz w:val="18"/>
          <w:vertAlign w:val="superscript"/>
        </w:rPr>
        <w:footnoteRef/>
      </w:r>
      <w:r>
        <w:t>Cost savings likely to be under $</w:t>
      </w:r>
      <w:r w:rsidR="00DE3641">
        <w:t>NZ</w:t>
      </w:r>
      <w:r>
        <w:t>100,000</w:t>
      </w:r>
      <w:r w:rsidR="000E3B31">
        <w:t xml:space="preserve">. </w:t>
      </w:r>
      <w:r>
        <w:t xml:space="preserve">It is difficult </w:t>
      </w:r>
      <w:r>
        <w:rPr>
          <w:lang w:val="en-NZ"/>
        </w:rPr>
        <w:t>to know how many producers operate under the Food Acts and would stop testing. As 80 percent of hives are managed by 221 commercial beekeepers that would operate under RMPs, most testing would probably continue</w:t>
      </w:r>
      <w:r w:rsidR="000E3B31">
        <w:rPr>
          <w:lang w:val="en-NZ"/>
        </w:rPr>
        <w:t xml:space="preserve">. </w:t>
      </w:r>
      <w:r>
        <w:rPr>
          <w:lang w:val="en-NZ"/>
        </w:rPr>
        <w:t xml:space="preserve"> </w:t>
      </w:r>
    </w:p>
  </w:footnote>
  <w:footnote w:id="16">
    <w:p w:rsidR="00E92852" w:rsidRPr="000E6A18" w:rsidRDefault="00E92852" w:rsidP="00D82A01">
      <w:pPr>
        <w:pStyle w:val="FootnoteText"/>
        <w:rPr>
          <w:lang w:val="en-NZ"/>
        </w:rPr>
      </w:pPr>
      <w:r w:rsidRPr="000E3B31">
        <w:rPr>
          <w:rStyle w:val="FootnoteReference"/>
          <w:sz w:val="18"/>
          <w:vertAlign w:val="superscript"/>
        </w:rPr>
        <w:footnoteRef/>
      </w:r>
      <w:r>
        <w:t xml:space="preserve"> </w:t>
      </w:r>
      <w:r>
        <w:rPr>
          <w:lang w:val="en-NZ"/>
        </w:rPr>
        <w:t>No estimate of cost available</w:t>
      </w:r>
      <w:r w:rsidR="000E3B31">
        <w:rPr>
          <w:lang w:val="en-NZ"/>
        </w:rPr>
        <w:t xml:space="preserve">. </w:t>
      </w:r>
      <w:r>
        <w:rPr>
          <w:lang w:val="en-NZ"/>
        </w:rPr>
        <w:t>The cost is likely to be similar to the costs of FSANZ developing a new standard under the code so this has been used a proxy</w:t>
      </w:r>
      <w:r w:rsidR="000E3B31">
        <w:rPr>
          <w:lang w:val="en-NZ"/>
        </w:rPr>
        <w:t xml:space="preserve">. </w:t>
      </w:r>
      <w:r>
        <w:rPr>
          <w:lang w:val="en-NZ"/>
        </w:rPr>
        <w:t xml:space="preserve">Section 2.1.4 of the FSANZ </w:t>
      </w:r>
      <w:r w:rsidR="00396508" w:rsidRPr="00396508">
        <w:rPr>
          <w:i/>
          <w:lang w:val="en-NZ"/>
        </w:rPr>
        <w:t>Application H</w:t>
      </w:r>
      <w:r w:rsidRPr="00396508">
        <w:rPr>
          <w:i/>
          <w:lang w:val="en-NZ"/>
        </w:rPr>
        <w:t>andbook</w:t>
      </w:r>
      <w:r>
        <w:rPr>
          <w:lang w:val="en-NZ"/>
        </w:rPr>
        <w:t xml:space="preserve"> list fees for a general procedure ranging between $</w:t>
      </w:r>
      <w:r w:rsidR="00396508">
        <w:rPr>
          <w:lang w:val="en-NZ"/>
        </w:rPr>
        <w:t>NZ</w:t>
      </w:r>
      <w:r>
        <w:rPr>
          <w:lang w:val="en-NZ"/>
        </w:rPr>
        <w:t>62,815 and $</w:t>
      </w:r>
      <w:r w:rsidR="00396508">
        <w:rPr>
          <w:lang w:val="en-NZ"/>
        </w:rPr>
        <w:t>NZ</w:t>
      </w:r>
      <w:r>
        <w:rPr>
          <w:lang w:val="en-NZ"/>
        </w:rPr>
        <w:t>156,250 depending on complexity</w:t>
      </w:r>
      <w:r w:rsidR="000E3B31">
        <w:rPr>
          <w:lang w:val="en-NZ"/>
        </w:rPr>
        <w:t xml:space="preserve">. </w:t>
      </w:r>
      <w:r>
        <w:rPr>
          <w:lang w:val="en-NZ"/>
        </w:rPr>
        <w:t>Major procedures cost at least $</w:t>
      </w:r>
      <w:r w:rsidR="00396508">
        <w:rPr>
          <w:lang w:val="en-NZ"/>
        </w:rPr>
        <w:t>NZ</w:t>
      </w:r>
      <w:r>
        <w:rPr>
          <w:lang w:val="en-NZ"/>
        </w:rPr>
        <w:t>185,000</w:t>
      </w:r>
      <w:r w:rsidR="000E3B31">
        <w:rPr>
          <w:lang w:val="en-NZ"/>
        </w:rPr>
        <w:t xml:space="preserve">. </w:t>
      </w:r>
      <w:r>
        <w:rPr>
          <w:lang w:val="en-NZ"/>
        </w:rPr>
        <w:t>The cost is expected to be higher as this would be a one</w:t>
      </w:r>
      <w:r w:rsidR="00396508">
        <w:rPr>
          <w:lang w:val="en-NZ"/>
        </w:rPr>
        <w:t>-</w:t>
      </w:r>
      <w:r>
        <w:rPr>
          <w:lang w:val="en-NZ"/>
        </w:rPr>
        <w:t>off process</w:t>
      </w:r>
      <w:r w:rsidR="000E3B31">
        <w:rPr>
          <w:lang w:val="en-NZ"/>
        </w:rPr>
        <w:t xml:space="preserve">. </w:t>
      </w:r>
      <w:r>
        <w:rPr>
          <w:lang w:val="en-NZ"/>
        </w:rPr>
        <w:t xml:space="preserve"> </w:t>
      </w:r>
    </w:p>
  </w:footnote>
  <w:footnote w:id="17">
    <w:p w:rsidR="00E92852" w:rsidRPr="00BF6F27" w:rsidRDefault="00E92852" w:rsidP="00D82A01">
      <w:pPr>
        <w:pStyle w:val="FootnoteText"/>
        <w:rPr>
          <w:lang w:val="en-NZ"/>
        </w:rPr>
      </w:pPr>
      <w:r w:rsidRPr="000E3B31">
        <w:rPr>
          <w:rStyle w:val="FootnoteReference"/>
          <w:sz w:val="18"/>
          <w:vertAlign w:val="superscript"/>
        </w:rPr>
        <w:footnoteRef/>
      </w:r>
      <w:r>
        <w:t>Not defined in the submission</w:t>
      </w:r>
      <w:r w:rsidR="000E3B31">
        <w:t xml:space="preserve">. </w:t>
      </w:r>
      <w:r>
        <w:t xml:space="preserve">This is likely to be areas that yield honey prior to 31 December such as Northland and the Coromandel. </w:t>
      </w:r>
    </w:p>
  </w:footnote>
  <w:footnote w:id="18">
    <w:p w:rsidR="00E92852" w:rsidRPr="00E404A1" w:rsidRDefault="00E92852" w:rsidP="00D82A01">
      <w:pPr>
        <w:pStyle w:val="FootnoteText"/>
        <w:rPr>
          <w:lang w:val="en-NZ"/>
        </w:rPr>
      </w:pPr>
      <w:r w:rsidRPr="00850BCE">
        <w:rPr>
          <w:rStyle w:val="FootnoteReference"/>
          <w:sz w:val="18"/>
          <w:vertAlign w:val="superscript"/>
        </w:rPr>
        <w:footnoteRef/>
      </w:r>
      <w:r>
        <w:t xml:space="preserve">link  </w:t>
      </w:r>
      <w:hyperlink r:id="rId7" w:history="1">
        <w:r w:rsidR="00850BCE" w:rsidRPr="00401DEA">
          <w:rPr>
            <w:rStyle w:val="Hyperlink"/>
          </w:rPr>
          <w:t>http://www.foodstandards.gov.au/code/proposals/Pages/P1029-Maximun-Level-for-Tutin-in-Honey.aspx</w:t>
        </w:r>
      </w:hyperlink>
      <w:r w:rsidR="00850BCE">
        <w:t xml:space="preserve"> </w:t>
      </w:r>
      <w:r>
        <w:t xml:space="preserve"> </w:t>
      </w:r>
    </w:p>
  </w:footnote>
  <w:footnote w:id="19">
    <w:p w:rsidR="00E92852" w:rsidRPr="00F6167C" w:rsidRDefault="00E92852" w:rsidP="00D82A01">
      <w:pPr>
        <w:pStyle w:val="FootnoteText"/>
        <w:rPr>
          <w:lang w:val="en-NZ"/>
        </w:rPr>
      </w:pPr>
      <w:r>
        <w:rPr>
          <w:rStyle w:val="FootnoteReference"/>
        </w:rPr>
        <w:footnoteRef/>
      </w:r>
      <w:r>
        <w:t xml:space="preserve"> </w:t>
      </w:r>
      <w:r>
        <w:rPr>
          <w:lang w:val="en-NZ"/>
        </w:rPr>
        <w:t>Small costs are defined as those estimated to be under $</w:t>
      </w:r>
      <w:r w:rsidR="00DE3641">
        <w:rPr>
          <w:lang w:val="en-NZ"/>
        </w:rPr>
        <w:t>NZ</w:t>
      </w:r>
      <w:r>
        <w:rPr>
          <w:lang w:val="en-NZ"/>
        </w:rPr>
        <w:t>100,000</w:t>
      </w:r>
      <w:r w:rsidR="000E3B31">
        <w:rPr>
          <w:lang w:val="en-NZ"/>
        </w:rPr>
        <w:t xml:space="preserve">. </w:t>
      </w:r>
      <w:r>
        <w:rPr>
          <w:lang w:val="en-NZ"/>
        </w:rPr>
        <w:t>Medium costs are estimated to be between $</w:t>
      </w:r>
      <w:r w:rsidR="00DE3641">
        <w:rPr>
          <w:lang w:val="en-NZ"/>
        </w:rPr>
        <w:t>NZ</w:t>
      </w:r>
      <w:r>
        <w:rPr>
          <w:lang w:val="en-NZ"/>
        </w:rPr>
        <w:t>100,000 and $</w:t>
      </w:r>
      <w:r w:rsidR="00DE3641">
        <w:rPr>
          <w:lang w:val="en-NZ"/>
        </w:rPr>
        <w:t>NZ</w:t>
      </w:r>
      <w:r>
        <w:rPr>
          <w:lang w:val="en-NZ"/>
        </w:rPr>
        <w:t>1 million</w:t>
      </w:r>
      <w:r w:rsidR="000E3B31">
        <w:rPr>
          <w:lang w:val="en-NZ"/>
        </w:rPr>
        <w:t xml:space="preserve">. </w:t>
      </w:r>
      <w:r>
        <w:rPr>
          <w:lang w:val="en-NZ"/>
        </w:rPr>
        <w:t>High net costs are estimated as being over $</w:t>
      </w:r>
      <w:r w:rsidR="00DE3641">
        <w:rPr>
          <w:lang w:val="en-NZ"/>
        </w:rPr>
        <w:t>NZ</w:t>
      </w:r>
      <w:r>
        <w:rPr>
          <w:lang w:val="en-NZ"/>
        </w:rPr>
        <w:t>1 million</w:t>
      </w:r>
      <w:r w:rsidR="000E3B31">
        <w:rPr>
          <w:lang w:val="en-NZ"/>
        </w:rPr>
        <w:t xml:space="preserve">. </w:t>
      </w:r>
      <w:r>
        <w:rPr>
          <w:lang w:val="en-NZ"/>
        </w:rPr>
        <w:t xml:space="preserve"> </w:t>
      </w:r>
    </w:p>
  </w:footnote>
  <w:footnote w:id="20">
    <w:p w:rsidR="00E92852" w:rsidRPr="00E404A1" w:rsidRDefault="00E92852" w:rsidP="00A82B3C">
      <w:pPr>
        <w:pStyle w:val="Footnote"/>
        <w:rPr>
          <w:lang w:val="en-NZ"/>
        </w:rPr>
      </w:pPr>
      <w:r w:rsidRPr="00850BCE">
        <w:rPr>
          <w:rStyle w:val="FootnoteReference"/>
          <w:sz w:val="18"/>
          <w:vertAlign w:val="superscript"/>
        </w:rPr>
        <w:footnoteRef/>
      </w:r>
      <w:r>
        <w:t xml:space="preserve"> </w:t>
      </w:r>
      <w:hyperlink r:id="rId8" w:history="1">
        <w:r w:rsidR="00A82B3C" w:rsidRPr="00401DEA">
          <w:rPr>
            <w:rStyle w:val="Hyperlink"/>
          </w:rPr>
          <w:t>http://www.foodstandards.gov.au/code/proposals/Pages/P1029-Maximun-Level-for-Tutin-in-Honey.aspx</w:t>
        </w:r>
      </w:hyperlink>
      <w:r w:rsidR="00A82B3C">
        <w:t xml:space="preserve"> </w:t>
      </w:r>
      <w:r>
        <w:t xml:space="preserve"> </w:t>
      </w:r>
      <w:r w:rsidR="00A82B3C">
        <w:t xml:space="preserve"> </w:t>
      </w:r>
    </w:p>
  </w:footnote>
  <w:footnote w:id="21">
    <w:p w:rsidR="00E92852" w:rsidRPr="008E5543" w:rsidRDefault="00E92852" w:rsidP="00D82A01">
      <w:pPr>
        <w:pStyle w:val="FootnoteText"/>
        <w:rPr>
          <w:lang w:val="en-NZ"/>
        </w:rPr>
      </w:pPr>
      <w:r w:rsidRPr="00850BCE">
        <w:rPr>
          <w:rStyle w:val="FootnoteReference"/>
          <w:sz w:val="18"/>
          <w:vertAlign w:val="superscript"/>
        </w:rPr>
        <w:footnoteRef/>
      </w:r>
      <w:r>
        <w:t xml:space="preserve"> </w:t>
      </w:r>
      <w:r>
        <w:rPr>
          <w:lang w:val="en-NZ"/>
        </w:rPr>
        <w:t>New Zealand Beekeeper Magazine, page 14, ‘New Zealand beekeeper, apiary and hive statistics by apiary district as at 30 August 2012’</w:t>
      </w:r>
    </w:p>
  </w:footnote>
  <w:footnote w:id="22">
    <w:p w:rsidR="00E92852" w:rsidRPr="002C7E89" w:rsidRDefault="00E92852" w:rsidP="00D82A01">
      <w:pPr>
        <w:pStyle w:val="FootnoteText"/>
        <w:rPr>
          <w:lang w:val="en-NZ"/>
        </w:rPr>
      </w:pPr>
      <w:r w:rsidRPr="00850BCE">
        <w:rPr>
          <w:rStyle w:val="FootnoteReference"/>
          <w:sz w:val="18"/>
          <w:vertAlign w:val="superscript"/>
        </w:rPr>
        <w:footnoteRef/>
      </w:r>
      <w:r w:rsidRPr="00850BCE">
        <w:rPr>
          <w:sz w:val="20"/>
          <w:vertAlign w:val="superscript"/>
        </w:rPr>
        <w:t xml:space="preserve"> </w:t>
      </w:r>
      <w:r>
        <w:rPr>
          <w:lang w:val="en-NZ"/>
        </w:rPr>
        <w:t>This year runs from 1 July to 31 June the following year</w:t>
      </w:r>
    </w:p>
  </w:footnote>
  <w:footnote w:id="23">
    <w:p w:rsidR="00E92852" w:rsidRPr="00D321D9" w:rsidRDefault="00E92852" w:rsidP="00D82A01">
      <w:pPr>
        <w:pStyle w:val="FootnoteText"/>
        <w:rPr>
          <w:lang w:val="en-NZ"/>
        </w:rPr>
      </w:pPr>
      <w:r w:rsidRPr="00850BCE">
        <w:rPr>
          <w:rStyle w:val="FootnoteReference"/>
          <w:sz w:val="18"/>
          <w:vertAlign w:val="superscript"/>
        </w:rPr>
        <w:footnoteRef/>
      </w:r>
      <w:r w:rsidRPr="00850BCE">
        <w:rPr>
          <w:sz w:val="20"/>
          <w:vertAlign w:val="superscript"/>
        </w:rPr>
        <w:t xml:space="preserve"> </w:t>
      </w:r>
      <w:r>
        <w:t xml:space="preserve">Statistics New Zealand harmonised export data for honey products code </w:t>
      </w:r>
      <w:r>
        <w:rPr>
          <w:lang w:val="en-NZ"/>
        </w:rPr>
        <w:t>0409</w:t>
      </w:r>
    </w:p>
  </w:footnote>
  <w:footnote w:id="24">
    <w:p w:rsidR="00E92852" w:rsidRPr="003171C6" w:rsidRDefault="00E92852" w:rsidP="00D82A01">
      <w:pPr>
        <w:pStyle w:val="FootnoteText"/>
        <w:rPr>
          <w:lang w:val="en-NZ"/>
        </w:rPr>
      </w:pPr>
      <w:r w:rsidRPr="00850BCE">
        <w:rPr>
          <w:rStyle w:val="FootnoteReference"/>
          <w:sz w:val="18"/>
          <w:vertAlign w:val="superscript"/>
        </w:rPr>
        <w:footnoteRef/>
      </w:r>
      <w:r>
        <w:t xml:space="preserve"> </w:t>
      </w:r>
      <w:r>
        <w:rPr>
          <w:lang w:val="en-NZ"/>
        </w:rPr>
        <w:t>Statistics New Zealand harmonised export data for comb honey exports code 0409000011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D62"/>
    <w:multiLevelType w:val="multilevel"/>
    <w:tmpl w:val="27E4ADB0"/>
    <w:styleLink w:val="Heading"/>
    <w:lvl w:ilvl="0">
      <w:start w:val="1"/>
      <w:numFmt w:val="decimal"/>
      <w:lvlText w:val="%1"/>
      <w:lvlJc w:val="left"/>
      <w:pPr>
        <w:ind w:left="0" w:firstLine="0"/>
      </w:pPr>
      <w:rPr>
        <w:rFonts w:hint="default"/>
      </w:rPr>
    </w:lvl>
    <w:lvl w:ilvl="1">
      <w:start w:val="1"/>
      <w:numFmt w:val="decimal"/>
      <w:lvlText w:val="%1.%2"/>
      <w:lvlJc w:val="left"/>
      <w:pPr>
        <w:ind w:left="426"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Restart w:val="0"/>
      <w:lvlText w:val="%1.%2.%3.%4.%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
    <w:nsid w:val="00D93236"/>
    <w:multiLevelType w:val="hybridMultilevel"/>
    <w:tmpl w:val="0E4CBAC2"/>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12816C3"/>
    <w:multiLevelType w:val="hybridMultilevel"/>
    <w:tmpl w:val="9058078A"/>
    <w:lvl w:ilvl="0" w:tplc="6B5AB52C">
      <w:start w:val="1"/>
      <w:numFmt w:val="bullet"/>
      <w:pStyle w:val="FS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A85958"/>
    <w:multiLevelType w:val="hybridMultilevel"/>
    <w:tmpl w:val="85B885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0C320ECA"/>
    <w:multiLevelType w:val="multilevel"/>
    <w:tmpl w:val="70307EBC"/>
    <w:lvl w:ilvl="0">
      <w:start w:val="1"/>
      <w:numFmt w:val="decimal"/>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F420090"/>
    <w:multiLevelType w:val="hybridMultilevel"/>
    <w:tmpl w:val="76229870"/>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8F35815"/>
    <w:multiLevelType w:val="hybridMultilevel"/>
    <w:tmpl w:val="3578CD60"/>
    <w:lvl w:ilvl="0" w:tplc="406A6E56">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9E406F2"/>
    <w:multiLevelType w:val="hybridMultilevel"/>
    <w:tmpl w:val="4A1EE9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9EC19A9"/>
    <w:multiLevelType w:val="hybridMultilevel"/>
    <w:tmpl w:val="4656E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F0A7D14"/>
    <w:multiLevelType w:val="hybridMultilevel"/>
    <w:tmpl w:val="8BC454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D0D0DCB"/>
    <w:multiLevelType w:val="hybridMultilevel"/>
    <w:tmpl w:val="88743F40"/>
    <w:lvl w:ilvl="0" w:tplc="E188D8D0">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nsid w:val="327E55C6"/>
    <w:multiLevelType w:val="hybridMultilevel"/>
    <w:tmpl w:val="66FC6156"/>
    <w:lvl w:ilvl="0" w:tplc="14090001">
      <w:numFmt w:val="bullet"/>
      <w:lvlText w:val=""/>
      <w:lvlJc w:val="left"/>
      <w:pPr>
        <w:ind w:left="405" w:hanging="360"/>
      </w:pPr>
      <w:rPr>
        <w:rFonts w:ascii="Wingdings" w:eastAsia="Calibri" w:hAnsi="Wingdings" w:cs="GillSans"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12">
    <w:nsid w:val="342C436F"/>
    <w:multiLevelType w:val="hybridMultilevel"/>
    <w:tmpl w:val="5ED805FE"/>
    <w:lvl w:ilvl="0" w:tplc="2A8232A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6517058"/>
    <w:multiLevelType w:val="hybridMultilevel"/>
    <w:tmpl w:val="6FF0AD0C"/>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7DC27CA"/>
    <w:multiLevelType w:val="multilevel"/>
    <w:tmpl w:val="07A473D0"/>
    <w:lvl w:ilvl="0">
      <w:start w:val="1"/>
      <w:numFmt w:val="bullet"/>
      <w:pStyle w:val="TableBullet1"/>
      <w:lvlText w:val=""/>
      <w:lvlJc w:val="left"/>
      <w:pPr>
        <w:tabs>
          <w:tab w:val="num" w:pos="284"/>
        </w:tabs>
        <w:ind w:left="284" w:hanging="284"/>
      </w:pPr>
      <w:rPr>
        <w:rFonts w:ascii="Wingdings" w:hAnsi="Wingdings" w:hint="default"/>
      </w:rPr>
    </w:lvl>
    <w:lvl w:ilvl="1">
      <w:start w:val="1"/>
      <w:numFmt w:val="bullet"/>
      <w:pStyle w:val="TableBullet2"/>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5">
    <w:nsid w:val="38096AB0"/>
    <w:multiLevelType w:val="hybridMultilevel"/>
    <w:tmpl w:val="568CD038"/>
    <w:lvl w:ilvl="0" w:tplc="92BCC472">
      <w:start w:val="1"/>
      <w:numFmt w:val="bullet"/>
      <w:lvlText w:val=""/>
      <w:lvlJc w:val="left"/>
      <w:pPr>
        <w:ind w:left="720" w:hanging="360"/>
      </w:pPr>
      <w:rPr>
        <w:rFonts w:ascii="Symbol" w:hAnsi="Symbol" w:hint="default"/>
      </w:rPr>
    </w:lvl>
    <w:lvl w:ilvl="1" w:tplc="EA542DF6" w:tentative="1">
      <w:start w:val="1"/>
      <w:numFmt w:val="bullet"/>
      <w:lvlText w:val="o"/>
      <w:lvlJc w:val="left"/>
      <w:pPr>
        <w:ind w:left="1440" w:hanging="360"/>
      </w:pPr>
      <w:rPr>
        <w:rFonts w:ascii="Courier New" w:hAnsi="Courier New" w:cs="Courier New" w:hint="default"/>
      </w:rPr>
    </w:lvl>
    <w:lvl w:ilvl="2" w:tplc="82569294" w:tentative="1">
      <w:start w:val="1"/>
      <w:numFmt w:val="bullet"/>
      <w:lvlText w:val=""/>
      <w:lvlJc w:val="left"/>
      <w:pPr>
        <w:ind w:left="2160" w:hanging="360"/>
      </w:pPr>
      <w:rPr>
        <w:rFonts w:ascii="Wingdings" w:hAnsi="Wingdings" w:hint="default"/>
      </w:rPr>
    </w:lvl>
    <w:lvl w:ilvl="3" w:tplc="D7B0F62C" w:tentative="1">
      <w:start w:val="1"/>
      <w:numFmt w:val="bullet"/>
      <w:lvlText w:val=""/>
      <w:lvlJc w:val="left"/>
      <w:pPr>
        <w:ind w:left="2880" w:hanging="360"/>
      </w:pPr>
      <w:rPr>
        <w:rFonts w:ascii="Symbol" w:hAnsi="Symbol" w:hint="default"/>
      </w:rPr>
    </w:lvl>
    <w:lvl w:ilvl="4" w:tplc="9B6639B2" w:tentative="1">
      <w:start w:val="1"/>
      <w:numFmt w:val="bullet"/>
      <w:lvlText w:val="o"/>
      <w:lvlJc w:val="left"/>
      <w:pPr>
        <w:ind w:left="3600" w:hanging="360"/>
      </w:pPr>
      <w:rPr>
        <w:rFonts w:ascii="Courier New" w:hAnsi="Courier New" w:cs="Courier New" w:hint="default"/>
      </w:rPr>
    </w:lvl>
    <w:lvl w:ilvl="5" w:tplc="CE7025E8" w:tentative="1">
      <w:start w:val="1"/>
      <w:numFmt w:val="bullet"/>
      <w:lvlText w:val=""/>
      <w:lvlJc w:val="left"/>
      <w:pPr>
        <w:ind w:left="4320" w:hanging="360"/>
      </w:pPr>
      <w:rPr>
        <w:rFonts w:ascii="Wingdings" w:hAnsi="Wingdings" w:hint="default"/>
      </w:rPr>
    </w:lvl>
    <w:lvl w:ilvl="6" w:tplc="B04247C2" w:tentative="1">
      <w:start w:val="1"/>
      <w:numFmt w:val="bullet"/>
      <w:lvlText w:val=""/>
      <w:lvlJc w:val="left"/>
      <w:pPr>
        <w:ind w:left="5040" w:hanging="360"/>
      </w:pPr>
      <w:rPr>
        <w:rFonts w:ascii="Symbol" w:hAnsi="Symbol" w:hint="default"/>
      </w:rPr>
    </w:lvl>
    <w:lvl w:ilvl="7" w:tplc="71986B5A" w:tentative="1">
      <w:start w:val="1"/>
      <w:numFmt w:val="bullet"/>
      <w:lvlText w:val="o"/>
      <w:lvlJc w:val="left"/>
      <w:pPr>
        <w:ind w:left="5760" w:hanging="360"/>
      </w:pPr>
      <w:rPr>
        <w:rFonts w:ascii="Courier New" w:hAnsi="Courier New" w:cs="Courier New" w:hint="default"/>
      </w:rPr>
    </w:lvl>
    <w:lvl w:ilvl="8" w:tplc="D8F010BE" w:tentative="1">
      <w:start w:val="1"/>
      <w:numFmt w:val="bullet"/>
      <w:lvlText w:val=""/>
      <w:lvlJc w:val="left"/>
      <w:pPr>
        <w:ind w:left="6480" w:hanging="360"/>
      </w:pPr>
      <w:rPr>
        <w:rFonts w:ascii="Wingdings" w:hAnsi="Wingdings" w:hint="default"/>
      </w:rPr>
    </w:lvl>
  </w:abstractNum>
  <w:abstractNum w:abstractNumId="16">
    <w:nsid w:val="3B43352F"/>
    <w:multiLevelType w:val="hybridMultilevel"/>
    <w:tmpl w:val="202CB648"/>
    <w:lvl w:ilvl="0" w:tplc="14090001">
      <w:numFmt w:val="bullet"/>
      <w:lvlText w:val=""/>
      <w:lvlJc w:val="left"/>
      <w:pPr>
        <w:ind w:left="720" w:hanging="360"/>
      </w:pPr>
      <w:rPr>
        <w:rFonts w:ascii="Wingdings" w:eastAsia="Calibri" w:hAnsi="Wingdings" w:cs="GillSa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C537F39"/>
    <w:multiLevelType w:val="hybridMultilevel"/>
    <w:tmpl w:val="21DE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6346C7"/>
    <w:multiLevelType w:val="hybridMultilevel"/>
    <w:tmpl w:val="EBFE33F0"/>
    <w:lvl w:ilvl="0" w:tplc="CBAE9178">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407A5AE5"/>
    <w:multiLevelType w:val="hybridMultilevel"/>
    <w:tmpl w:val="8FAAF4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4273095D"/>
    <w:multiLevelType w:val="hybridMultilevel"/>
    <w:tmpl w:val="DA78F074"/>
    <w:lvl w:ilvl="0" w:tplc="14090001">
      <w:start w:val="1"/>
      <w:numFmt w:val="bullet"/>
      <w:pStyle w:val="FSBullet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2F86559"/>
    <w:multiLevelType w:val="hybridMultilevel"/>
    <w:tmpl w:val="B02C2E48"/>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9738E1"/>
    <w:multiLevelType w:val="hybridMultilevel"/>
    <w:tmpl w:val="ABD8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63727"/>
    <w:multiLevelType w:val="hybridMultilevel"/>
    <w:tmpl w:val="2370D7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1254AA1"/>
    <w:multiLevelType w:val="hybridMultilevel"/>
    <w:tmpl w:val="764469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4091AEB"/>
    <w:multiLevelType w:val="hybridMultilevel"/>
    <w:tmpl w:val="DF149128"/>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6">
    <w:nsid w:val="561A693C"/>
    <w:multiLevelType w:val="hybridMultilevel"/>
    <w:tmpl w:val="C8423C5E"/>
    <w:lvl w:ilvl="0" w:tplc="1409000F">
      <w:start w:val="1"/>
      <w:numFmt w:val="bullet"/>
      <w:pStyle w:val="Boxbullet"/>
      <w:lvlText w:val="•"/>
      <w:lvlJc w:val="left"/>
      <w:pPr>
        <w:tabs>
          <w:tab w:val="num" w:pos="644"/>
        </w:tabs>
        <w:ind w:left="567" w:hanging="283"/>
      </w:pPr>
      <w:rPr>
        <w:rFonts w:hAnsi="Arial" w:hint="default"/>
        <w:b/>
        <w:i w:val="0"/>
        <w:sz w:val="20"/>
      </w:rPr>
    </w:lvl>
    <w:lvl w:ilvl="1" w:tplc="14090019" w:tentative="1">
      <w:start w:val="1"/>
      <w:numFmt w:val="bullet"/>
      <w:lvlText w:val="o"/>
      <w:lvlJc w:val="left"/>
      <w:pPr>
        <w:tabs>
          <w:tab w:val="num" w:pos="1440"/>
        </w:tabs>
        <w:ind w:left="1440" w:hanging="360"/>
      </w:pPr>
      <w:rPr>
        <w:rFonts w:ascii="Courier New" w:hAnsi="Courier New" w:hint="default"/>
      </w:rPr>
    </w:lvl>
    <w:lvl w:ilvl="2" w:tplc="1409001B" w:tentative="1">
      <w:start w:val="1"/>
      <w:numFmt w:val="bullet"/>
      <w:lvlText w:val=""/>
      <w:lvlJc w:val="left"/>
      <w:pPr>
        <w:tabs>
          <w:tab w:val="num" w:pos="2160"/>
        </w:tabs>
        <w:ind w:left="2160" w:hanging="360"/>
      </w:pPr>
      <w:rPr>
        <w:rFonts w:ascii="Wingdings" w:hAnsi="Wingdings" w:hint="default"/>
      </w:rPr>
    </w:lvl>
    <w:lvl w:ilvl="3" w:tplc="1409000F" w:tentative="1">
      <w:start w:val="1"/>
      <w:numFmt w:val="bullet"/>
      <w:lvlText w:val=""/>
      <w:lvlJc w:val="left"/>
      <w:pPr>
        <w:tabs>
          <w:tab w:val="num" w:pos="2880"/>
        </w:tabs>
        <w:ind w:left="2880" w:hanging="360"/>
      </w:pPr>
      <w:rPr>
        <w:rFonts w:ascii="Symbol" w:hAnsi="Symbol" w:hint="default"/>
      </w:rPr>
    </w:lvl>
    <w:lvl w:ilvl="4" w:tplc="14090019" w:tentative="1">
      <w:start w:val="1"/>
      <w:numFmt w:val="bullet"/>
      <w:lvlText w:val="o"/>
      <w:lvlJc w:val="left"/>
      <w:pPr>
        <w:tabs>
          <w:tab w:val="num" w:pos="3600"/>
        </w:tabs>
        <w:ind w:left="3600" w:hanging="360"/>
      </w:pPr>
      <w:rPr>
        <w:rFonts w:ascii="Courier New" w:hAnsi="Courier New" w:hint="default"/>
      </w:rPr>
    </w:lvl>
    <w:lvl w:ilvl="5" w:tplc="1409001B" w:tentative="1">
      <w:start w:val="1"/>
      <w:numFmt w:val="bullet"/>
      <w:lvlText w:val=""/>
      <w:lvlJc w:val="left"/>
      <w:pPr>
        <w:tabs>
          <w:tab w:val="num" w:pos="4320"/>
        </w:tabs>
        <w:ind w:left="4320" w:hanging="360"/>
      </w:pPr>
      <w:rPr>
        <w:rFonts w:ascii="Wingdings" w:hAnsi="Wingdings" w:hint="default"/>
      </w:rPr>
    </w:lvl>
    <w:lvl w:ilvl="6" w:tplc="1409000F" w:tentative="1">
      <w:start w:val="1"/>
      <w:numFmt w:val="bullet"/>
      <w:lvlText w:val=""/>
      <w:lvlJc w:val="left"/>
      <w:pPr>
        <w:tabs>
          <w:tab w:val="num" w:pos="5040"/>
        </w:tabs>
        <w:ind w:left="5040" w:hanging="360"/>
      </w:pPr>
      <w:rPr>
        <w:rFonts w:ascii="Symbol" w:hAnsi="Symbol" w:hint="default"/>
      </w:rPr>
    </w:lvl>
    <w:lvl w:ilvl="7" w:tplc="14090019" w:tentative="1">
      <w:start w:val="1"/>
      <w:numFmt w:val="bullet"/>
      <w:lvlText w:val="o"/>
      <w:lvlJc w:val="left"/>
      <w:pPr>
        <w:tabs>
          <w:tab w:val="num" w:pos="5760"/>
        </w:tabs>
        <w:ind w:left="5760" w:hanging="360"/>
      </w:pPr>
      <w:rPr>
        <w:rFonts w:ascii="Courier New" w:hAnsi="Courier New" w:hint="default"/>
      </w:rPr>
    </w:lvl>
    <w:lvl w:ilvl="8" w:tplc="1409001B" w:tentative="1">
      <w:start w:val="1"/>
      <w:numFmt w:val="bullet"/>
      <w:lvlText w:val=""/>
      <w:lvlJc w:val="left"/>
      <w:pPr>
        <w:tabs>
          <w:tab w:val="num" w:pos="6480"/>
        </w:tabs>
        <w:ind w:left="6480" w:hanging="360"/>
      </w:pPr>
      <w:rPr>
        <w:rFonts w:ascii="Wingdings" w:hAnsi="Wingdings" w:hint="default"/>
      </w:rPr>
    </w:lvl>
  </w:abstractNum>
  <w:abstractNum w:abstractNumId="27">
    <w:nsid w:val="563B610E"/>
    <w:multiLevelType w:val="hybridMultilevel"/>
    <w:tmpl w:val="2F1806F2"/>
    <w:lvl w:ilvl="0" w:tplc="41F4BD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7756E2"/>
    <w:multiLevelType w:val="hybridMultilevel"/>
    <w:tmpl w:val="B7802080"/>
    <w:lvl w:ilvl="0" w:tplc="14090001">
      <w:start w:val="1"/>
      <w:numFmt w:val="bullet"/>
      <w:pStyle w:val="FSBullet3"/>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9BF4729"/>
    <w:multiLevelType w:val="hybridMultilevel"/>
    <w:tmpl w:val="4AA27A0C"/>
    <w:lvl w:ilvl="0" w:tplc="80A261D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AD680E"/>
    <w:multiLevelType w:val="hybridMultilevel"/>
    <w:tmpl w:val="54941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1D20EC5"/>
    <w:multiLevelType w:val="hybridMultilevel"/>
    <w:tmpl w:val="DAD48228"/>
    <w:lvl w:ilvl="0" w:tplc="08090001">
      <w:start w:val="1"/>
      <w:numFmt w:val="decimal"/>
      <w:pStyle w:val="Bullet-list"/>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nsid w:val="61F531EF"/>
    <w:multiLevelType w:val="hybridMultilevel"/>
    <w:tmpl w:val="87E25FDE"/>
    <w:lvl w:ilvl="0" w:tplc="9EDCE60A">
      <w:start w:val="1"/>
      <w:numFmt w:val="bullet"/>
      <w:lvlText w:val=""/>
      <w:lvlJc w:val="left"/>
      <w:pPr>
        <w:ind w:left="360" w:hanging="360"/>
      </w:pPr>
      <w:rPr>
        <w:rFonts w:ascii="Symbol" w:hAnsi="Symbol" w:hint="default"/>
      </w:rPr>
    </w:lvl>
    <w:lvl w:ilvl="1" w:tplc="14090019" w:tentative="1">
      <w:start w:val="1"/>
      <w:numFmt w:val="bullet"/>
      <w:lvlText w:val="o"/>
      <w:lvlJc w:val="left"/>
      <w:pPr>
        <w:ind w:left="1080" w:hanging="360"/>
      </w:pPr>
      <w:rPr>
        <w:rFonts w:ascii="Courier New" w:hAnsi="Courier New" w:cs="Courier New" w:hint="default"/>
      </w:rPr>
    </w:lvl>
    <w:lvl w:ilvl="2" w:tplc="1409001B" w:tentative="1">
      <w:start w:val="1"/>
      <w:numFmt w:val="bullet"/>
      <w:lvlText w:val=""/>
      <w:lvlJc w:val="left"/>
      <w:pPr>
        <w:ind w:left="1800" w:hanging="360"/>
      </w:pPr>
      <w:rPr>
        <w:rFonts w:ascii="Wingdings" w:hAnsi="Wingdings" w:hint="default"/>
      </w:rPr>
    </w:lvl>
    <w:lvl w:ilvl="3" w:tplc="1409000F" w:tentative="1">
      <w:start w:val="1"/>
      <w:numFmt w:val="bullet"/>
      <w:lvlText w:val=""/>
      <w:lvlJc w:val="left"/>
      <w:pPr>
        <w:ind w:left="2520" w:hanging="360"/>
      </w:pPr>
      <w:rPr>
        <w:rFonts w:ascii="Symbol" w:hAnsi="Symbol" w:hint="default"/>
      </w:rPr>
    </w:lvl>
    <w:lvl w:ilvl="4" w:tplc="14090019" w:tentative="1">
      <w:start w:val="1"/>
      <w:numFmt w:val="bullet"/>
      <w:lvlText w:val="o"/>
      <w:lvlJc w:val="left"/>
      <w:pPr>
        <w:ind w:left="3240" w:hanging="360"/>
      </w:pPr>
      <w:rPr>
        <w:rFonts w:ascii="Courier New" w:hAnsi="Courier New" w:cs="Courier New" w:hint="default"/>
      </w:rPr>
    </w:lvl>
    <w:lvl w:ilvl="5" w:tplc="1409001B" w:tentative="1">
      <w:start w:val="1"/>
      <w:numFmt w:val="bullet"/>
      <w:lvlText w:val=""/>
      <w:lvlJc w:val="left"/>
      <w:pPr>
        <w:ind w:left="3960" w:hanging="360"/>
      </w:pPr>
      <w:rPr>
        <w:rFonts w:ascii="Wingdings" w:hAnsi="Wingdings" w:hint="default"/>
      </w:rPr>
    </w:lvl>
    <w:lvl w:ilvl="6" w:tplc="1409000F" w:tentative="1">
      <w:start w:val="1"/>
      <w:numFmt w:val="bullet"/>
      <w:lvlText w:val=""/>
      <w:lvlJc w:val="left"/>
      <w:pPr>
        <w:ind w:left="4680" w:hanging="360"/>
      </w:pPr>
      <w:rPr>
        <w:rFonts w:ascii="Symbol" w:hAnsi="Symbol" w:hint="default"/>
      </w:rPr>
    </w:lvl>
    <w:lvl w:ilvl="7" w:tplc="14090019" w:tentative="1">
      <w:start w:val="1"/>
      <w:numFmt w:val="bullet"/>
      <w:lvlText w:val="o"/>
      <w:lvlJc w:val="left"/>
      <w:pPr>
        <w:ind w:left="5400" w:hanging="360"/>
      </w:pPr>
      <w:rPr>
        <w:rFonts w:ascii="Courier New" w:hAnsi="Courier New" w:cs="Courier New" w:hint="default"/>
      </w:rPr>
    </w:lvl>
    <w:lvl w:ilvl="8" w:tplc="1409001B" w:tentative="1">
      <w:start w:val="1"/>
      <w:numFmt w:val="bullet"/>
      <w:lvlText w:val=""/>
      <w:lvlJc w:val="left"/>
      <w:pPr>
        <w:ind w:left="6120" w:hanging="360"/>
      </w:pPr>
      <w:rPr>
        <w:rFonts w:ascii="Wingdings" w:hAnsi="Wingdings" w:hint="default"/>
      </w:rPr>
    </w:lvl>
  </w:abstractNum>
  <w:abstractNum w:abstractNumId="33">
    <w:nsid w:val="66FC2BCF"/>
    <w:multiLevelType w:val="hybridMultilevel"/>
    <w:tmpl w:val="1F567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6A1A2839"/>
    <w:multiLevelType w:val="hybridMultilevel"/>
    <w:tmpl w:val="9E4EA8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nsid w:val="6D0D68D9"/>
    <w:multiLevelType w:val="hybridMultilevel"/>
    <w:tmpl w:val="2E9EAE1A"/>
    <w:lvl w:ilvl="0" w:tplc="14090001">
      <w:start w:val="1"/>
      <w:numFmt w:val="bullet"/>
      <w:lvlText w:val=""/>
      <w:lvlJc w:val="left"/>
      <w:pPr>
        <w:ind w:left="720" w:hanging="360"/>
      </w:pPr>
      <w:rPr>
        <w:rFonts w:ascii="Symbol" w:hAnsi="Symbol" w:hint="default"/>
      </w:rPr>
    </w:lvl>
    <w:lvl w:ilvl="1" w:tplc="14090003">
      <w:start w:val="1"/>
      <w:numFmt w:val="bullet"/>
      <w:pStyle w:val="Table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6E5F013C"/>
    <w:multiLevelType w:val="hybridMultilevel"/>
    <w:tmpl w:val="F4C867CA"/>
    <w:lvl w:ilvl="0" w:tplc="E2C8BEB8">
      <w:start w:val="1"/>
      <w:numFmt w:val="bullet"/>
      <w:lvlText w:val=""/>
      <w:lvlJc w:val="left"/>
      <w:pPr>
        <w:ind w:left="720" w:hanging="360"/>
      </w:pPr>
      <w:rPr>
        <w:rFonts w:ascii="Symbol" w:hAnsi="Symbol" w:hint="default"/>
      </w:rPr>
    </w:lvl>
    <w:lvl w:ilvl="1" w:tplc="6A549158"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8">
    <w:nsid w:val="75034E44"/>
    <w:multiLevelType w:val="hybridMultilevel"/>
    <w:tmpl w:val="AE42CA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nsid w:val="78CD1EA1"/>
    <w:multiLevelType w:val="hybridMultilevel"/>
    <w:tmpl w:val="6C5A4D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nsid w:val="78FD573B"/>
    <w:multiLevelType w:val="hybridMultilevel"/>
    <w:tmpl w:val="910CF5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7A2E1325"/>
    <w:multiLevelType w:val="hybridMultilevel"/>
    <w:tmpl w:val="6DFAA89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42">
    <w:nsid w:val="7A9C159B"/>
    <w:multiLevelType w:val="hybridMultilevel"/>
    <w:tmpl w:val="053882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nsid w:val="7B096BD7"/>
    <w:multiLevelType w:val="hybridMultilevel"/>
    <w:tmpl w:val="DB7CD3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nsid w:val="7F73211C"/>
    <w:multiLevelType w:val="hybridMultilevel"/>
    <w:tmpl w:val="DDC46C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6"/>
  </w:num>
  <w:num w:numId="2">
    <w:abstractNumId w:val="14"/>
  </w:num>
  <w:num w:numId="3">
    <w:abstractNumId w:val="35"/>
  </w:num>
  <w:num w:numId="4">
    <w:abstractNumId w:val="6"/>
  </w:num>
  <w:num w:numId="5">
    <w:abstractNumId w:val="0"/>
  </w:num>
  <w:num w:numId="6">
    <w:abstractNumId w:val="15"/>
  </w:num>
  <w:num w:numId="7">
    <w:abstractNumId w:val="2"/>
  </w:num>
  <w:num w:numId="8">
    <w:abstractNumId w:val="33"/>
  </w:num>
  <w:num w:numId="9">
    <w:abstractNumId w:val="9"/>
  </w:num>
  <w:num w:numId="10">
    <w:abstractNumId w:val="20"/>
  </w:num>
  <w:num w:numId="11">
    <w:abstractNumId w:val="28"/>
  </w:num>
  <w:num w:numId="12">
    <w:abstractNumId w:val="1"/>
  </w:num>
  <w:num w:numId="13">
    <w:abstractNumId w:val="31"/>
  </w:num>
  <w:num w:numId="14">
    <w:abstractNumId w:val="4"/>
  </w:num>
  <w:num w:numId="15">
    <w:abstractNumId w:val="41"/>
  </w:num>
  <w:num w:numId="16">
    <w:abstractNumId w:val="10"/>
  </w:num>
  <w:num w:numId="17">
    <w:abstractNumId w:val="23"/>
  </w:num>
  <w:num w:numId="18">
    <w:abstractNumId w:val="2"/>
  </w:num>
  <w:num w:numId="19">
    <w:abstractNumId w:val="12"/>
  </w:num>
  <w:num w:numId="20">
    <w:abstractNumId w:val="18"/>
  </w:num>
  <w:num w:numId="21">
    <w:abstractNumId w:val="40"/>
  </w:num>
  <w:num w:numId="22">
    <w:abstractNumId w:val="29"/>
  </w:num>
  <w:num w:numId="23">
    <w:abstractNumId w:val="8"/>
  </w:num>
  <w:num w:numId="24">
    <w:abstractNumId w:val="38"/>
  </w:num>
  <w:num w:numId="25">
    <w:abstractNumId w:val="22"/>
  </w:num>
  <w:num w:numId="26">
    <w:abstractNumId w:val="36"/>
  </w:num>
  <w:num w:numId="27">
    <w:abstractNumId w:val="21"/>
  </w:num>
  <w:num w:numId="28">
    <w:abstractNumId w:val="24"/>
  </w:num>
  <w:num w:numId="29">
    <w:abstractNumId w:val="30"/>
  </w:num>
  <w:num w:numId="30">
    <w:abstractNumId w:val="27"/>
  </w:num>
  <w:num w:numId="31">
    <w:abstractNumId w:val="16"/>
  </w:num>
  <w:num w:numId="32">
    <w:abstractNumId w:val="11"/>
  </w:num>
  <w:num w:numId="33">
    <w:abstractNumId w:val="3"/>
  </w:num>
  <w:num w:numId="34">
    <w:abstractNumId w:val="19"/>
  </w:num>
  <w:num w:numId="35">
    <w:abstractNumId w:val="13"/>
  </w:num>
  <w:num w:numId="36">
    <w:abstractNumId w:val="7"/>
  </w:num>
  <w:num w:numId="37">
    <w:abstractNumId w:val="43"/>
  </w:num>
  <w:num w:numId="38">
    <w:abstractNumId w:val="39"/>
  </w:num>
  <w:num w:numId="39">
    <w:abstractNumId w:val="32"/>
  </w:num>
  <w:num w:numId="40">
    <w:abstractNumId w:val="5"/>
  </w:num>
  <w:num w:numId="41">
    <w:abstractNumId w:val="25"/>
  </w:num>
  <w:num w:numId="42">
    <w:abstractNumId w:val="42"/>
  </w:num>
  <w:num w:numId="43">
    <w:abstractNumId w:val="44"/>
  </w:num>
  <w:num w:numId="44">
    <w:abstractNumId w:val="34"/>
  </w:num>
  <w:num w:numId="45">
    <w:abstractNumId w:val="17"/>
  </w:num>
  <w:num w:numId="46">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rawingGridHorizontalSpacing w:val="110"/>
  <w:displayHorizontalDrawingGridEvery w:val="0"/>
  <w:displayVerticalDrawingGridEvery w:val="0"/>
  <w:noPunctuationKerning/>
  <w:characterSpacingControl w:val="doNotCompress"/>
  <w:hdrShapeDefaults>
    <o:shapedefaults v:ext="edit" spidmax="9217" fillcolor="white" stroke="f">
      <v:fill color="white" opacity="0"/>
      <v:stroke on="f"/>
      <o:colormru v:ext="edit" colors="#ddd,#cfcfcf,#cacaca,#66f,blue,#ccd3e1,#002469,#33508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27"/>
    <w:rsid w:val="00001539"/>
    <w:rsid w:val="00001663"/>
    <w:rsid w:val="00001E1A"/>
    <w:rsid w:val="00002433"/>
    <w:rsid w:val="0000332A"/>
    <w:rsid w:val="000037F4"/>
    <w:rsid w:val="00004A8A"/>
    <w:rsid w:val="0000526E"/>
    <w:rsid w:val="00005DC9"/>
    <w:rsid w:val="000066C3"/>
    <w:rsid w:val="000100E7"/>
    <w:rsid w:val="000107E0"/>
    <w:rsid w:val="00010986"/>
    <w:rsid w:val="00010F7D"/>
    <w:rsid w:val="00012473"/>
    <w:rsid w:val="000139FF"/>
    <w:rsid w:val="00013A18"/>
    <w:rsid w:val="00014196"/>
    <w:rsid w:val="00014583"/>
    <w:rsid w:val="000147DC"/>
    <w:rsid w:val="00014927"/>
    <w:rsid w:val="00015072"/>
    <w:rsid w:val="00016191"/>
    <w:rsid w:val="00016722"/>
    <w:rsid w:val="00017360"/>
    <w:rsid w:val="0002068B"/>
    <w:rsid w:val="000213DC"/>
    <w:rsid w:val="00022B3D"/>
    <w:rsid w:val="000232EB"/>
    <w:rsid w:val="00023529"/>
    <w:rsid w:val="00023B8F"/>
    <w:rsid w:val="00023BAB"/>
    <w:rsid w:val="00023EA6"/>
    <w:rsid w:val="0002568E"/>
    <w:rsid w:val="00025954"/>
    <w:rsid w:val="000262DE"/>
    <w:rsid w:val="000302AE"/>
    <w:rsid w:val="0003055D"/>
    <w:rsid w:val="00030DEA"/>
    <w:rsid w:val="0003303D"/>
    <w:rsid w:val="00033950"/>
    <w:rsid w:val="000343E7"/>
    <w:rsid w:val="00034E3F"/>
    <w:rsid w:val="000350B4"/>
    <w:rsid w:val="00035185"/>
    <w:rsid w:val="0003609A"/>
    <w:rsid w:val="0003670C"/>
    <w:rsid w:val="00036A3D"/>
    <w:rsid w:val="00036EE4"/>
    <w:rsid w:val="000403BD"/>
    <w:rsid w:val="00041469"/>
    <w:rsid w:val="000435AD"/>
    <w:rsid w:val="00044BF5"/>
    <w:rsid w:val="00045AFC"/>
    <w:rsid w:val="00045BD4"/>
    <w:rsid w:val="000467F1"/>
    <w:rsid w:val="00046F46"/>
    <w:rsid w:val="00047559"/>
    <w:rsid w:val="000478D2"/>
    <w:rsid w:val="0005108C"/>
    <w:rsid w:val="000523FC"/>
    <w:rsid w:val="000526E4"/>
    <w:rsid w:val="00052C22"/>
    <w:rsid w:val="0005378E"/>
    <w:rsid w:val="00053E07"/>
    <w:rsid w:val="0005434D"/>
    <w:rsid w:val="0005503E"/>
    <w:rsid w:val="00055373"/>
    <w:rsid w:val="00056263"/>
    <w:rsid w:val="00056A78"/>
    <w:rsid w:val="00056DE4"/>
    <w:rsid w:val="00056F77"/>
    <w:rsid w:val="00057301"/>
    <w:rsid w:val="00057AC4"/>
    <w:rsid w:val="000606D4"/>
    <w:rsid w:val="00060AAB"/>
    <w:rsid w:val="00060CD3"/>
    <w:rsid w:val="00060F83"/>
    <w:rsid w:val="00062EAA"/>
    <w:rsid w:val="00063636"/>
    <w:rsid w:val="00063BC8"/>
    <w:rsid w:val="00065477"/>
    <w:rsid w:val="00065576"/>
    <w:rsid w:val="000655B2"/>
    <w:rsid w:val="000657DC"/>
    <w:rsid w:val="000669B0"/>
    <w:rsid w:val="00066FE0"/>
    <w:rsid w:val="00070193"/>
    <w:rsid w:val="000709B9"/>
    <w:rsid w:val="00071422"/>
    <w:rsid w:val="0007176F"/>
    <w:rsid w:val="00072FC3"/>
    <w:rsid w:val="00073A19"/>
    <w:rsid w:val="00073F31"/>
    <w:rsid w:val="00074B13"/>
    <w:rsid w:val="00074D02"/>
    <w:rsid w:val="00075D6A"/>
    <w:rsid w:val="0007693E"/>
    <w:rsid w:val="00076E52"/>
    <w:rsid w:val="00076F85"/>
    <w:rsid w:val="000772DB"/>
    <w:rsid w:val="00080077"/>
    <w:rsid w:val="00080CE0"/>
    <w:rsid w:val="00080DE3"/>
    <w:rsid w:val="00081427"/>
    <w:rsid w:val="00081D29"/>
    <w:rsid w:val="00082ABC"/>
    <w:rsid w:val="00083952"/>
    <w:rsid w:val="00083ADB"/>
    <w:rsid w:val="00085094"/>
    <w:rsid w:val="00085487"/>
    <w:rsid w:val="00085602"/>
    <w:rsid w:val="00085D7F"/>
    <w:rsid w:val="00086007"/>
    <w:rsid w:val="000863E2"/>
    <w:rsid w:val="00086898"/>
    <w:rsid w:val="0008712F"/>
    <w:rsid w:val="00087A25"/>
    <w:rsid w:val="00087C41"/>
    <w:rsid w:val="00090134"/>
    <w:rsid w:val="0009337F"/>
    <w:rsid w:val="00093CC5"/>
    <w:rsid w:val="00095764"/>
    <w:rsid w:val="000958F4"/>
    <w:rsid w:val="00095E43"/>
    <w:rsid w:val="00096BFA"/>
    <w:rsid w:val="000A1E10"/>
    <w:rsid w:val="000A20D1"/>
    <w:rsid w:val="000A261F"/>
    <w:rsid w:val="000A27A0"/>
    <w:rsid w:val="000A2C55"/>
    <w:rsid w:val="000A30BA"/>
    <w:rsid w:val="000A39F4"/>
    <w:rsid w:val="000A43F8"/>
    <w:rsid w:val="000A4419"/>
    <w:rsid w:val="000A4D3C"/>
    <w:rsid w:val="000A5A85"/>
    <w:rsid w:val="000A5D0B"/>
    <w:rsid w:val="000A6FA0"/>
    <w:rsid w:val="000B005C"/>
    <w:rsid w:val="000B01CC"/>
    <w:rsid w:val="000B0480"/>
    <w:rsid w:val="000B0615"/>
    <w:rsid w:val="000B0C12"/>
    <w:rsid w:val="000B0D42"/>
    <w:rsid w:val="000B16BF"/>
    <w:rsid w:val="000B19BE"/>
    <w:rsid w:val="000B3E42"/>
    <w:rsid w:val="000B4D2B"/>
    <w:rsid w:val="000B4FF9"/>
    <w:rsid w:val="000B5B1E"/>
    <w:rsid w:val="000B5D73"/>
    <w:rsid w:val="000B6BCA"/>
    <w:rsid w:val="000B7A4E"/>
    <w:rsid w:val="000C04B2"/>
    <w:rsid w:val="000C0912"/>
    <w:rsid w:val="000C26E9"/>
    <w:rsid w:val="000C3CC7"/>
    <w:rsid w:val="000C3EB5"/>
    <w:rsid w:val="000C43B6"/>
    <w:rsid w:val="000C5A0E"/>
    <w:rsid w:val="000C684B"/>
    <w:rsid w:val="000C6EED"/>
    <w:rsid w:val="000C7589"/>
    <w:rsid w:val="000C7FE0"/>
    <w:rsid w:val="000D042D"/>
    <w:rsid w:val="000D0657"/>
    <w:rsid w:val="000D06AE"/>
    <w:rsid w:val="000D0FA0"/>
    <w:rsid w:val="000D2A6B"/>
    <w:rsid w:val="000D314F"/>
    <w:rsid w:val="000D3DAC"/>
    <w:rsid w:val="000D4AB9"/>
    <w:rsid w:val="000D5E01"/>
    <w:rsid w:val="000D5E92"/>
    <w:rsid w:val="000D6393"/>
    <w:rsid w:val="000D65AB"/>
    <w:rsid w:val="000D6FE9"/>
    <w:rsid w:val="000D701D"/>
    <w:rsid w:val="000D7A39"/>
    <w:rsid w:val="000D7C12"/>
    <w:rsid w:val="000E0036"/>
    <w:rsid w:val="000E0DA3"/>
    <w:rsid w:val="000E12ED"/>
    <w:rsid w:val="000E330F"/>
    <w:rsid w:val="000E3979"/>
    <w:rsid w:val="000E3B31"/>
    <w:rsid w:val="000E3CE1"/>
    <w:rsid w:val="000E4BCD"/>
    <w:rsid w:val="000E6498"/>
    <w:rsid w:val="000E6A18"/>
    <w:rsid w:val="000E730B"/>
    <w:rsid w:val="000E73FF"/>
    <w:rsid w:val="000E7C1C"/>
    <w:rsid w:val="000E7E66"/>
    <w:rsid w:val="000F03B0"/>
    <w:rsid w:val="000F1FEE"/>
    <w:rsid w:val="000F23CE"/>
    <w:rsid w:val="000F3333"/>
    <w:rsid w:val="000F3690"/>
    <w:rsid w:val="000F4A1A"/>
    <w:rsid w:val="000F5EB6"/>
    <w:rsid w:val="000F6F99"/>
    <w:rsid w:val="000F7020"/>
    <w:rsid w:val="000F7353"/>
    <w:rsid w:val="000F73CD"/>
    <w:rsid w:val="001015C8"/>
    <w:rsid w:val="00101A24"/>
    <w:rsid w:val="00103C76"/>
    <w:rsid w:val="0010455C"/>
    <w:rsid w:val="0010566B"/>
    <w:rsid w:val="001078AE"/>
    <w:rsid w:val="00107ADE"/>
    <w:rsid w:val="00111068"/>
    <w:rsid w:val="00111C67"/>
    <w:rsid w:val="00112E81"/>
    <w:rsid w:val="00113146"/>
    <w:rsid w:val="001140C4"/>
    <w:rsid w:val="00114F1A"/>
    <w:rsid w:val="00114F56"/>
    <w:rsid w:val="00115826"/>
    <w:rsid w:val="00115A3C"/>
    <w:rsid w:val="00116006"/>
    <w:rsid w:val="0011688D"/>
    <w:rsid w:val="00116B51"/>
    <w:rsid w:val="00117524"/>
    <w:rsid w:val="00117C1D"/>
    <w:rsid w:val="00117D12"/>
    <w:rsid w:val="0012004B"/>
    <w:rsid w:val="00122090"/>
    <w:rsid w:val="00122C41"/>
    <w:rsid w:val="00122C47"/>
    <w:rsid w:val="00122E0C"/>
    <w:rsid w:val="00123A16"/>
    <w:rsid w:val="0012410B"/>
    <w:rsid w:val="001248E2"/>
    <w:rsid w:val="00124E75"/>
    <w:rsid w:val="001256FF"/>
    <w:rsid w:val="00125812"/>
    <w:rsid w:val="00125F61"/>
    <w:rsid w:val="00126CD1"/>
    <w:rsid w:val="001274F4"/>
    <w:rsid w:val="00127757"/>
    <w:rsid w:val="00127C77"/>
    <w:rsid w:val="001306DC"/>
    <w:rsid w:val="00130E8F"/>
    <w:rsid w:val="00131678"/>
    <w:rsid w:val="00132582"/>
    <w:rsid w:val="001336E3"/>
    <w:rsid w:val="001339BB"/>
    <w:rsid w:val="00133D5D"/>
    <w:rsid w:val="0013469C"/>
    <w:rsid w:val="001348EA"/>
    <w:rsid w:val="00134EF5"/>
    <w:rsid w:val="0013502F"/>
    <w:rsid w:val="00136039"/>
    <w:rsid w:val="00136EED"/>
    <w:rsid w:val="00140FC8"/>
    <w:rsid w:val="00141481"/>
    <w:rsid w:val="00141B20"/>
    <w:rsid w:val="00141D39"/>
    <w:rsid w:val="00142051"/>
    <w:rsid w:val="00143437"/>
    <w:rsid w:val="00143C33"/>
    <w:rsid w:val="00144369"/>
    <w:rsid w:val="0014451A"/>
    <w:rsid w:val="00144ADC"/>
    <w:rsid w:val="00144BBB"/>
    <w:rsid w:val="0014576E"/>
    <w:rsid w:val="00145C02"/>
    <w:rsid w:val="0014694E"/>
    <w:rsid w:val="00146F00"/>
    <w:rsid w:val="00146FC1"/>
    <w:rsid w:val="00150932"/>
    <w:rsid w:val="0015132A"/>
    <w:rsid w:val="001529FC"/>
    <w:rsid w:val="00152D49"/>
    <w:rsid w:val="00153F6A"/>
    <w:rsid w:val="00154228"/>
    <w:rsid w:val="001552DF"/>
    <w:rsid w:val="001557D1"/>
    <w:rsid w:val="00156567"/>
    <w:rsid w:val="00157D15"/>
    <w:rsid w:val="00157E18"/>
    <w:rsid w:val="00161022"/>
    <w:rsid w:val="00161358"/>
    <w:rsid w:val="001617D7"/>
    <w:rsid w:val="00161DC7"/>
    <w:rsid w:val="001620EB"/>
    <w:rsid w:val="00163584"/>
    <w:rsid w:val="00163683"/>
    <w:rsid w:val="00164018"/>
    <w:rsid w:val="00164B43"/>
    <w:rsid w:val="0016538E"/>
    <w:rsid w:val="00166A7A"/>
    <w:rsid w:val="00166C49"/>
    <w:rsid w:val="00167274"/>
    <w:rsid w:val="001674EB"/>
    <w:rsid w:val="00167EE1"/>
    <w:rsid w:val="001705C4"/>
    <w:rsid w:val="00170834"/>
    <w:rsid w:val="001708C0"/>
    <w:rsid w:val="00171281"/>
    <w:rsid w:val="001712D6"/>
    <w:rsid w:val="00171C1C"/>
    <w:rsid w:val="001726B0"/>
    <w:rsid w:val="001744D9"/>
    <w:rsid w:val="001749FD"/>
    <w:rsid w:val="00174A13"/>
    <w:rsid w:val="00175022"/>
    <w:rsid w:val="001752DD"/>
    <w:rsid w:val="00175302"/>
    <w:rsid w:val="00175308"/>
    <w:rsid w:val="00175644"/>
    <w:rsid w:val="0017574C"/>
    <w:rsid w:val="001767C7"/>
    <w:rsid w:val="00177D7C"/>
    <w:rsid w:val="001800AF"/>
    <w:rsid w:val="00180A3B"/>
    <w:rsid w:val="00180BA2"/>
    <w:rsid w:val="00180BD5"/>
    <w:rsid w:val="00180D17"/>
    <w:rsid w:val="00181609"/>
    <w:rsid w:val="0018300A"/>
    <w:rsid w:val="00183D99"/>
    <w:rsid w:val="00183EB1"/>
    <w:rsid w:val="00184151"/>
    <w:rsid w:val="00184219"/>
    <w:rsid w:val="00184B81"/>
    <w:rsid w:val="0018500B"/>
    <w:rsid w:val="00185884"/>
    <w:rsid w:val="00185DCF"/>
    <w:rsid w:val="0018604F"/>
    <w:rsid w:val="001901C1"/>
    <w:rsid w:val="00190331"/>
    <w:rsid w:val="001910E3"/>
    <w:rsid w:val="00191387"/>
    <w:rsid w:val="0019141D"/>
    <w:rsid w:val="0019172A"/>
    <w:rsid w:val="00191B67"/>
    <w:rsid w:val="00191EEC"/>
    <w:rsid w:val="00192659"/>
    <w:rsid w:val="00194132"/>
    <w:rsid w:val="00194349"/>
    <w:rsid w:val="00194CF9"/>
    <w:rsid w:val="001958E7"/>
    <w:rsid w:val="00197273"/>
    <w:rsid w:val="001A0F84"/>
    <w:rsid w:val="001A13C8"/>
    <w:rsid w:val="001A14DC"/>
    <w:rsid w:val="001A1A25"/>
    <w:rsid w:val="001A1C61"/>
    <w:rsid w:val="001A1DFB"/>
    <w:rsid w:val="001A236E"/>
    <w:rsid w:val="001A28EC"/>
    <w:rsid w:val="001A3098"/>
    <w:rsid w:val="001A3E67"/>
    <w:rsid w:val="001A4C33"/>
    <w:rsid w:val="001A4C67"/>
    <w:rsid w:val="001A5694"/>
    <w:rsid w:val="001A5BEE"/>
    <w:rsid w:val="001A6062"/>
    <w:rsid w:val="001A6C15"/>
    <w:rsid w:val="001A73F5"/>
    <w:rsid w:val="001B0726"/>
    <w:rsid w:val="001B0DF0"/>
    <w:rsid w:val="001B0F7C"/>
    <w:rsid w:val="001B1A87"/>
    <w:rsid w:val="001B1BDF"/>
    <w:rsid w:val="001B24D5"/>
    <w:rsid w:val="001B2869"/>
    <w:rsid w:val="001B3F6D"/>
    <w:rsid w:val="001B3F81"/>
    <w:rsid w:val="001B41EF"/>
    <w:rsid w:val="001B4E6C"/>
    <w:rsid w:val="001B6702"/>
    <w:rsid w:val="001B6D2D"/>
    <w:rsid w:val="001B7122"/>
    <w:rsid w:val="001C0692"/>
    <w:rsid w:val="001C0CF6"/>
    <w:rsid w:val="001C155C"/>
    <w:rsid w:val="001C2214"/>
    <w:rsid w:val="001C2523"/>
    <w:rsid w:val="001C2524"/>
    <w:rsid w:val="001C39EF"/>
    <w:rsid w:val="001C3AEF"/>
    <w:rsid w:val="001C3EEA"/>
    <w:rsid w:val="001C3F68"/>
    <w:rsid w:val="001C41C2"/>
    <w:rsid w:val="001C4555"/>
    <w:rsid w:val="001C57F2"/>
    <w:rsid w:val="001D0247"/>
    <w:rsid w:val="001D0A46"/>
    <w:rsid w:val="001D22ED"/>
    <w:rsid w:val="001D23D2"/>
    <w:rsid w:val="001D28E4"/>
    <w:rsid w:val="001D325B"/>
    <w:rsid w:val="001D3440"/>
    <w:rsid w:val="001D37FB"/>
    <w:rsid w:val="001D3AC3"/>
    <w:rsid w:val="001D4133"/>
    <w:rsid w:val="001D53A8"/>
    <w:rsid w:val="001D5F4C"/>
    <w:rsid w:val="001D6F8E"/>
    <w:rsid w:val="001D7325"/>
    <w:rsid w:val="001E0B0C"/>
    <w:rsid w:val="001E0B4F"/>
    <w:rsid w:val="001E1A4E"/>
    <w:rsid w:val="001E1A8F"/>
    <w:rsid w:val="001E1F3D"/>
    <w:rsid w:val="001E4B52"/>
    <w:rsid w:val="001E681D"/>
    <w:rsid w:val="001E68AA"/>
    <w:rsid w:val="001E765B"/>
    <w:rsid w:val="001E7897"/>
    <w:rsid w:val="001E7EF4"/>
    <w:rsid w:val="001F0023"/>
    <w:rsid w:val="001F0DD3"/>
    <w:rsid w:val="001F20E8"/>
    <w:rsid w:val="001F21CB"/>
    <w:rsid w:val="001F228C"/>
    <w:rsid w:val="001F25A9"/>
    <w:rsid w:val="001F2C8E"/>
    <w:rsid w:val="001F30B0"/>
    <w:rsid w:val="001F3237"/>
    <w:rsid w:val="001F3458"/>
    <w:rsid w:val="001F34A4"/>
    <w:rsid w:val="001F3D69"/>
    <w:rsid w:val="001F4332"/>
    <w:rsid w:val="001F492F"/>
    <w:rsid w:val="001F56E8"/>
    <w:rsid w:val="001F5EF1"/>
    <w:rsid w:val="001F65D9"/>
    <w:rsid w:val="001F6750"/>
    <w:rsid w:val="00200311"/>
    <w:rsid w:val="002008D1"/>
    <w:rsid w:val="00201005"/>
    <w:rsid w:val="00202250"/>
    <w:rsid w:val="0020298F"/>
    <w:rsid w:val="00203489"/>
    <w:rsid w:val="002036AA"/>
    <w:rsid w:val="00203789"/>
    <w:rsid w:val="002049FF"/>
    <w:rsid w:val="00204A5F"/>
    <w:rsid w:val="00205334"/>
    <w:rsid w:val="00210D49"/>
    <w:rsid w:val="00211124"/>
    <w:rsid w:val="0021201B"/>
    <w:rsid w:val="00212FE3"/>
    <w:rsid w:val="002136E0"/>
    <w:rsid w:val="00213A98"/>
    <w:rsid w:val="00213B41"/>
    <w:rsid w:val="00216DB5"/>
    <w:rsid w:val="00216EA5"/>
    <w:rsid w:val="00216F08"/>
    <w:rsid w:val="00220D63"/>
    <w:rsid w:val="0022169A"/>
    <w:rsid w:val="00221848"/>
    <w:rsid w:val="002227E7"/>
    <w:rsid w:val="00222B9F"/>
    <w:rsid w:val="00222CA5"/>
    <w:rsid w:val="00223F2A"/>
    <w:rsid w:val="00224A1F"/>
    <w:rsid w:val="002258FC"/>
    <w:rsid w:val="00226226"/>
    <w:rsid w:val="002264D6"/>
    <w:rsid w:val="00226FD2"/>
    <w:rsid w:val="00227590"/>
    <w:rsid w:val="00227D78"/>
    <w:rsid w:val="00227FE4"/>
    <w:rsid w:val="00230BFF"/>
    <w:rsid w:val="002317B4"/>
    <w:rsid w:val="00231A69"/>
    <w:rsid w:val="00232727"/>
    <w:rsid w:val="00232BD3"/>
    <w:rsid w:val="002331A0"/>
    <w:rsid w:val="002333D7"/>
    <w:rsid w:val="00233485"/>
    <w:rsid w:val="00233DC9"/>
    <w:rsid w:val="0023403F"/>
    <w:rsid w:val="0023447D"/>
    <w:rsid w:val="00234A91"/>
    <w:rsid w:val="0023548A"/>
    <w:rsid w:val="00236D21"/>
    <w:rsid w:val="0023708B"/>
    <w:rsid w:val="00237318"/>
    <w:rsid w:val="00237FE9"/>
    <w:rsid w:val="002407A9"/>
    <w:rsid w:val="00240B0D"/>
    <w:rsid w:val="00242703"/>
    <w:rsid w:val="002435CA"/>
    <w:rsid w:val="00244435"/>
    <w:rsid w:val="0024555C"/>
    <w:rsid w:val="00245DA0"/>
    <w:rsid w:val="00247ADA"/>
    <w:rsid w:val="0025075C"/>
    <w:rsid w:val="00251406"/>
    <w:rsid w:val="00252146"/>
    <w:rsid w:val="002562B4"/>
    <w:rsid w:val="00257836"/>
    <w:rsid w:val="002611F8"/>
    <w:rsid w:val="00263721"/>
    <w:rsid w:val="002646C1"/>
    <w:rsid w:val="0026476C"/>
    <w:rsid w:val="00264EEE"/>
    <w:rsid w:val="0026530E"/>
    <w:rsid w:val="00265936"/>
    <w:rsid w:val="00265DED"/>
    <w:rsid w:val="00265E6C"/>
    <w:rsid w:val="00266A30"/>
    <w:rsid w:val="0026794D"/>
    <w:rsid w:val="00267FAB"/>
    <w:rsid w:val="00270C50"/>
    <w:rsid w:val="00271004"/>
    <w:rsid w:val="002712C8"/>
    <w:rsid w:val="002719ED"/>
    <w:rsid w:val="00271E82"/>
    <w:rsid w:val="00271EB7"/>
    <w:rsid w:val="00272171"/>
    <w:rsid w:val="0027252B"/>
    <w:rsid w:val="00272E82"/>
    <w:rsid w:val="00273732"/>
    <w:rsid w:val="00273D5C"/>
    <w:rsid w:val="00273ECF"/>
    <w:rsid w:val="00274BED"/>
    <w:rsid w:val="00275209"/>
    <w:rsid w:val="0027527B"/>
    <w:rsid w:val="0027574E"/>
    <w:rsid w:val="00275788"/>
    <w:rsid w:val="00275B26"/>
    <w:rsid w:val="00276C42"/>
    <w:rsid w:val="0027706F"/>
    <w:rsid w:val="0027716C"/>
    <w:rsid w:val="00277468"/>
    <w:rsid w:val="00281580"/>
    <w:rsid w:val="002826D7"/>
    <w:rsid w:val="002827AC"/>
    <w:rsid w:val="00282DD1"/>
    <w:rsid w:val="0028314A"/>
    <w:rsid w:val="00283433"/>
    <w:rsid w:val="00283AFA"/>
    <w:rsid w:val="0028445E"/>
    <w:rsid w:val="00286301"/>
    <w:rsid w:val="00286DB5"/>
    <w:rsid w:val="00286F6F"/>
    <w:rsid w:val="00287942"/>
    <w:rsid w:val="00290A3D"/>
    <w:rsid w:val="00290F1F"/>
    <w:rsid w:val="00291211"/>
    <w:rsid w:val="00292B9F"/>
    <w:rsid w:val="0029399F"/>
    <w:rsid w:val="00293E21"/>
    <w:rsid w:val="00295264"/>
    <w:rsid w:val="002954C1"/>
    <w:rsid w:val="00295BCD"/>
    <w:rsid w:val="00296404"/>
    <w:rsid w:val="0029649F"/>
    <w:rsid w:val="00296BB4"/>
    <w:rsid w:val="002A05D3"/>
    <w:rsid w:val="002A06C6"/>
    <w:rsid w:val="002A105D"/>
    <w:rsid w:val="002A28A9"/>
    <w:rsid w:val="002A3DE2"/>
    <w:rsid w:val="002A40FB"/>
    <w:rsid w:val="002A4373"/>
    <w:rsid w:val="002A5357"/>
    <w:rsid w:val="002A535E"/>
    <w:rsid w:val="002A575D"/>
    <w:rsid w:val="002A5881"/>
    <w:rsid w:val="002A5E7A"/>
    <w:rsid w:val="002A7960"/>
    <w:rsid w:val="002B0025"/>
    <w:rsid w:val="002B0801"/>
    <w:rsid w:val="002B45DB"/>
    <w:rsid w:val="002B5324"/>
    <w:rsid w:val="002B56E7"/>
    <w:rsid w:val="002B6C51"/>
    <w:rsid w:val="002B6D5E"/>
    <w:rsid w:val="002B7CDB"/>
    <w:rsid w:val="002B7EE0"/>
    <w:rsid w:val="002C0074"/>
    <w:rsid w:val="002C01F8"/>
    <w:rsid w:val="002C097E"/>
    <w:rsid w:val="002C09A6"/>
    <w:rsid w:val="002C0B11"/>
    <w:rsid w:val="002C0FC8"/>
    <w:rsid w:val="002C1337"/>
    <w:rsid w:val="002C2007"/>
    <w:rsid w:val="002C230B"/>
    <w:rsid w:val="002C2315"/>
    <w:rsid w:val="002C2BE8"/>
    <w:rsid w:val="002C301D"/>
    <w:rsid w:val="002C3231"/>
    <w:rsid w:val="002C4A38"/>
    <w:rsid w:val="002C5955"/>
    <w:rsid w:val="002C6298"/>
    <w:rsid w:val="002C6310"/>
    <w:rsid w:val="002C65B8"/>
    <w:rsid w:val="002C734D"/>
    <w:rsid w:val="002C744C"/>
    <w:rsid w:val="002C7E89"/>
    <w:rsid w:val="002D01BF"/>
    <w:rsid w:val="002D0B1C"/>
    <w:rsid w:val="002D0FAA"/>
    <w:rsid w:val="002D1190"/>
    <w:rsid w:val="002D3C91"/>
    <w:rsid w:val="002D3E81"/>
    <w:rsid w:val="002D488C"/>
    <w:rsid w:val="002D4AC3"/>
    <w:rsid w:val="002D52A0"/>
    <w:rsid w:val="002D5B5E"/>
    <w:rsid w:val="002D6691"/>
    <w:rsid w:val="002D68CC"/>
    <w:rsid w:val="002D7037"/>
    <w:rsid w:val="002E062E"/>
    <w:rsid w:val="002E06C7"/>
    <w:rsid w:val="002E10FF"/>
    <w:rsid w:val="002E1615"/>
    <w:rsid w:val="002E1D30"/>
    <w:rsid w:val="002E28C6"/>
    <w:rsid w:val="002E3ADF"/>
    <w:rsid w:val="002E42F6"/>
    <w:rsid w:val="002E4DB3"/>
    <w:rsid w:val="002E5256"/>
    <w:rsid w:val="002E6911"/>
    <w:rsid w:val="002E79A6"/>
    <w:rsid w:val="002E7B99"/>
    <w:rsid w:val="002F0350"/>
    <w:rsid w:val="002F067C"/>
    <w:rsid w:val="002F10BF"/>
    <w:rsid w:val="002F110D"/>
    <w:rsid w:val="002F1A11"/>
    <w:rsid w:val="002F32BD"/>
    <w:rsid w:val="002F3952"/>
    <w:rsid w:val="002F3CDB"/>
    <w:rsid w:val="002F4407"/>
    <w:rsid w:val="002F5A1A"/>
    <w:rsid w:val="002F6AC8"/>
    <w:rsid w:val="002F6E67"/>
    <w:rsid w:val="002F6FA2"/>
    <w:rsid w:val="002F70A1"/>
    <w:rsid w:val="002F71F1"/>
    <w:rsid w:val="002F7C03"/>
    <w:rsid w:val="002F7D91"/>
    <w:rsid w:val="00300609"/>
    <w:rsid w:val="003007D1"/>
    <w:rsid w:val="0030111A"/>
    <w:rsid w:val="003020F3"/>
    <w:rsid w:val="00303868"/>
    <w:rsid w:val="003038AC"/>
    <w:rsid w:val="003056DD"/>
    <w:rsid w:val="00305726"/>
    <w:rsid w:val="00305826"/>
    <w:rsid w:val="00306E9B"/>
    <w:rsid w:val="003076FA"/>
    <w:rsid w:val="003102FA"/>
    <w:rsid w:val="003107B5"/>
    <w:rsid w:val="00310C3B"/>
    <w:rsid w:val="00310D70"/>
    <w:rsid w:val="00311F3E"/>
    <w:rsid w:val="0031214B"/>
    <w:rsid w:val="00312AEE"/>
    <w:rsid w:val="00313880"/>
    <w:rsid w:val="00313D54"/>
    <w:rsid w:val="00313F3E"/>
    <w:rsid w:val="00314A5C"/>
    <w:rsid w:val="0031512F"/>
    <w:rsid w:val="00315307"/>
    <w:rsid w:val="00315D17"/>
    <w:rsid w:val="003166B1"/>
    <w:rsid w:val="003176BB"/>
    <w:rsid w:val="00317E1A"/>
    <w:rsid w:val="003207FB"/>
    <w:rsid w:val="00320DCE"/>
    <w:rsid w:val="003229E9"/>
    <w:rsid w:val="003237B0"/>
    <w:rsid w:val="00323EE6"/>
    <w:rsid w:val="003247F6"/>
    <w:rsid w:val="0032503F"/>
    <w:rsid w:val="003258CB"/>
    <w:rsid w:val="003262CE"/>
    <w:rsid w:val="003264ED"/>
    <w:rsid w:val="00326EBE"/>
    <w:rsid w:val="00326F76"/>
    <w:rsid w:val="00327B87"/>
    <w:rsid w:val="003308B4"/>
    <w:rsid w:val="00331089"/>
    <w:rsid w:val="00333209"/>
    <w:rsid w:val="0033442A"/>
    <w:rsid w:val="00334A4E"/>
    <w:rsid w:val="003352EF"/>
    <w:rsid w:val="003362AE"/>
    <w:rsid w:val="003412C7"/>
    <w:rsid w:val="00341634"/>
    <w:rsid w:val="003424A8"/>
    <w:rsid w:val="003425F7"/>
    <w:rsid w:val="00342F42"/>
    <w:rsid w:val="00343012"/>
    <w:rsid w:val="00343233"/>
    <w:rsid w:val="003438B4"/>
    <w:rsid w:val="00343B25"/>
    <w:rsid w:val="00343D39"/>
    <w:rsid w:val="003441E3"/>
    <w:rsid w:val="003445EA"/>
    <w:rsid w:val="00344AA6"/>
    <w:rsid w:val="00344D4F"/>
    <w:rsid w:val="00344D64"/>
    <w:rsid w:val="003458BA"/>
    <w:rsid w:val="003463B9"/>
    <w:rsid w:val="003463E0"/>
    <w:rsid w:val="0034664B"/>
    <w:rsid w:val="003468D7"/>
    <w:rsid w:val="003473A6"/>
    <w:rsid w:val="00347C02"/>
    <w:rsid w:val="003500D8"/>
    <w:rsid w:val="003505FE"/>
    <w:rsid w:val="00351EC0"/>
    <w:rsid w:val="0035270E"/>
    <w:rsid w:val="003527F0"/>
    <w:rsid w:val="00352990"/>
    <w:rsid w:val="00353113"/>
    <w:rsid w:val="00353518"/>
    <w:rsid w:val="00354A2B"/>
    <w:rsid w:val="003552B9"/>
    <w:rsid w:val="00356214"/>
    <w:rsid w:val="0035753D"/>
    <w:rsid w:val="003613F4"/>
    <w:rsid w:val="00361819"/>
    <w:rsid w:val="00361A47"/>
    <w:rsid w:val="00362FE1"/>
    <w:rsid w:val="0036315F"/>
    <w:rsid w:val="003632D5"/>
    <w:rsid w:val="00363A16"/>
    <w:rsid w:val="00363DCE"/>
    <w:rsid w:val="00364280"/>
    <w:rsid w:val="00364E9D"/>
    <w:rsid w:val="00365680"/>
    <w:rsid w:val="00365919"/>
    <w:rsid w:val="00365AC3"/>
    <w:rsid w:val="00366A1A"/>
    <w:rsid w:val="00366ED4"/>
    <w:rsid w:val="00367B51"/>
    <w:rsid w:val="00367B6E"/>
    <w:rsid w:val="00370B2E"/>
    <w:rsid w:val="00371B7A"/>
    <w:rsid w:val="00372D68"/>
    <w:rsid w:val="00372EE9"/>
    <w:rsid w:val="00373A88"/>
    <w:rsid w:val="0037447C"/>
    <w:rsid w:val="0037458C"/>
    <w:rsid w:val="00374E9A"/>
    <w:rsid w:val="003757C9"/>
    <w:rsid w:val="003768CB"/>
    <w:rsid w:val="00381715"/>
    <w:rsid w:val="00381DB8"/>
    <w:rsid w:val="003826A0"/>
    <w:rsid w:val="00383462"/>
    <w:rsid w:val="003852B8"/>
    <w:rsid w:val="00385683"/>
    <w:rsid w:val="003856AA"/>
    <w:rsid w:val="00385721"/>
    <w:rsid w:val="00386DD1"/>
    <w:rsid w:val="00387CA4"/>
    <w:rsid w:val="003908CE"/>
    <w:rsid w:val="00390DC0"/>
    <w:rsid w:val="003910B3"/>
    <w:rsid w:val="003912FD"/>
    <w:rsid w:val="00392767"/>
    <w:rsid w:val="003935C3"/>
    <w:rsid w:val="003945B7"/>
    <w:rsid w:val="00394607"/>
    <w:rsid w:val="00395750"/>
    <w:rsid w:val="0039581F"/>
    <w:rsid w:val="00396508"/>
    <w:rsid w:val="003965CA"/>
    <w:rsid w:val="00396861"/>
    <w:rsid w:val="00396CCD"/>
    <w:rsid w:val="003970B6"/>
    <w:rsid w:val="00397666"/>
    <w:rsid w:val="0039783E"/>
    <w:rsid w:val="003A0009"/>
    <w:rsid w:val="003A01AA"/>
    <w:rsid w:val="003A01D7"/>
    <w:rsid w:val="003A0438"/>
    <w:rsid w:val="003A0ADF"/>
    <w:rsid w:val="003A1650"/>
    <w:rsid w:val="003A17AB"/>
    <w:rsid w:val="003A1D54"/>
    <w:rsid w:val="003A2740"/>
    <w:rsid w:val="003A339D"/>
    <w:rsid w:val="003A4360"/>
    <w:rsid w:val="003A5E73"/>
    <w:rsid w:val="003A6451"/>
    <w:rsid w:val="003A76E4"/>
    <w:rsid w:val="003A7A21"/>
    <w:rsid w:val="003B09F2"/>
    <w:rsid w:val="003B1384"/>
    <w:rsid w:val="003B1589"/>
    <w:rsid w:val="003B1BF0"/>
    <w:rsid w:val="003B28D1"/>
    <w:rsid w:val="003B344A"/>
    <w:rsid w:val="003B35B8"/>
    <w:rsid w:val="003B412D"/>
    <w:rsid w:val="003B4A9D"/>
    <w:rsid w:val="003B4B13"/>
    <w:rsid w:val="003B4D2C"/>
    <w:rsid w:val="003B4DF6"/>
    <w:rsid w:val="003B4ED9"/>
    <w:rsid w:val="003B53A6"/>
    <w:rsid w:val="003B60A7"/>
    <w:rsid w:val="003B6487"/>
    <w:rsid w:val="003B76A8"/>
    <w:rsid w:val="003C0504"/>
    <w:rsid w:val="003C0785"/>
    <w:rsid w:val="003C0CD9"/>
    <w:rsid w:val="003C1764"/>
    <w:rsid w:val="003C1CCC"/>
    <w:rsid w:val="003C20F0"/>
    <w:rsid w:val="003C2257"/>
    <w:rsid w:val="003C2732"/>
    <w:rsid w:val="003C2E4A"/>
    <w:rsid w:val="003C3321"/>
    <w:rsid w:val="003C3AD0"/>
    <w:rsid w:val="003C3F04"/>
    <w:rsid w:val="003C4E7F"/>
    <w:rsid w:val="003C56BA"/>
    <w:rsid w:val="003C6401"/>
    <w:rsid w:val="003C66D2"/>
    <w:rsid w:val="003C722C"/>
    <w:rsid w:val="003C7985"/>
    <w:rsid w:val="003C7CAC"/>
    <w:rsid w:val="003D20ED"/>
    <w:rsid w:val="003D44D3"/>
    <w:rsid w:val="003D4ED7"/>
    <w:rsid w:val="003D5534"/>
    <w:rsid w:val="003D561D"/>
    <w:rsid w:val="003D6531"/>
    <w:rsid w:val="003D7A87"/>
    <w:rsid w:val="003D7AFE"/>
    <w:rsid w:val="003E017A"/>
    <w:rsid w:val="003E1FAF"/>
    <w:rsid w:val="003E20B9"/>
    <w:rsid w:val="003E3836"/>
    <w:rsid w:val="003E39B9"/>
    <w:rsid w:val="003E48E8"/>
    <w:rsid w:val="003E4AC8"/>
    <w:rsid w:val="003E4BB4"/>
    <w:rsid w:val="003E4BE0"/>
    <w:rsid w:val="003E5A89"/>
    <w:rsid w:val="003E627B"/>
    <w:rsid w:val="003E68FB"/>
    <w:rsid w:val="003E7F60"/>
    <w:rsid w:val="003F01B5"/>
    <w:rsid w:val="003F04AA"/>
    <w:rsid w:val="003F0864"/>
    <w:rsid w:val="003F14AC"/>
    <w:rsid w:val="003F1B7A"/>
    <w:rsid w:val="003F21B4"/>
    <w:rsid w:val="003F27A7"/>
    <w:rsid w:val="003F2D09"/>
    <w:rsid w:val="003F3190"/>
    <w:rsid w:val="003F34BF"/>
    <w:rsid w:val="003F37EA"/>
    <w:rsid w:val="003F47F5"/>
    <w:rsid w:val="003F53B7"/>
    <w:rsid w:val="003F59CC"/>
    <w:rsid w:val="003F5E57"/>
    <w:rsid w:val="003F5F9D"/>
    <w:rsid w:val="003F7652"/>
    <w:rsid w:val="003F7711"/>
    <w:rsid w:val="003F7EDA"/>
    <w:rsid w:val="00401D87"/>
    <w:rsid w:val="00402BF8"/>
    <w:rsid w:val="0040367A"/>
    <w:rsid w:val="00403755"/>
    <w:rsid w:val="00404CB2"/>
    <w:rsid w:val="00404E35"/>
    <w:rsid w:val="004055A3"/>
    <w:rsid w:val="00405BBE"/>
    <w:rsid w:val="00406227"/>
    <w:rsid w:val="00406249"/>
    <w:rsid w:val="0040659B"/>
    <w:rsid w:val="00406C99"/>
    <w:rsid w:val="00407D3B"/>
    <w:rsid w:val="00410948"/>
    <w:rsid w:val="00411613"/>
    <w:rsid w:val="004138AE"/>
    <w:rsid w:val="0041438C"/>
    <w:rsid w:val="00415001"/>
    <w:rsid w:val="004154B8"/>
    <w:rsid w:val="00415CC4"/>
    <w:rsid w:val="00415FD6"/>
    <w:rsid w:val="0041696F"/>
    <w:rsid w:val="0041726C"/>
    <w:rsid w:val="00417C75"/>
    <w:rsid w:val="00420D4C"/>
    <w:rsid w:val="00422890"/>
    <w:rsid w:val="00423B79"/>
    <w:rsid w:val="004240D2"/>
    <w:rsid w:val="004241A1"/>
    <w:rsid w:val="00424285"/>
    <w:rsid w:val="004243A8"/>
    <w:rsid w:val="004246AE"/>
    <w:rsid w:val="00424ADF"/>
    <w:rsid w:val="00425E4B"/>
    <w:rsid w:val="004303B8"/>
    <w:rsid w:val="00430826"/>
    <w:rsid w:val="00430CFF"/>
    <w:rsid w:val="004312B1"/>
    <w:rsid w:val="00431677"/>
    <w:rsid w:val="00431F44"/>
    <w:rsid w:val="0043260A"/>
    <w:rsid w:val="004326D3"/>
    <w:rsid w:val="00433031"/>
    <w:rsid w:val="00433183"/>
    <w:rsid w:val="004331FF"/>
    <w:rsid w:val="00433A61"/>
    <w:rsid w:val="00433AED"/>
    <w:rsid w:val="004343AB"/>
    <w:rsid w:val="00434F6D"/>
    <w:rsid w:val="00435F4A"/>
    <w:rsid w:val="004373A5"/>
    <w:rsid w:val="00437C49"/>
    <w:rsid w:val="00437C74"/>
    <w:rsid w:val="00440390"/>
    <w:rsid w:val="0044117C"/>
    <w:rsid w:val="00441833"/>
    <w:rsid w:val="004418F2"/>
    <w:rsid w:val="00443662"/>
    <w:rsid w:val="00444BCD"/>
    <w:rsid w:val="00444E78"/>
    <w:rsid w:val="004455A5"/>
    <w:rsid w:val="00445911"/>
    <w:rsid w:val="00445F4D"/>
    <w:rsid w:val="00446050"/>
    <w:rsid w:val="00446FC1"/>
    <w:rsid w:val="004476AF"/>
    <w:rsid w:val="0044797E"/>
    <w:rsid w:val="00447C26"/>
    <w:rsid w:val="00447F1A"/>
    <w:rsid w:val="00450544"/>
    <w:rsid w:val="00450650"/>
    <w:rsid w:val="0045085A"/>
    <w:rsid w:val="00450CBA"/>
    <w:rsid w:val="0045110A"/>
    <w:rsid w:val="004513F3"/>
    <w:rsid w:val="00451E43"/>
    <w:rsid w:val="00453854"/>
    <w:rsid w:val="004539ED"/>
    <w:rsid w:val="00455363"/>
    <w:rsid w:val="0045540C"/>
    <w:rsid w:val="00455FE0"/>
    <w:rsid w:val="00456264"/>
    <w:rsid w:val="00456A4D"/>
    <w:rsid w:val="00456AA3"/>
    <w:rsid w:val="00456B8F"/>
    <w:rsid w:val="004574C4"/>
    <w:rsid w:val="00457A91"/>
    <w:rsid w:val="004604E9"/>
    <w:rsid w:val="00460A55"/>
    <w:rsid w:val="0046180A"/>
    <w:rsid w:val="00462732"/>
    <w:rsid w:val="00462BC6"/>
    <w:rsid w:val="00463F94"/>
    <w:rsid w:val="00463FEB"/>
    <w:rsid w:val="00464BFD"/>
    <w:rsid w:val="00466086"/>
    <w:rsid w:val="004660E6"/>
    <w:rsid w:val="0046616D"/>
    <w:rsid w:val="00467147"/>
    <w:rsid w:val="00467813"/>
    <w:rsid w:val="00470049"/>
    <w:rsid w:val="004700FD"/>
    <w:rsid w:val="00470AD5"/>
    <w:rsid w:val="00470C11"/>
    <w:rsid w:val="00471759"/>
    <w:rsid w:val="0047175C"/>
    <w:rsid w:val="004721E0"/>
    <w:rsid w:val="00472CF8"/>
    <w:rsid w:val="00472F9C"/>
    <w:rsid w:val="00473436"/>
    <w:rsid w:val="00473803"/>
    <w:rsid w:val="004738CA"/>
    <w:rsid w:val="00474DFA"/>
    <w:rsid w:val="00475062"/>
    <w:rsid w:val="00475162"/>
    <w:rsid w:val="004755B8"/>
    <w:rsid w:val="00475E8D"/>
    <w:rsid w:val="00476857"/>
    <w:rsid w:val="00476B4E"/>
    <w:rsid w:val="00476CB1"/>
    <w:rsid w:val="0047782F"/>
    <w:rsid w:val="00480151"/>
    <w:rsid w:val="0048137A"/>
    <w:rsid w:val="00481624"/>
    <w:rsid w:val="004828C6"/>
    <w:rsid w:val="00484675"/>
    <w:rsid w:val="00484A12"/>
    <w:rsid w:val="00484F33"/>
    <w:rsid w:val="00485AAF"/>
    <w:rsid w:val="004869CF"/>
    <w:rsid w:val="00486F36"/>
    <w:rsid w:val="00487545"/>
    <w:rsid w:val="00487776"/>
    <w:rsid w:val="00487F55"/>
    <w:rsid w:val="00490239"/>
    <w:rsid w:val="00490B1D"/>
    <w:rsid w:val="00490BA0"/>
    <w:rsid w:val="004911B9"/>
    <w:rsid w:val="0049159A"/>
    <w:rsid w:val="00491DC5"/>
    <w:rsid w:val="004921F8"/>
    <w:rsid w:val="00492871"/>
    <w:rsid w:val="00492995"/>
    <w:rsid w:val="004929EC"/>
    <w:rsid w:val="0049316D"/>
    <w:rsid w:val="004935F6"/>
    <w:rsid w:val="00493B10"/>
    <w:rsid w:val="00493F24"/>
    <w:rsid w:val="00495017"/>
    <w:rsid w:val="004951ED"/>
    <w:rsid w:val="0049615F"/>
    <w:rsid w:val="004971EF"/>
    <w:rsid w:val="00497931"/>
    <w:rsid w:val="004A04B2"/>
    <w:rsid w:val="004A0D47"/>
    <w:rsid w:val="004A1B8A"/>
    <w:rsid w:val="004A2043"/>
    <w:rsid w:val="004A2A0E"/>
    <w:rsid w:val="004A371D"/>
    <w:rsid w:val="004A37CE"/>
    <w:rsid w:val="004A439C"/>
    <w:rsid w:val="004A45DD"/>
    <w:rsid w:val="004A57D3"/>
    <w:rsid w:val="004A5CFC"/>
    <w:rsid w:val="004A6D51"/>
    <w:rsid w:val="004A79E3"/>
    <w:rsid w:val="004B03BE"/>
    <w:rsid w:val="004B1950"/>
    <w:rsid w:val="004B1A96"/>
    <w:rsid w:val="004B2839"/>
    <w:rsid w:val="004B300A"/>
    <w:rsid w:val="004B3C51"/>
    <w:rsid w:val="004B4244"/>
    <w:rsid w:val="004B4B2B"/>
    <w:rsid w:val="004B4E7B"/>
    <w:rsid w:val="004B7418"/>
    <w:rsid w:val="004B780C"/>
    <w:rsid w:val="004C063F"/>
    <w:rsid w:val="004C09DD"/>
    <w:rsid w:val="004C0FBA"/>
    <w:rsid w:val="004C1080"/>
    <w:rsid w:val="004C118D"/>
    <w:rsid w:val="004C2252"/>
    <w:rsid w:val="004C27AF"/>
    <w:rsid w:val="004C2B29"/>
    <w:rsid w:val="004C3F7B"/>
    <w:rsid w:val="004C4155"/>
    <w:rsid w:val="004C52BB"/>
    <w:rsid w:val="004C6582"/>
    <w:rsid w:val="004C78C4"/>
    <w:rsid w:val="004D097E"/>
    <w:rsid w:val="004D19C2"/>
    <w:rsid w:val="004D2497"/>
    <w:rsid w:val="004D2989"/>
    <w:rsid w:val="004D2B88"/>
    <w:rsid w:val="004D2EB8"/>
    <w:rsid w:val="004D308E"/>
    <w:rsid w:val="004D3A3F"/>
    <w:rsid w:val="004D512D"/>
    <w:rsid w:val="004D58A1"/>
    <w:rsid w:val="004D5F74"/>
    <w:rsid w:val="004D673E"/>
    <w:rsid w:val="004D6D43"/>
    <w:rsid w:val="004D6ED4"/>
    <w:rsid w:val="004D7584"/>
    <w:rsid w:val="004E1004"/>
    <w:rsid w:val="004E10E0"/>
    <w:rsid w:val="004E198A"/>
    <w:rsid w:val="004E1D31"/>
    <w:rsid w:val="004E2A32"/>
    <w:rsid w:val="004E3C9F"/>
    <w:rsid w:val="004E3D39"/>
    <w:rsid w:val="004E3F7E"/>
    <w:rsid w:val="004E5D30"/>
    <w:rsid w:val="004E631C"/>
    <w:rsid w:val="004E67E6"/>
    <w:rsid w:val="004E759F"/>
    <w:rsid w:val="004F0863"/>
    <w:rsid w:val="004F154B"/>
    <w:rsid w:val="004F15EE"/>
    <w:rsid w:val="004F19CD"/>
    <w:rsid w:val="004F1F6E"/>
    <w:rsid w:val="004F245D"/>
    <w:rsid w:val="004F4442"/>
    <w:rsid w:val="004F4FC9"/>
    <w:rsid w:val="004F5E93"/>
    <w:rsid w:val="004F603D"/>
    <w:rsid w:val="004F6545"/>
    <w:rsid w:val="004F6D32"/>
    <w:rsid w:val="004F6FC8"/>
    <w:rsid w:val="004F73FE"/>
    <w:rsid w:val="004F7CFB"/>
    <w:rsid w:val="004F7FEA"/>
    <w:rsid w:val="0050046F"/>
    <w:rsid w:val="00500EEF"/>
    <w:rsid w:val="005015CE"/>
    <w:rsid w:val="00501BD9"/>
    <w:rsid w:val="005041A7"/>
    <w:rsid w:val="00504532"/>
    <w:rsid w:val="00504E3C"/>
    <w:rsid w:val="00505C01"/>
    <w:rsid w:val="00506456"/>
    <w:rsid w:val="00506825"/>
    <w:rsid w:val="00506A5A"/>
    <w:rsid w:val="00506FA2"/>
    <w:rsid w:val="00507196"/>
    <w:rsid w:val="005103B1"/>
    <w:rsid w:val="0051185B"/>
    <w:rsid w:val="00511E5D"/>
    <w:rsid w:val="005146F2"/>
    <w:rsid w:val="00515187"/>
    <w:rsid w:val="00515220"/>
    <w:rsid w:val="00515680"/>
    <w:rsid w:val="00516410"/>
    <w:rsid w:val="005173F5"/>
    <w:rsid w:val="00517D7F"/>
    <w:rsid w:val="00517E7D"/>
    <w:rsid w:val="00520779"/>
    <w:rsid w:val="00520BD7"/>
    <w:rsid w:val="00521A03"/>
    <w:rsid w:val="00521E35"/>
    <w:rsid w:val="00523AAC"/>
    <w:rsid w:val="00523CF5"/>
    <w:rsid w:val="005246FD"/>
    <w:rsid w:val="005247CF"/>
    <w:rsid w:val="00525A4C"/>
    <w:rsid w:val="00525C51"/>
    <w:rsid w:val="00527073"/>
    <w:rsid w:val="005275B6"/>
    <w:rsid w:val="00527BF8"/>
    <w:rsid w:val="00530417"/>
    <w:rsid w:val="00530A86"/>
    <w:rsid w:val="00530B0F"/>
    <w:rsid w:val="00531F86"/>
    <w:rsid w:val="005321B7"/>
    <w:rsid w:val="0053256A"/>
    <w:rsid w:val="005328C3"/>
    <w:rsid w:val="0053379A"/>
    <w:rsid w:val="005337D5"/>
    <w:rsid w:val="00533BA5"/>
    <w:rsid w:val="00534073"/>
    <w:rsid w:val="0053545F"/>
    <w:rsid w:val="00535B56"/>
    <w:rsid w:val="00535E95"/>
    <w:rsid w:val="00536696"/>
    <w:rsid w:val="0053679A"/>
    <w:rsid w:val="00536D94"/>
    <w:rsid w:val="00537A4A"/>
    <w:rsid w:val="00537E9F"/>
    <w:rsid w:val="0054067C"/>
    <w:rsid w:val="00541C62"/>
    <w:rsid w:val="00543754"/>
    <w:rsid w:val="005437B7"/>
    <w:rsid w:val="00543E03"/>
    <w:rsid w:val="00544742"/>
    <w:rsid w:val="005449FF"/>
    <w:rsid w:val="00545B21"/>
    <w:rsid w:val="00545B7D"/>
    <w:rsid w:val="00545D08"/>
    <w:rsid w:val="00545ECF"/>
    <w:rsid w:val="00545F4F"/>
    <w:rsid w:val="00545F60"/>
    <w:rsid w:val="00546906"/>
    <w:rsid w:val="00547754"/>
    <w:rsid w:val="0054782B"/>
    <w:rsid w:val="0055051C"/>
    <w:rsid w:val="00550BD7"/>
    <w:rsid w:val="005520E3"/>
    <w:rsid w:val="00552307"/>
    <w:rsid w:val="005533BB"/>
    <w:rsid w:val="005536BC"/>
    <w:rsid w:val="00553C23"/>
    <w:rsid w:val="00553F9A"/>
    <w:rsid w:val="00554B2A"/>
    <w:rsid w:val="00554B2F"/>
    <w:rsid w:val="0055594E"/>
    <w:rsid w:val="00557118"/>
    <w:rsid w:val="00560468"/>
    <w:rsid w:val="005612C1"/>
    <w:rsid w:val="00561CB5"/>
    <w:rsid w:val="0056357E"/>
    <w:rsid w:val="00563B07"/>
    <w:rsid w:val="00564045"/>
    <w:rsid w:val="0056426D"/>
    <w:rsid w:val="00564874"/>
    <w:rsid w:val="0056587C"/>
    <w:rsid w:val="005658D2"/>
    <w:rsid w:val="00565F49"/>
    <w:rsid w:val="005667CF"/>
    <w:rsid w:val="00566834"/>
    <w:rsid w:val="005668F0"/>
    <w:rsid w:val="005677E2"/>
    <w:rsid w:val="0057019F"/>
    <w:rsid w:val="005704E5"/>
    <w:rsid w:val="00570549"/>
    <w:rsid w:val="005705E6"/>
    <w:rsid w:val="00570F2A"/>
    <w:rsid w:val="00571BA5"/>
    <w:rsid w:val="00571D51"/>
    <w:rsid w:val="00571F7E"/>
    <w:rsid w:val="00572039"/>
    <w:rsid w:val="005726D9"/>
    <w:rsid w:val="00573B85"/>
    <w:rsid w:val="00573C6F"/>
    <w:rsid w:val="00573DEC"/>
    <w:rsid w:val="00574342"/>
    <w:rsid w:val="005754DE"/>
    <w:rsid w:val="00576408"/>
    <w:rsid w:val="00576798"/>
    <w:rsid w:val="00577C67"/>
    <w:rsid w:val="00580450"/>
    <w:rsid w:val="00580CDE"/>
    <w:rsid w:val="00582DC6"/>
    <w:rsid w:val="00583E89"/>
    <w:rsid w:val="005841CC"/>
    <w:rsid w:val="00584BAF"/>
    <w:rsid w:val="00585206"/>
    <w:rsid w:val="005853F2"/>
    <w:rsid w:val="00585F5E"/>
    <w:rsid w:val="00586A04"/>
    <w:rsid w:val="00586DC7"/>
    <w:rsid w:val="00590BD9"/>
    <w:rsid w:val="00590C5A"/>
    <w:rsid w:val="00590D92"/>
    <w:rsid w:val="0059105A"/>
    <w:rsid w:val="00593561"/>
    <w:rsid w:val="005940A1"/>
    <w:rsid w:val="00594E36"/>
    <w:rsid w:val="0059570C"/>
    <w:rsid w:val="00596392"/>
    <w:rsid w:val="00597DFE"/>
    <w:rsid w:val="00597EC6"/>
    <w:rsid w:val="00597FAF"/>
    <w:rsid w:val="005A13E7"/>
    <w:rsid w:val="005A15C8"/>
    <w:rsid w:val="005A196E"/>
    <w:rsid w:val="005A3D06"/>
    <w:rsid w:val="005A3DA9"/>
    <w:rsid w:val="005A42E9"/>
    <w:rsid w:val="005A4F7B"/>
    <w:rsid w:val="005A5EA8"/>
    <w:rsid w:val="005A6798"/>
    <w:rsid w:val="005A6CC1"/>
    <w:rsid w:val="005A6CCD"/>
    <w:rsid w:val="005A7107"/>
    <w:rsid w:val="005A7626"/>
    <w:rsid w:val="005A786F"/>
    <w:rsid w:val="005B0742"/>
    <w:rsid w:val="005B174D"/>
    <w:rsid w:val="005B239C"/>
    <w:rsid w:val="005B2782"/>
    <w:rsid w:val="005B29AF"/>
    <w:rsid w:val="005B37F6"/>
    <w:rsid w:val="005B38D0"/>
    <w:rsid w:val="005B39D2"/>
    <w:rsid w:val="005B3B36"/>
    <w:rsid w:val="005B422A"/>
    <w:rsid w:val="005B44AD"/>
    <w:rsid w:val="005B4DD6"/>
    <w:rsid w:val="005B545C"/>
    <w:rsid w:val="005B55F8"/>
    <w:rsid w:val="005B5924"/>
    <w:rsid w:val="005B6561"/>
    <w:rsid w:val="005C0453"/>
    <w:rsid w:val="005C0BD0"/>
    <w:rsid w:val="005C10C5"/>
    <w:rsid w:val="005C21D1"/>
    <w:rsid w:val="005C24B6"/>
    <w:rsid w:val="005C29FA"/>
    <w:rsid w:val="005C35A1"/>
    <w:rsid w:val="005C3AE2"/>
    <w:rsid w:val="005C4AAA"/>
    <w:rsid w:val="005C5602"/>
    <w:rsid w:val="005C5B33"/>
    <w:rsid w:val="005C6EDB"/>
    <w:rsid w:val="005C7DDB"/>
    <w:rsid w:val="005D0763"/>
    <w:rsid w:val="005D0FD8"/>
    <w:rsid w:val="005D134D"/>
    <w:rsid w:val="005D15E4"/>
    <w:rsid w:val="005D2127"/>
    <w:rsid w:val="005D2298"/>
    <w:rsid w:val="005D2B1F"/>
    <w:rsid w:val="005D3791"/>
    <w:rsid w:val="005D3DE0"/>
    <w:rsid w:val="005D3F88"/>
    <w:rsid w:val="005D4C84"/>
    <w:rsid w:val="005D57F3"/>
    <w:rsid w:val="005D598F"/>
    <w:rsid w:val="005D6634"/>
    <w:rsid w:val="005D67EA"/>
    <w:rsid w:val="005D7419"/>
    <w:rsid w:val="005E0690"/>
    <w:rsid w:val="005E0B96"/>
    <w:rsid w:val="005E197D"/>
    <w:rsid w:val="005E2B22"/>
    <w:rsid w:val="005E3303"/>
    <w:rsid w:val="005E4156"/>
    <w:rsid w:val="005E474A"/>
    <w:rsid w:val="005E47B1"/>
    <w:rsid w:val="005E61BD"/>
    <w:rsid w:val="005E6664"/>
    <w:rsid w:val="005E7559"/>
    <w:rsid w:val="005F2AC9"/>
    <w:rsid w:val="005F2C40"/>
    <w:rsid w:val="005F375E"/>
    <w:rsid w:val="005F38B4"/>
    <w:rsid w:val="005F3920"/>
    <w:rsid w:val="005F3C7F"/>
    <w:rsid w:val="005F4DCE"/>
    <w:rsid w:val="005F5230"/>
    <w:rsid w:val="005F6645"/>
    <w:rsid w:val="005F76F5"/>
    <w:rsid w:val="00600DE5"/>
    <w:rsid w:val="0060184B"/>
    <w:rsid w:val="00601A52"/>
    <w:rsid w:val="00601EF4"/>
    <w:rsid w:val="006026A6"/>
    <w:rsid w:val="006029B0"/>
    <w:rsid w:val="00602E73"/>
    <w:rsid w:val="00603627"/>
    <w:rsid w:val="006036A6"/>
    <w:rsid w:val="00603E2B"/>
    <w:rsid w:val="00603FA8"/>
    <w:rsid w:val="006050DD"/>
    <w:rsid w:val="006057D8"/>
    <w:rsid w:val="00605B31"/>
    <w:rsid w:val="006062EF"/>
    <w:rsid w:val="00606320"/>
    <w:rsid w:val="00606433"/>
    <w:rsid w:val="00607323"/>
    <w:rsid w:val="00607733"/>
    <w:rsid w:val="0061025C"/>
    <w:rsid w:val="006104A0"/>
    <w:rsid w:val="00612261"/>
    <w:rsid w:val="00612559"/>
    <w:rsid w:val="00612D19"/>
    <w:rsid w:val="0061317B"/>
    <w:rsid w:val="006131CF"/>
    <w:rsid w:val="00613693"/>
    <w:rsid w:val="00613972"/>
    <w:rsid w:val="006141B0"/>
    <w:rsid w:val="006143EE"/>
    <w:rsid w:val="00614662"/>
    <w:rsid w:val="00614ACB"/>
    <w:rsid w:val="006159F2"/>
    <w:rsid w:val="00615E70"/>
    <w:rsid w:val="0061629C"/>
    <w:rsid w:val="006170F2"/>
    <w:rsid w:val="0061724B"/>
    <w:rsid w:val="00617398"/>
    <w:rsid w:val="0061761D"/>
    <w:rsid w:val="006207E9"/>
    <w:rsid w:val="00621E70"/>
    <w:rsid w:val="0062220D"/>
    <w:rsid w:val="00623093"/>
    <w:rsid w:val="00624A48"/>
    <w:rsid w:val="0062544F"/>
    <w:rsid w:val="00625B04"/>
    <w:rsid w:val="00626A85"/>
    <w:rsid w:val="00626B7E"/>
    <w:rsid w:val="00630025"/>
    <w:rsid w:val="006310F0"/>
    <w:rsid w:val="006329BB"/>
    <w:rsid w:val="00632BA7"/>
    <w:rsid w:val="00632C89"/>
    <w:rsid w:val="00632E8C"/>
    <w:rsid w:val="00632F97"/>
    <w:rsid w:val="00634091"/>
    <w:rsid w:val="0063478C"/>
    <w:rsid w:val="00634BE1"/>
    <w:rsid w:val="00634F11"/>
    <w:rsid w:val="006359F5"/>
    <w:rsid w:val="00635A18"/>
    <w:rsid w:val="00635A38"/>
    <w:rsid w:val="00635C1F"/>
    <w:rsid w:val="006362C2"/>
    <w:rsid w:val="006377D3"/>
    <w:rsid w:val="00637BB7"/>
    <w:rsid w:val="00641B3E"/>
    <w:rsid w:val="006420D2"/>
    <w:rsid w:val="00642ADD"/>
    <w:rsid w:val="0064312F"/>
    <w:rsid w:val="00643A47"/>
    <w:rsid w:val="00643F9F"/>
    <w:rsid w:val="0064402C"/>
    <w:rsid w:val="006445A2"/>
    <w:rsid w:val="00645946"/>
    <w:rsid w:val="00645969"/>
    <w:rsid w:val="00645C45"/>
    <w:rsid w:val="006460B6"/>
    <w:rsid w:val="00646179"/>
    <w:rsid w:val="006464FD"/>
    <w:rsid w:val="006466DF"/>
    <w:rsid w:val="0064671E"/>
    <w:rsid w:val="0064736E"/>
    <w:rsid w:val="0064763A"/>
    <w:rsid w:val="00650898"/>
    <w:rsid w:val="00650D88"/>
    <w:rsid w:val="00651CE9"/>
    <w:rsid w:val="00652C1D"/>
    <w:rsid w:val="00653140"/>
    <w:rsid w:val="0065434D"/>
    <w:rsid w:val="006544DB"/>
    <w:rsid w:val="00654B99"/>
    <w:rsid w:val="0065531A"/>
    <w:rsid w:val="00655A5F"/>
    <w:rsid w:val="00656647"/>
    <w:rsid w:val="00656CD5"/>
    <w:rsid w:val="0065713B"/>
    <w:rsid w:val="0065713C"/>
    <w:rsid w:val="00657673"/>
    <w:rsid w:val="0065773E"/>
    <w:rsid w:val="00660B1F"/>
    <w:rsid w:val="00660EA3"/>
    <w:rsid w:val="00662194"/>
    <w:rsid w:val="00663486"/>
    <w:rsid w:val="00663B17"/>
    <w:rsid w:val="006669B0"/>
    <w:rsid w:val="00666A40"/>
    <w:rsid w:val="0066793F"/>
    <w:rsid w:val="00671103"/>
    <w:rsid w:val="00671424"/>
    <w:rsid w:val="00671A52"/>
    <w:rsid w:val="00672320"/>
    <w:rsid w:val="006749BB"/>
    <w:rsid w:val="00674B6F"/>
    <w:rsid w:val="006755C1"/>
    <w:rsid w:val="00675F01"/>
    <w:rsid w:val="00675F2B"/>
    <w:rsid w:val="0067601D"/>
    <w:rsid w:val="006772A7"/>
    <w:rsid w:val="006772CA"/>
    <w:rsid w:val="00677B22"/>
    <w:rsid w:val="00677EE9"/>
    <w:rsid w:val="006809C1"/>
    <w:rsid w:val="00680F12"/>
    <w:rsid w:val="00681A6D"/>
    <w:rsid w:val="00682066"/>
    <w:rsid w:val="006822DA"/>
    <w:rsid w:val="00682473"/>
    <w:rsid w:val="006829A8"/>
    <w:rsid w:val="00682FBC"/>
    <w:rsid w:val="0068345A"/>
    <w:rsid w:val="00683A57"/>
    <w:rsid w:val="0068449E"/>
    <w:rsid w:val="00684A4C"/>
    <w:rsid w:val="00684E7F"/>
    <w:rsid w:val="00686CF7"/>
    <w:rsid w:val="006873EA"/>
    <w:rsid w:val="006919B5"/>
    <w:rsid w:val="0069208D"/>
    <w:rsid w:val="00692162"/>
    <w:rsid w:val="00692516"/>
    <w:rsid w:val="00693024"/>
    <w:rsid w:val="0069399A"/>
    <w:rsid w:val="00693C31"/>
    <w:rsid w:val="00694007"/>
    <w:rsid w:val="006942AA"/>
    <w:rsid w:val="00694ABE"/>
    <w:rsid w:val="00694E49"/>
    <w:rsid w:val="00696E8A"/>
    <w:rsid w:val="006971FB"/>
    <w:rsid w:val="006A0B19"/>
    <w:rsid w:val="006A0C67"/>
    <w:rsid w:val="006A0E74"/>
    <w:rsid w:val="006A0FE1"/>
    <w:rsid w:val="006A218F"/>
    <w:rsid w:val="006A2E33"/>
    <w:rsid w:val="006A3F76"/>
    <w:rsid w:val="006A4054"/>
    <w:rsid w:val="006A40A1"/>
    <w:rsid w:val="006A5C00"/>
    <w:rsid w:val="006A6165"/>
    <w:rsid w:val="006A6392"/>
    <w:rsid w:val="006A6DFA"/>
    <w:rsid w:val="006A7E28"/>
    <w:rsid w:val="006B0BE9"/>
    <w:rsid w:val="006B1193"/>
    <w:rsid w:val="006B2116"/>
    <w:rsid w:val="006B2982"/>
    <w:rsid w:val="006B2F28"/>
    <w:rsid w:val="006B3343"/>
    <w:rsid w:val="006B3CA9"/>
    <w:rsid w:val="006B3EB8"/>
    <w:rsid w:val="006B47CC"/>
    <w:rsid w:val="006B4903"/>
    <w:rsid w:val="006B57F7"/>
    <w:rsid w:val="006B63C4"/>
    <w:rsid w:val="006B63E1"/>
    <w:rsid w:val="006B6983"/>
    <w:rsid w:val="006B6E0C"/>
    <w:rsid w:val="006C088B"/>
    <w:rsid w:val="006C0A4C"/>
    <w:rsid w:val="006C1B43"/>
    <w:rsid w:val="006C1D7C"/>
    <w:rsid w:val="006C2055"/>
    <w:rsid w:val="006C22ED"/>
    <w:rsid w:val="006C2464"/>
    <w:rsid w:val="006C26A0"/>
    <w:rsid w:val="006C2D6A"/>
    <w:rsid w:val="006C2FB5"/>
    <w:rsid w:val="006C6FA2"/>
    <w:rsid w:val="006C7000"/>
    <w:rsid w:val="006C71A5"/>
    <w:rsid w:val="006C7763"/>
    <w:rsid w:val="006C7796"/>
    <w:rsid w:val="006D012B"/>
    <w:rsid w:val="006D03C1"/>
    <w:rsid w:val="006D1119"/>
    <w:rsid w:val="006D12A7"/>
    <w:rsid w:val="006D1AC8"/>
    <w:rsid w:val="006D1EBA"/>
    <w:rsid w:val="006D2150"/>
    <w:rsid w:val="006D27A2"/>
    <w:rsid w:val="006D2ACE"/>
    <w:rsid w:val="006D2BD5"/>
    <w:rsid w:val="006D3ECE"/>
    <w:rsid w:val="006D48AD"/>
    <w:rsid w:val="006D4E45"/>
    <w:rsid w:val="006D5350"/>
    <w:rsid w:val="006D600B"/>
    <w:rsid w:val="006D7314"/>
    <w:rsid w:val="006D73E3"/>
    <w:rsid w:val="006E0275"/>
    <w:rsid w:val="006E0317"/>
    <w:rsid w:val="006E0511"/>
    <w:rsid w:val="006E12C1"/>
    <w:rsid w:val="006E1326"/>
    <w:rsid w:val="006E2F58"/>
    <w:rsid w:val="006E355D"/>
    <w:rsid w:val="006E376B"/>
    <w:rsid w:val="006E492E"/>
    <w:rsid w:val="006E5580"/>
    <w:rsid w:val="006E65C1"/>
    <w:rsid w:val="006E7462"/>
    <w:rsid w:val="006E7979"/>
    <w:rsid w:val="006E7DC2"/>
    <w:rsid w:val="006F0263"/>
    <w:rsid w:val="006F0D73"/>
    <w:rsid w:val="006F1342"/>
    <w:rsid w:val="006F200A"/>
    <w:rsid w:val="006F2325"/>
    <w:rsid w:val="006F3D80"/>
    <w:rsid w:val="006F3EF5"/>
    <w:rsid w:val="006F4380"/>
    <w:rsid w:val="006F49F0"/>
    <w:rsid w:val="006F5022"/>
    <w:rsid w:val="006F5A09"/>
    <w:rsid w:val="006F6529"/>
    <w:rsid w:val="006F6BC9"/>
    <w:rsid w:val="006F75EE"/>
    <w:rsid w:val="006F79CD"/>
    <w:rsid w:val="006F7A79"/>
    <w:rsid w:val="006F7F1D"/>
    <w:rsid w:val="00700F7F"/>
    <w:rsid w:val="00702E8D"/>
    <w:rsid w:val="0070360B"/>
    <w:rsid w:val="00704726"/>
    <w:rsid w:val="00704D47"/>
    <w:rsid w:val="00705293"/>
    <w:rsid w:val="007053E7"/>
    <w:rsid w:val="00705884"/>
    <w:rsid w:val="00705BD1"/>
    <w:rsid w:val="0070607F"/>
    <w:rsid w:val="00706144"/>
    <w:rsid w:val="007063F2"/>
    <w:rsid w:val="007069B5"/>
    <w:rsid w:val="00706E77"/>
    <w:rsid w:val="00707B2E"/>
    <w:rsid w:val="00710AD2"/>
    <w:rsid w:val="00710B00"/>
    <w:rsid w:val="00711471"/>
    <w:rsid w:val="00711587"/>
    <w:rsid w:val="00712749"/>
    <w:rsid w:val="00712F60"/>
    <w:rsid w:val="00713853"/>
    <w:rsid w:val="007149D7"/>
    <w:rsid w:val="00715C9F"/>
    <w:rsid w:val="00716DEA"/>
    <w:rsid w:val="0072018D"/>
    <w:rsid w:val="007204A7"/>
    <w:rsid w:val="0072105B"/>
    <w:rsid w:val="00721558"/>
    <w:rsid w:val="007215A9"/>
    <w:rsid w:val="00721936"/>
    <w:rsid w:val="0072199B"/>
    <w:rsid w:val="0072267E"/>
    <w:rsid w:val="00722957"/>
    <w:rsid w:val="00723508"/>
    <w:rsid w:val="007245F4"/>
    <w:rsid w:val="00724995"/>
    <w:rsid w:val="007259FD"/>
    <w:rsid w:val="00726A5C"/>
    <w:rsid w:val="00726DA7"/>
    <w:rsid w:val="007276CD"/>
    <w:rsid w:val="007306B8"/>
    <w:rsid w:val="00730B0E"/>
    <w:rsid w:val="00731F8A"/>
    <w:rsid w:val="0073246F"/>
    <w:rsid w:val="0073286C"/>
    <w:rsid w:val="007328CC"/>
    <w:rsid w:val="007329BB"/>
    <w:rsid w:val="007330DF"/>
    <w:rsid w:val="00735070"/>
    <w:rsid w:val="007351DF"/>
    <w:rsid w:val="00735A6C"/>
    <w:rsid w:val="00735AD3"/>
    <w:rsid w:val="00737D80"/>
    <w:rsid w:val="0074010B"/>
    <w:rsid w:val="0074023C"/>
    <w:rsid w:val="007404F6"/>
    <w:rsid w:val="00741568"/>
    <w:rsid w:val="00741D40"/>
    <w:rsid w:val="00742222"/>
    <w:rsid w:val="00743EA9"/>
    <w:rsid w:val="00744581"/>
    <w:rsid w:val="00744E8F"/>
    <w:rsid w:val="00744F68"/>
    <w:rsid w:val="0074529C"/>
    <w:rsid w:val="007460ED"/>
    <w:rsid w:val="00746D87"/>
    <w:rsid w:val="0074726A"/>
    <w:rsid w:val="00747445"/>
    <w:rsid w:val="00747CC0"/>
    <w:rsid w:val="00747ECC"/>
    <w:rsid w:val="007509C0"/>
    <w:rsid w:val="00750BF8"/>
    <w:rsid w:val="00750E2F"/>
    <w:rsid w:val="00750F9E"/>
    <w:rsid w:val="007515BC"/>
    <w:rsid w:val="007517D1"/>
    <w:rsid w:val="0075192F"/>
    <w:rsid w:val="00751C6F"/>
    <w:rsid w:val="007528F7"/>
    <w:rsid w:val="00753328"/>
    <w:rsid w:val="00753433"/>
    <w:rsid w:val="0075473D"/>
    <w:rsid w:val="00754E11"/>
    <w:rsid w:val="007550EA"/>
    <w:rsid w:val="00756097"/>
    <w:rsid w:val="007569B0"/>
    <w:rsid w:val="00757FA0"/>
    <w:rsid w:val="007601FA"/>
    <w:rsid w:val="00760BE3"/>
    <w:rsid w:val="0076125D"/>
    <w:rsid w:val="00762A4B"/>
    <w:rsid w:val="00762D09"/>
    <w:rsid w:val="00763819"/>
    <w:rsid w:val="007648D6"/>
    <w:rsid w:val="00764F3A"/>
    <w:rsid w:val="00765CC1"/>
    <w:rsid w:val="007669BA"/>
    <w:rsid w:val="0076753C"/>
    <w:rsid w:val="007712EA"/>
    <w:rsid w:val="00771501"/>
    <w:rsid w:val="00772D30"/>
    <w:rsid w:val="007735E7"/>
    <w:rsid w:val="007737D6"/>
    <w:rsid w:val="00773ACD"/>
    <w:rsid w:val="00773C39"/>
    <w:rsid w:val="00774962"/>
    <w:rsid w:val="0077687A"/>
    <w:rsid w:val="007768C5"/>
    <w:rsid w:val="007773BD"/>
    <w:rsid w:val="00777A0A"/>
    <w:rsid w:val="00777B72"/>
    <w:rsid w:val="00777EEE"/>
    <w:rsid w:val="007811C0"/>
    <w:rsid w:val="0078177B"/>
    <w:rsid w:val="007819CF"/>
    <w:rsid w:val="00781D50"/>
    <w:rsid w:val="007824B0"/>
    <w:rsid w:val="00783105"/>
    <w:rsid w:val="007831D8"/>
    <w:rsid w:val="00783657"/>
    <w:rsid w:val="00783CDA"/>
    <w:rsid w:val="007844A5"/>
    <w:rsid w:val="00784745"/>
    <w:rsid w:val="00784B56"/>
    <w:rsid w:val="00785728"/>
    <w:rsid w:val="00786213"/>
    <w:rsid w:val="00786840"/>
    <w:rsid w:val="00791304"/>
    <w:rsid w:val="00791677"/>
    <w:rsid w:val="00791919"/>
    <w:rsid w:val="00791B34"/>
    <w:rsid w:val="00791E8E"/>
    <w:rsid w:val="00792798"/>
    <w:rsid w:val="00792B05"/>
    <w:rsid w:val="007931A9"/>
    <w:rsid w:val="00793A3D"/>
    <w:rsid w:val="007946A9"/>
    <w:rsid w:val="00794BAD"/>
    <w:rsid w:val="00794E52"/>
    <w:rsid w:val="00794E6C"/>
    <w:rsid w:val="00794FBF"/>
    <w:rsid w:val="007952A7"/>
    <w:rsid w:val="007953B1"/>
    <w:rsid w:val="00795892"/>
    <w:rsid w:val="00796982"/>
    <w:rsid w:val="00796B7B"/>
    <w:rsid w:val="007A02C7"/>
    <w:rsid w:val="007A1334"/>
    <w:rsid w:val="007A1CF5"/>
    <w:rsid w:val="007A2C70"/>
    <w:rsid w:val="007A3444"/>
    <w:rsid w:val="007A3659"/>
    <w:rsid w:val="007A375D"/>
    <w:rsid w:val="007A4CBF"/>
    <w:rsid w:val="007A4DFC"/>
    <w:rsid w:val="007A5456"/>
    <w:rsid w:val="007A5826"/>
    <w:rsid w:val="007A657A"/>
    <w:rsid w:val="007B100B"/>
    <w:rsid w:val="007B121E"/>
    <w:rsid w:val="007B1798"/>
    <w:rsid w:val="007B1F89"/>
    <w:rsid w:val="007B249F"/>
    <w:rsid w:val="007B2C86"/>
    <w:rsid w:val="007B334A"/>
    <w:rsid w:val="007B4330"/>
    <w:rsid w:val="007B435A"/>
    <w:rsid w:val="007B5D7E"/>
    <w:rsid w:val="007B62C3"/>
    <w:rsid w:val="007B7409"/>
    <w:rsid w:val="007C0A0C"/>
    <w:rsid w:val="007C1135"/>
    <w:rsid w:val="007C16A7"/>
    <w:rsid w:val="007C17B1"/>
    <w:rsid w:val="007C35BD"/>
    <w:rsid w:val="007C43BB"/>
    <w:rsid w:val="007C4513"/>
    <w:rsid w:val="007C612D"/>
    <w:rsid w:val="007C66E9"/>
    <w:rsid w:val="007C6ED9"/>
    <w:rsid w:val="007C71D1"/>
    <w:rsid w:val="007C734E"/>
    <w:rsid w:val="007D0AE7"/>
    <w:rsid w:val="007D1D13"/>
    <w:rsid w:val="007D36F2"/>
    <w:rsid w:val="007D3B6C"/>
    <w:rsid w:val="007D3F11"/>
    <w:rsid w:val="007D4655"/>
    <w:rsid w:val="007D4891"/>
    <w:rsid w:val="007D4AB6"/>
    <w:rsid w:val="007D552C"/>
    <w:rsid w:val="007D57DC"/>
    <w:rsid w:val="007D5AE2"/>
    <w:rsid w:val="007D764E"/>
    <w:rsid w:val="007D772C"/>
    <w:rsid w:val="007D7EC7"/>
    <w:rsid w:val="007E00A1"/>
    <w:rsid w:val="007E0D98"/>
    <w:rsid w:val="007E1448"/>
    <w:rsid w:val="007E177F"/>
    <w:rsid w:val="007E1B58"/>
    <w:rsid w:val="007E1EEF"/>
    <w:rsid w:val="007E2BB1"/>
    <w:rsid w:val="007E2F2D"/>
    <w:rsid w:val="007E33BA"/>
    <w:rsid w:val="007E3A3A"/>
    <w:rsid w:val="007E3CD0"/>
    <w:rsid w:val="007E413F"/>
    <w:rsid w:val="007E4AD7"/>
    <w:rsid w:val="007E4FF0"/>
    <w:rsid w:val="007E5039"/>
    <w:rsid w:val="007E61D9"/>
    <w:rsid w:val="007E6D47"/>
    <w:rsid w:val="007E71C7"/>
    <w:rsid w:val="007F0096"/>
    <w:rsid w:val="007F199C"/>
    <w:rsid w:val="007F1DFA"/>
    <w:rsid w:val="007F2058"/>
    <w:rsid w:val="007F2B64"/>
    <w:rsid w:val="007F2BB3"/>
    <w:rsid w:val="007F35FA"/>
    <w:rsid w:val="007F3724"/>
    <w:rsid w:val="007F3E93"/>
    <w:rsid w:val="007F4314"/>
    <w:rsid w:val="007F4330"/>
    <w:rsid w:val="007F45A7"/>
    <w:rsid w:val="007F4C1B"/>
    <w:rsid w:val="007F62A9"/>
    <w:rsid w:val="007F6373"/>
    <w:rsid w:val="007F7A53"/>
    <w:rsid w:val="008007C3"/>
    <w:rsid w:val="008022F1"/>
    <w:rsid w:val="008023B1"/>
    <w:rsid w:val="0080288A"/>
    <w:rsid w:val="00802E2A"/>
    <w:rsid w:val="00803569"/>
    <w:rsid w:val="00804874"/>
    <w:rsid w:val="008049CE"/>
    <w:rsid w:val="00804EC4"/>
    <w:rsid w:val="00805E92"/>
    <w:rsid w:val="00807058"/>
    <w:rsid w:val="0080739F"/>
    <w:rsid w:val="0080758E"/>
    <w:rsid w:val="00807733"/>
    <w:rsid w:val="0081025E"/>
    <w:rsid w:val="00811062"/>
    <w:rsid w:val="00811EC1"/>
    <w:rsid w:val="00812154"/>
    <w:rsid w:val="008124E6"/>
    <w:rsid w:val="008126BE"/>
    <w:rsid w:val="00812ACC"/>
    <w:rsid w:val="00812B72"/>
    <w:rsid w:val="00813360"/>
    <w:rsid w:val="00813620"/>
    <w:rsid w:val="008150C5"/>
    <w:rsid w:val="008158C5"/>
    <w:rsid w:val="00816F3A"/>
    <w:rsid w:val="008171ED"/>
    <w:rsid w:val="0081785C"/>
    <w:rsid w:val="00817C06"/>
    <w:rsid w:val="00817F9D"/>
    <w:rsid w:val="00820338"/>
    <w:rsid w:val="00820A32"/>
    <w:rsid w:val="00820A94"/>
    <w:rsid w:val="008212D2"/>
    <w:rsid w:val="008217B0"/>
    <w:rsid w:val="00822DF4"/>
    <w:rsid w:val="008230AC"/>
    <w:rsid w:val="00823B52"/>
    <w:rsid w:val="00823B90"/>
    <w:rsid w:val="008266AB"/>
    <w:rsid w:val="0082796F"/>
    <w:rsid w:val="008303BE"/>
    <w:rsid w:val="00830DC1"/>
    <w:rsid w:val="00831ACA"/>
    <w:rsid w:val="00831AD5"/>
    <w:rsid w:val="00831BAA"/>
    <w:rsid w:val="00831BFF"/>
    <w:rsid w:val="00831DCA"/>
    <w:rsid w:val="00831E32"/>
    <w:rsid w:val="008332CD"/>
    <w:rsid w:val="00834C7B"/>
    <w:rsid w:val="00835691"/>
    <w:rsid w:val="00836367"/>
    <w:rsid w:val="008375CF"/>
    <w:rsid w:val="008379A8"/>
    <w:rsid w:val="00840C42"/>
    <w:rsid w:val="008416C9"/>
    <w:rsid w:val="0084246A"/>
    <w:rsid w:val="00842D46"/>
    <w:rsid w:val="00842E51"/>
    <w:rsid w:val="00843D20"/>
    <w:rsid w:val="00844454"/>
    <w:rsid w:val="0084462B"/>
    <w:rsid w:val="00847192"/>
    <w:rsid w:val="0084731D"/>
    <w:rsid w:val="00847385"/>
    <w:rsid w:val="008476A8"/>
    <w:rsid w:val="00847DFB"/>
    <w:rsid w:val="0085010D"/>
    <w:rsid w:val="00850142"/>
    <w:rsid w:val="00850BCE"/>
    <w:rsid w:val="008511D0"/>
    <w:rsid w:val="00853BA2"/>
    <w:rsid w:val="00854928"/>
    <w:rsid w:val="00855295"/>
    <w:rsid w:val="00855476"/>
    <w:rsid w:val="00855A13"/>
    <w:rsid w:val="00857420"/>
    <w:rsid w:val="0085773A"/>
    <w:rsid w:val="008603F1"/>
    <w:rsid w:val="00860CCE"/>
    <w:rsid w:val="00862540"/>
    <w:rsid w:val="00862551"/>
    <w:rsid w:val="0086275F"/>
    <w:rsid w:val="0086294E"/>
    <w:rsid w:val="00863261"/>
    <w:rsid w:val="00863459"/>
    <w:rsid w:val="008635D1"/>
    <w:rsid w:val="008637E1"/>
    <w:rsid w:val="00864675"/>
    <w:rsid w:val="00864CE2"/>
    <w:rsid w:val="00864D03"/>
    <w:rsid w:val="00867E68"/>
    <w:rsid w:val="00871A8D"/>
    <w:rsid w:val="00871BAB"/>
    <w:rsid w:val="00871C5D"/>
    <w:rsid w:val="00873223"/>
    <w:rsid w:val="0087340F"/>
    <w:rsid w:val="00873D37"/>
    <w:rsid w:val="00874878"/>
    <w:rsid w:val="00874F37"/>
    <w:rsid w:val="00876879"/>
    <w:rsid w:val="00876A29"/>
    <w:rsid w:val="0087749A"/>
    <w:rsid w:val="008775AD"/>
    <w:rsid w:val="0088054F"/>
    <w:rsid w:val="0088302D"/>
    <w:rsid w:val="008830FE"/>
    <w:rsid w:val="008831E9"/>
    <w:rsid w:val="0088364A"/>
    <w:rsid w:val="008836AE"/>
    <w:rsid w:val="008837C6"/>
    <w:rsid w:val="00883A62"/>
    <w:rsid w:val="00883E5D"/>
    <w:rsid w:val="008841C7"/>
    <w:rsid w:val="00884BB1"/>
    <w:rsid w:val="00885271"/>
    <w:rsid w:val="0088541D"/>
    <w:rsid w:val="00885C28"/>
    <w:rsid w:val="00885F6B"/>
    <w:rsid w:val="00887803"/>
    <w:rsid w:val="00887CCF"/>
    <w:rsid w:val="008905DF"/>
    <w:rsid w:val="00891481"/>
    <w:rsid w:val="008933D6"/>
    <w:rsid w:val="00893A34"/>
    <w:rsid w:val="00893B35"/>
    <w:rsid w:val="00893F1F"/>
    <w:rsid w:val="0089408C"/>
    <w:rsid w:val="0089585B"/>
    <w:rsid w:val="00895A54"/>
    <w:rsid w:val="008966AD"/>
    <w:rsid w:val="00896EB2"/>
    <w:rsid w:val="00896FD0"/>
    <w:rsid w:val="00897964"/>
    <w:rsid w:val="008A2903"/>
    <w:rsid w:val="008A2CF5"/>
    <w:rsid w:val="008A2ECB"/>
    <w:rsid w:val="008A3ADD"/>
    <w:rsid w:val="008A41D1"/>
    <w:rsid w:val="008A507A"/>
    <w:rsid w:val="008A61C4"/>
    <w:rsid w:val="008A6B32"/>
    <w:rsid w:val="008A7DEB"/>
    <w:rsid w:val="008A7FF8"/>
    <w:rsid w:val="008B11A2"/>
    <w:rsid w:val="008B19DF"/>
    <w:rsid w:val="008B23FE"/>
    <w:rsid w:val="008B253C"/>
    <w:rsid w:val="008B39F2"/>
    <w:rsid w:val="008B3FC2"/>
    <w:rsid w:val="008B4E94"/>
    <w:rsid w:val="008B7BC0"/>
    <w:rsid w:val="008B7CC7"/>
    <w:rsid w:val="008B7D57"/>
    <w:rsid w:val="008C0590"/>
    <w:rsid w:val="008C0BAD"/>
    <w:rsid w:val="008C1025"/>
    <w:rsid w:val="008C1361"/>
    <w:rsid w:val="008C1654"/>
    <w:rsid w:val="008C2563"/>
    <w:rsid w:val="008C25CD"/>
    <w:rsid w:val="008C2E66"/>
    <w:rsid w:val="008C2E95"/>
    <w:rsid w:val="008C3728"/>
    <w:rsid w:val="008C3CF3"/>
    <w:rsid w:val="008C4059"/>
    <w:rsid w:val="008C4E32"/>
    <w:rsid w:val="008C5061"/>
    <w:rsid w:val="008C5B3A"/>
    <w:rsid w:val="008C6F48"/>
    <w:rsid w:val="008D025F"/>
    <w:rsid w:val="008D321E"/>
    <w:rsid w:val="008D34C4"/>
    <w:rsid w:val="008D4069"/>
    <w:rsid w:val="008D4845"/>
    <w:rsid w:val="008D4C74"/>
    <w:rsid w:val="008D578D"/>
    <w:rsid w:val="008D5CD9"/>
    <w:rsid w:val="008D607D"/>
    <w:rsid w:val="008D77E0"/>
    <w:rsid w:val="008D78F1"/>
    <w:rsid w:val="008E0799"/>
    <w:rsid w:val="008E144C"/>
    <w:rsid w:val="008E1524"/>
    <w:rsid w:val="008E1751"/>
    <w:rsid w:val="008E27E3"/>
    <w:rsid w:val="008E35D5"/>
    <w:rsid w:val="008E4555"/>
    <w:rsid w:val="008E499D"/>
    <w:rsid w:val="008E5543"/>
    <w:rsid w:val="008E5898"/>
    <w:rsid w:val="008E60D0"/>
    <w:rsid w:val="008E722C"/>
    <w:rsid w:val="008E7375"/>
    <w:rsid w:val="008E7A41"/>
    <w:rsid w:val="008F078B"/>
    <w:rsid w:val="008F0C11"/>
    <w:rsid w:val="008F107E"/>
    <w:rsid w:val="008F1459"/>
    <w:rsid w:val="008F1742"/>
    <w:rsid w:val="008F2028"/>
    <w:rsid w:val="008F223B"/>
    <w:rsid w:val="008F26A9"/>
    <w:rsid w:val="008F2714"/>
    <w:rsid w:val="008F2ADE"/>
    <w:rsid w:val="008F38D1"/>
    <w:rsid w:val="008F45DD"/>
    <w:rsid w:val="008F4B87"/>
    <w:rsid w:val="008F524F"/>
    <w:rsid w:val="008F5459"/>
    <w:rsid w:val="008F546B"/>
    <w:rsid w:val="008F5C08"/>
    <w:rsid w:val="008F7446"/>
    <w:rsid w:val="008F7CDF"/>
    <w:rsid w:val="009011FA"/>
    <w:rsid w:val="00903879"/>
    <w:rsid w:val="00903A46"/>
    <w:rsid w:val="009054A6"/>
    <w:rsid w:val="0090573D"/>
    <w:rsid w:val="0090595B"/>
    <w:rsid w:val="009062B0"/>
    <w:rsid w:val="0090680A"/>
    <w:rsid w:val="00907276"/>
    <w:rsid w:val="00907EF1"/>
    <w:rsid w:val="00907F62"/>
    <w:rsid w:val="00910C12"/>
    <w:rsid w:val="009112D6"/>
    <w:rsid w:val="00911779"/>
    <w:rsid w:val="00912523"/>
    <w:rsid w:val="00912583"/>
    <w:rsid w:val="00913285"/>
    <w:rsid w:val="009137B0"/>
    <w:rsid w:val="00913F66"/>
    <w:rsid w:val="0091537A"/>
    <w:rsid w:val="00915CC4"/>
    <w:rsid w:val="0091613C"/>
    <w:rsid w:val="00916DC6"/>
    <w:rsid w:val="00917703"/>
    <w:rsid w:val="0091789C"/>
    <w:rsid w:val="00920FB4"/>
    <w:rsid w:val="00921613"/>
    <w:rsid w:val="00921AD9"/>
    <w:rsid w:val="00921DAC"/>
    <w:rsid w:val="00922DFB"/>
    <w:rsid w:val="0092426D"/>
    <w:rsid w:val="00924DAD"/>
    <w:rsid w:val="00924EF9"/>
    <w:rsid w:val="00926B17"/>
    <w:rsid w:val="00926C0B"/>
    <w:rsid w:val="00927087"/>
    <w:rsid w:val="009273D6"/>
    <w:rsid w:val="009302D1"/>
    <w:rsid w:val="009303FA"/>
    <w:rsid w:val="00931139"/>
    <w:rsid w:val="00931186"/>
    <w:rsid w:val="00931879"/>
    <w:rsid w:val="00931C60"/>
    <w:rsid w:val="00932080"/>
    <w:rsid w:val="00932330"/>
    <w:rsid w:val="0093286B"/>
    <w:rsid w:val="00935002"/>
    <w:rsid w:val="00935E22"/>
    <w:rsid w:val="009361AF"/>
    <w:rsid w:val="009366A0"/>
    <w:rsid w:val="00936BB3"/>
    <w:rsid w:val="009407EE"/>
    <w:rsid w:val="00940A5F"/>
    <w:rsid w:val="00940E8E"/>
    <w:rsid w:val="0094327E"/>
    <w:rsid w:val="00943382"/>
    <w:rsid w:val="00943B26"/>
    <w:rsid w:val="0094493B"/>
    <w:rsid w:val="0094500C"/>
    <w:rsid w:val="00945EB9"/>
    <w:rsid w:val="00950357"/>
    <w:rsid w:val="00950C02"/>
    <w:rsid w:val="00950F1D"/>
    <w:rsid w:val="00951D9B"/>
    <w:rsid w:val="0095200D"/>
    <w:rsid w:val="0095304B"/>
    <w:rsid w:val="0095387A"/>
    <w:rsid w:val="009542D3"/>
    <w:rsid w:val="009544F8"/>
    <w:rsid w:val="00955220"/>
    <w:rsid w:val="009563E5"/>
    <w:rsid w:val="00956DA6"/>
    <w:rsid w:val="009575E3"/>
    <w:rsid w:val="00957F52"/>
    <w:rsid w:val="00960387"/>
    <w:rsid w:val="00961C3D"/>
    <w:rsid w:val="00961DC0"/>
    <w:rsid w:val="00962484"/>
    <w:rsid w:val="0096278C"/>
    <w:rsid w:val="009643C4"/>
    <w:rsid w:val="009644A1"/>
    <w:rsid w:val="009651E6"/>
    <w:rsid w:val="00966DE9"/>
    <w:rsid w:val="00966ECA"/>
    <w:rsid w:val="00967BAA"/>
    <w:rsid w:val="00967C57"/>
    <w:rsid w:val="00970DF3"/>
    <w:rsid w:val="00970F64"/>
    <w:rsid w:val="0097139F"/>
    <w:rsid w:val="0097142D"/>
    <w:rsid w:val="00972B5F"/>
    <w:rsid w:val="009733CF"/>
    <w:rsid w:val="0097564F"/>
    <w:rsid w:val="00975870"/>
    <w:rsid w:val="00975CDC"/>
    <w:rsid w:val="009768F2"/>
    <w:rsid w:val="009805E9"/>
    <w:rsid w:val="00981010"/>
    <w:rsid w:val="00981A56"/>
    <w:rsid w:val="00982E1F"/>
    <w:rsid w:val="00983242"/>
    <w:rsid w:val="0098380C"/>
    <w:rsid w:val="00983A8A"/>
    <w:rsid w:val="00984467"/>
    <w:rsid w:val="00984994"/>
    <w:rsid w:val="00984BA3"/>
    <w:rsid w:val="0098563C"/>
    <w:rsid w:val="009856D8"/>
    <w:rsid w:val="00985BB4"/>
    <w:rsid w:val="0098603E"/>
    <w:rsid w:val="00986964"/>
    <w:rsid w:val="00986F53"/>
    <w:rsid w:val="0099053A"/>
    <w:rsid w:val="009918E8"/>
    <w:rsid w:val="00991ACC"/>
    <w:rsid w:val="00992138"/>
    <w:rsid w:val="00992345"/>
    <w:rsid w:val="009949C5"/>
    <w:rsid w:val="00994B8C"/>
    <w:rsid w:val="009952BD"/>
    <w:rsid w:val="009955D4"/>
    <w:rsid w:val="0099604A"/>
    <w:rsid w:val="009962FE"/>
    <w:rsid w:val="0099669F"/>
    <w:rsid w:val="00997107"/>
    <w:rsid w:val="00997E46"/>
    <w:rsid w:val="009A092A"/>
    <w:rsid w:val="009A0E5A"/>
    <w:rsid w:val="009A131E"/>
    <w:rsid w:val="009A186C"/>
    <w:rsid w:val="009A213F"/>
    <w:rsid w:val="009A2C24"/>
    <w:rsid w:val="009A2DC9"/>
    <w:rsid w:val="009A427E"/>
    <w:rsid w:val="009A5704"/>
    <w:rsid w:val="009A5A92"/>
    <w:rsid w:val="009A5B25"/>
    <w:rsid w:val="009A6068"/>
    <w:rsid w:val="009A6282"/>
    <w:rsid w:val="009B002F"/>
    <w:rsid w:val="009B0739"/>
    <w:rsid w:val="009B0BA5"/>
    <w:rsid w:val="009B1021"/>
    <w:rsid w:val="009B1209"/>
    <w:rsid w:val="009B176A"/>
    <w:rsid w:val="009B2621"/>
    <w:rsid w:val="009B2AFF"/>
    <w:rsid w:val="009B2D9A"/>
    <w:rsid w:val="009B3A49"/>
    <w:rsid w:val="009B3F9B"/>
    <w:rsid w:val="009B4464"/>
    <w:rsid w:val="009B52FB"/>
    <w:rsid w:val="009B5A28"/>
    <w:rsid w:val="009B5ED9"/>
    <w:rsid w:val="009B687E"/>
    <w:rsid w:val="009B6A34"/>
    <w:rsid w:val="009B6B45"/>
    <w:rsid w:val="009B6F00"/>
    <w:rsid w:val="009B78C5"/>
    <w:rsid w:val="009C00DD"/>
    <w:rsid w:val="009C01F1"/>
    <w:rsid w:val="009C1D4F"/>
    <w:rsid w:val="009C2EF0"/>
    <w:rsid w:val="009C3CAF"/>
    <w:rsid w:val="009C4DC5"/>
    <w:rsid w:val="009C5262"/>
    <w:rsid w:val="009C685C"/>
    <w:rsid w:val="009C6B0A"/>
    <w:rsid w:val="009C789E"/>
    <w:rsid w:val="009C7F0F"/>
    <w:rsid w:val="009D045B"/>
    <w:rsid w:val="009D3302"/>
    <w:rsid w:val="009D5543"/>
    <w:rsid w:val="009D5865"/>
    <w:rsid w:val="009D5E4C"/>
    <w:rsid w:val="009D6D25"/>
    <w:rsid w:val="009D718B"/>
    <w:rsid w:val="009D73AE"/>
    <w:rsid w:val="009D77CC"/>
    <w:rsid w:val="009D7E57"/>
    <w:rsid w:val="009E03FB"/>
    <w:rsid w:val="009E06B7"/>
    <w:rsid w:val="009E0ADC"/>
    <w:rsid w:val="009E0AF7"/>
    <w:rsid w:val="009E0B9E"/>
    <w:rsid w:val="009E0C9A"/>
    <w:rsid w:val="009E12F5"/>
    <w:rsid w:val="009E17B9"/>
    <w:rsid w:val="009E2933"/>
    <w:rsid w:val="009E2AAD"/>
    <w:rsid w:val="009E31E7"/>
    <w:rsid w:val="009E37F2"/>
    <w:rsid w:val="009E56D2"/>
    <w:rsid w:val="009E5DEB"/>
    <w:rsid w:val="009E5F94"/>
    <w:rsid w:val="009E66DD"/>
    <w:rsid w:val="009E7796"/>
    <w:rsid w:val="009F0199"/>
    <w:rsid w:val="009F09E6"/>
    <w:rsid w:val="009F2001"/>
    <w:rsid w:val="009F39B2"/>
    <w:rsid w:val="009F43CB"/>
    <w:rsid w:val="009F47EF"/>
    <w:rsid w:val="009F4A2C"/>
    <w:rsid w:val="009F630C"/>
    <w:rsid w:val="009F63CA"/>
    <w:rsid w:val="009F6BED"/>
    <w:rsid w:val="009F7F75"/>
    <w:rsid w:val="00A0287E"/>
    <w:rsid w:val="00A0358C"/>
    <w:rsid w:val="00A03704"/>
    <w:rsid w:val="00A042FA"/>
    <w:rsid w:val="00A05212"/>
    <w:rsid w:val="00A05374"/>
    <w:rsid w:val="00A05AD3"/>
    <w:rsid w:val="00A067D6"/>
    <w:rsid w:val="00A06AC7"/>
    <w:rsid w:val="00A06CAB"/>
    <w:rsid w:val="00A07899"/>
    <w:rsid w:val="00A07C2D"/>
    <w:rsid w:val="00A11347"/>
    <w:rsid w:val="00A12961"/>
    <w:rsid w:val="00A136AC"/>
    <w:rsid w:val="00A13885"/>
    <w:rsid w:val="00A144CF"/>
    <w:rsid w:val="00A1567E"/>
    <w:rsid w:val="00A16684"/>
    <w:rsid w:val="00A169B4"/>
    <w:rsid w:val="00A16CD8"/>
    <w:rsid w:val="00A17723"/>
    <w:rsid w:val="00A178DF"/>
    <w:rsid w:val="00A17A5E"/>
    <w:rsid w:val="00A2066C"/>
    <w:rsid w:val="00A20C92"/>
    <w:rsid w:val="00A21306"/>
    <w:rsid w:val="00A227F2"/>
    <w:rsid w:val="00A22978"/>
    <w:rsid w:val="00A23954"/>
    <w:rsid w:val="00A240B1"/>
    <w:rsid w:val="00A241BD"/>
    <w:rsid w:val="00A24721"/>
    <w:rsid w:val="00A2777E"/>
    <w:rsid w:val="00A3100B"/>
    <w:rsid w:val="00A3103A"/>
    <w:rsid w:val="00A31268"/>
    <w:rsid w:val="00A317B1"/>
    <w:rsid w:val="00A31D36"/>
    <w:rsid w:val="00A31E8F"/>
    <w:rsid w:val="00A325BE"/>
    <w:rsid w:val="00A3580A"/>
    <w:rsid w:val="00A3599A"/>
    <w:rsid w:val="00A35D53"/>
    <w:rsid w:val="00A363E7"/>
    <w:rsid w:val="00A37A3E"/>
    <w:rsid w:val="00A403E8"/>
    <w:rsid w:val="00A41E37"/>
    <w:rsid w:val="00A423DE"/>
    <w:rsid w:val="00A427DD"/>
    <w:rsid w:val="00A4367A"/>
    <w:rsid w:val="00A446C5"/>
    <w:rsid w:val="00A44EB9"/>
    <w:rsid w:val="00A458F0"/>
    <w:rsid w:val="00A46A67"/>
    <w:rsid w:val="00A46BA6"/>
    <w:rsid w:val="00A4723B"/>
    <w:rsid w:val="00A47435"/>
    <w:rsid w:val="00A474F8"/>
    <w:rsid w:val="00A47BBC"/>
    <w:rsid w:val="00A47D2E"/>
    <w:rsid w:val="00A5112F"/>
    <w:rsid w:val="00A51CC9"/>
    <w:rsid w:val="00A51EF6"/>
    <w:rsid w:val="00A52763"/>
    <w:rsid w:val="00A52964"/>
    <w:rsid w:val="00A52EA9"/>
    <w:rsid w:val="00A53F94"/>
    <w:rsid w:val="00A5526A"/>
    <w:rsid w:val="00A56250"/>
    <w:rsid w:val="00A5686F"/>
    <w:rsid w:val="00A57B9E"/>
    <w:rsid w:val="00A57FBA"/>
    <w:rsid w:val="00A623FC"/>
    <w:rsid w:val="00A62A22"/>
    <w:rsid w:val="00A62F97"/>
    <w:rsid w:val="00A65EA6"/>
    <w:rsid w:val="00A665D7"/>
    <w:rsid w:val="00A66C23"/>
    <w:rsid w:val="00A72D91"/>
    <w:rsid w:val="00A739CC"/>
    <w:rsid w:val="00A73D4B"/>
    <w:rsid w:val="00A75229"/>
    <w:rsid w:val="00A752DE"/>
    <w:rsid w:val="00A752EB"/>
    <w:rsid w:val="00A75861"/>
    <w:rsid w:val="00A759A8"/>
    <w:rsid w:val="00A761FA"/>
    <w:rsid w:val="00A771C0"/>
    <w:rsid w:val="00A77C28"/>
    <w:rsid w:val="00A77DD7"/>
    <w:rsid w:val="00A77DFD"/>
    <w:rsid w:val="00A80CA4"/>
    <w:rsid w:val="00A81192"/>
    <w:rsid w:val="00A81297"/>
    <w:rsid w:val="00A815BF"/>
    <w:rsid w:val="00A817F8"/>
    <w:rsid w:val="00A8208D"/>
    <w:rsid w:val="00A82A72"/>
    <w:rsid w:val="00A82B3C"/>
    <w:rsid w:val="00A83959"/>
    <w:rsid w:val="00A8575E"/>
    <w:rsid w:val="00A85A08"/>
    <w:rsid w:val="00A85E8A"/>
    <w:rsid w:val="00A86724"/>
    <w:rsid w:val="00A8672D"/>
    <w:rsid w:val="00A868C3"/>
    <w:rsid w:val="00A87458"/>
    <w:rsid w:val="00A901DE"/>
    <w:rsid w:val="00A90B93"/>
    <w:rsid w:val="00A914EF"/>
    <w:rsid w:val="00A92E1D"/>
    <w:rsid w:val="00A9312E"/>
    <w:rsid w:val="00A9326C"/>
    <w:rsid w:val="00A93285"/>
    <w:rsid w:val="00A9335A"/>
    <w:rsid w:val="00A93A48"/>
    <w:rsid w:val="00A94A73"/>
    <w:rsid w:val="00A94F1D"/>
    <w:rsid w:val="00A95333"/>
    <w:rsid w:val="00A95810"/>
    <w:rsid w:val="00A95929"/>
    <w:rsid w:val="00A95DA6"/>
    <w:rsid w:val="00A96A24"/>
    <w:rsid w:val="00A96A68"/>
    <w:rsid w:val="00A96CEB"/>
    <w:rsid w:val="00A9768A"/>
    <w:rsid w:val="00A97DC2"/>
    <w:rsid w:val="00AA0305"/>
    <w:rsid w:val="00AA0697"/>
    <w:rsid w:val="00AA0A5D"/>
    <w:rsid w:val="00AA0B9A"/>
    <w:rsid w:val="00AA0E14"/>
    <w:rsid w:val="00AA1A66"/>
    <w:rsid w:val="00AA1E55"/>
    <w:rsid w:val="00AA1EEA"/>
    <w:rsid w:val="00AA2A15"/>
    <w:rsid w:val="00AA2A96"/>
    <w:rsid w:val="00AA2C6C"/>
    <w:rsid w:val="00AA42A7"/>
    <w:rsid w:val="00AA4988"/>
    <w:rsid w:val="00AA4AD5"/>
    <w:rsid w:val="00AA5290"/>
    <w:rsid w:val="00AA5997"/>
    <w:rsid w:val="00AA6887"/>
    <w:rsid w:val="00AA714E"/>
    <w:rsid w:val="00AB00D3"/>
    <w:rsid w:val="00AB054B"/>
    <w:rsid w:val="00AB058A"/>
    <w:rsid w:val="00AB06C4"/>
    <w:rsid w:val="00AB0A92"/>
    <w:rsid w:val="00AB1C8B"/>
    <w:rsid w:val="00AB3481"/>
    <w:rsid w:val="00AB4A7C"/>
    <w:rsid w:val="00AB4B80"/>
    <w:rsid w:val="00AB5521"/>
    <w:rsid w:val="00AB6A83"/>
    <w:rsid w:val="00AB7678"/>
    <w:rsid w:val="00AB7A02"/>
    <w:rsid w:val="00AC014E"/>
    <w:rsid w:val="00AC0A6C"/>
    <w:rsid w:val="00AC2136"/>
    <w:rsid w:val="00AC238D"/>
    <w:rsid w:val="00AC2C7B"/>
    <w:rsid w:val="00AC4B7F"/>
    <w:rsid w:val="00AC5973"/>
    <w:rsid w:val="00AC6C4D"/>
    <w:rsid w:val="00AC6CE1"/>
    <w:rsid w:val="00AC7238"/>
    <w:rsid w:val="00AC77E5"/>
    <w:rsid w:val="00AC7BEB"/>
    <w:rsid w:val="00AC7C05"/>
    <w:rsid w:val="00AD009A"/>
    <w:rsid w:val="00AD162D"/>
    <w:rsid w:val="00AD16E4"/>
    <w:rsid w:val="00AD2189"/>
    <w:rsid w:val="00AD24CC"/>
    <w:rsid w:val="00AD2C02"/>
    <w:rsid w:val="00AD31A9"/>
    <w:rsid w:val="00AD370E"/>
    <w:rsid w:val="00AD5287"/>
    <w:rsid w:val="00AD5B79"/>
    <w:rsid w:val="00AD6CF5"/>
    <w:rsid w:val="00AD7847"/>
    <w:rsid w:val="00AE000A"/>
    <w:rsid w:val="00AE097A"/>
    <w:rsid w:val="00AE110D"/>
    <w:rsid w:val="00AE13E0"/>
    <w:rsid w:val="00AE18A3"/>
    <w:rsid w:val="00AE1B5A"/>
    <w:rsid w:val="00AE2151"/>
    <w:rsid w:val="00AE249D"/>
    <w:rsid w:val="00AE2D06"/>
    <w:rsid w:val="00AE31B0"/>
    <w:rsid w:val="00AE36D9"/>
    <w:rsid w:val="00AE3A97"/>
    <w:rsid w:val="00AE3EC0"/>
    <w:rsid w:val="00AE4916"/>
    <w:rsid w:val="00AE4F0A"/>
    <w:rsid w:val="00AE6FC4"/>
    <w:rsid w:val="00AF0479"/>
    <w:rsid w:val="00AF0B87"/>
    <w:rsid w:val="00AF26A2"/>
    <w:rsid w:val="00AF2FFF"/>
    <w:rsid w:val="00AF311A"/>
    <w:rsid w:val="00AF36F4"/>
    <w:rsid w:val="00AF375D"/>
    <w:rsid w:val="00AF3A1F"/>
    <w:rsid w:val="00AF3DFB"/>
    <w:rsid w:val="00AF411C"/>
    <w:rsid w:val="00AF42E8"/>
    <w:rsid w:val="00AF43D1"/>
    <w:rsid w:val="00AF4B64"/>
    <w:rsid w:val="00AF71D3"/>
    <w:rsid w:val="00AF79BF"/>
    <w:rsid w:val="00AF7EC6"/>
    <w:rsid w:val="00B00D46"/>
    <w:rsid w:val="00B013AF"/>
    <w:rsid w:val="00B014CF"/>
    <w:rsid w:val="00B01B51"/>
    <w:rsid w:val="00B02255"/>
    <w:rsid w:val="00B03333"/>
    <w:rsid w:val="00B033B6"/>
    <w:rsid w:val="00B03CF8"/>
    <w:rsid w:val="00B03D95"/>
    <w:rsid w:val="00B0406A"/>
    <w:rsid w:val="00B04C79"/>
    <w:rsid w:val="00B06841"/>
    <w:rsid w:val="00B06B03"/>
    <w:rsid w:val="00B07DB6"/>
    <w:rsid w:val="00B10D3F"/>
    <w:rsid w:val="00B11354"/>
    <w:rsid w:val="00B113E5"/>
    <w:rsid w:val="00B1162D"/>
    <w:rsid w:val="00B116EF"/>
    <w:rsid w:val="00B11754"/>
    <w:rsid w:val="00B13137"/>
    <w:rsid w:val="00B134A7"/>
    <w:rsid w:val="00B14464"/>
    <w:rsid w:val="00B14C06"/>
    <w:rsid w:val="00B153F0"/>
    <w:rsid w:val="00B1590D"/>
    <w:rsid w:val="00B162A3"/>
    <w:rsid w:val="00B16743"/>
    <w:rsid w:val="00B1676A"/>
    <w:rsid w:val="00B16D79"/>
    <w:rsid w:val="00B17696"/>
    <w:rsid w:val="00B17ECC"/>
    <w:rsid w:val="00B22100"/>
    <w:rsid w:val="00B221A2"/>
    <w:rsid w:val="00B23398"/>
    <w:rsid w:val="00B24272"/>
    <w:rsid w:val="00B245B0"/>
    <w:rsid w:val="00B24F0A"/>
    <w:rsid w:val="00B25B33"/>
    <w:rsid w:val="00B25B91"/>
    <w:rsid w:val="00B26CB5"/>
    <w:rsid w:val="00B26E56"/>
    <w:rsid w:val="00B26F5C"/>
    <w:rsid w:val="00B27568"/>
    <w:rsid w:val="00B279B0"/>
    <w:rsid w:val="00B30E8B"/>
    <w:rsid w:val="00B31879"/>
    <w:rsid w:val="00B326D9"/>
    <w:rsid w:val="00B3311C"/>
    <w:rsid w:val="00B33125"/>
    <w:rsid w:val="00B336DF"/>
    <w:rsid w:val="00B33A7C"/>
    <w:rsid w:val="00B34A3B"/>
    <w:rsid w:val="00B3524C"/>
    <w:rsid w:val="00B355C5"/>
    <w:rsid w:val="00B35D5E"/>
    <w:rsid w:val="00B36118"/>
    <w:rsid w:val="00B3673D"/>
    <w:rsid w:val="00B371FE"/>
    <w:rsid w:val="00B41A45"/>
    <w:rsid w:val="00B42D8A"/>
    <w:rsid w:val="00B436B3"/>
    <w:rsid w:val="00B43F15"/>
    <w:rsid w:val="00B44C6C"/>
    <w:rsid w:val="00B4579E"/>
    <w:rsid w:val="00B46C7C"/>
    <w:rsid w:val="00B4757F"/>
    <w:rsid w:val="00B50F78"/>
    <w:rsid w:val="00B5131A"/>
    <w:rsid w:val="00B5187A"/>
    <w:rsid w:val="00B5247F"/>
    <w:rsid w:val="00B526D7"/>
    <w:rsid w:val="00B52E33"/>
    <w:rsid w:val="00B53A0C"/>
    <w:rsid w:val="00B5555A"/>
    <w:rsid w:val="00B55CD1"/>
    <w:rsid w:val="00B57436"/>
    <w:rsid w:val="00B57F16"/>
    <w:rsid w:val="00B605F9"/>
    <w:rsid w:val="00B61C67"/>
    <w:rsid w:val="00B62042"/>
    <w:rsid w:val="00B62A9E"/>
    <w:rsid w:val="00B6314D"/>
    <w:rsid w:val="00B63274"/>
    <w:rsid w:val="00B63B07"/>
    <w:rsid w:val="00B64BD8"/>
    <w:rsid w:val="00B65476"/>
    <w:rsid w:val="00B65627"/>
    <w:rsid w:val="00B6642B"/>
    <w:rsid w:val="00B6664A"/>
    <w:rsid w:val="00B70EFF"/>
    <w:rsid w:val="00B713DA"/>
    <w:rsid w:val="00B71654"/>
    <w:rsid w:val="00B727C2"/>
    <w:rsid w:val="00B738A0"/>
    <w:rsid w:val="00B738C7"/>
    <w:rsid w:val="00B73F8A"/>
    <w:rsid w:val="00B747AC"/>
    <w:rsid w:val="00B753A7"/>
    <w:rsid w:val="00B77124"/>
    <w:rsid w:val="00B8023E"/>
    <w:rsid w:val="00B813E4"/>
    <w:rsid w:val="00B815B6"/>
    <w:rsid w:val="00B82106"/>
    <w:rsid w:val="00B82526"/>
    <w:rsid w:val="00B825AA"/>
    <w:rsid w:val="00B82809"/>
    <w:rsid w:val="00B82CB2"/>
    <w:rsid w:val="00B83170"/>
    <w:rsid w:val="00B841A7"/>
    <w:rsid w:val="00B849A3"/>
    <w:rsid w:val="00B84E6B"/>
    <w:rsid w:val="00B84FAC"/>
    <w:rsid w:val="00B86368"/>
    <w:rsid w:val="00B86AB4"/>
    <w:rsid w:val="00B86D78"/>
    <w:rsid w:val="00B91224"/>
    <w:rsid w:val="00B91420"/>
    <w:rsid w:val="00B91545"/>
    <w:rsid w:val="00B92DEC"/>
    <w:rsid w:val="00B93198"/>
    <w:rsid w:val="00B93E62"/>
    <w:rsid w:val="00B9418A"/>
    <w:rsid w:val="00B94FA0"/>
    <w:rsid w:val="00B9525A"/>
    <w:rsid w:val="00B95851"/>
    <w:rsid w:val="00B958CD"/>
    <w:rsid w:val="00B95BFB"/>
    <w:rsid w:val="00B961B8"/>
    <w:rsid w:val="00B96BD2"/>
    <w:rsid w:val="00B96FAA"/>
    <w:rsid w:val="00BA015D"/>
    <w:rsid w:val="00BA064C"/>
    <w:rsid w:val="00BA0C85"/>
    <w:rsid w:val="00BA1B22"/>
    <w:rsid w:val="00BA27DB"/>
    <w:rsid w:val="00BA4091"/>
    <w:rsid w:val="00BA4728"/>
    <w:rsid w:val="00BA4735"/>
    <w:rsid w:val="00BA4DEC"/>
    <w:rsid w:val="00BA5835"/>
    <w:rsid w:val="00BA7086"/>
    <w:rsid w:val="00BA7E20"/>
    <w:rsid w:val="00BB05EC"/>
    <w:rsid w:val="00BB115D"/>
    <w:rsid w:val="00BB1D10"/>
    <w:rsid w:val="00BB25C8"/>
    <w:rsid w:val="00BB2DB8"/>
    <w:rsid w:val="00BB3A22"/>
    <w:rsid w:val="00BB3A50"/>
    <w:rsid w:val="00BB45A1"/>
    <w:rsid w:val="00BB4C31"/>
    <w:rsid w:val="00BB4D9B"/>
    <w:rsid w:val="00BB578F"/>
    <w:rsid w:val="00BB5D53"/>
    <w:rsid w:val="00BB60AA"/>
    <w:rsid w:val="00BB647C"/>
    <w:rsid w:val="00BB71A4"/>
    <w:rsid w:val="00BC0C83"/>
    <w:rsid w:val="00BC2150"/>
    <w:rsid w:val="00BC33E7"/>
    <w:rsid w:val="00BC3C70"/>
    <w:rsid w:val="00BC3C85"/>
    <w:rsid w:val="00BC4153"/>
    <w:rsid w:val="00BC61B1"/>
    <w:rsid w:val="00BC74B2"/>
    <w:rsid w:val="00BD013B"/>
    <w:rsid w:val="00BD0468"/>
    <w:rsid w:val="00BD1177"/>
    <w:rsid w:val="00BD1F16"/>
    <w:rsid w:val="00BD201F"/>
    <w:rsid w:val="00BD2959"/>
    <w:rsid w:val="00BD2EEF"/>
    <w:rsid w:val="00BD367F"/>
    <w:rsid w:val="00BD3BA6"/>
    <w:rsid w:val="00BD3EC0"/>
    <w:rsid w:val="00BD4E2E"/>
    <w:rsid w:val="00BD55D3"/>
    <w:rsid w:val="00BD56D3"/>
    <w:rsid w:val="00BD57D5"/>
    <w:rsid w:val="00BD7280"/>
    <w:rsid w:val="00BD787F"/>
    <w:rsid w:val="00BD7E26"/>
    <w:rsid w:val="00BE00F2"/>
    <w:rsid w:val="00BE0D38"/>
    <w:rsid w:val="00BE1FF4"/>
    <w:rsid w:val="00BE209A"/>
    <w:rsid w:val="00BE2293"/>
    <w:rsid w:val="00BE243E"/>
    <w:rsid w:val="00BE24AF"/>
    <w:rsid w:val="00BE37DF"/>
    <w:rsid w:val="00BE37E1"/>
    <w:rsid w:val="00BE4B28"/>
    <w:rsid w:val="00BE4B80"/>
    <w:rsid w:val="00BE4ED0"/>
    <w:rsid w:val="00BE4EEE"/>
    <w:rsid w:val="00BE5651"/>
    <w:rsid w:val="00BE57F6"/>
    <w:rsid w:val="00BE5F0A"/>
    <w:rsid w:val="00BE6F1D"/>
    <w:rsid w:val="00BE7220"/>
    <w:rsid w:val="00BF021D"/>
    <w:rsid w:val="00BF0BF3"/>
    <w:rsid w:val="00BF0CB7"/>
    <w:rsid w:val="00BF0FFB"/>
    <w:rsid w:val="00BF20FD"/>
    <w:rsid w:val="00BF2D80"/>
    <w:rsid w:val="00BF2DF2"/>
    <w:rsid w:val="00BF325B"/>
    <w:rsid w:val="00BF32A0"/>
    <w:rsid w:val="00BF34A5"/>
    <w:rsid w:val="00BF35B4"/>
    <w:rsid w:val="00BF3799"/>
    <w:rsid w:val="00BF3828"/>
    <w:rsid w:val="00BF39F5"/>
    <w:rsid w:val="00BF4F4D"/>
    <w:rsid w:val="00BF5144"/>
    <w:rsid w:val="00BF53EF"/>
    <w:rsid w:val="00BF577A"/>
    <w:rsid w:val="00BF5E9D"/>
    <w:rsid w:val="00BF6F27"/>
    <w:rsid w:val="00BF7D32"/>
    <w:rsid w:val="00C004EF"/>
    <w:rsid w:val="00C00635"/>
    <w:rsid w:val="00C00747"/>
    <w:rsid w:val="00C01116"/>
    <w:rsid w:val="00C02336"/>
    <w:rsid w:val="00C032DF"/>
    <w:rsid w:val="00C04254"/>
    <w:rsid w:val="00C043A7"/>
    <w:rsid w:val="00C044F1"/>
    <w:rsid w:val="00C04720"/>
    <w:rsid w:val="00C050D3"/>
    <w:rsid w:val="00C05B89"/>
    <w:rsid w:val="00C0751A"/>
    <w:rsid w:val="00C07F54"/>
    <w:rsid w:val="00C10374"/>
    <w:rsid w:val="00C10D9C"/>
    <w:rsid w:val="00C12840"/>
    <w:rsid w:val="00C14867"/>
    <w:rsid w:val="00C1593D"/>
    <w:rsid w:val="00C15D6A"/>
    <w:rsid w:val="00C163F8"/>
    <w:rsid w:val="00C172E3"/>
    <w:rsid w:val="00C17425"/>
    <w:rsid w:val="00C17848"/>
    <w:rsid w:val="00C2005F"/>
    <w:rsid w:val="00C20208"/>
    <w:rsid w:val="00C217D7"/>
    <w:rsid w:val="00C21910"/>
    <w:rsid w:val="00C21DBD"/>
    <w:rsid w:val="00C22372"/>
    <w:rsid w:val="00C22791"/>
    <w:rsid w:val="00C233F2"/>
    <w:rsid w:val="00C2366E"/>
    <w:rsid w:val="00C244FF"/>
    <w:rsid w:val="00C26A8B"/>
    <w:rsid w:val="00C27919"/>
    <w:rsid w:val="00C279A6"/>
    <w:rsid w:val="00C27FC3"/>
    <w:rsid w:val="00C30622"/>
    <w:rsid w:val="00C30687"/>
    <w:rsid w:val="00C3108A"/>
    <w:rsid w:val="00C32363"/>
    <w:rsid w:val="00C33D51"/>
    <w:rsid w:val="00C33E1E"/>
    <w:rsid w:val="00C35AB0"/>
    <w:rsid w:val="00C35BF3"/>
    <w:rsid w:val="00C3670D"/>
    <w:rsid w:val="00C37F9B"/>
    <w:rsid w:val="00C407C6"/>
    <w:rsid w:val="00C40944"/>
    <w:rsid w:val="00C41370"/>
    <w:rsid w:val="00C41EED"/>
    <w:rsid w:val="00C42F63"/>
    <w:rsid w:val="00C43399"/>
    <w:rsid w:val="00C436E4"/>
    <w:rsid w:val="00C43BEE"/>
    <w:rsid w:val="00C442B6"/>
    <w:rsid w:val="00C44EDE"/>
    <w:rsid w:val="00C459A1"/>
    <w:rsid w:val="00C46A71"/>
    <w:rsid w:val="00C50803"/>
    <w:rsid w:val="00C5096F"/>
    <w:rsid w:val="00C50B9F"/>
    <w:rsid w:val="00C5170B"/>
    <w:rsid w:val="00C525DC"/>
    <w:rsid w:val="00C52B10"/>
    <w:rsid w:val="00C5302D"/>
    <w:rsid w:val="00C5403F"/>
    <w:rsid w:val="00C547B2"/>
    <w:rsid w:val="00C55411"/>
    <w:rsid w:val="00C55746"/>
    <w:rsid w:val="00C55956"/>
    <w:rsid w:val="00C55C68"/>
    <w:rsid w:val="00C55CDD"/>
    <w:rsid w:val="00C56560"/>
    <w:rsid w:val="00C56A52"/>
    <w:rsid w:val="00C5787F"/>
    <w:rsid w:val="00C579C3"/>
    <w:rsid w:val="00C57E44"/>
    <w:rsid w:val="00C60E71"/>
    <w:rsid w:val="00C6130E"/>
    <w:rsid w:val="00C61A6F"/>
    <w:rsid w:val="00C62F4A"/>
    <w:rsid w:val="00C6318D"/>
    <w:rsid w:val="00C634DB"/>
    <w:rsid w:val="00C63883"/>
    <w:rsid w:val="00C63D30"/>
    <w:rsid w:val="00C66276"/>
    <w:rsid w:val="00C66506"/>
    <w:rsid w:val="00C70729"/>
    <w:rsid w:val="00C70F6F"/>
    <w:rsid w:val="00C7240B"/>
    <w:rsid w:val="00C72A25"/>
    <w:rsid w:val="00C72EF0"/>
    <w:rsid w:val="00C7318D"/>
    <w:rsid w:val="00C73688"/>
    <w:rsid w:val="00C73AEA"/>
    <w:rsid w:val="00C7481F"/>
    <w:rsid w:val="00C74CC2"/>
    <w:rsid w:val="00C75D99"/>
    <w:rsid w:val="00C76487"/>
    <w:rsid w:val="00C77322"/>
    <w:rsid w:val="00C77956"/>
    <w:rsid w:val="00C77ACD"/>
    <w:rsid w:val="00C77BEA"/>
    <w:rsid w:val="00C8120A"/>
    <w:rsid w:val="00C81AEA"/>
    <w:rsid w:val="00C82EB8"/>
    <w:rsid w:val="00C82FC1"/>
    <w:rsid w:val="00C83726"/>
    <w:rsid w:val="00C8444F"/>
    <w:rsid w:val="00C85536"/>
    <w:rsid w:val="00C87F18"/>
    <w:rsid w:val="00C90E9C"/>
    <w:rsid w:val="00C913B8"/>
    <w:rsid w:val="00C9154A"/>
    <w:rsid w:val="00C9240D"/>
    <w:rsid w:val="00C95B45"/>
    <w:rsid w:val="00C96565"/>
    <w:rsid w:val="00C9679D"/>
    <w:rsid w:val="00C968AE"/>
    <w:rsid w:val="00C96B71"/>
    <w:rsid w:val="00C96E8D"/>
    <w:rsid w:val="00C9766A"/>
    <w:rsid w:val="00C9795B"/>
    <w:rsid w:val="00CA1310"/>
    <w:rsid w:val="00CA27D5"/>
    <w:rsid w:val="00CA3336"/>
    <w:rsid w:val="00CA3630"/>
    <w:rsid w:val="00CA36E0"/>
    <w:rsid w:val="00CA49A2"/>
    <w:rsid w:val="00CA4D80"/>
    <w:rsid w:val="00CA552A"/>
    <w:rsid w:val="00CA55AC"/>
    <w:rsid w:val="00CA58AB"/>
    <w:rsid w:val="00CA5CDA"/>
    <w:rsid w:val="00CA5DA4"/>
    <w:rsid w:val="00CA62A2"/>
    <w:rsid w:val="00CA6831"/>
    <w:rsid w:val="00CA683E"/>
    <w:rsid w:val="00CB0179"/>
    <w:rsid w:val="00CB0C87"/>
    <w:rsid w:val="00CB2278"/>
    <w:rsid w:val="00CB2B8F"/>
    <w:rsid w:val="00CB3359"/>
    <w:rsid w:val="00CB3395"/>
    <w:rsid w:val="00CB4515"/>
    <w:rsid w:val="00CB6A9B"/>
    <w:rsid w:val="00CB6BD8"/>
    <w:rsid w:val="00CB74C1"/>
    <w:rsid w:val="00CC0031"/>
    <w:rsid w:val="00CC0A98"/>
    <w:rsid w:val="00CC18D3"/>
    <w:rsid w:val="00CC1B2D"/>
    <w:rsid w:val="00CC21CC"/>
    <w:rsid w:val="00CC2C4F"/>
    <w:rsid w:val="00CC356D"/>
    <w:rsid w:val="00CC3FDF"/>
    <w:rsid w:val="00CC50FC"/>
    <w:rsid w:val="00CC60B9"/>
    <w:rsid w:val="00CC6AB5"/>
    <w:rsid w:val="00CC70A2"/>
    <w:rsid w:val="00CC7AE9"/>
    <w:rsid w:val="00CD086A"/>
    <w:rsid w:val="00CD10EC"/>
    <w:rsid w:val="00CD1628"/>
    <w:rsid w:val="00CD21E1"/>
    <w:rsid w:val="00CD2712"/>
    <w:rsid w:val="00CD2F03"/>
    <w:rsid w:val="00CD3DBE"/>
    <w:rsid w:val="00CD41EE"/>
    <w:rsid w:val="00CD4482"/>
    <w:rsid w:val="00CD476F"/>
    <w:rsid w:val="00CD56A3"/>
    <w:rsid w:val="00CD5A85"/>
    <w:rsid w:val="00CD664F"/>
    <w:rsid w:val="00CD7C95"/>
    <w:rsid w:val="00CE0E03"/>
    <w:rsid w:val="00CE20CD"/>
    <w:rsid w:val="00CE2CE9"/>
    <w:rsid w:val="00CE3D5E"/>
    <w:rsid w:val="00CE3F91"/>
    <w:rsid w:val="00CE4977"/>
    <w:rsid w:val="00CE52D8"/>
    <w:rsid w:val="00CE72B4"/>
    <w:rsid w:val="00CE776D"/>
    <w:rsid w:val="00CE7888"/>
    <w:rsid w:val="00CE7B2D"/>
    <w:rsid w:val="00CE7CC4"/>
    <w:rsid w:val="00CF1BBD"/>
    <w:rsid w:val="00CF241C"/>
    <w:rsid w:val="00CF3242"/>
    <w:rsid w:val="00CF32E9"/>
    <w:rsid w:val="00CF345C"/>
    <w:rsid w:val="00CF3E70"/>
    <w:rsid w:val="00CF3EE4"/>
    <w:rsid w:val="00CF4775"/>
    <w:rsid w:val="00CF4E94"/>
    <w:rsid w:val="00CF5086"/>
    <w:rsid w:val="00CF56C1"/>
    <w:rsid w:val="00CF5C5E"/>
    <w:rsid w:val="00CF6282"/>
    <w:rsid w:val="00CF68E8"/>
    <w:rsid w:val="00CF75BA"/>
    <w:rsid w:val="00CF7CEC"/>
    <w:rsid w:val="00D010E3"/>
    <w:rsid w:val="00D01122"/>
    <w:rsid w:val="00D01A19"/>
    <w:rsid w:val="00D01BBA"/>
    <w:rsid w:val="00D02E90"/>
    <w:rsid w:val="00D03138"/>
    <w:rsid w:val="00D04109"/>
    <w:rsid w:val="00D041C1"/>
    <w:rsid w:val="00D04FA2"/>
    <w:rsid w:val="00D05810"/>
    <w:rsid w:val="00D07968"/>
    <w:rsid w:val="00D10038"/>
    <w:rsid w:val="00D101F0"/>
    <w:rsid w:val="00D10249"/>
    <w:rsid w:val="00D10925"/>
    <w:rsid w:val="00D10C1B"/>
    <w:rsid w:val="00D111A4"/>
    <w:rsid w:val="00D111F4"/>
    <w:rsid w:val="00D124ED"/>
    <w:rsid w:val="00D12A31"/>
    <w:rsid w:val="00D12E65"/>
    <w:rsid w:val="00D148A0"/>
    <w:rsid w:val="00D14E5E"/>
    <w:rsid w:val="00D1574B"/>
    <w:rsid w:val="00D15ADE"/>
    <w:rsid w:val="00D202AA"/>
    <w:rsid w:val="00D20416"/>
    <w:rsid w:val="00D2056E"/>
    <w:rsid w:val="00D2061E"/>
    <w:rsid w:val="00D20CCF"/>
    <w:rsid w:val="00D21942"/>
    <w:rsid w:val="00D21ECC"/>
    <w:rsid w:val="00D22B65"/>
    <w:rsid w:val="00D23682"/>
    <w:rsid w:val="00D238ED"/>
    <w:rsid w:val="00D24E93"/>
    <w:rsid w:val="00D265DE"/>
    <w:rsid w:val="00D26A3D"/>
    <w:rsid w:val="00D26B43"/>
    <w:rsid w:val="00D2792C"/>
    <w:rsid w:val="00D27E0B"/>
    <w:rsid w:val="00D3064A"/>
    <w:rsid w:val="00D30689"/>
    <w:rsid w:val="00D30A04"/>
    <w:rsid w:val="00D30B2F"/>
    <w:rsid w:val="00D30C9F"/>
    <w:rsid w:val="00D3196B"/>
    <w:rsid w:val="00D324FC"/>
    <w:rsid w:val="00D33F8C"/>
    <w:rsid w:val="00D343DF"/>
    <w:rsid w:val="00D35675"/>
    <w:rsid w:val="00D35F36"/>
    <w:rsid w:val="00D378DF"/>
    <w:rsid w:val="00D40878"/>
    <w:rsid w:val="00D41322"/>
    <w:rsid w:val="00D4254F"/>
    <w:rsid w:val="00D42B0C"/>
    <w:rsid w:val="00D44D90"/>
    <w:rsid w:val="00D45823"/>
    <w:rsid w:val="00D47AC5"/>
    <w:rsid w:val="00D504DC"/>
    <w:rsid w:val="00D5113F"/>
    <w:rsid w:val="00D5276B"/>
    <w:rsid w:val="00D537A1"/>
    <w:rsid w:val="00D53CE6"/>
    <w:rsid w:val="00D5545B"/>
    <w:rsid w:val="00D55961"/>
    <w:rsid w:val="00D56336"/>
    <w:rsid w:val="00D5644E"/>
    <w:rsid w:val="00D56BA7"/>
    <w:rsid w:val="00D576E9"/>
    <w:rsid w:val="00D5781D"/>
    <w:rsid w:val="00D578CA"/>
    <w:rsid w:val="00D61708"/>
    <w:rsid w:val="00D617EF"/>
    <w:rsid w:val="00D61976"/>
    <w:rsid w:val="00D61EBA"/>
    <w:rsid w:val="00D6244E"/>
    <w:rsid w:val="00D62ECD"/>
    <w:rsid w:val="00D6414C"/>
    <w:rsid w:val="00D65CF2"/>
    <w:rsid w:val="00D65EA9"/>
    <w:rsid w:val="00D6682C"/>
    <w:rsid w:val="00D66CF8"/>
    <w:rsid w:val="00D66DB5"/>
    <w:rsid w:val="00D67F9B"/>
    <w:rsid w:val="00D7008D"/>
    <w:rsid w:val="00D7086E"/>
    <w:rsid w:val="00D70C49"/>
    <w:rsid w:val="00D70F3A"/>
    <w:rsid w:val="00D72AB8"/>
    <w:rsid w:val="00D72BEF"/>
    <w:rsid w:val="00D72C62"/>
    <w:rsid w:val="00D73886"/>
    <w:rsid w:val="00D7441F"/>
    <w:rsid w:val="00D74702"/>
    <w:rsid w:val="00D75EB2"/>
    <w:rsid w:val="00D76AB8"/>
    <w:rsid w:val="00D76E31"/>
    <w:rsid w:val="00D772B3"/>
    <w:rsid w:val="00D776EA"/>
    <w:rsid w:val="00D77A52"/>
    <w:rsid w:val="00D80018"/>
    <w:rsid w:val="00D80841"/>
    <w:rsid w:val="00D81B58"/>
    <w:rsid w:val="00D81C14"/>
    <w:rsid w:val="00D82A01"/>
    <w:rsid w:val="00D832D5"/>
    <w:rsid w:val="00D83376"/>
    <w:rsid w:val="00D84B5D"/>
    <w:rsid w:val="00D853FF"/>
    <w:rsid w:val="00D85EBB"/>
    <w:rsid w:val="00D86F50"/>
    <w:rsid w:val="00D8705F"/>
    <w:rsid w:val="00D87A07"/>
    <w:rsid w:val="00D87FBF"/>
    <w:rsid w:val="00D90350"/>
    <w:rsid w:val="00D909B3"/>
    <w:rsid w:val="00D919DD"/>
    <w:rsid w:val="00D92A15"/>
    <w:rsid w:val="00D93017"/>
    <w:rsid w:val="00D93AF6"/>
    <w:rsid w:val="00D94658"/>
    <w:rsid w:val="00D957C0"/>
    <w:rsid w:val="00D965FE"/>
    <w:rsid w:val="00D96698"/>
    <w:rsid w:val="00D966BE"/>
    <w:rsid w:val="00D96B4B"/>
    <w:rsid w:val="00D96DDB"/>
    <w:rsid w:val="00DA03FB"/>
    <w:rsid w:val="00DA0546"/>
    <w:rsid w:val="00DA1332"/>
    <w:rsid w:val="00DA1FDA"/>
    <w:rsid w:val="00DA2290"/>
    <w:rsid w:val="00DA29CF"/>
    <w:rsid w:val="00DA377B"/>
    <w:rsid w:val="00DA43ED"/>
    <w:rsid w:val="00DA48F6"/>
    <w:rsid w:val="00DA5238"/>
    <w:rsid w:val="00DA53C1"/>
    <w:rsid w:val="00DA5621"/>
    <w:rsid w:val="00DA5B67"/>
    <w:rsid w:val="00DA608E"/>
    <w:rsid w:val="00DA6373"/>
    <w:rsid w:val="00DA7ECD"/>
    <w:rsid w:val="00DB09E4"/>
    <w:rsid w:val="00DB1D9E"/>
    <w:rsid w:val="00DB1F38"/>
    <w:rsid w:val="00DB2D17"/>
    <w:rsid w:val="00DB3D9C"/>
    <w:rsid w:val="00DB5D4A"/>
    <w:rsid w:val="00DB5E4D"/>
    <w:rsid w:val="00DB5F9F"/>
    <w:rsid w:val="00DB68AE"/>
    <w:rsid w:val="00DB6D1F"/>
    <w:rsid w:val="00DB78EA"/>
    <w:rsid w:val="00DB7BE6"/>
    <w:rsid w:val="00DC11CB"/>
    <w:rsid w:val="00DC13EA"/>
    <w:rsid w:val="00DC18C3"/>
    <w:rsid w:val="00DC1BB7"/>
    <w:rsid w:val="00DC1EAB"/>
    <w:rsid w:val="00DC2643"/>
    <w:rsid w:val="00DC2BD0"/>
    <w:rsid w:val="00DC2FB7"/>
    <w:rsid w:val="00DC3ADA"/>
    <w:rsid w:val="00DC3DB7"/>
    <w:rsid w:val="00DC4280"/>
    <w:rsid w:val="00DC4768"/>
    <w:rsid w:val="00DC4A0B"/>
    <w:rsid w:val="00DC4D66"/>
    <w:rsid w:val="00DC5223"/>
    <w:rsid w:val="00DC5FEC"/>
    <w:rsid w:val="00DC6354"/>
    <w:rsid w:val="00DC6F31"/>
    <w:rsid w:val="00DC79C9"/>
    <w:rsid w:val="00DD0146"/>
    <w:rsid w:val="00DD026E"/>
    <w:rsid w:val="00DD15B0"/>
    <w:rsid w:val="00DD16E2"/>
    <w:rsid w:val="00DD1715"/>
    <w:rsid w:val="00DD262E"/>
    <w:rsid w:val="00DD2C4D"/>
    <w:rsid w:val="00DD3509"/>
    <w:rsid w:val="00DD35FE"/>
    <w:rsid w:val="00DD37BF"/>
    <w:rsid w:val="00DD44AD"/>
    <w:rsid w:val="00DD45F6"/>
    <w:rsid w:val="00DD5596"/>
    <w:rsid w:val="00DD5A7F"/>
    <w:rsid w:val="00DD63AF"/>
    <w:rsid w:val="00DD6B23"/>
    <w:rsid w:val="00DD6C34"/>
    <w:rsid w:val="00DD7C67"/>
    <w:rsid w:val="00DE1E06"/>
    <w:rsid w:val="00DE24BA"/>
    <w:rsid w:val="00DE342A"/>
    <w:rsid w:val="00DE3641"/>
    <w:rsid w:val="00DE486D"/>
    <w:rsid w:val="00DE48C3"/>
    <w:rsid w:val="00DE493A"/>
    <w:rsid w:val="00DE5099"/>
    <w:rsid w:val="00DE58AE"/>
    <w:rsid w:val="00DE6230"/>
    <w:rsid w:val="00DE64C3"/>
    <w:rsid w:val="00DE6660"/>
    <w:rsid w:val="00DE686F"/>
    <w:rsid w:val="00DE6DD4"/>
    <w:rsid w:val="00DE7190"/>
    <w:rsid w:val="00DF07D5"/>
    <w:rsid w:val="00DF1157"/>
    <w:rsid w:val="00DF178D"/>
    <w:rsid w:val="00DF1AE1"/>
    <w:rsid w:val="00DF2E2D"/>
    <w:rsid w:val="00DF38C7"/>
    <w:rsid w:val="00DF3AB0"/>
    <w:rsid w:val="00DF3C66"/>
    <w:rsid w:val="00DF4392"/>
    <w:rsid w:val="00DF4E1F"/>
    <w:rsid w:val="00DF5B62"/>
    <w:rsid w:val="00DF69A1"/>
    <w:rsid w:val="00DF6DE1"/>
    <w:rsid w:val="00DF752E"/>
    <w:rsid w:val="00E0035B"/>
    <w:rsid w:val="00E0043C"/>
    <w:rsid w:val="00E00956"/>
    <w:rsid w:val="00E011B3"/>
    <w:rsid w:val="00E01A14"/>
    <w:rsid w:val="00E01A51"/>
    <w:rsid w:val="00E01DDA"/>
    <w:rsid w:val="00E02EE2"/>
    <w:rsid w:val="00E043C1"/>
    <w:rsid w:val="00E04D61"/>
    <w:rsid w:val="00E05109"/>
    <w:rsid w:val="00E05894"/>
    <w:rsid w:val="00E059C9"/>
    <w:rsid w:val="00E0642C"/>
    <w:rsid w:val="00E068BE"/>
    <w:rsid w:val="00E06BD0"/>
    <w:rsid w:val="00E103C6"/>
    <w:rsid w:val="00E109E0"/>
    <w:rsid w:val="00E11F05"/>
    <w:rsid w:val="00E122A9"/>
    <w:rsid w:val="00E138BB"/>
    <w:rsid w:val="00E14FA3"/>
    <w:rsid w:val="00E151B6"/>
    <w:rsid w:val="00E153CF"/>
    <w:rsid w:val="00E1543D"/>
    <w:rsid w:val="00E15D9B"/>
    <w:rsid w:val="00E16AB6"/>
    <w:rsid w:val="00E1743D"/>
    <w:rsid w:val="00E17572"/>
    <w:rsid w:val="00E176F6"/>
    <w:rsid w:val="00E177EE"/>
    <w:rsid w:val="00E1786A"/>
    <w:rsid w:val="00E17892"/>
    <w:rsid w:val="00E204AA"/>
    <w:rsid w:val="00E212ED"/>
    <w:rsid w:val="00E22831"/>
    <w:rsid w:val="00E245F0"/>
    <w:rsid w:val="00E247FE"/>
    <w:rsid w:val="00E25075"/>
    <w:rsid w:val="00E2566D"/>
    <w:rsid w:val="00E25D40"/>
    <w:rsid w:val="00E25EF0"/>
    <w:rsid w:val="00E27820"/>
    <w:rsid w:val="00E2782B"/>
    <w:rsid w:val="00E3017C"/>
    <w:rsid w:val="00E304B3"/>
    <w:rsid w:val="00E30531"/>
    <w:rsid w:val="00E307B0"/>
    <w:rsid w:val="00E30AFD"/>
    <w:rsid w:val="00E31247"/>
    <w:rsid w:val="00E31996"/>
    <w:rsid w:val="00E32396"/>
    <w:rsid w:val="00E329AF"/>
    <w:rsid w:val="00E342B0"/>
    <w:rsid w:val="00E346EC"/>
    <w:rsid w:val="00E350B7"/>
    <w:rsid w:val="00E356BA"/>
    <w:rsid w:val="00E37D1E"/>
    <w:rsid w:val="00E404A1"/>
    <w:rsid w:val="00E40979"/>
    <w:rsid w:val="00E419AC"/>
    <w:rsid w:val="00E4271A"/>
    <w:rsid w:val="00E42840"/>
    <w:rsid w:val="00E42D60"/>
    <w:rsid w:val="00E42E94"/>
    <w:rsid w:val="00E435B7"/>
    <w:rsid w:val="00E4388D"/>
    <w:rsid w:val="00E43980"/>
    <w:rsid w:val="00E43A0F"/>
    <w:rsid w:val="00E43A26"/>
    <w:rsid w:val="00E43BDA"/>
    <w:rsid w:val="00E44E08"/>
    <w:rsid w:val="00E454EC"/>
    <w:rsid w:val="00E4590D"/>
    <w:rsid w:val="00E45E31"/>
    <w:rsid w:val="00E466D8"/>
    <w:rsid w:val="00E46AF2"/>
    <w:rsid w:val="00E47557"/>
    <w:rsid w:val="00E5007F"/>
    <w:rsid w:val="00E503F7"/>
    <w:rsid w:val="00E50A59"/>
    <w:rsid w:val="00E50FE3"/>
    <w:rsid w:val="00E5345E"/>
    <w:rsid w:val="00E536DA"/>
    <w:rsid w:val="00E53ED2"/>
    <w:rsid w:val="00E546A5"/>
    <w:rsid w:val="00E55277"/>
    <w:rsid w:val="00E5543F"/>
    <w:rsid w:val="00E56252"/>
    <w:rsid w:val="00E56458"/>
    <w:rsid w:val="00E5680C"/>
    <w:rsid w:val="00E56EF6"/>
    <w:rsid w:val="00E571D2"/>
    <w:rsid w:val="00E6140D"/>
    <w:rsid w:val="00E61B5C"/>
    <w:rsid w:val="00E61F52"/>
    <w:rsid w:val="00E62AE3"/>
    <w:rsid w:val="00E63133"/>
    <w:rsid w:val="00E6414B"/>
    <w:rsid w:val="00E64851"/>
    <w:rsid w:val="00E67C51"/>
    <w:rsid w:val="00E70B50"/>
    <w:rsid w:val="00E70BD3"/>
    <w:rsid w:val="00E71783"/>
    <w:rsid w:val="00E7237E"/>
    <w:rsid w:val="00E72A5A"/>
    <w:rsid w:val="00E735B1"/>
    <w:rsid w:val="00E73BD8"/>
    <w:rsid w:val="00E741ED"/>
    <w:rsid w:val="00E75BA1"/>
    <w:rsid w:val="00E7692C"/>
    <w:rsid w:val="00E770AD"/>
    <w:rsid w:val="00E77F84"/>
    <w:rsid w:val="00E77FD2"/>
    <w:rsid w:val="00E81DCB"/>
    <w:rsid w:val="00E8210F"/>
    <w:rsid w:val="00E82706"/>
    <w:rsid w:val="00E82A94"/>
    <w:rsid w:val="00E82B9B"/>
    <w:rsid w:val="00E83790"/>
    <w:rsid w:val="00E85206"/>
    <w:rsid w:val="00E8717A"/>
    <w:rsid w:val="00E87D29"/>
    <w:rsid w:val="00E90662"/>
    <w:rsid w:val="00E90B31"/>
    <w:rsid w:val="00E90BDE"/>
    <w:rsid w:val="00E90BDF"/>
    <w:rsid w:val="00E91052"/>
    <w:rsid w:val="00E915C3"/>
    <w:rsid w:val="00E92852"/>
    <w:rsid w:val="00E930B5"/>
    <w:rsid w:val="00E943CF"/>
    <w:rsid w:val="00E949FD"/>
    <w:rsid w:val="00E94F36"/>
    <w:rsid w:val="00E94F47"/>
    <w:rsid w:val="00E95140"/>
    <w:rsid w:val="00E954F0"/>
    <w:rsid w:val="00E95783"/>
    <w:rsid w:val="00E95883"/>
    <w:rsid w:val="00E95C93"/>
    <w:rsid w:val="00E96322"/>
    <w:rsid w:val="00E9663C"/>
    <w:rsid w:val="00E968D1"/>
    <w:rsid w:val="00EA0810"/>
    <w:rsid w:val="00EA258A"/>
    <w:rsid w:val="00EA3D1E"/>
    <w:rsid w:val="00EA447E"/>
    <w:rsid w:val="00EA44DB"/>
    <w:rsid w:val="00EA4DBC"/>
    <w:rsid w:val="00EA7545"/>
    <w:rsid w:val="00EB037F"/>
    <w:rsid w:val="00EB0937"/>
    <w:rsid w:val="00EB10EA"/>
    <w:rsid w:val="00EB19F2"/>
    <w:rsid w:val="00EB22B8"/>
    <w:rsid w:val="00EB31AB"/>
    <w:rsid w:val="00EB3A04"/>
    <w:rsid w:val="00EB4305"/>
    <w:rsid w:val="00EB43E5"/>
    <w:rsid w:val="00EB48C4"/>
    <w:rsid w:val="00EB4EFE"/>
    <w:rsid w:val="00EB51AF"/>
    <w:rsid w:val="00EB5751"/>
    <w:rsid w:val="00EB5BCD"/>
    <w:rsid w:val="00EB5E51"/>
    <w:rsid w:val="00EB6713"/>
    <w:rsid w:val="00EB6E71"/>
    <w:rsid w:val="00EB731F"/>
    <w:rsid w:val="00EB77D3"/>
    <w:rsid w:val="00EC048D"/>
    <w:rsid w:val="00EC175E"/>
    <w:rsid w:val="00EC1B46"/>
    <w:rsid w:val="00EC22D7"/>
    <w:rsid w:val="00EC245A"/>
    <w:rsid w:val="00EC353F"/>
    <w:rsid w:val="00EC3F86"/>
    <w:rsid w:val="00EC4771"/>
    <w:rsid w:val="00EC4BAE"/>
    <w:rsid w:val="00EC577A"/>
    <w:rsid w:val="00EC5D37"/>
    <w:rsid w:val="00EC6952"/>
    <w:rsid w:val="00EC6A3F"/>
    <w:rsid w:val="00EC7F40"/>
    <w:rsid w:val="00ED0422"/>
    <w:rsid w:val="00ED07C3"/>
    <w:rsid w:val="00ED0873"/>
    <w:rsid w:val="00ED107F"/>
    <w:rsid w:val="00ED2391"/>
    <w:rsid w:val="00ED2736"/>
    <w:rsid w:val="00ED3574"/>
    <w:rsid w:val="00ED3DA3"/>
    <w:rsid w:val="00ED4243"/>
    <w:rsid w:val="00ED5C53"/>
    <w:rsid w:val="00ED68F9"/>
    <w:rsid w:val="00ED7E35"/>
    <w:rsid w:val="00EE1300"/>
    <w:rsid w:val="00EE22C2"/>
    <w:rsid w:val="00EE2D5D"/>
    <w:rsid w:val="00EE63EB"/>
    <w:rsid w:val="00EE6411"/>
    <w:rsid w:val="00EE66C7"/>
    <w:rsid w:val="00EE6B2F"/>
    <w:rsid w:val="00EF02F8"/>
    <w:rsid w:val="00EF0400"/>
    <w:rsid w:val="00EF040B"/>
    <w:rsid w:val="00EF1737"/>
    <w:rsid w:val="00EF1C3A"/>
    <w:rsid w:val="00EF2529"/>
    <w:rsid w:val="00EF2E2A"/>
    <w:rsid w:val="00EF351E"/>
    <w:rsid w:val="00EF37D1"/>
    <w:rsid w:val="00EF45B0"/>
    <w:rsid w:val="00EF5C83"/>
    <w:rsid w:val="00EF68E5"/>
    <w:rsid w:val="00EF7D7A"/>
    <w:rsid w:val="00F0019A"/>
    <w:rsid w:val="00F002B2"/>
    <w:rsid w:val="00F00AC2"/>
    <w:rsid w:val="00F01119"/>
    <w:rsid w:val="00F01C27"/>
    <w:rsid w:val="00F0204B"/>
    <w:rsid w:val="00F0335E"/>
    <w:rsid w:val="00F034E1"/>
    <w:rsid w:val="00F04DEF"/>
    <w:rsid w:val="00F052B2"/>
    <w:rsid w:val="00F05C0B"/>
    <w:rsid w:val="00F0601A"/>
    <w:rsid w:val="00F06451"/>
    <w:rsid w:val="00F0724E"/>
    <w:rsid w:val="00F07E74"/>
    <w:rsid w:val="00F105E2"/>
    <w:rsid w:val="00F10D9F"/>
    <w:rsid w:val="00F11867"/>
    <w:rsid w:val="00F12FA2"/>
    <w:rsid w:val="00F143DF"/>
    <w:rsid w:val="00F14C67"/>
    <w:rsid w:val="00F15518"/>
    <w:rsid w:val="00F15A82"/>
    <w:rsid w:val="00F17055"/>
    <w:rsid w:val="00F173A1"/>
    <w:rsid w:val="00F173FE"/>
    <w:rsid w:val="00F17616"/>
    <w:rsid w:val="00F20F57"/>
    <w:rsid w:val="00F21AA8"/>
    <w:rsid w:val="00F21AEB"/>
    <w:rsid w:val="00F22242"/>
    <w:rsid w:val="00F22E5F"/>
    <w:rsid w:val="00F23215"/>
    <w:rsid w:val="00F233B0"/>
    <w:rsid w:val="00F2383C"/>
    <w:rsid w:val="00F24E5E"/>
    <w:rsid w:val="00F25D76"/>
    <w:rsid w:val="00F25EEF"/>
    <w:rsid w:val="00F2676B"/>
    <w:rsid w:val="00F26DA9"/>
    <w:rsid w:val="00F27780"/>
    <w:rsid w:val="00F30745"/>
    <w:rsid w:val="00F30CFD"/>
    <w:rsid w:val="00F31450"/>
    <w:rsid w:val="00F31D64"/>
    <w:rsid w:val="00F33736"/>
    <w:rsid w:val="00F33A66"/>
    <w:rsid w:val="00F33B09"/>
    <w:rsid w:val="00F33EDA"/>
    <w:rsid w:val="00F3434E"/>
    <w:rsid w:val="00F35800"/>
    <w:rsid w:val="00F3580A"/>
    <w:rsid w:val="00F35873"/>
    <w:rsid w:val="00F358FC"/>
    <w:rsid w:val="00F36727"/>
    <w:rsid w:val="00F3686A"/>
    <w:rsid w:val="00F36D4A"/>
    <w:rsid w:val="00F376EB"/>
    <w:rsid w:val="00F37862"/>
    <w:rsid w:val="00F37AD9"/>
    <w:rsid w:val="00F37FE5"/>
    <w:rsid w:val="00F40C7B"/>
    <w:rsid w:val="00F40EC2"/>
    <w:rsid w:val="00F40EFA"/>
    <w:rsid w:val="00F41545"/>
    <w:rsid w:val="00F416D0"/>
    <w:rsid w:val="00F41EEA"/>
    <w:rsid w:val="00F4341D"/>
    <w:rsid w:val="00F437B3"/>
    <w:rsid w:val="00F4415C"/>
    <w:rsid w:val="00F450DB"/>
    <w:rsid w:val="00F45143"/>
    <w:rsid w:val="00F4545C"/>
    <w:rsid w:val="00F45868"/>
    <w:rsid w:val="00F45E80"/>
    <w:rsid w:val="00F461A2"/>
    <w:rsid w:val="00F46455"/>
    <w:rsid w:val="00F50177"/>
    <w:rsid w:val="00F51132"/>
    <w:rsid w:val="00F5191C"/>
    <w:rsid w:val="00F51CC5"/>
    <w:rsid w:val="00F51F90"/>
    <w:rsid w:val="00F52479"/>
    <w:rsid w:val="00F53DBC"/>
    <w:rsid w:val="00F55C45"/>
    <w:rsid w:val="00F5626C"/>
    <w:rsid w:val="00F567BF"/>
    <w:rsid w:val="00F56A7E"/>
    <w:rsid w:val="00F56AC0"/>
    <w:rsid w:val="00F56D30"/>
    <w:rsid w:val="00F56E55"/>
    <w:rsid w:val="00F56F0E"/>
    <w:rsid w:val="00F56F47"/>
    <w:rsid w:val="00F56FA6"/>
    <w:rsid w:val="00F57335"/>
    <w:rsid w:val="00F5762C"/>
    <w:rsid w:val="00F57831"/>
    <w:rsid w:val="00F57A39"/>
    <w:rsid w:val="00F57DBD"/>
    <w:rsid w:val="00F6167C"/>
    <w:rsid w:val="00F61F72"/>
    <w:rsid w:val="00F62680"/>
    <w:rsid w:val="00F62C0E"/>
    <w:rsid w:val="00F63723"/>
    <w:rsid w:val="00F63BA4"/>
    <w:rsid w:val="00F64101"/>
    <w:rsid w:val="00F641DD"/>
    <w:rsid w:val="00F65E9E"/>
    <w:rsid w:val="00F6614B"/>
    <w:rsid w:val="00F7025D"/>
    <w:rsid w:val="00F70FBC"/>
    <w:rsid w:val="00F71440"/>
    <w:rsid w:val="00F71C38"/>
    <w:rsid w:val="00F72085"/>
    <w:rsid w:val="00F73FF5"/>
    <w:rsid w:val="00F74EFB"/>
    <w:rsid w:val="00F7595A"/>
    <w:rsid w:val="00F76F54"/>
    <w:rsid w:val="00F7712A"/>
    <w:rsid w:val="00F803F8"/>
    <w:rsid w:val="00F80425"/>
    <w:rsid w:val="00F80E02"/>
    <w:rsid w:val="00F8144D"/>
    <w:rsid w:val="00F81634"/>
    <w:rsid w:val="00F82A5A"/>
    <w:rsid w:val="00F82B0E"/>
    <w:rsid w:val="00F8415B"/>
    <w:rsid w:val="00F84263"/>
    <w:rsid w:val="00F84536"/>
    <w:rsid w:val="00F8453D"/>
    <w:rsid w:val="00F84AE4"/>
    <w:rsid w:val="00F86268"/>
    <w:rsid w:val="00F869F8"/>
    <w:rsid w:val="00F86BE3"/>
    <w:rsid w:val="00F86C09"/>
    <w:rsid w:val="00F90EFD"/>
    <w:rsid w:val="00F920FF"/>
    <w:rsid w:val="00F926D8"/>
    <w:rsid w:val="00F93086"/>
    <w:rsid w:val="00F93F4C"/>
    <w:rsid w:val="00F94560"/>
    <w:rsid w:val="00F9535B"/>
    <w:rsid w:val="00F95DE8"/>
    <w:rsid w:val="00F962C7"/>
    <w:rsid w:val="00F96A99"/>
    <w:rsid w:val="00F96FD2"/>
    <w:rsid w:val="00F9780A"/>
    <w:rsid w:val="00FA080F"/>
    <w:rsid w:val="00FA0E40"/>
    <w:rsid w:val="00FA13F8"/>
    <w:rsid w:val="00FA1906"/>
    <w:rsid w:val="00FA2EC0"/>
    <w:rsid w:val="00FA31AD"/>
    <w:rsid w:val="00FA38AA"/>
    <w:rsid w:val="00FA3EC1"/>
    <w:rsid w:val="00FA47E1"/>
    <w:rsid w:val="00FA4D32"/>
    <w:rsid w:val="00FA4EA3"/>
    <w:rsid w:val="00FA4F62"/>
    <w:rsid w:val="00FA5E71"/>
    <w:rsid w:val="00FA701A"/>
    <w:rsid w:val="00FB0A88"/>
    <w:rsid w:val="00FB0BCF"/>
    <w:rsid w:val="00FB13E0"/>
    <w:rsid w:val="00FB2ADC"/>
    <w:rsid w:val="00FB2C7D"/>
    <w:rsid w:val="00FB38D6"/>
    <w:rsid w:val="00FB420F"/>
    <w:rsid w:val="00FB4CA8"/>
    <w:rsid w:val="00FB5C89"/>
    <w:rsid w:val="00FB5EBA"/>
    <w:rsid w:val="00FB6B34"/>
    <w:rsid w:val="00FC0553"/>
    <w:rsid w:val="00FC07C4"/>
    <w:rsid w:val="00FC0A33"/>
    <w:rsid w:val="00FC1183"/>
    <w:rsid w:val="00FC1619"/>
    <w:rsid w:val="00FC19E8"/>
    <w:rsid w:val="00FC22CF"/>
    <w:rsid w:val="00FC29A6"/>
    <w:rsid w:val="00FC2DB1"/>
    <w:rsid w:val="00FC4541"/>
    <w:rsid w:val="00FC49D4"/>
    <w:rsid w:val="00FC5866"/>
    <w:rsid w:val="00FC5B63"/>
    <w:rsid w:val="00FC5E53"/>
    <w:rsid w:val="00FC6009"/>
    <w:rsid w:val="00FC7427"/>
    <w:rsid w:val="00FD0BDA"/>
    <w:rsid w:val="00FD3179"/>
    <w:rsid w:val="00FD3EB9"/>
    <w:rsid w:val="00FD4975"/>
    <w:rsid w:val="00FD4992"/>
    <w:rsid w:val="00FD4A6A"/>
    <w:rsid w:val="00FD79FF"/>
    <w:rsid w:val="00FD7B53"/>
    <w:rsid w:val="00FD7BF8"/>
    <w:rsid w:val="00FE1711"/>
    <w:rsid w:val="00FE297B"/>
    <w:rsid w:val="00FE2B5F"/>
    <w:rsid w:val="00FE2F41"/>
    <w:rsid w:val="00FE371A"/>
    <w:rsid w:val="00FE3880"/>
    <w:rsid w:val="00FE47DF"/>
    <w:rsid w:val="00FE5436"/>
    <w:rsid w:val="00FE5BD8"/>
    <w:rsid w:val="00FE7555"/>
    <w:rsid w:val="00FE75DD"/>
    <w:rsid w:val="00FF04EC"/>
    <w:rsid w:val="00FF0C5F"/>
    <w:rsid w:val="00FF0CC1"/>
    <w:rsid w:val="00FF1552"/>
    <w:rsid w:val="00FF1AF7"/>
    <w:rsid w:val="00FF274C"/>
    <w:rsid w:val="00FF2B67"/>
    <w:rsid w:val="00FF2E98"/>
    <w:rsid w:val="00FF354D"/>
    <w:rsid w:val="00FF4970"/>
    <w:rsid w:val="00FF61E2"/>
    <w:rsid w:val="00FF6B48"/>
    <w:rsid w:val="00FF7130"/>
    <w:rsid w:val="00FF7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stroke="f">
      <v:fill color="white" opacity="0"/>
      <v:stroke on="f"/>
      <o:colormru v:ext="edit" colors="#ddd,#cfcfcf,#cacaca,#66f,blue,#ccd3e1,#002469,#33508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99"/>
    <w:lsdException w:name="header" w:qFormat="1"/>
    <w:lsdException w:name="footer" w:uiPriority="99" w:qFormat="1"/>
    <w:lsdException w:name="caption" w:semiHidden="1" w:uiPriority="35" w:unhideWhenUsed="1" w:qFormat="1"/>
    <w:lsdException w:name="annotation reference" w:uiPriority="99"/>
    <w:lsdException w:name="Hyperlink" w:uiPriority="99"/>
    <w:lsdException w:name="Strong" w:uiPriority="22"/>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FS Normal"/>
    <w:qFormat/>
    <w:rsid w:val="00090134"/>
    <w:rPr>
      <w:rFonts w:cs="Times New Roman"/>
      <w:sz w:val="22"/>
      <w:szCs w:val="22"/>
      <w:lang w:eastAsia="en-NZ"/>
    </w:rPr>
  </w:style>
  <w:style w:type="paragraph" w:styleId="Heading1">
    <w:name w:val="heading 1"/>
    <w:aliases w:val="FSHeading 1,Chapter heading"/>
    <w:basedOn w:val="Normal"/>
    <w:next w:val="Normal"/>
    <w:link w:val="Heading1Char"/>
    <w:uiPriority w:val="2"/>
    <w:qFormat/>
    <w:rsid w:val="00090134"/>
    <w:pPr>
      <w:keepNext/>
      <w:spacing w:after="240"/>
      <w:ind w:left="851" w:hanging="851"/>
      <w:outlineLvl w:val="0"/>
    </w:pPr>
    <w:rPr>
      <w:rFonts w:eastAsia="Times New Roman"/>
      <w:b/>
      <w:bCs/>
      <w:sz w:val="36"/>
      <w:szCs w:val="28"/>
      <w:lang w:eastAsia="x-none"/>
    </w:rPr>
  </w:style>
  <w:style w:type="paragraph" w:styleId="Heading2">
    <w:name w:val="heading 2"/>
    <w:aliases w:val="FSHeading 2,Section heading"/>
    <w:basedOn w:val="Normal"/>
    <w:next w:val="Normal"/>
    <w:link w:val="Heading2Char"/>
    <w:autoRedefine/>
    <w:uiPriority w:val="2"/>
    <w:unhideWhenUsed/>
    <w:qFormat/>
    <w:rsid w:val="00E92852"/>
    <w:pPr>
      <w:keepNext/>
      <w:spacing w:before="240" w:after="240"/>
      <w:ind w:left="851" w:hanging="851"/>
      <w:outlineLvl w:val="1"/>
    </w:pPr>
    <w:rPr>
      <w:rFonts w:eastAsia="Times New Roman"/>
      <w:b/>
      <w:bCs/>
      <w:sz w:val="28"/>
      <w:lang w:eastAsia="x-none"/>
    </w:rPr>
  </w:style>
  <w:style w:type="paragraph" w:styleId="Heading3">
    <w:name w:val="heading 3"/>
    <w:aliases w:val="FSHeading 3,Subheading 1"/>
    <w:basedOn w:val="Normal"/>
    <w:next w:val="Normal"/>
    <w:link w:val="Heading3Char"/>
    <w:autoRedefine/>
    <w:uiPriority w:val="2"/>
    <w:unhideWhenUsed/>
    <w:qFormat/>
    <w:rsid w:val="00E92852"/>
    <w:pPr>
      <w:keepNext/>
      <w:spacing w:before="240" w:after="240"/>
      <w:ind w:left="851" w:hanging="851"/>
      <w:outlineLvl w:val="2"/>
    </w:pPr>
    <w:rPr>
      <w:rFonts w:eastAsia="Times New Roman"/>
      <w:b/>
      <w:bCs/>
      <w:szCs w:val="24"/>
      <w:lang w:eastAsia="en-AU"/>
    </w:rPr>
  </w:style>
  <w:style w:type="paragraph" w:styleId="Heading4">
    <w:name w:val="heading 4"/>
    <w:aliases w:val="FSHeading 4,Subheading 2"/>
    <w:basedOn w:val="Normal"/>
    <w:next w:val="Normal"/>
    <w:link w:val="Heading4Char"/>
    <w:uiPriority w:val="2"/>
    <w:unhideWhenUsed/>
    <w:qFormat/>
    <w:rsid w:val="00A82B3C"/>
    <w:pPr>
      <w:keepNext/>
      <w:spacing w:before="240" w:after="240"/>
      <w:ind w:left="851" w:hanging="851"/>
      <w:outlineLvl w:val="3"/>
    </w:pPr>
    <w:rPr>
      <w:rFonts w:eastAsia="Times New Roman"/>
      <w:b/>
      <w:bCs/>
      <w:i/>
      <w:iCs/>
      <w:szCs w:val="20"/>
      <w:lang w:eastAsia="x-none"/>
    </w:rPr>
  </w:style>
  <w:style w:type="paragraph" w:styleId="Heading5">
    <w:name w:val="heading 5"/>
    <w:aliases w:val="FSHeading 5,Subheading 3"/>
    <w:basedOn w:val="Normal"/>
    <w:next w:val="Normal"/>
    <w:link w:val="Heading5Char"/>
    <w:uiPriority w:val="2"/>
    <w:unhideWhenUsed/>
    <w:qFormat/>
    <w:rsid w:val="0093286B"/>
    <w:pPr>
      <w:keepNext/>
      <w:numPr>
        <w:ilvl w:val="4"/>
        <w:numId w:val="14"/>
      </w:numPr>
      <w:spacing w:before="240" w:after="240"/>
      <w:outlineLvl w:val="4"/>
    </w:pPr>
    <w:rPr>
      <w:rFonts w:eastAsia="Times New Roman"/>
      <w:i/>
      <w:sz w:val="20"/>
      <w:szCs w:val="20"/>
      <w:lang w:eastAsia="x-none"/>
    </w:rPr>
  </w:style>
  <w:style w:type="paragraph" w:styleId="Heading6">
    <w:name w:val="heading 6"/>
    <w:basedOn w:val="Normal"/>
    <w:next w:val="Normal"/>
    <w:link w:val="Heading6Char"/>
    <w:rsid w:val="00504E3C"/>
    <w:pPr>
      <w:numPr>
        <w:ilvl w:val="5"/>
        <w:numId w:val="14"/>
      </w:numPr>
      <w:spacing w:before="240"/>
      <w:outlineLvl w:val="5"/>
    </w:pPr>
    <w:rPr>
      <w:i/>
      <w:sz w:val="20"/>
    </w:rPr>
  </w:style>
  <w:style w:type="paragraph" w:styleId="Heading7">
    <w:name w:val="heading 7"/>
    <w:basedOn w:val="Normal"/>
    <w:next w:val="Normal"/>
    <w:link w:val="Heading7Char"/>
    <w:rsid w:val="00504E3C"/>
    <w:pPr>
      <w:numPr>
        <w:ilvl w:val="6"/>
        <w:numId w:val="14"/>
      </w:numPr>
      <w:spacing w:before="240"/>
      <w:outlineLvl w:val="6"/>
    </w:pPr>
    <w:rPr>
      <w:sz w:val="20"/>
    </w:rPr>
  </w:style>
  <w:style w:type="paragraph" w:styleId="Heading8">
    <w:name w:val="heading 8"/>
    <w:basedOn w:val="Normal"/>
    <w:next w:val="Normal"/>
    <w:link w:val="Heading8Char"/>
    <w:uiPriority w:val="9"/>
    <w:semiHidden/>
    <w:unhideWhenUsed/>
    <w:qFormat/>
    <w:rsid w:val="00504E3C"/>
    <w:pPr>
      <w:keepNext/>
      <w:keepLines/>
      <w:numPr>
        <w:ilvl w:val="7"/>
        <w:numId w:val="14"/>
      </w:numPr>
      <w:spacing w:before="200"/>
      <w:outlineLvl w:val="7"/>
    </w:pPr>
    <w:rPr>
      <w:rFonts w:ascii="Cambria" w:eastAsia="Times New Roman" w:hAnsi="Cambria"/>
      <w:color w:val="404040"/>
      <w:sz w:val="20"/>
      <w:szCs w:val="20"/>
    </w:rPr>
  </w:style>
  <w:style w:type="paragraph" w:styleId="Heading9">
    <w:name w:val="heading 9"/>
    <w:next w:val="Normal"/>
    <w:link w:val="Heading9Char"/>
    <w:uiPriority w:val="9"/>
    <w:semiHidden/>
    <w:unhideWhenUsed/>
    <w:qFormat/>
    <w:rsid w:val="00504E3C"/>
    <w:pPr>
      <w:keepNext/>
      <w:keepLines/>
      <w:numPr>
        <w:ilvl w:val="8"/>
        <w:numId w:val="14"/>
      </w:numPr>
      <w:spacing w:before="200"/>
      <w:outlineLvl w:val="8"/>
    </w:pPr>
    <w:rPr>
      <w:rFonts w:ascii="Cambria" w:eastAsia="Times New Roman" w:hAnsi="Cambria" w:cs="Times New Roman"/>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090134"/>
    <w:rPr>
      <w:rFonts w:eastAsia="Times New Roman" w:cs="Times New Roman"/>
      <w:b/>
      <w:bCs/>
      <w:sz w:val="36"/>
      <w:szCs w:val="28"/>
      <w:lang w:eastAsia="x-none"/>
    </w:rPr>
  </w:style>
  <w:style w:type="character" w:customStyle="1" w:styleId="Heading2Char">
    <w:name w:val="Heading 2 Char"/>
    <w:aliases w:val="FSHeading 2 Char,Section heading Char"/>
    <w:link w:val="Heading2"/>
    <w:uiPriority w:val="2"/>
    <w:rsid w:val="00E92852"/>
    <w:rPr>
      <w:rFonts w:eastAsia="Times New Roman" w:cs="Times New Roman"/>
      <w:b/>
      <w:bCs/>
      <w:sz w:val="28"/>
      <w:szCs w:val="22"/>
      <w:lang w:eastAsia="x-none"/>
    </w:rPr>
  </w:style>
  <w:style w:type="paragraph" w:styleId="Header">
    <w:name w:val="header"/>
    <w:aliases w:val="FSHeader"/>
    <w:basedOn w:val="Normal"/>
    <w:link w:val="HeaderChar"/>
    <w:unhideWhenUsed/>
    <w:qFormat/>
    <w:rsid w:val="0093286B"/>
    <w:pPr>
      <w:jc w:val="center"/>
    </w:pPr>
    <w:rPr>
      <w:b/>
      <w:sz w:val="20"/>
      <w:szCs w:val="20"/>
      <w:lang w:eastAsia="x-none"/>
    </w:rPr>
  </w:style>
  <w:style w:type="paragraph" w:styleId="Footer">
    <w:name w:val="footer"/>
    <w:aliases w:val="FSFooter"/>
    <w:basedOn w:val="Normal"/>
    <w:link w:val="FooterChar"/>
    <w:uiPriority w:val="99"/>
    <w:qFormat/>
    <w:rsid w:val="0093286B"/>
    <w:rPr>
      <w:sz w:val="20"/>
      <w:szCs w:val="20"/>
      <w:lang w:eastAsia="x-none"/>
    </w:rPr>
  </w:style>
  <w:style w:type="character" w:customStyle="1" w:styleId="FooterChar">
    <w:name w:val="Footer Char"/>
    <w:aliases w:val="FSFooter Char"/>
    <w:link w:val="Footer"/>
    <w:uiPriority w:val="99"/>
    <w:rsid w:val="0093286B"/>
    <w:rPr>
      <w:rFonts w:cs="Times New Roman"/>
      <w:sz w:val="20"/>
      <w:lang w:val="en-GB"/>
    </w:rPr>
  </w:style>
  <w:style w:type="character" w:styleId="Hyperlink">
    <w:name w:val="Hyperlink"/>
    <w:uiPriority w:val="99"/>
    <w:rsid w:val="00090134"/>
    <w:rPr>
      <w:color w:val="0000FF"/>
      <w:u w:val="single"/>
    </w:rPr>
  </w:style>
  <w:style w:type="paragraph" w:styleId="BalloonText">
    <w:name w:val="Balloon Text"/>
    <w:basedOn w:val="Normal"/>
    <w:link w:val="BalloonTextChar"/>
    <w:semiHidden/>
    <w:rsid w:val="00504E3C"/>
    <w:rPr>
      <w:rFonts w:ascii="Tahoma" w:hAnsi="Tahoma" w:cs="Tahoma"/>
      <w:sz w:val="16"/>
      <w:szCs w:val="16"/>
    </w:rPr>
  </w:style>
  <w:style w:type="paragraph" w:styleId="Caption">
    <w:name w:val="caption"/>
    <w:basedOn w:val="Normal"/>
    <w:next w:val="Normal"/>
    <w:uiPriority w:val="35"/>
    <w:semiHidden/>
    <w:unhideWhenUsed/>
    <w:qFormat/>
    <w:rsid w:val="006A3F76"/>
    <w:pPr>
      <w:spacing w:after="200"/>
    </w:pPr>
    <w:rPr>
      <w:b/>
      <w:bCs/>
      <w:color w:val="4F81BD"/>
      <w:sz w:val="18"/>
      <w:szCs w:val="18"/>
    </w:rPr>
  </w:style>
  <w:style w:type="paragraph" w:styleId="FootnoteText">
    <w:name w:val="footnote text"/>
    <w:aliases w:val="Footnotes Text,FSFootnotes Text"/>
    <w:basedOn w:val="Normal"/>
    <w:link w:val="FootnoteTextChar"/>
    <w:uiPriority w:val="5"/>
    <w:qFormat/>
    <w:rsid w:val="0093286B"/>
    <w:rPr>
      <w:sz w:val="18"/>
      <w:szCs w:val="20"/>
      <w:lang w:eastAsia="x-none"/>
    </w:rPr>
  </w:style>
  <w:style w:type="character" w:customStyle="1" w:styleId="FootnoteTextChar">
    <w:name w:val="Footnote Text Char"/>
    <w:aliases w:val="Footnotes Text Char,FSFootnotes Text Char"/>
    <w:link w:val="FootnoteText"/>
    <w:uiPriority w:val="5"/>
    <w:rsid w:val="0093286B"/>
    <w:rPr>
      <w:rFonts w:cs="Times New Roman"/>
      <w:sz w:val="18"/>
      <w:szCs w:val="20"/>
      <w:lang w:val="en-GB"/>
    </w:rPr>
  </w:style>
  <w:style w:type="character" w:styleId="FootnoteReference">
    <w:name w:val="footnote reference"/>
    <w:rsid w:val="00504E3C"/>
    <w:rPr>
      <w:rFonts w:ascii="Arial" w:hAnsi="Arial"/>
      <w:color w:val="auto"/>
      <w:position w:val="8"/>
      <w:sz w:val="16"/>
    </w:rPr>
  </w:style>
  <w:style w:type="paragraph" w:styleId="TOC1">
    <w:name w:val="toc 1"/>
    <w:basedOn w:val="Normal"/>
    <w:next w:val="Normal"/>
    <w:uiPriority w:val="39"/>
    <w:rsid w:val="00F450DB"/>
    <w:pPr>
      <w:spacing w:before="120" w:after="120"/>
    </w:pPr>
    <w:rPr>
      <w:rFonts w:asciiTheme="minorHAnsi" w:hAnsiTheme="minorHAnsi"/>
      <w:b/>
      <w:bCs/>
      <w:caps/>
      <w:sz w:val="20"/>
      <w:szCs w:val="20"/>
    </w:rPr>
  </w:style>
  <w:style w:type="paragraph" w:styleId="TOC2">
    <w:name w:val="toc 2"/>
    <w:basedOn w:val="Normal"/>
    <w:next w:val="Normal"/>
    <w:uiPriority w:val="39"/>
    <w:rsid w:val="00F450DB"/>
    <w:pPr>
      <w:ind w:left="220"/>
    </w:pPr>
    <w:rPr>
      <w:rFonts w:asciiTheme="minorHAnsi" w:hAnsiTheme="minorHAnsi"/>
      <w:smallCaps/>
      <w:sz w:val="20"/>
      <w:szCs w:val="20"/>
    </w:rPr>
  </w:style>
  <w:style w:type="paragraph" w:styleId="TOC3">
    <w:name w:val="toc 3"/>
    <w:basedOn w:val="Normal"/>
    <w:next w:val="Normal"/>
    <w:uiPriority w:val="39"/>
    <w:rsid w:val="006F7F1D"/>
    <w:pPr>
      <w:ind w:left="440"/>
    </w:pPr>
    <w:rPr>
      <w:rFonts w:asciiTheme="minorHAnsi" w:hAnsiTheme="minorHAnsi"/>
      <w:i/>
      <w:iCs/>
      <w:sz w:val="20"/>
      <w:szCs w:val="20"/>
    </w:rPr>
  </w:style>
  <w:style w:type="paragraph" w:styleId="CommentText">
    <w:name w:val="annotation text"/>
    <w:basedOn w:val="Normal"/>
    <w:link w:val="CommentTextChar"/>
    <w:uiPriority w:val="99"/>
    <w:rsid w:val="00504E3C"/>
    <w:rPr>
      <w:sz w:val="20"/>
      <w:szCs w:val="20"/>
      <w:lang w:eastAsia="en-GB"/>
    </w:rPr>
  </w:style>
  <w:style w:type="character" w:customStyle="1" w:styleId="CommentTextChar">
    <w:name w:val="Comment Text Char"/>
    <w:link w:val="CommentText"/>
    <w:uiPriority w:val="99"/>
    <w:rsid w:val="008D5CD9"/>
    <w:rPr>
      <w:rFonts w:ascii="Arial" w:hAnsi="Arial"/>
      <w:lang w:val="en-GB" w:eastAsia="en-GB"/>
    </w:rPr>
  </w:style>
  <w:style w:type="paragraph" w:styleId="CommentSubject">
    <w:name w:val="annotation subject"/>
    <w:basedOn w:val="CommentText"/>
    <w:next w:val="CommentText"/>
    <w:link w:val="CommentSubjectChar"/>
    <w:semiHidden/>
    <w:rsid w:val="00504E3C"/>
    <w:rPr>
      <w:b/>
      <w:bCs/>
    </w:rPr>
  </w:style>
  <w:style w:type="paragraph" w:styleId="DocumentMap">
    <w:name w:val="Document Map"/>
    <w:basedOn w:val="Normal"/>
    <w:link w:val="DocumentMapChar"/>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autoRedefine/>
    <w:rsid w:val="007D4655"/>
    <w:pPr>
      <w:numPr>
        <w:numId w:val="13"/>
      </w:numPr>
      <w:spacing w:after="120" w:line="240" w:lineRule="atLeast"/>
    </w:pPr>
    <w:rPr>
      <w:sz w:val="22"/>
      <w:szCs w:val="22"/>
      <w:lang w:val="en-AU" w:eastAsia="en-US"/>
    </w:rPr>
  </w:style>
  <w:style w:type="paragraph" w:customStyle="1" w:styleId="EvenFooter">
    <w:name w:val="Even Footer"/>
    <w:basedOn w:val="Footer"/>
    <w:rsid w:val="0054782B"/>
  </w:style>
  <w:style w:type="table" w:styleId="TableGrid">
    <w:name w:val="Table Grid"/>
    <w:basedOn w:val="TableNormal"/>
    <w:rsid w:val="00504E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504E3C"/>
    <w:pPr>
      <w:keepNext/>
    </w:pPr>
    <w:rPr>
      <w:sz w:val="20"/>
    </w:rPr>
  </w:style>
  <w:style w:type="paragraph" w:customStyle="1" w:styleId="TableText">
    <w:name w:val="Table Text"/>
    <w:basedOn w:val="Normal"/>
    <w:link w:val="TableTextChar"/>
    <w:rsid w:val="0031512F"/>
    <w:pPr>
      <w:autoSpaceDE w:val="0"/>
      <w:autoSpaceDN w:val="0"/>
      <w:adjustRightInd w:val="0"/>
      <w:spacing w:before="60" w:after="60" w:line="240" w:lineRule="atLeast"/>
    </w:pPr>
    <w:rPr>
      <w:lang w:eastAsia="en-AU"/>
    </w:rPr>
  </w:style>
  <w:style w:type="character" w:customStyle="1" w:styleId="TableTextChar">
    <w:name w:val="Table Text Char"/>
    <w:link w:val="TableText"/>
    <w:rsid w:val="0031512F"/>
    <w:rPr>
      <w:rFonts w:ascii="Arial" w:hAnsi="Arial" w:cs="GillSans"/>
      <w:sz w:val="22"/>
      <w:szCs w:val="22"/>
      <w:lang w:val="en-GB" w:eastAsia="en-AU"/>
    </w:rPr>
  </w:style>
  <w:style w:type="paragraph" w:customStyle="1" w:styleId="Evenfooter-wide">
    <w:name w:val="Even footer-wide"/>
    <w:basedOn w:val="EvenFooter"/>
    <w:rsid w:val="0054782B"/>
  </w:style>
  <w:style w:type="character" w:styleId="CommentReference">
    <w:name w:val="annotation reference"/>
    <w:uiPriority w:val="99"/>
    <w:rsid w:val="00504E3C"/>
    <w:rPr>
      <w:sz w:val="16"/>
      <w:szCs w:val="16"/>
    </w:rPr>
  </w:style>
  <w:style w:type="character" w:styleId="FollowedHyperlink">
    <w:name w:val="FollowedHyperlink"/>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link w:val="TitleChar"/>
    <w:rsid w:val="00855476"/>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rPr>
  </w:style>
  <w:style w:type="paragraph" w:customStyle="1" w:styleId="spacer">
    <w:name w:val="spacer"/>
    <w:basedOn w:val="Normal"/>
    <w:rsid w:val="00BF2DF2"/>
    <w:rPr>
      <w:sz w:val="16"/>
      <w:lang w:eastAsia="en-AU"/>
    </w:rPr>
  </w:style>
  <w:style w:type="paragraph" w:styleId="Subtitle">
    <w:name w:val="Subtitle"/>
    <w:basedOn w:val="Title"/>
    <w:next w:val="Normal"/>
    <w:link w:val="SubtitleChar"/>
    <w:rsid w:val="00855476"/>
    <w:pPr>
      <w:spacing w:before="360" w:line="600" w:lineRule="atLeast"/>
    </w:pPr>
    <w:rPr>
      <w:rFonts w:cs="Times New Roman"/>
      <w:color w:val="001C4D"/>
      <w:sz w:val="36"/>
      <w:szCs w:val="36"/>
      <w:lang w:eastAsia="en-GB"/>
    </w:rPr>
  </w:style>
  <w:style w:type="character" w:customStyle="1" w:styleId="SubtitleChar">
    <w:name w:val="Subtitle Char"/>
    <w:link w:val="Subtitle"/>
    <w:rsid w:val="00855476"/>
    <w:rPr>
      <w:rFonts w:ascii="Arial" w:hAnsi="Arial" w:cs="Arial"/>
      <w:color w:val="001C4D"/>
      <w:spacing w:val="40"/>
      <w:w w:val="90"/>
      <w:sz w:val="36"/>
      <w:szCs w:val="36"/>
      <w:lang w:val="en-GB" w:eastAsia="en-GB"/>
    </w:rPr>
  </w:style>
  <w:style w:type="paragraph" w:customStyle="1" w:styleId="TableBullet1">
    <w:name w:val="Table Bullet 1"/>
    <w:basedOn w:val="TableText"/>
    <w:rsid w:val="00E25EF0"/>
    <w:pPr>
      <w:numPr>
        <w:numId w:val="2"/>
      </w:numPr>
      <w:autoSpaceDE/>
      <w:autoSpaceDN/>
      <w:adjustRightInd/>
      <w:spacing w:before="30" w:after="30" w:line="240" w:lineRule="auto"/>
    </w:pPr>
    <w:rPr>
      <w:rFonts w:ascii="Garamond" w:hAnsi="Garamond"/>
      <w:szCs w:val="24"/>
      <w:lang w:val="en-NZ" w:eastAsia="en-NZ"/>
    </w:rPr>
  </w:style>
  <w:style w:type="paragraph" w:customStyle="1" w:styleId="TableBullet2">
    <w:name w:val="Table Bullet 2"/>
    <w:basedOn w:val="TableText"/>
    <w:rsid w:val="00E25EF0"/>
    <w:pPr>
      <w:numPr>
        <w:ilvl w:val="1"/>
        <w:numId w:val="2"/>
      </w:numPr>
      <w:autoSpaceDE/>
      <w:autoSpaceDN/>
      <w:adjustRightInd/>
      <w:spacing w:before="30" w:after="30" w:line="240" w:lineRule="auto"/>
    </w:pPr>
    <w:rPr>
      <w:rFonts w:ascii="Garamond" w:hAnsi="Garamond"/>
      <w:szCs w:val="24"/>
      <w:lang w:val="en-NZ" w:eastAsia="en-NZ"/>
    </w:rPr>
  </w:style>
  <w:style w:type="paragraph" w:customStyle="1" w:styleId="Intro">
    <w:name w:val="Intro"/>
    <w:basedOn w:val="Normal"/>
    <w:rsid w:val="008D5CD9"/>
    <w:pPr>
      <w:spacing w:line="360" w:lineRule="atLeast"/>
    </w:pPr>
    <w:rPr>
      <w:color w:val="335087"/>
      <w:sz w:val="24"/>
    </w:rPr>
  </w:style>
  <w:style w:type="paragraph" w:styleId="ListParagraph">
    <w:name w:val="List Paragraph"/>
    <w:basedOn w:val="Normal"/>
    <w:uiPriority w:val="34"/>
    <w:qFormat/>
    <w:rsid w:val="0064736E"/>
    <w:pPr>
      <w:ind w:left="720"/>
      <w:contextualSpacing/>
    </w:pPr>
  </w:style>
  <w:style w:type="paragraph" w:customStyle="1" w:styleId="Text">
    <w:name w:val="Text"/>
    <w:basedOn w:val="Normal"/>
    <w:link w:val="TextChar"/>
    <w:rsid w:val="008D5CD9"/>
    <w:pPr>
      <w:spacing w:before="120" w:after="120" w:line="300" w:lineRule="exact"/>
      <w:jc w:val="both"/>
    </w:pPr>
    <w:rPr>
      <w:szCs w:val="20"/>
      <w:lang w:eastAsia="en-US"/>
    </w:rPr>
  </w:style>
  <w:style w:type="character" w:customStyle="1" w:styleId="TextChar">
    <w:name w:val="Text Char"/>
    <w:link w:val="Text"/>
    <w:rsid w:val="008D5CD9"/>
    <w:rPr>
      <w:rFonts w:ascii="Arial" w:hAnsi="Arial"/>
      <w:sz w:val="22"/>
      <w:lang w:val="en-GB" w:eastAsia="en-US"/>
    </w:rPr>
  </w:style>
  <w:style w:type="paragraph" w:customStyle="1" w:styleId="TableBullet">
    <w:name w:val="Table Bullet"/>
    <w:basedOn w:val="Normal"/>
    <w:rsid w:val="001F492F"/>
    <w:pPr>
      <w:numPr>
        <w:ilvl w:val="1"/>
        <w:numId w:val="3"/>
      </w:numPr>
    </w:pPr>
  </w:style>
  <w:style w:type="paragraph" w:styleId="TOCHeading">
    <w:name w:val="TOC Heading"/>
    <w:basedOn w:val="Heading1"/>
    <w:next w:val="Normal"/>
    <w:uiPriority w:val="39"/>
    <w:semiHidden/>
    <w:unhideWhenUsed/>
    <w:qFormat/>
    <w:rsid w:val="006F7F1D"/>
    <w:pPr>
      <w:keepLines/>
      <w:spacing w:before="480" w:after="0"/>
      <w:ind w:left="0" w:firstLine="0"/>
      <w:outlineLvl w:val="9"/>
    </w:pPr>
    <w:rPr>
      <w:rFonts w:ascii="Cambria" w:hAnsi="Cambria"/>
      <w:color w:val="365F91"/>
      <w:sz w:val="28"/>
    </w:rPr>
  </w:style>
  <w:style w:type="paragraph" w:styleId="TOC5">
    <w:name w:val="toc 5"/>
    <w:basedOn w:val="Normal"/>
    <w:next w:val="Normal"/>
    <w:autoRedefine/>
    <w:uiPriority w:val="39"/>
    <w:rsid w:val="006F7F1D"/>
    <w:pPr>
      <w:ind w:left="880"/>
    </w:pPr>
    <w:rPr>
      <w:rFonts w:asciiTheme="minorHAnsi" w:hAnsiTheme="minorHAnsi"/>
      <w:sz w:val="18"/>
      <w:szCs w:val="18"/>
    </w:rPr>
  </w:style>
  <w:style w:type="paragraph" w:styleId="TOC4">
    <w:name w:val="toc 4"/>
    <w:basedOn w:val="Normal"/>
    <w:next w:val="Normal"/>
    <w:autoRedefine/>
    <w:uiPriority w:val="39"/>
    <w:rsid w:val="006F7F1D"/>
    <w:pPr>
      <w:ind w:left="660"/>
    </w:pPr>
    <w:rPr>
      <w:rFonts w:asciiTheme="minorHAnsi" w:hAnsiTheme="minorHAnsi"/>
      <w:sz w:val="18"/>
      <w:szCs w:val="18"/>
    </w:rPr>
  </w:style>
  <w:style w:type="paragraph" w:styleId="TOC6">
    <w:name w:val="toc 6"/>
    <w:basedOn w:val="Normal"/>
    <w:next w:val="Normal"/>
    <w:autoRedefine/>
    <w:uiPriority w:val="39"/>
    <w:rsid w:val="006F7F1D"/>
    <w:pPr>
      <w:ind w:left="1100"/>
    </w:pPr>
    <w:rPr>
      <w:rFonts w:asciiTheme="minorHAnsi" w:hAnsiTheme="minorHAnsi"/>
      <w:sz w:val="18"/>
      <w:szCs w:val="18"/>
    </w:rPr>
  </w:style>
  <w:style w:type="paragraph" w:styleId="TOC7">
    <w:name w:val="toc 7"/>
    <w:basedOn w:val="Normal"/>
    <w:next w:val="Normal"/>
    <w:autoRedefine/>
    <w:uiPriority w:val="39"/>
    <w:rsid w:val="006F7F1D"/>
    <w:pPr>
      <w:ind w:left="1320"/>
    </w:pPr>
    <w:rPr>
      <w:rFonts w:asciiTheme="minorHAnsi" w:hAnsiTheme="minorHAnsi"/>
      <w:sz w:val="18"/>
      <w:szCs w:val="18"/>
    </w:rPr>
  </w:style>
  <w:style w:type="paragraph" w:styleId="TOC8">
    <w:name w:val="toc 8"/>
    <w:basedOn w:val="Normal"/>
    <w:next w:val="Normal"/>
    <w:autoRedefine/>
    <w:uiPriority w:val="39"/>
    <w:rsid w:val="006F7F1D"/>
    <w:pPr>
      <w:ind w:left="1540"/>
    </w:pPr>
    <w:rPr>
      <w:rFonts w:asciiTheme="minorHAnsi" w:hAnsiTheme="minorHAnsi"/>
      <w:sz w:val="18"/>
      <w:szCs w:val="18"/>
    </w:rPr>
  </w:style>
  <w:style w:type="paragraph" w:styleId="TOC9">
    <w:name w:val="toc 9"/>
    <w:basedOn w:val="Normal"/>
    <w:next w:val="Normal"/>
    <w:autoRedefine/>
    <w:uiPriority w:val="39"/>
    <w:rsid w:val="006F7F1D"/>
    <w:pPr>
      <w:ind w:left="1760"/>
    </w:pPr>
    <w:rPr>
      <w:rFonts w:asciiTheme="minorHAnsi" w:hAnsiTheme="minorHAnsi"/>
      <w:sz w:val="18"/>
      <w:szCs w:val="18"/>
    </w:rPr>
  </w:style>
  <w:style w:type="numbering" w:customStyle="1" w:styleId="Heading">
    <w:name w:val="Heading"/>
    <w:uiPriority w:val="99"/>
    <w:rsid w:val="00FE1711"/>
    <w:pPr>
      <w:numPr>
        <w:numId w:val="5"/>
      </w:numPr>
    </w:pPr>
  </w:style>
  <w:style w:type="paragraph" w:styleId="NormalWeb">
    <w:name w:val="Normal (Web)"/>
    <w:basedOn w:val="Normal"/>
    <w:uiPriority w:val="99"/>
    <w:unhideWhenUsed/>
    <w:rsid w:val="0023403F"/>
    <w:pPr>
      <w:spacing w:before="100" w:beforeAutospacing="1" w:after="150"/>
    </w:pPr>
    <w:rPr>
      <w:rFonts w:ascii="Times New Roman" w:hAnsi="Times New Roman"/>
      <w:sz w:val="24"/>
      <w:szCs w:val="24"/>
      <w:lang w:val="en-NZ"/>
    </w:rPr>
  </w:style>
  <w:style w:type="paragraph" w:customStyle="1" w:styleId="Default">
    <w:name w:val="Default"/>
    <w:rsid w:val="00222B9F"/>
    <w:pPr>
      <w:autoSpaceDE w:val="0"/>
      <w:autoSpaceDN w:val="0"/>
      <w:adjustRightInd w:val="0"/>
    </w:pPr>
    <w:rPr>
      <w:color w:val="000000"/>
      <w:sz w:val="24"/>
      <w:szCs w:val="24"/>
      <w:lang w:val="en-NZ" w:eastAsia="en-NZ"/>
    </w:rPr>
  </w:style>
  <w:style w:type="paragraph" w:styleId="Revision">
    <w:name w:val="Revision"/>
    <w:hidden/>
    <w:uiPriority w:val="99"/>
    <w:semiHidden/>
    <w:rsid w:val="00AB5521"/>
    <w:rPr>
      <w:sz w:val="22"/>
      <w:szCs w:val="22"/>
    </w:rPr>
  </w:style>
  <w:style w:type="paragraph" w:customStyle="1" w:styleId="FSBullet">
    <w:name w:val="FS Bullet"/>
    <w:basedOn w:val="Normal"/>
    <w:next w:val="Normal"/>
    <w:link w:val="FSBulletChar"/>
    <w:rsid w:val="0064736E"/>
    <w:pPr>
      <w:widowControl w:val="0"/>
      <w:numPr>
        <w:numId w:val="7"/>
      </w:numPr>
    </w:pPr>
    <w:rPr>
      <w:rFonts w:cs="Arial"/>
      <w:szCs w:val="24"/>
      <w:lang w:eastAsia="en-US" w:bidi="en-US"/>
    </w:rPr>
  </w:style>
  <w:style w:type="character" w:customStyle="1" w:styleId="FSBulletChar">
    <w:name w:val="FS Bullet Char"/>
    <w:link w:val="FSBullet"/>
    <w:rsid w:val="0064736E"/>
    <w:rPr>
      <w:sz w:val="22"/>
      <w:szCs w:val="24"/>
      <w:lang w:val="en-GB" w:eastAsia="en-US" w:bidi="en-US"/>
    </w:rPr>
  </w:style>
  <w:style w:type="table" w:styleId="TableSimple2">
    <w:name w:val="Table Simple 2"/>
    <w:basedOn w:val="TableNormal"/>
    <w:rsid w:val="0028314A"/>
    <w:pPr>
      <w:spacing w:after="2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HeaderChar">
    <w:name w:val="Header Char"/>
    <w:aliases w:val="FSHeader Char"/>
    <w:link w:val="Header"/>
    <w:rsid w:val="0093286B"/>
    <w:rPr>
      <w:rFonts w:cs="Times New Roman"/>
      <w:b/>
      <w:lang w:val="en-GB"/>
    </w:rPr>
  </w:style>
  <w:style w:type="paragraph" w:customStyle="1" w:styleId="Table2">
    <w:name w:val="Table 2"/>
    <w:basedOn w:val="Normal"/>
    <w:qFormat/>
    <w:rsid w:val="0093286B"/>
    <w:pPr>
      <w:ind w:left="142" w:hanging="142"/>
    </w:pPr>
    <w:rPr>
      <w:rFonts w:eastAsia="Times New Roman"/>
      <w:bCs/>
      <w:sz w:val="18"/>
      <w:szCs w:val="20"/>
    </w:rPr>
  </w:style>
  <w:style w:type="paragraph" w:customStyle="1" w:styleId="131ItemHeading">
    <w:name w:val="1.3.1 Item Heading"/>
    <w:basedOn w:val="Table2"/>
    <w:next w:val="Table2"/>
    <w:uiPriority w:val="22"/>
    <w:qFormat/>
    <w:rsid w:val="0093286B"/>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93286B"/>
    <w:pPr>
      <w:spacing w:after="120"/>
    </w:pPr>
    <w:rPr>
      <w:caps w:val="0"/>
      <w:sz w:val="18"/>
    </w:rPr>
  </w:style>
  <w:style w:type="paragraph" w:customStyle="1" w:styleId="142Tableheading1">
    <w:name w:val="1.4.2 Table heading1"/>
    <w:basedOn w:val="Normal"/>
    <w:uiPriority w:val="22"/>
    <w:qFormat/>
    <w:rsid w:val="0093286B"/>
    <w:pPr>
      <w:keepNext/>
      <w:jc w:val="center"/>
    </w:pPr>
    <w:rPr>
      <w:rFonts w:ascii="Arial Bold" w:hAnsi="Arial Bold"/>
      <w:b/>
      <w:bCs/>
      <w:iCs/>
      <w:sz w:val="18"/>
    </w:rPr>
  </w:style>
  <w:style w:type="paragraph" w:customStyle="1" w:styleId="142Tableheading2">
    <w:name w:val="1.4.2 Table heading2"/>
    <w:basedOn w:val="142Tableheading1"/>
    <w:uiPriority w:val="22"/>
    <w:qFormat/>
    <w:rsid w:val="0093286B"/>
    <w:rPr>
      <w:rFonts w:ascii="Arial" w:eastAsia="Times New Roman" w:hAnsi="Arial"/>
      <w:b w:val="0"/>
      <w:iCs w:val="0"/>
      <w:szCs w:val="20"/>
    </w:rPr>
  </w:style>
  <w:style w:type="paragraph" w:customStyle="1" w:styleId="142Tabletext1">
    <w:name w:val="1.4.2 Table text1"/>
    <w:basedOn w:val="Normal"/>
    <w:link w:val="142Tabletext1Char"/>
    <w:uiPriority w:val="22"/>
    <w:qFormat/>
    <w:rsid w:val="0093286B"/>
    <w:pPr>
      <w:ind w:left="142" w:hanging="142"/>
    </w:pPr>
    <w:rPr>
      <w:rFonts w:eastAsia="Times New Roman"/>
      <w:sz w:val="18"/>
      <w:szCs w:val="20"/>
      <w:lang w:eastAsia="x-none"/>
    </w:rPr>
  </w:style>
  <w:style w:type="character" w:customStyle="1" w:styleId="142Tabletext1Char">
    <w:name w:val="1.4.2 Table text1 Char"/>
    <w:link w:val="142Tabletext1"/>
    <w:uiPriority w:val="22"/>
    <w:rsid w:val="0093286B"/>
    <w:rPr>
      <w:rFonts w:eastAsia="Times New Roman" w:cs="Times New Roman"/>
      <w:sz w:val="18"/>
      <w:szCs w:val="20"/>
      <w:lang w:val="en-GB"/>
    </w:rPr>
  </w:style>
  <w:style w:type="paragraph" w:customStyle="1" w:styleId="142Tabletext2">
    <w:name w:val="1.4.2 Table text2"/>
    <w:basedOn w:val="142Tabletext1"/>
    <w:uiPriority w:val="22"/>
    <w:qFormat/>
    <w:rsid w:val="0093286B"/>
    <w:pPr>
      <w:jc w:val="right"/>
    </w:pPr>
  </w:style>
  <w:style w:type="paragraph" w:customStyle="1" w:styleId="Blankpage">
    <w:name w:val="Blank page"/>
    <w:basedOn w:val="Normal"/>
    <w:next w:val="Normal"/>
    <w:uiPriority w:val="23"/>
    <w:qFormat/>
    <w:rsid w:val="0093286B"/>
    <w:pPr>
      <w:tabs>
        <w:tab w:val="left" w:pos="851"/>
      </w:tabs>
      <w:spacing w:before="6000"/>
      <w:jc w:val="center"/>
    </w:pPr>
    <w:rPr>
      <w:rFonts w:eastAsia="Times New Roman"/>
      <w:caps/>
      <w:szCs w:val="20"/>
    </w:rPr>
  </w:style>
  <w:style w:type="paragraph" w:customStyle="1" w:styleId="Clause">
    <w:name w:val="Clause"/>
    <w:basedOn w:val="Normal"/>
    <w:next w:val="Normal"/>
    <w:link w:val="ClauseChar"/>
    <w:uiPriority w:val="10"/>
    <w:qFormat/>
    <w:rsid w:val="0093286B"/>
    <w:pPr>
      <w:tabs>
        <w:tab w:val="left" w:pos="851"/>
      </w:tabs>
    </w:pPr>
    <w:rPr>
      <w:rFonts w:eastAsia="Times New Roman"/>
      <w:sz w:val="20"/>
      <w:szCs w:val="20"/>
      <w:lang w:eastAsia="x-none"/>
    </w:rPr>
  </w:style>
  <w:style w:type="character" w:customStyle="1" w:styleId="ClauseChar">
    <w:name w:val="Clause Char"/>
    <w:link w:val="Clause"/>
    <w:uiPriority w:val="10"/>
    <w:rsid w:val="0093286B"/>
    <w:rPr>
      <w:rFonts w:eastAsia="Times New Roman" w:cs="Times New Roman"/>
      <w:sz w:val="20"/>
      <w:szCs w:val="20"/>
      <w:lang w:val="en-GB"/>
    </w:rPr>
  </w:style>
  <w:style w:type="paragraph" w:customStyle="1" w:styleId="Clauseheading">
    <w:name w:val="Clause heading"/>
    <w:basedOn w:val="Normal"/>
    <w:next w:val="Normal"/>
    <w:uiPriority w:val="14"/>
    <w:qFormat/>
    <w:rsid w:val="0093286B"/>
    <w:pPr>
      <w:keepNext/>
      <w:tabs>
        <w:tab w:val="left" w:pos="851"/>
      </w:tabs>
    </w:pPr>
    <w:rPr>
      <w:rFonts w:eastAsia="Times New Roman"/>
      <w:b/>
      <w:sz w:val="20"/>
      <w:szCs w:val="20"/>
    </w:rPr>
  </w:style>
  <w:style w:type="paragraph" w:customStyle="1" w:styleId="ClauseList">
    <w:name w:val="Clause List"/>
    <w:basedOn w:val="Clause"/>
    <w:next w:val="Normal"/>
    <w:uiPriority w:val="14"/>
    <w:qFormat/>
    <w:rsid w:val="0093286B"/>
    <w:pPr>
      <w:tabs>
        <w:tab w:val="clear" w:pos="851"/>
      </w:tabs>
      <w:ind w:left="851" w:hanging="851"/>
    </w:pPr>
  </w:style>
  <w:style w:type="paragraph" w:customStyle="1" w:styleId="Definition">
    <w:name w:val="Definition"/>
    <w:basedOn w:val="Normal"/>
    <w:next w:val="Normal"/>
    <w:uiPriority w:val="15"/>
    <w:qFormat/>
    <w:rsid w:val="0093286B"/>
    <w:pPr>
      <w:ind w:left="1701" w:hanging="851"/>
    </w:pPr>
    <w:rPr>
      <w:rFonts w:eastAsia="Times New Roman"/>
      <w:sz w:val="20"/>
      <w:szCs w:val="20"/>
    </w:rPr>
  </w:style>
  <w:style w:type="paragraph" w:customStyle="1" w:styleId="DivisionHeading">
    <w:name w:val="Division Heading"/>
    <w:basedOn w:val="Normal"/>
    <w:next w:val="Normal"/>
    <w:uiPriority w:val="15"/>
    <w:qFormat/>
    <w:rsid w:val="0093286B"/>
    <w:pPr>
      <w:keepNext/>
      <w:tabs>
        <w:tab w:val="left" w:pos="851"/>
      </w:tabs>
      <w:jc w:val="center"/>
    </w:pPr>
    <w:rPr>
      <w:rFonts w:eastAsia="Times New Roman"/>
      <w:b/>
      <w:sz w:val="26"/>
      <w:szCs w:val="20"/>
    </w:rPr>
  </w:style>
  <w:style w:type="paragraph" w:customStyle="1" w:styleId="EditorialNoteLine1">
    <w:name w:val="Editorial Note Line 1"/>
    <w:basedOn w:val="Normal"/>
    <w:next w:val="Normal"/>
    <w:uiPriority w:val="16"/>
    <w:qFormat/>
    <w:rsid w:val="0093286B"/>
    <w:pPr>
      <w:keepNext/>
      <w:pBdr>
        <w:top w:val="single" w:sz="6" w:space="0" w:color="auto"/>
        <w:left w:val="single" w:sz="6" w:space="0" w:color="auto"/>
        <w:bottom w:val="single" w:sz="6" w:space="0" w:color="auto"/>
        <w:right w:val="single" w:sz="6" w:space="0" w:color="auto"/>
      </w:pBdr>
      <w:tabs>
        <w:tab w:val="left" w:pos="851"/>
      </w:tabs>
    </w:pPr>
    <w:rPr>
      <w:rFonts w:eastAsia="Times New Roman"/>
      <w:b/>
      <w:sz w:val="20"/>
      <w:szCs w:val="20"/>
    </w:rPr>
  </w:style>
  <w:style w:type="paragraph" w:customStyle="1" w:styleId="EditorialNotetext">
    <w:name w:val="Editorial Note text"/>
    <w:basedOn w:val="EditorialNoteLine1"/>
    <w:uiPriority w:val="16"/>
    <w:qFormat/>
    <w:rsid w:val="0093286B"/>
    <w:pPr>
      <w:keepNext w:val="0"/>
    </w:pPr>
    <w:rPr>
      <w:b w:val="0"/>
    </w:rPr>
  </w:style>
  <w:style w:type="paragraph" w:customStyle="1" w:styleId="FSBullet1">
    <w:name w:val="FSBullet 1"/>
    <w:basedOn w:val="Normal"/>
    <w:next w:val="Normal"/>
    <w:link w:val="FSBullet1Char"/>
    <w:uiPriority w:val="6"/>
    <w:qFormat/>
    <w:rsid w:val="00090134"/>
    <w:pPr>
      <w:numPr>
        <w:numId w:val="46"/>
      </w:numPr>
      <w:ind w:left="567" w:hanging="567"/>
    </w:pPr>
    <w:rPr>
      <w:rFonts w:eastAsia="Times New Roman" w:cs="Arial"/>
      <w:szCs w:val="24"/>
      <w:lang w:eastAsia="en-US"/>
    </w:rPr>
  </w:style>
  <w:style w:type="character" w:customStyle="1" w:styleId="FSBullet1Char">
    <w:name w:val="FSBullet 1 Char"/>
    <w:basedOn w:val="DefaultParagraphFont"/>
    <w:link w:val="FSBullet1"/>
    <w:uiPriority w:val="6"/>
    <w:rsid w:val="00090134"/>
    <w:rPr>
      <w:rFonts w:eastAsia="Times New Roman"/>
      <w:sz w:val="22"/>
      <w:szCs w:val="24"/>
      <w:lang w:eastAsia="en-US"/>
    </w:rPr>
  </w:style>
  <w:style w:type="paragraph" w:customStyle="1" w:styleId="FSBullet2">
    <w:name w:val="FSBullet 2"/>
    <w:basedOn w:val="Normal"/>
    <w:uiPriority w:val="6"/>
    <w:qFormat/>
    <w:rsid w:val="0093286B"/>
    <w:pPr>
      <w:numPr>
        <w:numId w:val="10"/>
      </w:numPr>
    </w:pPr>
  </w:style>
  <w:style w:type="paragraph" w:customStyle="1" w:styleId="FSBullet3">
    <w:name w:val="FSBullet 3"/>
    <w:basedOn w:val="Normal"/>
    <w:uiPriority w:val="6"/>
    <w:qFormat/>
    <w:rsid w:val="0093286B"/>
    <w:pPr>
      <w:keepNext/>
      <w:numPr>
        <w:numId w:val="11"/>
      </w:numPr>
    </w:pPr>
  </w:style>
  <w:style w:type="paragraph" w:customStyle="1" w:styleId="FSCaption">
    <w:name w:val="FSCaption"/>
    <w:basedOn w:val="Normal"/>
    <w:uiPriority w:val="9"/>
    <w:qFormat/>
    <w:rsid w:val="0093286B"/>
    <w:pPr>
      <w:keepNext/>
      <w:keepLines/>
      <w:spacing w:before="120"/>
    </w:pPr>
    <w:rPr>
      <w:i/>
      <w:sz w:val="16"/>
      <w:szCs w:val="16"/>
    </w:rPr>
  </w:style>
  <w:style w:type="paragraph" w:customStyle="1" w:styleId="FSCFootnote">
    <w:name w:val="FSCFootnote"/>
    <w:basedOn w:val="Normal"/>
    <w:next w:val="Normal"/>
    <w:uiPriority w:val="17"/>
    <w:qFormat/>
    <w:rsid w:val="00A82B3C"/>
    <w:rPr>
      <w:rFonts w:eastAsia="Times New Roman"/>
      <w:sz w:val="18"/>
      <w:szCs w:val="20"/>
    </w:rPr>
  </w:style>
  <w:style w:type="paragraph" w:customStyle="1" w:styleId="FSCFooter">
    <w:name w:val="FSCFooter"/>
    <w:basedOn w:val="FSCFootnote"/>
    <w:uiPriority w:val="17"/>
    <w:qFormat/>
    <w:rsid w:val="0093286B"/>
    <w:pPr>
      <w:tabs>
        <w:tab w:val="center" w:pos="4536"/>
        <w:tab w:val="right" w:pos="9070"/>
      </w:tabs>
    </w:pPr>
    <w:rPr>
      <w:szCs w:val="18"/>
    </w:rPr>
  </w:style>
  <w:style w:type="paragraph" w:customStyle="1" w:styleId="FSPagenumber">
    <w:name w:val="FSPage number"/>
    <w:basedOn w:val="Normal"/>
    <w:uiPriority w:val="1"/>
    <w:qFormat/>
    <w:rsid w:val="0093286B"/>
    <w:pPr>
      <w:jc w:val="center"/>
    </w:pPr>
    <w:rPr>
      <w:sz w:val="20"/>
      <w:szCs w:val="20"/>
    </w:rPr>
  </w:style>
  <w:style w:type="paragraph" w:customStyle="1" w:styleId="FSTableColumnRowheading">
    <w:name w:val="FSTable Column/Row heading"/>
    <w:basedOn w:val="Normal"/>
    <w:uiPriority w:val="8"/>
    <w:qFormat/>
    <w:rsid w:val="0093286B"/>
    <w:pPr>
      <w:spacing w:before="120" w:after="120"/>
    </w:pPr>
    <w:rPr>
      <w:b/>
      <w:sz w:val="20"/>
      <w:szCs w:val="20"/>
    </w:rPr>
  </w:style>
  <w:style w:type="paragraph" w:customStyle="1" w:styleId="FSTableFigureHeading">
    <w:name w:val="FSTable/Figure Heading"/>
    <w:basedOn w:val="Normal"/>
    <w:uiPriority w:val="7"/>
    <w:qFormat/>
    <w:rsid w:val="0093286B"/>
    <w:pPr>
      <w:spacing w:before="120" w:after="120"/>
      <w:ind w:left="1134" w:hanging="1134"/>
    </w:pPr>
    <w:rPr>
      <w:b/>
      <w:i/>
    </w:rPr>
  </w:style>
  <w:style w:type="paragraph" w:customStyle="1" w:styleId="Paragraph">
    <w:name w:val="Paragraph"/>
    <w:basedOn w:val="Clause"/>
    <w:next w:val="Normal"/>
    <w:uiPriority w:val="12"/>
    <w:qFormat/>
    <w:rsid w:val="0093286B"/>
    <w:pPr>
      <w:tabs>
        <w:tab w:val="clear" w:pos="851"/>
      </w:tabs>
      <w:ind w:left="1702" w:hanging="851"/>
    </w:pPr>
  </w:style>
  <w:style w:type="paragraph" w:customStyle="1" w:styleId="ScheduleHeading">
    <w:name w:val="Schedule Heading"/>
    <w:basedOn w:val="Normal"/>
    <w:next w:val="Normal"/>
    <w:uiPriority w:val="18"/>
    <w:qFormat/>
    <w:rsid w:val="0093286B"/>
    <w:pPr>
      <w:tabs>
        <w:tab w:val="left" w:pos="851"/>
      </w:tabs>
      <w:jc w:val="center"/>
    </w:pPr>
    <w:rPr>
      <w:rFonts w:eastAsia="Times New Roman"/>
      <w:b/>
      <w:caps/>
      <w:sz w:val="20"/>
      <w:szCs w:val="20"/>
    </w:rPr>
  </w:style>
  <w:style w:type="paragraph" w:customStyle="1" w:styleId="Standardtitle">
    <w:name w:val="Standard title"/>
    <w:basedOn w:val="Normal"/>
    <w:uiPriority w:val="18"/>
    <w:qFormat/>
    <w:rsid w:val="0093286B"/>
    <w:pPr>
      <w:keepNext/>
      <w:tabs>
        <w:tab w:val="left" w:pos="851"/>
      </w:tabs>
      <w:jc w:val="center"/>
    </w:pPr>
    <w:rPr>
      <w:rFonts w:eastAsia="Times New Roman"/>
      <w:b/>
      <w:i/>
      <w:iCs/>
      <w:caps/>
      <w:sz w:val="28"/>
      <w:szCs w:val="20"/>
    </w:rPr>
  </w:style>
  <w:style w:type="paragraph" w:customStyle="1" w:styleId="Subclause">
    <w:name w:val="Subclause"/>
    <w:basedOn w:val="Clause"/>
    <w:uiPriority w:val="11"/>
    <w:qFormat/>
    <w:rsid w:val="0093286B"/>
    <w:pPr>
      <w:ind w:left="567" w:hanging="567"/>
    </w:pPr>
  </w:style>
  <w:style w:type="paragraph" w:customStyle="1" w:styleId="Subparagraph">
    <w:name w:val="Subparagraph"/>
    <w:basedOn w:val="Paragraph"/>
    <w:next w:val="Normal"/>
    <w:uiPriority w:val="13"/>
    <w:qFormat/>
    <w:rsid w:val="0093286B"/>
    <w:pPr>
      <w:ind w:left="2553"/>
    </w:pPr>
  </w:style>
  <w:style w:type="paragraph" w:customStyle="1" w:styleId="Table1">
    <w:name w:val="Table 1"/>
    <w:basedOn w:val="Normal"/>
    <w:uiPriority w:val="20"/>
    <w:qFormat/>
    <w:rsid w:val="0093286B"/>
    <w:pPr>
      <w:keepNext/>
      <w:spacing w:after="120"/>
      <w:jc w:val="center"/>
    </w:pPr>
    <w:rPr>
      <w:rFonts w:eastAsia="Times New Roman"/>
      <w:b/>
      <w:bCs/>
      <w:sz w:val="18"/>
      <w:szCs w:val="20"/>
    </w:rPr>
  </w:style>
  <w:style w:type="paragraph" w:customStyle="1" w:styleId="TitleBorder">
    <w:name w:val="TitleBorder"/>
    <w:basedOn w:val="Normal"/>
    <w:uiPriority w:val="19"/>
    <w:qFormat/>
    <w:rsid w:val="0093286B"/>
    <w:pPr>
      <w:pBdr>
        <w:bottom w:val="double" w:sz="6" w:space="0" w:color="auto"/>
      </w:pBdr>
      <w:tabs>
        <w:tab w:val="left" w:pos="851"/>
      </w:tabs>
    </w:pPr>
    <w:rPr>
      <w:rFonts w:eastAsia="Times New Roman"/>
      <w:sz w:val="20"/>
      <w:szCs w:val="20"/>
    </w:rPr>
  </w:style>
  <w:style w:type="character" w:customStyle="1" w:styleId="Heading3Char">
    <w:name w:val="Heading 3 Char"/>
    <w:aliases w:val="FSHeading 3 Char,Subheading 1 Char"/>
    <w:link w:val="Heading3"/>
    <w:uiPriority w:val="2"/>
    <w:rsid w:val="00E92852"/>
    <w:rPr>
      <w:rFonts w:eastAsia="Times New Roman" w:cs="Times New Roman"/>
      <w:b/>
      <w:bCs/>
      <w:sz w:val="22"/>
      <w:szCs w:val="24"/>
      <w:lang w:eastAsia="en-AU"/>
    </w:rPr>
  </w:style>
  <w:style w:type="character" w:customStyle="1" w:styleId="Heading4Char">
    <w:name w:val="Heading 4 Char"/>
    <w:aliases w:val="FSHeading 4 Char,Subheading 2 Char"/>
    <w:link w:val="Heading4"/>
    <w:uiPriority w:val="2"/>
    <w:rsid w:val="00A82B3C"/>
    <w:rPr>
      <w:rFonts w:eastAsia="Times New Roman" w:cs="Times New Roman"/>
      <w:b/>
      <w:bCs/>
      <w:i/>
      <w:iCs/>
      <w:sz w:val="22"/>
      <w:lang w:eastAsia="x-none"/>
    </w:rPr>
  </w:style>
  <w:style w:type="character" w:customStyle="1" w:styleId="Heading5Char">
    <w:name w:val="Heading 5 Char"/>
    <w:aliases w:val="FSHeading 5 Char,Subheading 3 Char"/>
    <w:link w:val="Heading5"/>
    <w:uiPriority w:val="2"/>
    <w:rsid w:val="0093286B"/>
    <w:rPr>
      <w:rFonts w:eastAsia="Times New Roman" w:cs="Times New Roman"/>
      <w:i/>
      <w:lang w:val="en-GB" w:eastAsia="x-none"/>
    </w:rPr>
  </w:style>
  <w:style w:type="character" w:customStyle="1" w:styleId="Heading6Char">
    <w:name w:val="Heading 6 Char"/>
    <w:link w:val="Heading6"/>
    <w:rsid w:val="00A77DD7"/>
    <w:rPr>
      <w:rFonts w:cs="Times New Roman"/>
      <w:i/>
      <w:szCs w:val="22"/>
      <w:lang w:val="en-GB"/>
    </w:rPr>
  </w:style>
  <w:style w:type="character" w:customStyle="1" w:styleId="Heading7Char">
    <w:name w:val="Heading 7 Char"/>
    <w:link w:val="Heading7"/>
    <w:rsid w:val="00A77DD7"/>
    <w:rPr>
      <w:rFonts w:cs="Times New Roman"/>
      <w:szCs w:val="22"/>
      <w:lang w:val="en-GB"/>
    </w:rPr>
  </w:style>
  <w:style w:type="character" w:customStyle="1" w:styleId="Heading8Char">
    <w:name w:val="Heading 8 Char"/>
    <w:link w:val="Heading8"/>
    <w:uiPriority w:val="9"/>
    <w:semiHidden/>
    <w:rsid w:val="00A77DD7"/>
    <w:rPr>
      <w:rFonts w:ascii="Cambria" w:eastAsia="Times New Roman" w:hAnsi="Cambria" w:cs="Times New Roman"/>
      <w:color w:val="404040"/>
      <w:lang w:val="en-GB"/>
    </w:rPr>
  </w:style>
  <w:style w:type="character" w:customStyle="1" w:styleId="Heading9Char">
    <w:name w:val="Heading 9 Char"/>
    <w:link w:val="Heading9"/>
    <w:uiPriority w:val="9"/>
    <w:semiHidden/>
    <w:rsid w:val="00A77DD7"/>
    <w:rPr>
      <w:rFonts w:ascii="Cambria" w:eastAsia="Times New Roman" w:hAnsi="Cambria" w:cs="Times New Roman"/>
      <w:i/>
      <w:iCs/>
      <w:color w:val="404040"/>
      <w:lang w:val="en-GB" w:eastAsia="en-NZ" w:bidi="ar-SA"/>
    </w:rPr>
  </w:style>
  <w:style w:type="character" w:customStyle="1" w:styleId="BalloonTextChar">
    <w:name w:val="Balloon Text Char"/>
    <w:link w:val="BalloonText"/>
    <w:semiHidden/>
    <w:rsid w:val="00A77DD7"/>
    <w:rPr>
      <w:rFonts w:ascii="Tahoma" w:hAnsi="Tahoma" w:cs="Tahoma"/>
      <w:sz w:val="16"/>
      <w:szCs w:val="16"/>
      <w:lang w:val="en-GB"/>
    </w:rPr>
  </w:style>
  <w:style w:type="character" w:customStyle="1" w:styleId="CommentSubjectChar">
    <w:name w:val="Comment Subject Char"/>
    <w:link w:val="CommentSubject"/>
    <w:semiHidden/>
    <w:rsid w:val="00A77DD7"/>
    <w:rPr>
      <w:rFonts w:ascii="Arial" w:hAnsi="Arial" w:cs="Times New Roman"/>
      <w:b/>
      <w:bCs/>
      <w:lang w:val="en-GB" w:eastAsia="en-GB"/>
    </w:rPr>
  </w:style>
  <w:style w:type="character" w:customStyle="1" w:styleId="DocumentMapChar">
    <w:name w:val="Document Map Char"/>
    <w:link w:val="DocumentMap"/>
    <w:semiHidden/>
    <w:rsid w:val="00A77DD7"/>
    <w:rPr>
      <w:rFonts w:ascii="Tahoma" w:hAnsi="Tahoma" w:cs="Tahoma"/>
      <w:szCs w:val="22"/>
      <w:shd w:val="clear" w:color="auto" w:fill="000080"/>
      <w:lang w:val="en-GB"/>
    </w:rPr>
  </w:style>
  <w:style w:type="character" w:customStyle="1" w:styleId="TitleChar">
    <w:name w:val="Title Char"/>
    <w:link w:val="Title"/>
    <w:rsid w:val="00A77DD7"/>
    <w:rPr>
      <w:color w:val="002469"/>
      <w:spacing w:val="40"/>
      <w:w w:val="90"/>
      <w:sz w:val="48"/>
      <w:szCs w:val="48"/>
      <w:lang w:val="en-GB"/>
    </w:rPr>
  </w:style>
  <w:style w:type="table" w:styleId="MediumShading1-Accent3">
    <w:name w:val="Medium Shading 1 Accent 3"/>
    <w:basedOn w:val="TableNormal"/>
    <w:uiPriority w:val="63"/>
    <w:rsid w:val="00CE3F91"/>
    <w:rPr>
      <w:rFonts w:ascii="Calibri" w:eastAsia="Times New Roman"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FSTableTitle">
    <w:name w:val="FS Table Title"/>
    <w:basedOn w:val="Normal"/>
    <w:next w:val="Normal"/>
    <w:qFormat/>
    <w:rsid w:val="00CE3F91"/>
    <w:pPr>
      <w:widowControl w:val="0"/>
    </w:pPr>
    <w:rPr>
      <w:rFonts w:eastAsia="Times New Roman" w:cs="Arial"/>
      <w:b/>
      <w:szCs w:val="24"/>
      <w:lang w:eastAsia="en-US" w:bidi="en-US"/>
    </w:rPr>
  </w:style>
  <w:style w:type="paragraph" w:customStyle="1" w:styleId="Footnote">
    <w:name w:val="Footnote"/>
    <w:basedOn w:val="Normal"/>
    <w:rsid w:val="0026476C"/>
    <w:pPr>
      <w:widowControl w:val="0"/>
      <w:tabs>
        <w:tab w:val="left" w:pos="851"/>
      </w:tabs>
    </w:pPr>
    <w:rPr>
      <w:rFonts w:eastAsia="Times New Roman"/>
      <w:sz w:val="18"/>
      <w:szCs w:val="20"/>
      <w:lang w:eastAsia="en-US" w:bidi="en-US"/>
    </w:rPr>
  </w:style>
  <w:style w:type="paragraph" w:customStyle="1" w:styleId="FSTitle">
    <w:name w:val="FS Title"/>
    <w:basedOn w:val="Normal"/>
    <w:qFormat/>
    <w:rsid w:val="003C0CD9"/>
    <w:pPr>
      <w:widowControl w:val="0"/>
    </w:pPr>
    <w:rPr>
      <w:rFonts w:eastAsia="Times New Roman" w:cs="Tahoma"/>
      <w:bCs/>
      <w:sz w:val="3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99"/>
    <w:lsdException w:name="header" w:qFormat="1"/>
    <w:lsdException w:name="footer" w:uiPriority="99" w:qFormat="1"/>
    <w:lsdException w:name="caption" w:semiHidden="1" w:uiPriority="35" w:unhideWhenUsed="1" w:qFormat="1"/>
    <w:lsdException w:name="annotation reference" w:uiPriority="99"/>
    <w:lsdException w:name="Hyperlink" w:uiPriority="99"/>
    <w:lsdException w:name="Strong" w:uiPriority="22"/>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FS Normal"/>
    <w:qFormat/>
    <w:rsid w:val="00090134"/>
    <w:rPr>
      <w:rFonts w:cs="Times New Roman"/>
      <w:sz w:val="22"/>
      <w:szCs w:val="22"/>
      <w:lang w:eastAsia="en-NZ"/>
    </w:rPr>
  </w:style>
  <w:style w:type="paragraph" w:styleId="Heading1">
    <w:name w:val="heading 1"/>
    <w:aliases w:val="FSHeading 1,Chapter heading"/>
    <w:basedOn w:val="Normal"/>
    <w:next w:val="Normal"/>
    <w:link w:val="Heading1Char"/>
    <w:uiPriority w:val="2"/>
    <w:qFormat/>
    <w:rsid w:val="00090134"/>
    <w:pPr>
      <w:keepNext/>
      <w:spacing w:after="240"/>
      <w:ind w:left="851" w:hanging="851"/>
      <w:outlineLvl w:val="0"/>
    </w:pPr>
    <w:rPr>
      <w:rFonts w:eastAsia="Times New Roman"/>
      <w:b/>
      <w:bCs/>
      <w:sz w:val="36"/>
      <w:szCs w:val="28"/>
      <w:lang w:eastAsia="x-none"/>
    </w:rPr>
  </w:style>
  <w:style w:type="paragraph" w:styleId="Heading2">
    <w:name w:val="heading 2"/>
    <w:aliases w:val="FSHeading 2,Section heading"/>
    <w:basedOn w:val="Normal"/>
    <w:next w:val="Normal"/>
    <w:link w:val="Heading2Char"/>
    <w:autoRedefine/>
    <w:uiPriority w:val="2"/>
    <w:unhideWhenUsed/>
    <w:qFormat/>
    <w:rsid w:val="00E92852"/>
    <w:pPr>
      <w:keepNext/>
      <w:spacing w:before="240" w:after="240"/>
      <w:ind w:left="851" w:hanging="851"/>
      <w:outlineLvl w:val="1"/>
    </w:pPr>
    <w:rPr>
      <w:rFonts w:eastAsia="Times New Roman"/>
      <w:b/>
      <w:bCs/>
      <w:sz w:val="28"/>
      <w:lang w:eastAsia="x-none"/>
    </w:rPr>
  </w:style>
  <w:style w:type="paragraph" w:styleId="Heading3">
    <w:name w:val="heading 3"/>
    <w:aliases w:val="FSHeading 3,Subheading 1"/>
    <w:basedOn w:val="Normal"/>
    <w:next w:val="Normal"/>
    <w:link w:val="Heading3Char"/>
    <w:autoRedefine/>
    <w:uiPriority w:val="2"/>
    <w:unhideWhenUsed/>
    <w:qFormat/>
    <w:rsid w:val="00E92852"/>
    <w:pPr>
      <w:keepNext/>
      <w:spacing w:before="240" w:after="240"/>
      <w:ind w:left="851" w:hanging="851"/>
      <w:outlineLvl w:val="2"/>
    </w:pPr>
    <w:rPr>
      <w:rFonts w:eastAsia="Times New Roman"/>
      <w:b/>
      <w:bCs/>
      <w:szCs w:val="24"/>
      <w:lang w:eastAsia="en-AU"/>
    </w:rPr>
  </w:style>
  <w:style w:type="paragraph" w:styleId="Heading4">
    <w:name w:val="heading 4"/>
    <w:aliases w:val="FSHeading 4,Subheading 2"/>
    <w:basedOn w:val="Normal"/>
    <w:next w:val="Normal"/>
    <w:link w:val="Heading4Char"/>
    <w:uiPriority w:val="2"/>
    <w:unhideWhenUsed/>
    <w:qFormat/>
    <w:rsid w:val="00A82B3C"/>
    <w:pPr>
      <w:keepNext/>
      <w:spacing w:before="240" w:after="240"/>
      <w:ind w:left="851" w:hanging="851"/>
      <w:outlineLvl w:val="3"/>
    </w:pPr>
    <w:rPr>
      <w:rFonts w:eastAsia="Times New Roman"/>
      <w:b/>
      <w:bCs/>
      <w:i/>
      <w:iCs/>
      <w:szCs w:val="20"/>
      <w:lang w:eastAsia="x-none"/>
    </w:rPr>
  </w:style>
  <w:style w:type="paragraph" w:styleId="Heading5">
    <w:name w:val="heading 5"/>
    <w:aliases w:val="FSHeading 5,Subheading 3"/>
    <w:basedOn w:val="Normal"/>
    <w:next w:val="Normal"/>
    <w:link w:val="Heading5Char"/>
    <w:uiPriority w:val="2"/>
    <w:unhideWhenUsed/>
    <w:qFormat/>
    <w:rsid w:val="0093286B"/>
    <w:pPr>
      <w:keepNext/>
      <w:numPr>
        <w:ilvl w:val="4"/>
        <w:numId w:val="14"/>
      </w:numPr>
      <w:spacing w:before="240" w:after="240"/>
      <w:outlineLvl w:val="4"/>
    </w:pPr>
    <w:rPr>
      <w:rFonts w:eastAsia="Times New Roman"/>
      <w:i/>
      <w:sz w:val="20"/>
      <w:szCs w:val="20"/>
      <w:lang w:eastAsia="x-none"/>
    </w:rPr>
  </w:style>
  <w:style w:type="paragraph" w:styleId="Heading6">
    <w:name w:val="heading 6"/>
    <w:basedOn w:val="Normal"/>
    <w:next w:val="Normal"/>
    <w:link w:val="Heading6Char"/>
    <w:rsid w:val="00504E3C"/>
    <w:pPr>
      <w:numPr>
        <w:ilvl w:val="5"/>
        <w:numId w:val="14"/>
      </w:numPr>
      <w:spacing w:before="240"/>
      <w:outlineLvl w:val="5"/>
    </w:pPr>
    <w:rPr>
      <w:i/>
      <w:sz w:val="20"/>
    </w:rPr>
  </w:style>
  <w:style w:type="paragraph" w:styleId="Heading7">
    <w:name w:val="heading 7"/>
    <w:basedOn w:val="Normal"/>
    <w:next w:val="Normal"/>
    <w:link w:val="Heading7Char"/>
    <w:rsid w:val="00504E3C"/>
    <w:pPr>
      <w:numPr>
        <w:ilvl w:val="6"/>
        <w:numId w:val="14"/>
      </w:numPr>
      <w:spacing w:before="240"/>
      <w:outlineLvl w:val="6"/>
    </w:pPr>
    <w:rPr>
      <w:sz w:val="20"/>
    </w:rPr>
  </w:style>
  <w:style w:type="paragraph" w:styleId="Heading8">
    <w:name w:val="heading 8"/>
    <w:basedOn w:val="Normal"/>
    <w:next w:val="Normal"/>
    <w:link w:val="Heading8Char"/>
    <w:uiPriority w:val="9"/>
    <w:semiHidden/>
    <w:unhideWhenUsed/>
    <w:qFormat/>
    <w:rsid w:val="00504E3C"/>
    <w:pPr>
      <w:keepNext/>
      <w:keepLines/>
      <w:numPr>
        <w:ilvl w:val="7"/>
        <w:numId w:val="14"/>
      </w:numPr>
      <w:spacing w:before="200"/>
      <w:outlineLvl w:val="7"/>
    </w:pPr>
    <w:rPr>
      <w:rFonts w:ascii="Cambria" w:eastAsia="Times New Roman" w:hAnsi="Cambria"/>
      <w:color w:val="404040"/>
      <w:sz w:val="20"/>
      <w:szCs w:val="20"/>
    </w:rPr>
  </w:style>
  <w:style w:type="paragraph" w:styleId="Heading9">
    <w:name w:val="heading 9"/>
    <w:next w:val="Normal"/>
    <w:link w:val="Heading9Char"/>
    <w:uiPriority w:val="9"/>
    <w:semiHidden/>
    <w:unhideWhenUsed/>
    <w:qFormat/>
    <w:rsid w:val="00504E3C"/>
    <w:pPr>
      <w:keepNext/>
      <w:keepLines/>
      <w:numPr>
        <w:ilvl w:val="8"/>
        <w:numId w:val="14"/>
      </w:numPr>
      <w:spacing w:before="200"/>
      <w:outlineLvl w:val="8"/>
    </w:pPr>
    <w:rPr>
      <w:rFonts w:ascii="Cambria" w:eastAsia="Times New Roman" w:hAnsi="Cambria" w:cs="Times New Roman"/>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090134"/>
    <w:rPr>
      <w:rFonts w:eastAsia="Times New Roman" w:cs="Times New Roman"/>
      <w:b/>
      <w:bCs/>
      <w:sz w:val="36"/>
      <w:szCs w:val="28"/>
      <w:lang w:eastAsia="x-none"/>
    </w:rPr>
  </w:style>
  <w:style w:type="character" w:customStyle="1" w:styleId="Heading2Char">
    <w:name w:val="Heading 2 Char"/>
    <w:aliases w:val="FSHeading 2 Char,Section heading Char"/>
    <w:link w:val="Heading2"/>
    <w:uiPriority w:val="2"/>
    <w:rsid w:val="00E92852"/>
    <w:rPr>
      <w:rFonts w:eastAsia="Times New Roman" w:cs="Times New Roman"/>
      <w:b/>
      <w:bCs/>
      <w:sz w:val="28"/>
      <w:szCs w:val="22"/>
      <w:lang w:eastAsia="x-none"/>
    </w:rPr>
  </w:style>
  <w:style w:type="paragraph" w:styleId="Header">
    <w:name w:val="header"/>
    <w:aliases w:val="FSHeader"/>
    <w:basedOn w:val="Normal"/>
    <w:link w:val="HeaderChar"/>
    <w:unhideWhenUsed/>
    <w:qFormat/>
    <w:rsid w:val="0093286B"/>
    <w:pPr>
      <w:jc w:val="center"/>
    </w:pPr>
    <w:rPr>
      <w:b/>
      <w:sz w:val="20"/>
      <w:szCs w:val="20"/>
      <w:lang w:eastAsia="x-none"/>
    </w:rPr>
  </w:style>
  <w:style w:type="paragraph" w:styleId="Footer">
    <w:name w:val="footer"/>
    <w:aliases w:val="FSFooter"/>
    <w:basedOn w:val="Normal"/>
    <w:link w:val="FooterChar"/>
    <w:uiPriority w:val="99"/>
    <w:qFormat/>
    <w:rsid w:val="0093286B"/>
    <w:rPr>
      <w:sz w:val="20"/>
      <w:szCs w:val="20"/>
      <w:lang w:eastAsia="x-none"/>
    </w:rPr>
  </w:style>
  <w:style w:type="character" w:customStyle="1" w:styleId="FooterChar">
    <w:name w:val="Footer Char"/>
    <w:aliases w:val="FSFooter Char"/>
    <w:link w:val="Footer"/>
    <w:uiPriority w:val="99"/>
    <w:rsid w:val="0093286B"/>
    <w:rPr>
      <w:rFonts w:cs="Times New Roman"/>
      <w:sz w:val="20"/>
      <w:lang w:val="en-GB"/>
    </w:rPr>
  </w:style>
  <w:style w:type="character" w:styleId="Hyperlink">
    <w:name w:val="Hyperlink"/>
    <w:uiPriority w:val="99"/>
    <w:rsid w:val="00090134"/>
    <w:rPr>
      <w:color w:val="0000FF"/>
      <w:u w:val="single"/>
    </w:rPr>
  </w:style>
  <w:style w:type="paragraph" w:styleId="BalloonText">
    <w:name w:val="Balloon Text"/>
    <w:basedOn w:val="Normal"/>
    <w:link w:val="BalloonTextChar"/>
    <w:semiHidden/>
    <w:rsid w:val="00504E3C"/>
    <w:rPr>
      <w:rFonts w:ascii="Tahoma" w:hAnsi="Tahoma" w:cs="Tahoma"/>
      <w:sz w:val="16"/>
      <w:szCs w:val="16"/>
    </w:rPr>
  </w:style>
  <w:style w:type="paragraph" w:styleId="Caption">
    <w:name w:val="caption"/>
    <w:basedOn w:val="Normal"/>
    <w:next w:val="Normal"/>
    <w:uiPriority w:val="35"/>
    <w:semiHidden/>
    <w:unhideWhenUsed/>
    <w:qFormat/>
    <w:rsid w:val="006A3F76"/>
    <w:pPr>
      <w:spacing w:after="200"/>
    </w:pPr>
    <w:rPr>
      <w:b/>
      <w:bCs/>
      <w:color w:val="4F81BD"/>
      <w:sz w:val="18"/>
      <w:szCs w:val="18"/>
    </w:rPr>
  </w:style>
  <w:style w:type="paragraph" w:styleId="FootnoteText">
    <w:name w:val="footnote text"/>
    <w:aliases w:val="Footnotes Text,FSFootnotes Text"/>
    <w:basedOn w:val="Normal"/>
    <w:link w:val="FootnoteTextChar"/>
    <w:uiPriority w:val="5"/>
    <w:qFormat/>
    <w:rsid w:val="0093286B"/>
    <w:rPr>
      <w:sz w:val="18"/>
      <w:szCs w:val="20"/>
      <w:lang w:eastAsia="x-none"/>
    </w:rPr>
  </w:style>
  <w:style w:type="character" w:customStyle="1" w:styleId="FootnoteTextChar">
    <w:name w:val="Footnote Text Char"/>
    <w:aliases w:val="Footnotes Text Char,FSFootnotes Text Char"/>
    <w:link w:val="FootnoteText"/>
    <w:uiPriority w:val="5"/>
    <w:rsid w:val="0093286B"/>
    <w:rPr>
      <w:rFonts w:cs="Times New Roman"/>
      <w:sz w:val="18"/>
      <w:szCs w:val="20"/>
      <w:lang w:val="en-GB"/>
    </w:rPr>
  </w:style>
  <w:style w:type="character" w:styleId="FootnoteReference">
    <w:name w:val="footnote reference"/>
    <w:rsid w:val="00504E3C"/>
    <w:rPr>
      <w:rFonts w:ascii="Arial" w:hAnsi="Arial"/>
      <w:color w:val="auto"/>
      <w:position w:val="8"/>
      <w:sz w:val="16"/>
    </w:rPr>
  </w:style>
  <w:style w:type="paragraph" w:styleId="TOC1">
    <w:name w:val="toc 1"/>
    <w:basedOn w:val="Normal"/>
    <w:next w:val="Normal"/>
    <w:uiPriority w:val="39"/>
    <w:rsid w:val="00F450DB"/>
    <w:pPr>
      <w:spacing w:before="120" w:after="120"/>
    </w:pPr>
    <w:rPr>
      <w:rFonts w:asciiTheme="minorHAnsi" w:hAnsiTheme="minorHAnsi"/>
      <w:b/>
      <w:bCs/>
      <w:caps/>
      <w:sz w:val="20"/>
      <w:szCs w:val="20"/>
    </w:rPr>
  </w:style>
  <w:style w:type="paragraph" w:styleId="TOC2">
    <w:name w:val="toc 2"/>
    <w:basedOn w:val="Normal"/>
    <w:next w:val="Normal"/>
    <w:uiPriority w:val="39"/>
    <w:rsid w:val="00F450DB"/>
    <w:pPr>
      <w:ind w:left="220"/>
    </w:pPr>
    <w:rPr>
      <w:rFonts w:asciiTheme="minorHAnsi" w:hAnsiTheme="minorHAnsi"/>
      <w:smallCaps/>
      <w:sz w:val="20"/>
      <w:szCs w:val="20"/>
    </w:rPr>
  </w:style>
  <w:style w:type="paragraph" w:styleId="TOC3">
    <w:name w:val="toc 3"/>
    <w:basedOn w:val="Normal"/>
    <w:next w:val="Normal"/>
    <w:uiPriority w:val="39"/>
    <w:rsid w:val="006F7F1D"/>
    <w:pPr>
      <w:ind w:left="440"/>
    </w:pPr>
    <w:rPr>
      <w:rFonts w:asciiTheme="minorHAnsi" w:hAnsiTheme="minorHAnsi"/>
      <w:i/>
      <w:iCs/>
      <w:sz w:val="20"/>
      <w:szCs w:val="20"/>
    </w:rPr>
  </w:style>
  <w:style w:type="paragraph" w:styleId="CommentText">
    <w:name w:val="annotation text"/>
    <w:basedOn w:val="Normal"/>
    <w:link w:val="CommentTextChar"/>
    <w:uiPriority w:val="99"/>
    <w:rsid w:val="00504E3C"/>
    <w:rPr>
      <w:sz w:val="20"/>
      <w:szCs w:val="20"/>
      <w:lang w:eastAsia="en-GB"/>
    </w:rPr>
  </w:style>
  <w:style w:type="character" w:customStyle="1" w:styleId="CommentTextChar">
    <w:name w:val="Comment Text Char"/>
    <w:link w:val="CommentText"/>
    <w:uiPriority w:val="99"/>
    <w:rsid w:val="008D5CD9"/>
    <w:rPr>
      <w:rFonts w:ascii="Arial" w:hAnsi="Arial"/>
      <w:lang w:val="en-GB" w:eastAsia="en-GB"/>
    </w:rPr>
  </w:style>
  <w:style w:type="paragraph" w:styleId="CommentSubject">
    <w:name w:val="annotation subject"/>
    <w:basedOn w:val="CommentText"/>
    <w:next w:val="CommentText"/>
    <w:link w:val="CommentSubjectChar"/>
    <w:semiHidden/>
    <w:rsid w:val="00504E3C"/>
    <w:rPr>
      <w:b/>
      <w:bCs/>
    </w:rPr>
  </w:style>
  <w:style w:type="paragraph" w:styleId="DocumentMap">
    <w:name w:val="Document Map"/>
    <w:basedOn w:val="Normal"/>
    <w:link w:val="DocumentMapChar"/>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autoRedefine/>
    <w:rsid w:val="007D4655"/>
    <w:pPr>
      <w:numPr>
        <w:numId w:val="13"/>
      </w:numPr>
      <w:spacing w:after="120" w:line="240" w:lineRule="atLeast"/>
    </w:pPr>
    <w:rPr>
      <w:sz w:val="22"/>
      <w:szCs w:val="22"/>
      <w:lang w:val="en-AU" w:eastAsia="en-US"/>
    </w:rPr>
  </w:style>
  <w:style w:type="paragraph" w:customStyle="1" w:styleId="EvenFooter">
    <w:name w:val="Even Footer"/>
    <w:basedOn w:val="Footer"/>
    <w:rsid w:val="0054782B"/>
  </w:style>
  <w:style w:type="table" w:styleId="TableGrid">
    <w:name w:val="Table Grid"/>
    <w:basedOn w:val="TableNormal"/>
    <w:rsid w:val="00504E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504E3C"/>
    <w:pPr>
      <w:keepNext/>
    </w:pPr>
    <w:rPr>
      <w:sz w:val="20"/>
    </w:rPr>
  </w:style>
  <w:style w:type="paragraph" w:customStyle="1" w:styleId="TableText">
    <w:name w:val="Table Text"/>
    <w:basedOn w:val="Normal"/>
    <w:link w:val="TableTextChar"/>
    <w:rsid w:val="0031512F"/>
    <w:pPr>
      <w:autoSpaceDE w:val="0"/>
      <w:autoSpaceDN w:val="0"/>
      <w:adjustRightInd w:val="0"/>
      <w:spacing w:before="60" w:after="60" w:line="240" w:lineRule="atLeast"/>
    </w:pPr>
    <w:rPr>
      <w:lang w:eastAsia="en-AU"/>
    </w:rPr>
  </w:style>
  <w:style w:type="character" w:customStyle="1" w:styleId="TableTextChar">
    <w:name w:val="Table Text Char"/>
    <w:link w:val="TableText"/>
    <w:rsid w:val="0031512F"/>
    <w:rPr>
      <w:rFonts w:ascii="Arial" w:hAnsi="Arial" w:cs="GillSans"/>
      <w:sz w:val="22"/>
      <w:szCs w:val="22"/>
      <w:lang w:val="en-GB" w:eastAsia="en-AU"/>
    </w:rPr>
  </w:style>
  <w:style w:type="paragraph" w:customStyle="1" w:styleId="Evenfooter-wide">
    <w:name w:val="Even footer-wide"/>
    <w:basedOn w:val="EvenFooter"/>
    <w:rsid w:val="0054782B"/>
  </w:style>
  <w:style w:type="character" w:styleId="CommentReference">
    <w:name w:val="annotation reference"/>
    <w:uiPriority w:val="99"/>
    <w:rsid w:val="00504E3C"/>
    <w:rPr>
      <w:sz w:val="16"/>
      <w:szCs w:val="16"/>
    </w:rPr>
  </w:style>
  <w:style w:type="character" w:styleId="FollowedHyperlink">
    <w:name w:val="FollowedHyperlink"/>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link w:val="TitleChar"/>
    <w:rsid w:val="00855476"/>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rPr>
  </w:style>
  <w:style w:type="paragraph" w:customStyle="1" w:styleId="spacer">
    <w:name w:val="spacer"/>
    <w:basedOn w:val="Normal"/>
    <w:rsid w:val="00BF2DF2"/>
    <w:rPr>
      <w:sz w:val="16"/>
      <w:lang w:eastAsia="en-AU"/>
    </w:rPr>
  </w:style>
  <w:style w:type="paragraph" w:styleId="Subtitle">
    <w:name w:val="Subtitle"/>
    <w:basedOn w:val="Title"/>
    <w:next w:val="Normal"/>
    <w:link w:val="SubtitleChar"/>
    <w:rsid w:val="00855476"/>
    <w:pPr>
      <w:spacing w:before="360" w:line="600" w:lineRule="atLeast"/>
    </w:pPr>
    <w:rPr>
      <w:rFonts w:cs="Times New Roman"/>
      <w:color w:val="001C4D"/>
      <w:sz w:val="36"/>
      <w:szCs w:val="36"/>
      <w:lang w:eastAsia="en-GB"/>
    </w:rPr>
  </w:style>
  <w:style w:type="character" w:customStyle="1" w:styleId="SubtitleChar">
    <w:name w:val="Subtitle Char"/>
    <w:link w:val="Subtitle"/>
    <w:rsid w:val="00855476"/>
    <w:rPr>
      <w:rFonts w:ascii="Arial" w:hAnsi="Arial" w:cs="Arial"/>
      <w:color w:val="001C4D"/>
      <w:spacing w:val="40"/>
      <w:w w:val="90"/>
      <w:sz w:val="36"/>
      <w:szCs w:val="36"/>
      <w:lang w:val="en-GB" w:eastAsia="en-GB"/>
    </w:rPr>
  </w:style>
  <w:style w:type="paragraph" w:customStyle="1" w:styleId="TableBullet1">
    <w:name w:val="Table Bullet 1"/>
    <w:basedOn w:val="TableText"/>
    <w:rsid w:val="00E25EF0"/>
    <w:pPr>
      <w:numPr>
        <w:numId w:val="2"/>
      </w:numPr>
      <w:autoSpaceDE/>
      <w:autoSpaceDN/>
      <w:adjustRightInd/>
      <w:spacing w:before="30" w:after="30" w:line="240" w:lineRule="auto"/>
    </w:pPr>
    <w:rPr>
      <w:rFonts w:ascii="Garamond" w:hAnsi="Garamond"/>
      <w:szCs w:val="24"/>
      <w:lang w:val="en-NZ" w:eastAsia="en-NZ"/>
    </w:rPr>
  </w:style>
  <w:style w:type="paragraph" w:customStyle="1" w:styleId="TableBullet2">
    <w:name w:val="Table Bullet 2"/>
    <w:basedOn w:val="TableText"/>
    <w:rsid w:val="00E25EF0"/>
    <w:pPr>
      <w:numPr>
        <w:ilvl w:val="1"/>
        <w:numId w:val="2"/>
      </w:numPr>
      <w:autoSpaceDE/>
      <w:autoSpaceDN/>
      <w:adjustRightInd/>
      <w:spacing w:before="30" w:after="30" w:line="240" w:lineRule="auto"/>
    </w:pPr>
    <w:rPr>
      <w:rFonts w:ascii="Garamond" w:hAnsi="Garamond"/>
      <w:szCs w:val="24"/>
      <w:lang w:val="en-NZ" w:eastAsia="en-NZ"/>
    </w:rPr>
  </w:style>
  <w:style w:type="paragraph" w:customStyle="1" w:styleId="Intro">
    <w:name w:val="Intro"/>
    <w:basedOn w:val="Normal"/>
    <w:rsid w:val="008D5CD9"/>
    <w:pPr>
      <w:spacing w:line="360" w:lineRule="atLeast"/>
    </w:pPr>
    <w:rPr>
      <w:color w:val="335087"/>
      <w:sz w:val="24"/>
    </w:rPr>
  </w:style>
  <w:style w:type="paragraph" w:styleId="ListParagraph">
    <w:name w:val="List Paragraph"/>
    <w:basedOn w:val="Normal"/>
    <w:uiPriority w:val="34"/>
    <w:qFormat/>
    <w:rsid w:val="0064736E"/>
    <w:pPr>
      <w:ind w:left="720"/>
      <w:contextualSpacing/>
    </w:pPr>
  </w:style>
  <w:style w:type="paragraph" w:customStyle="1" w:styleId="Text">
    <w:name w:val="Text"/>
    <w:basedOn w:val="Normal"/>
    <w:link w:val="TextChar"/>
    <w:rsid w:val="008D5CD9"/>
    <w:pPr>
      <w:spacing w:before="120" w:after="120" w:line="300" w:lineRule="exact"/>
      <w:jc w:val="both"/>
    </w:pPr>
    <w:rPr>
      <w:szCs w:val="20"/>
      <w:lang w:eastAsia="en-US"/>
    </w:rPr>
  </w:style>
  <w:style w:type="character" w:customStyle="1" w:styleId="TextChar">
    <w:name w:val="Text Char"/>
    <w:link w:val="Text"/>
    <w:rsid w:val="008D5CD9"/>
    <w:rPr>
      <w:rFonts w:ascii="Arial" w:hAnsi="Arial"/>
      <w:sz w:val="22"/>
      <w:lang w:val="en-GB" w:eastAsia="en-US"/>
    </w:rPr>
  </w:style>
  <w:style w:type="paragraph" w:customStyle="1" w:styleId="TableBullet">
    <w:name w:val="Table Bullet"/>
    <w:basedOn w:val="Normal"/>
    <w:rsid w:val="001F492F"/>
    <w:pPr>
      <w:numPr>
        <w:ilvl w:val="1"/>
        <w:numId w:val="3"/>
      </w:numPr>
    </w:pPr>
  </w:style>
  <w:style w:type="paragraph" w:styleId="TOCHeading">
    <w:name w:val="TOC Heading"/>
    <w:basedOn w:val="Heading1"/>
    <w:next w:val="Normal"/>
    <w:uiPriority w:val="39"/>
    <w:semiHidden/>
    <w:unhideWhenUsed/>
    <w:qFormat/>
    <w:rsid w:val="006F7F1D"/>
    <w:pPr>
      <w:keepLines/>
      <w:spacing w:before="480" w:after="0"/>
      <w:ind w:left="0" w:firstLine="0"/>
      <w:outlineLvl w:val="9"/>
    </w:pPr>
    <w:rPr>
      <w:rFonts w:ascii="Cambria" w:hAnsi="Cambria"/>
      <w:color w:val="365F91"/>
      <w:sz w:val="28"/>
    </w:rPr>
  </w:style>
  <w:style w:type="paragraph" w:styleId="TOC5">
    <w:name w:val="toc 5"/>
    <w:basedOn w:val="Normal"/>
    <w:next w:val="Normal"/>
    <w:autoRedefine/>
    <w:uiPriority w:val="39"/>
    <w:rsid w:val="006F7F1D"/>
    <w:pPr>
      <w:ind w:left="880"/>
    </w:pPr>
    <w:rPr>
      <w:rFonts w:asciiTheme="minorHAnsi" w:hAnsiTheme="minorHAnsi"/>
      <w:sz w:val="18"/>
      <w:szCs w:val="18"/>
    </w:rPr>
  </w:style>
  <w:style w:type="paragraph" w:styleId="TOC4">
    <w:name w:val="toc 4"/>
    <w:basedOn w:val="Normal"/>
    <w:next w:val="Normal"/>
    <w:autoRedefine/>
    <w:uiPriority w:val="39"/>
    <w:rsid w:val="006F7F1D"/>
    <w:pPr>
      <w:ind w:left="660"/>
    </w:pPr>
    <w:rPr>
      <w:rFonts w:asciiTheme="minorHAnsi" w:hAnsiTheme="minorHAnsi"/>
      <w:sz w:val="18"/>
      <w:szCs w:val="18"/>
    </w:rPr>
  </w:style>
  <w:style w:type="paragraph" w:styleId="TOC6">
    <w:name w:val="toc 6"/>
    <w:basedOn w:val="Normal"/>
    <w:next w:val="Normal"/>
    <w:autoRedefine/>
    <w:uiPriority w:val="39"/>
    <w:rsid w:val="006F7F1D"/>
    <w:pPr>
      <w:ind w:left="1100"/>
    </w:pPr>
    <w:rPr>
      <w:rFonts w:asciiTheme="minorHAnsi" w:hAnsiTheme="minorHAnsi"/>
      <w:sz w:val="18"/>
      <w:szCs w:val="18"/>
    </w:rPr>
  </w:style>
  <w:style w:type="paragraph" w:styleId="TOC7">
    <w:name w:val="toc 7"/>
    <w:basedOn w:val="Normal"/>
    <w:next w:val="Normal"/>
    <w:autoRedefine/>
    <w:uiPriority w:val="39"/>
    <w:rsid w:val="006F7F1D"/>
    <w:pPr>
      <w:ind w:left="1320"/>
    </w:pPr>
    <w:rPr>
      <w:rFonts w:asciiTheme="minorHAnsi" w:hAnsiTheme="minorHAnsi"/>
      <w:sz w:val="18"/>
      <w:szCs w:val="18"/>
    </w:rPr>
  </w:style>
  <w:style w:type="paragraph" w:styleId="TOC8">
    <w:name w:val="toc 8"/>
    <w:basedOn w:val="Normal"/>
    <w:next w:val="Normal"/>
    <w:autoRedefine/>
    <w:uiPriority w:val="39"/>
    <w:rsid w:val="006F7F1D"/>
    <w:pPr>
      <w:ind w:left="1540"/>
    </w:pPr>
    <w:rPr>
      <w:rFonts w:asciiTheme="minorHAnsi" w:hAnsiTheme="minorHAnsi"/>
      <w:sz w:val="18"/>
      <w:szCs w:val="18"/>
    </w:rPr>
  </w:style>
  <w:style w:type="paragraph" w:styleId="TOC9">
    <w:name w:val="toc 9"/>
    <w:basedOn w:val="Normal"/>
    <w:next w:val="Normal"/>
    <w:autoRedefine/>
    <w:uiPriority w:val="39"/>
    <w:rsid w:val="006F7F1D"/>
    <w:pPr>
      <w:ind w:left="1760"/>
    </w:pPr>
    <w:rPr>
      <w:rFonts w:asciiTheme="minorHAnsi" w:hAnsiTheme="minorHAnsi"/>
      <w:sz w:val="18"/>
      <w:szCs w:val="18"/>
    </w:rPr>
  </w:style>
  <w:style w:type="numbering" w:customStyle="1" w:styleId="Heading">
    <w:name w:val="Heading"/>
    <w:uiPriority w:val="99"/>
    <w:rsid w:val="00FE1711"/>
    <w:pPr>
      <w:numPr>
        <w:numId w:val="5"/>
      </w:numPr>
    </w:pPr>
  </w:style>
  <w:style w:type="paragraph" w:styleId="NormalWeb">
    <w:name w:val="Normal (Web)"/>
    <w:basedOn w:val="Normal"/>
    <w:uiPriority w:val="99"/>
    <w:unhideWhenUsed/>
    <w:rsid w:val="0023403F"/>
    <w:pPr>
      <w:spacing w:before="100" w:beforeAutospacing="1" w:after="150"/>
    </w:pPr>
    <w:rPr>
      <w:rFonts w:ascii="Times New Roman" w:hAnsi="Times New Roman"/>
      <w:sz w:val="24"/>
      <w:szCs w:val="24"/>
      <w:lang w:val="en-NZ"/>
    </w:rPr>
  </w:style>
  <w:style w:type="paragraph" w:customStyle="1" w:styleId="Default">
    <w:name w:val="Default"/>
    <w:rsid w:val="00222B9F"/>
    <w:pPr>
      <w:autoSpaceDE w:val="0"/>
      <w:autoSpaceDN w:val="0"/>
      <w:adjustRightInd w:val="0"/>
    </w:pPr>
    <w:rPr>
      <w:color w:val="000000"/>
      <w:sz w:val="24"/>
      <w:szCs w:val="24"/>
      <w:lang w:val="en-NZ" w:eastAsia="en-NZ"/>
    </w:rPr>
  </w:style>
  <w:style w:type="paragraph" w:styleId="Revision">
    <w:name w:val="Revision"/>
    <w:hidden/>
    <w:uiPriority w:val="99"/>
    <w:semiHidden/>
    <w:rsid w:val="00AB5521"/>
    <w:rPr>
      <w:sz w:val="22"/>
      <w:szCs w:val="22"/>
    </w:rPr>
  </w:style>
  <w:style w:type="paragraph" w:customStyle="1" w:styleId="FSBullet">
    <w:name w:val="FS Bullet"/>
    <w:basedOn w:val="Normal"/>
    <w:next w:val="Normal"/>
    <w:link w:val="FSBulletChar"/>
    <w:rsid w:val="0064736E"/>
    <w:pPr>
      <w:widowControl w:val="0"/>
      <w:numPr>
        <w:numId w:val="7"/>
      </w:numPr>
    </w:pPr>
    <w:rPr>
      <w:rFonts w:cs="Arial"/>
      <w:szCs w:val="24"/>
      <w:lang w:eastAsia="en-US" w:bidi="en-US"/>
    </w:rPr>
  </w:style>
  <w:style w:type="character" w:customStyle="1" w:styleId="FSBulletChar">
    <w:name w:val="FS Bullet Char"/>
    <w:link w:val="FSBullet"/>
    <w:rsid w:val="0064736E"/>
    <w:rPr>
      <w:sz w:val="22"/>
      <w:szCs w:val="24"/>
      <w:lang w:val="en-GB" w:eastAsia="en-US" w:bidi="en-US"/>
    </w:rPr>
  </w:style>
  <w:style w:type="table" w:styleId="TableSimple2">
    <w:name w:val="Table Simple 2"/>
    <w:basedOn w:val="TableNormal"/>
    <w:rsid w:val="0028314A"/>
    <w:pPr>
      <w:spacing w:after="2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HeaderChar">
    <w:name w:val="Header Char"/>
    <w:aliases w:val="FSHeader Char"/>
    <w:link w:val="Header"/>
    <w:rsid w:val="0093286B"/>
    <w:rPr>
      <w:rFonts w:cs="Times New Roman"/>
      <w:b/>
      <w:lang w:val="en-GB"/>
    </w:rPr>
  </w:style>
  <w:style w:type="paragraph" w:customStyle="1" w:styleId="Table2">
    <w:name w:val="Table 2"/>
    <w:basedOn w:val="Normal"/>
    <w:qFormat/>
    <w:rsid w:val="0093286B"/>
    <w:pPr>
      <w:ind w:left="142" w:hanging="142"/>
    </w:pPr>
    <w:rPr>
      <w:rFonts w:eastAsia="Times New Roman"/>
      <w:bCs/>
      <w:sz w:val="18"/>
      <w:szCs w:val="20"/>
    </w:rPr>
  </w:style>
  <w:style w:type="paragraph" w:customStyle="1" w:styleId="131ItemHeading">
    <w:name w:val="1.3.1 Item Heading"/>
    <w:basedOn w:val="Table2"/>
    <w:next w:val="Table2"/>
    <w:uiPriority w:val="22"/>
    <w:qFormat/>
    <w:rsid w:val="0093286B"/>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93286B"/>
    <w:pPr>
      <w:spacing w:after="120"/>
    </w:pPr>
    <w:rPr>
      <w:caps w:val="0"/>
      <w:sz w:val="18"/>
    </w:rPr>
  </w:style>
  <w:style w:type="paragraph" w:customStyle="1" w:styleId="142Tableheading1">
    <w:name w:val="1.4.2 Table heading1"/>
    <w:basedOn w:val="Normal"/>
    <w:uiPriority w:val="22"/>
    <w:qFormat/>
    <w:rsid w:val="0093286B"/>
    <w:pPr>
      <w:keepNext/>
      <w:jc w:val="center"/>
    </w:pPr>
    <w:rPr>
      <w:rFonts w:ascii="Arial Bold" w:hAnsi="Arial Bold"/>
      <w:b/>
      <w:bCs/>
      <w:iCs/>
      <w:sz w:val="18"/>
    </w:rPr>
  </w:style>
  <w:style w:type="paragraph" w:customStyle="1" w:styleId="142Tableheading2">
    <w:name w:val="1.4.2 Table heading2"/>
    <w:basedOn w:val="142Tableheading1"/>
    <w:uiPriority w:val="22"/>
    <w:qFormat/>
    <w:rsid w:val="0093286B"/>
    <w:rPr>
      <w:rFonts w:ascii="Arial" w:eastAsia="Times New Roman" w:hAnsi="Arial"/>
      <w:b w:val="0"/>
      <w:iCs w:val="0"/>
      <w:szCs w:val="20"/>
    </w:rPr>
  </w:style>
  <w:style w:type="paragraph" w:customStyle="1" w:styleId="142Tabletext1">
    <w:name w:val="1.4.2 Table text1"/>
    <w:basedOn w:val="Normal"/>
    <w:link w:val="142Tabletext1Char"/>
    <w:uiPriority w:val="22"/>
    <w:qFormat/>
    <w:rsid w:val="0093286B"/>
    <w:pPr>
      <w:ind w:left="142" w:hanging="142"/>
    </w:pPr>
    <w:rPr>
      <w:rFonts w:eastAsia="Times New Roman"/>
      <w:sz w:val="18"/>
      <w:szCs w:val="20"/>
      <w:lang w:eastAsia="x-none"/>
    </w:rPr>
  </w:style>
  <w:style w:type="character" w:customStyle="1" w:styleId="142Tabletext1Char">
    <w:name w:val="1.4.2 Table text1 Char"/>
    <w:link w:val="142Tabletext1"/>
    <w:uiPriority w:val="22"/>
    <w:rsid w:val="0093286B"/>
    <w:rPr>
      <w:rFonts w:eastAsia="Times New Roman" w:cs="Times New Roman"/>
      <w:sz w:val="18"/>
      <w:szCs w:val="20"/>
      <w:lang w:val="en-GB"/>
    </w:rPr>
  </w:style>
  <w:style w:type="paragraph" w:customStyle="1" w:styleId="142Tabletext2">
    <w:name w:val="1.4.2 Table text2"/>
    <w:basedOn w:val="142Tabletext1"/>
    <w:uiPriority w:val="22"/>
    <w:qFormat/>
    <w:rsid w:val="0093286B"/>
    <w:pPr>
      <w:jc w:val="right"/>
    </w:pPr>
  </w:style>
  <w:style w:type="paragraph" w:customStyle="1" w:styleId="Blankpage">
    <w:name w:val="Blank page"/>
    <w:basedOn w:val="Normal"/>
    <w:next w:val="Normal"/>
    <w:uiPriority w:val="23"/>
    <w:qFormat/>
    <w:rsid w:val="0093286B"/>
    <w:pPr>
      <w:tabs>
        <w:tab w:val="left" w:pos="851"/>
      </w:tabs>
      <w:spacing w:before="6000"/>
      <w:jc w:val="center"/>
    </w:pPr>
    <w:rPr>
      <w:rFonts w:eastAsia="Times New Roman"/>
      <w:caps/>
      <w:szCs w:val="20"/>
    </w:rPr>
  </w:style>
  <w:style w:type="paragraph" w:customStyle="1" w:styleId="Clause">
    <w:name w:val="Clause"/>
    <w:basedOn w:val="Normal"/>
    <w:next w:val="Normal"/>
    <w:link w:val="ClauseChar"/>
    <w:uiPriority w:val="10"/>
    <w:qFormat/>
    <w:rsid w:val="0093286B"/>
    <w:pPr>
      <w:tabs>
        <w:tab w:val="left" w:pos="851"/>
      </w:tabs>
    </w:pPr>
    <w:rPr>
      <w:rFonts w:eastAsia="Times New Roman"/>
      <w:sz w:val="20"/>
      <w:szCs w:val="20"/>
      <w:lang w:eastAsia="x-none"/>
    </w:rPr>
  </w:style>
  <w:style w:type="character" w:customStyle="1" w:styleId="ClauseChar">
    <w:name w:val="Clause Char"/>
    <w:link w:val="Clause"/>
    <w:uiPriority w:val="10"/>
    <w:rsid w:val="0093286B"/>
    <w:rPr>
      <w:rFonts w:eastAsia="Times New Roman" w:cs="Times New Roman"/>
      <w:sz w:val="20"/>
      <w:szCs w:val="20"/>
      <w:lang w:val="en-GB"/>
    </w:rPr>
  </w:style>
  <w:style w:type="paragraph" w:customStyle="1" w:styleId="Clauseheading">
    <w:name w:val="Clause heading"/>
    <w:basedOn w:val="Normal"/>
    <w:next w:val="Normal"/>
    <w:uiPriority w:val="14"/>
    <w:qFormat/>
    <w:rsid w:val="0093286B"/>
    <w:pPr>
      <w:keepNext/>
      <w:tabs>
        <w:tab w:val="left" w:pos="851"/>
      </w:tabs>
    </w:pPr>
    <w:rPr>
      <w:rFonts w:eastAsia="Times New Roman"/>
      <w:b/>
      <w:sz w:val="20"/>
      <w:szCs w:val="20"/>
    </w:rPr>
  </w:style>
  <w:style w:type="paragraph" w:customStyle="1" w:styleId="ClauseList">
    <w:name w:val="Clause List"/>
    <w:basedOn w:val="Clause"/>
    <w:next w:val="Normal"/>
    <w:uiPriority w:val="14"/>
    <w:qFormat/>
    <w:rsid w:val="0093286B"/>
    <w:pPr>
      <w:tabs>
        <w:tab w:val="clear" w:pos="851"/>
      </w:tabs>
      <w:ind w:left="851" w:hanging="851"/>
    </w:pPr>
  </w:style>
  <w:style w:type="paragraph" w:customStyle="1" w:styleId="Definition">
    <w:name w:val="Definition"/>
    <w:basedOn w:val="Normal"/>
    <w:next w:val="Normal"/>
    <w:uiPriority w:val="15"/>
    <w:qFormat/>
    <w:rsid w:val="0093286B"/>
    <w:pPr>
      <w:ind w:left="1701" w:hanging="851"/>
    </w:pPr>
    <w:rPr>
      <w:rFonts w:eastAsia="Times New Roman"/>
      <w:sz w:val="20"/>
      <w:szCs w:val="20"/>
    </w:rPr>
  </w:style>
  <w:style w:type="paragraph" w:customStyle="1" w:styleId="DivisionHeading">
    <w:name w:val="Division Heading"/>
    <w:basedOn w:val="Normal"/>
    <w:next w:val="Normal"/>
    <w:uiPriority w:val="15"/>
    <w:qFormat/>
    <w:rsid w:val="0093286B"/>
    <w:pPr>
      <w:keepNext/>
      <w:tabs>
        <w:tab w:val="left" w:pos="851"/>
      </w:tabs>
      <w:jc w:val="center"/>
    </w:pPr>
    <w:rPr>
      <w:rFonts w:eastAsia="Times New Roman"/>
      <w:b/>
      <w:sz w:val="26"/>
      <w:szCs w:val="20"/>
    </w:rPr>
  </w:style>
  <w:style w:type="paragraph" w:customStyle="1" w:styleId="EditorialNoteLine1">
    <w:name w:val="Editorial Note Line 1"/>
    <w:basedOn w:val="Normal"/>
    <w:next w:val="Normal"/>
    <w:uiPriority w:val="16"/>
    <w:qFormat/>
    <w:rsid w:val="0093286B"/>
    <w:pPr>
      <w:keepNext/>
      <w:pBdr>
        <w:top w:val="single" w:sz="6" w:space="0" w:color="auto"/>
        <w:left w:val="single" w:sz="6" w:space="0" w:color="auto"/>
        <w:bottom w:val="single" w:sz="6" w:space="0" w:color="auto"/>
        <w:right w:val="single" w:sz="6" w:space="0" w:color="auto"/>
      </w:pBdr>
      <w:tabs>
        <w:tab w:val="left" w:pos="851"/>
      </w:tabs>
    </w:pPr>
    <w:rPr>
      <w:rFonts w:eastAsia="Times New Roman"/>
      <w:b/>
      <w:sz w:val="20"/>
      <w:szCs w:val="20"/>
    </w:rPr>
  </w:style>
  <w:style w:type="paragraph" w:customStyle="1" w:styleId="EditorialNotetext">
    <w:name w:val="Editorial Note text"/>
    <w:basedOn w:val="EditorialNoteLine1"/>
    <w:uiPriority w:val="16"/>
    <w:qFormat/>
    <w:rsid w:val="0093286B"/>
    <w:pPr>
      <w:keepNext w:val="0"/>
    </w:pPr>
    <w:rPr>
      <w:b w:val="0"/>
    </w:rPr>
  </w:style>
  <w:style w:type="paragraph" w:customStyle="1" w:styleId="FSBullet1">
    <w:name w:val="FSBullet 1"/>
    <w:basedOn w:val="Normal"/>
    <w:next w:val="Normal"/>
    <w:link w:val="FSBullet1Char"/>
    <w:uiPriority w:val="6"/>
    <w:qFormat/>
    <w:rsid w:val="00090134"/>
    <w:pPr>
      <w:numPr>
        <w:numId w:val="46"/>
      </w:numPr>
      <w:ind w:left="567" w:hanging="567"/>
    </w:pPr>
    <w:rPr>
      <w:rFonts w:eastAsia="Times New Roman" w:cs="Arial"/>
      <w:szCs w:val="24"/>
      <w:lang w:eastAsia="en-US"/>
    </w:rPr>
  </w:style>
  <w:style w:type="character" w:customStyle="1" w:styleId="FSBullet1Char">
    <w:name w:val="FSBullet 1 Char"/>
    <w:basedOn w:val="DefaultParagraphFont"/>
    <w:link w:val="FSBullet1"/>
    <w:uiPriority w:val="6"/>
    <w:rsid w:val="00090134"/>
    <w:rPr>
      <w:rFonts w:eastAsia="Times New Roman"/>
      <w:sz w:val="22"/>
      <w:szCs w:val="24"/>
      <w:lang w:eastAsia="en-US"/>
    </w:rPr>
  </w:style>
  <w:style w:type="paragraph" w:customStyle="1" w:styleId="FSBullet2">
    <w:name w:val="FSBullet 2"/>
    <w:basedOn w:val="Normal"/>
    <w:uiPriority w:val="6"/>
    <w:qFormat/>
    <w:rsid w:val="0093286B"/>
    <w:pPr>
      <w:numPr>
        <w:numId w:val="10"/>
      </w:numPr>
    </w:pPr>
  </w:style>
  <w:style w:type="paragraph" w:customStyle="1" w:styleId="FSBullet3">
    <w:name w:val="FSBullet 3"/>
    <w:basedOn w:val="Normal"/>
    <w:uiPriority w:val="6"/>
    <w:qFormat/>
    <w:rsid w:val="0093286B"/>
    <w:pPr>
      <w:keepNext/>
      <w:numPr>
        <w:numId w:val="11"/>
      </w:numPr>
    </w:pPr>
  </w:style>
  <w:style w:type="paragraph" w:customStyle="1" w:styleId="FSCaption">
    <w:name w:val="FSCaption"/>
    <w:basedOn w:val="Normal"/>
    <w:uiPriority w:val="9"/>
    <w:qFormat/>
    <w:rsid w:val="0093286B"/>
    <w:pPr>
      <w:keepNext/>
      <w:keepLines/>
      <w:spacing w:before="120"/>
    </w:pPr>
    <w:rPr>
      <w:i/>
      <w:sz w:val="16"/>
      <w:szCs w:val="16"/>
    </w:rPr>
  </w:style>
  <w:style w:type="paragraph" w:customStyle="1" w:styleId="FSCFootnote">
    <w:name w:val="FSCFootnote"/>
    <w:basedOn w:val="Normal"/>
    <w:next w:val="Normal"/>
    <w:uiPriority w:val="17"/>
    <w:qFormat/>
    <w:rsid w:val="00A82B3C"/>
    <w:rPr>
      <w:rFonts w:eastAsia="Times New Roman"/>
      <w:sz w:val="18"/>
      <w:szCs w:val="20"/>
    </w:rPr>
  </w:style>
  <w:style w:type="paragraph" w:customStyle="1" w:styleId="FSCFooter">
    <w:name w:val="FSCFooter"/>
    <w:basedOn w:val="FSCFootnote"/>
    <w:uiPriority w:val="17"/>
    <w:qFormat/>
    <w:rsid w:val="0093286B"/>
    <w:pPr>
      <w:tabs>
        <w:tab w:val="center" w:pos="4536"/>
        <w:tab w:val="right" w:pos="9070"/>
      </w:tabs>
    </w:pPr>
    <w:rPr>
      <w:szCs w:val="18"/>
    </w:rPr>
  </w:style>
  <w:style w:type="paragraph" w:customStyle="1" w:styleId="FSPagenumber">
    <w:name w:val="FSPage number"/>
    <w:basedOn w:val="Normal"/>
    <w:uiPriority w:val="1"/>
    <w:qFormat/>
    <w:rsid w:val="0093286B"/>
    <w:pPr>
      <w:jc w:val="center"/>
    </w:pPr>
    <w:rPr>
      <w:sz w:val="20"/>
      <w:szCs w:val="20"/>
    </w:rPr>
  </w:style>
  <w:style w:type="paragraph" w:customStyle="1" w:styleId="FSTableColumnRowheading">
    <w:name w:val="FSTable Column/Row heading"/>
    <w:basedOn w:val="Normal"/>
    <w:uiPriority w:val="8"/>
    <w:qFormat/>
    <w:rsid w:val="0093286B"/>
    <w:pPr>
      <w:spacing w:before="120" w:after="120"/>
    </w:pPr>
    <w:rPr>
      <w:b/>
      <w:sz w:val="20"/>
      <w:szCs w:val="20"/>
    </w:rPr>
  </w:style>
  <w:style w:type="paragraph" w:customStyle="1" w:styleId="FSTableFigureHeading">
    <w:name w:val="FSTable/Figure Heading"/>
    <w:basedOn w:val="Normal"/>
    <w:uiPriority w:val="7"/>
    <w:qFormat/>
    <w:rsid w:val="0093286B"/>
    <w:pPr>
      <w:spacing w:before="120" w:after="120"/>
      <w:ind w:left="1134" w:hanging="1134"/>
    </w:pPr>
    <w:rPr>
      <w:b/>
      <w:i/>
    </w:rPr>
  </w:style>
  <w:style w:type="paragraph" w:customStyle="1" w:styleId="Paragraph">
    <w:name w:val="Paragraph"/>
    <w:basedOn w:val="Clause"/>
    <w:next w:val="Normal"/>
    <w:uiPriority w:val="12"/>
    <w:qFormat/>
    <w:rsid w:val="0093286B"/>
    <w:pPr>
      <w:tabs>
        <w:tab w:val="clear" w:pos="851"/>
      </w:tabs>
      <w:ind w:left="1702" w:hanging="851"/>
    </w:pPr>
  </w:style>
  <w:style w:type="paragraph" w:customStyle="1" w:styleId="ScheduleHeading">
    <w:name w:val="Schedule Heading"/>
    <w:basedOn w:val="Normal"/>
    <w:next w:val="Normal"/>
    <w:uiPriority w:val="18"/>
    <w:qFormat/>
    <w:rsid w:val="0093286B"/>
    <w:pPr>
      <w:tabs>
        <w:tab w:val="left" w:pos="851"/>
      </w:tabs>
      <w:jc w:val="center"/>
    </w:pPr>
    <w:rPr>
      <w:rFonts w:eastAsia="Times New Roman"/>
      <w:b/>
      <w:caps/>
      <w:sz w:val="20"/>
      <w:szCs w:val="20"/>
    </w:rPr>
  </w:style>
  <w:style w:type="paragraph" w:customStyle="1" w:styleId="Standardtitle">
    <w:name w:val="Standard title"/>
    <w:basedOn w:val="Normal"/>
    <w:uiPriority w:val="18"/>
    <w:qFormat/>
    <w:rsid w:val="0093286B"/>
    <w:pPr>
      <w:keepNext/>
      <w:tabs>
        <w:tab w:val="left" w:pos="851"/>
      </w:tabs>
      <w:jc w:val="center"/>
    </w:pPr>
    <w:rPr>
      <w:rFonts w:eastAsia="Times New Roman"/>
      <w:b/>
      <w:i/>
      <w:iCs/>
      <w:caps/>
      <w:sz w:val="28"/>
      <w:szCs w:val="20"/>
    </w:rPr>
  </w:style>
  <w:style w:type="paragraph" w:customStyle="1" w:styleId="Subclause">
    <w:name w:val="Subclause"/>
    <w:basedOn w:val="Clause"/>
    <w:uiPriority w:val="11"/>
    <w:qFormat/>
    <w:rsid w:val="0093286B"/>
    <w:pPr>
      <w:ind w:left="567" w:hanging="567"/>
    </w:pPr>
  </w:style>
  <w:style w:type="paragraph" w:customStyle="1" w:styleId="Subparagraph">
    <w:name w:val="Subparagraph"/>
    <w:basedOn w:val="Paragraph"/>
    <w:next w:val="Normal"/>
    <w:uiPriority w:val="13"/>
    <w:qFormat/>
    <w:rsid w:val="0093286B"/>
    <w:pPr>
      <w:ind w:left="2553"/>
    </w:pPr>
  </w:style>
  <w:style w:type="paragraph" w:customStyle="1" w:styleId="Table1">
    <w:name w:val="Table 1"/>
    <w:basedOn w:val="Normal"/>
    <w:uiPriority w:val="20"/>
    <w:qFormat/>
    <w:rsid w:val="0093286B"/>
    <w:pPr>
      <w:keepNext/>
      <w:spacing w:after="120"/>
      <w:jc w:val="center"/>
    </w:pPr>
    <w:rPr>
      <w:rFonts w:eastAsia="Times New Roman"/>
      <w:b/>
      <w:bCs/>
      <w:sz w:val="18"/>
      <w:szCs w:val="20"/>
    </w:rPr>
  </w:style>
  <w:style w:type="paragraph" w:customStyle="1" w:styleId="TitleBorder">
    <w:name w:val="TitleBorder"/>
    <w:basedOn w:val="Normal"/>
    <w:uiPriority w:val="19"/>
    <w:qFormat/>
    <w:rsid w:val="0093286B"/>
    <w:pPr>
      <w:pBdr>
        <w:bottom w:val="double" w:sz="6" w:space="0" w:color="auto"/>
      </w:pBdr>
      <w:tabs>
        <w:tab w:val="left" w:pos="851"/>
      </w:tabs>
    </w:pPr>
    <w:rPr>
      <w:rFonts w:eastAsia="Times New Roman"/>
      <w:sz w:val="20"/>
      <w:szCs w:val="20"/>
    </w:rPr>
  </w:style>
  <w:style w:type="character" w:customStyle="1" w:styleId="Heading3Char">
    <w:name w:val="Heading 3 Char"/>
    <w:aliases w:val="FSHeading 3 Char,Subheading 1 Char"/>
    <w:link w:val="Heading3"/>
    <w:uiPriority w:val="2"/>
    <w:rsid w:val="00E92852"/>
    <w:rPr>
      <w:rFonts w:eastAsia="Times New Roman" w:cs="Times New Roman"/>
      <w:b/>
      <w:bCs/>
      <w:sz w:val="22"/>
      <w:szCs w:val="24"/>
      <w:lang w:eastAsia="en-AU"/>
    </w:rPr>
  </w:style>
  <w:style w:type="character" w:customStyle="1" w:styleId="Heading4Char">
    <w:name w:val="Heading 4 Char"/>
    <w:aliases w:val="FSHeading 4 Char,Subheading 2 Char"/>
    <w:link w:val="Heading4"/>
    <w:uiPriority w:val="2"/>
    <w:rsid w:val="00A82B3C"/>
    <w:rPr>
      <w:rFonts w:eastAsia="Times New Roman" w:cs="Times New Roman"/>
      <w:b/>
      <w:bCs/>
      <w:i/>
      <w:iCs/>
      <w:sz w:val="22"/>
      <w:lang w:eastAsia="x-none"/>
    </w:rPr>
  </w:style>
  <w:style w:type="character" w:customStyle="1" w:styleId="Heading5Char">
    <w:name w:val="Heading 5 Char"/>
    <w:aliases w:val="FSHeading 5 Char,Subheading 3 Char"/>
    <w:link w:val="Heading5"/>
    <w:uiPriority w:val="2"/>
    <w:rsid w:val="0093286B"/>
    <w:rPr>
      <w:rFonts w:eastAsia="Times New Roman" w:cs="Times New Roman"/>
      <w:i/>
      <w:lang w:val="en-GB" w:eastAsia="x-none"/>
    </w:rPr>
  </w:style>
  <w:style w:type="character" w:customStyle="1" w:styleId="Heading6Char">
    <w:name w:val="Heading 6 Char"/>
    <w:link w:val="Heading6"/>
    <w:rsid w:val="00A77DD7"/>
    <w:rPr>
      <w:rFonts w:cs="Times New Roman"/>
      <w:i/>
      <w:szCs w:val="22"/>
      <w:lang w:val="en-GB"/>
    </w:rPr>
  </w:style>
  <w:style w:type="character" w:customStyle="1" w:styleId="Heading7Char">
    <w:name w:val="Heading 7 Char"/>
    <w:link w:val="Heading7"/>
    <w:rsid w:val="00A77DD7"/>
    <w:rPr>
      <w:rFonts w:cs="Times New Roman"/>
      <w:szCs w:val="22"/>
      <w:lang w:val="en-GB"/>
    </w:rPr>
  </w:style>
  <w:style w:type="character" w:customStyle="1" w:styleId="Heading8Char">
    <w:name w:val="Heading 8 Char"/>
    <w:link w:val="Heading8"/>
    <w:uiPriority w:val="9"/>
    <w:semiHidden/>
    <w:rsid w:val="00A77DD7"/>
    <w:rPr>
      <w:rFonts w:ascii="Cambria" w:eastAsia="Times New Roman" w:hAnsi="Cambria" w:cs="Times New Roman"/>
      <w:color w:val="404040"/>
      <w:lang w:val="en-GB"/>
    </w:rPr>
  </w:style>
  <w:style w:type="character" w:customStyle="1" w:styleId="Heading9Char">
    <w:name w:val="Heading 9 Char"/>
    <w:link w:val="Heading9"/>
    <w:uiPriority w:val="9"/>
    <w:semiHidden/>
    <w:rsid w:val="00A77DD7"/>
    <w:rPr>
      <w:rFonts w:ascii="Cambria" w:eastAsia="Times New Roman" w:hAnsi="Cambria" w:cs="Times New Roman"/>
      <w:i/>
      <w:iCs/>
      <w:color w:val="404040"/>
      <w:lang w:val="en-GB" w:eastAsia="en-NZ" w:bidi="ar-SA"/>
    </w:rPr>
  </w:style>
  <w:style w:type="character" w:customStyle="1" w:styleId="BalloonTextChar">
    <w:name w:val="Balloon Text Char"/>
    <w:link w:val="BalloonText"/>
    <w:semiHidden/>
    <w:rsid w:val="00A77DD7"/>
    <w:rPr>
      <w:rFonts w:ascii="Tahoma" w:hAnsi="Tahoma" w:cs="Tahoma"/>
      <w:sz w:val="16"/>
      <w:szCs w:val="16"/>
      <w:lang w:val="en-GB"/>
    </w:rPr>
  </w:style>
  <w:style w:type="character" w:customStyle="1" w:styleId="CommentSubjectChar">
    <w:name w:val="Comment Subject Char"/>
    <w:link w:val="CommentSubject"/>
    <w:semiHidden/>
    <w:rsid w:val="00A77DD7"/>
    <w:rPr>
      <w:rFonts w:ascii="Arial" w:hAnsi="Arial" w:cs="Times New Roman"/>
      <w:b/>
      <w:bCs/>
      <w:lang w:val="en-GB" w:eastAsia="en-GB"/>
    </w:rPr>
  </w:style>
  <w:style w:type="character" w:customStyle="1" w:styleId="DocumentMapChar">
    <w:name w:val="Document Map Char"/>
    <w:link w:val="DocumentMap"/>
    <w:semiHidden/>
    <w:rsid w:val="00A77DD7"/>
    <w:rPr>
      <w:rFonts w:ascii="Tahoma" w:hAnsi="Tahoma" w:cs="Tahoma"/>
      <w:szCs w:val="22"/>
      <w:shd w:val="clear" w:color="auto" w:fill="000080"/>
      <w:lang w:val="en-GB"/>
    </w:rPr>
  </w:style>
  <w:style w:type="character" w:customStyle="1" w:styleId="TitleChar">
    <w:name w:val="Title Char"/>
    <w:link w:val="Title"/>
    <w:rsid w:val="00A77DD7"/>
    <w:rPr>
      <w:color w:val="002469"/>
      <w:spacing w:val="40"/>
      <w:w w:val="90"/>
      <w:sz w:val="48"/>
      <w:szCs w:val="48"/>
      <w:lang w:val="en-GB"/>
    </w:rPr>
  </w:style>
  <w:style w:type="table" w:styleId="MediumShading1-Accent3">
    <w:name w:val="Medium Shading 1 Accent 3"/>
    <w:basedOn w:val="TableNormal"/>
    <w:uiPriority w:val="63"/>
    <w:rsid w:val="00CE3F91"/>
    <w:rPr>
      <w:rFonts w:ascii="Calibri" w:eastAsia="Times New Roman"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FSTableTitle">
    <w:name w:val="FS Table Title"/>
    <w:basedOn w:val="Normal"/>
    <w:next w:val="Normal"/>
    <w:qFormat/>
    <w:rsid w:val="00CE3F91"/>
    <w:pPr>
      <w:widowControl w:val="0"/>
    </w:pPr>
    <w:rPr>
      <w:rFonts w:eastAsia="Times New Roman" w:cs="Arial"/>
      <w:b/>
      <w:szCs w:val="24"/>
      <w:lang w:eastAsia="en-US" w:bidi="en-US"/>
    </w:rPr>
  </w:style>
  <w:style w:type="paragraph" w:customStyle="1" w:styleId="Footnote">
    <w:name w:val="Footnote"/>
    <w:basedOn w:val="Normal"/>
    <w:rsid w:val="0026476C"/>
    <w:pPr>
      <w:widowControl w:val="0"/>
      <w:tabs>
        <w:tab w:val="left" w:pos="851"/>
      </w:tabs>
    </w:pPr>
    <w:rPr>
      <w:rFonts w:eastAsia="Times New Roman"/>
      <w:sz w:val="18"/>
      <w:szCs w:val="20"/>
      <w:lang w:eastAsia="en-US" w:bidi="en-US"/>
    </w:rPr>
  </w:style>
  <w:style w:type="paragraph" w:customStyle="1" w:styleId="FSTitle">
    <w:name w:val="FS Title"/>
    <w:basedOn w:val="Normal"/>
    <w:qFormat/>
    <w:rsid w:val="003C0CD9"/>
    <w:pPr>
      <w:widowControl w:val="0"/>
    </w:pPr>
    <w:rPr>
      <w:rFonts w:eastAsia="Times New Roman" w:cs="Tahoma"/>
      <w:bCs/>
      <w:sz w:val="3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835">
      <w:bodyDiv w:val="1"/>
      <w:marLeft w:val="0"/>
      <w:marRight w:val="0"/>
      <w:marTop w:val="0"/>
      <w:marBottom w:val="0"/>
      <w:divBdr>
        <w:top w:val="none" w:sz="0" w:space="0" w:color="auto"/>
        <w:left w:val="none" w:sz="0" w:space="0" w:color="auto"/>
        <w:bottom w:val="none" w:sz="0" w:space="0" w:color="auto"/>
        <w:right w:val="none" w:sz="0" w:space="0" w:color="auto"/>
      </w:divBdr>
      <w:divsChild>
        <w:div w:id="671572252">
          <w:marLeft w:val="0"/>
          <w:marRight w:val="0"/>
          <w:marTop w:val="0"/>
          <w:marBottom w:val="0"/>
          <w:divBdr>
            <w:top w:val="none" w:sz="0" w:space="0" w:color="auto"/>
            <w:left w:val="none" w:sz="0" w:space="0" w:color="auto"/>
            <w:bottom w:val="none" w:sz="0" w:space="0" w:color="auto"/>
            <w:right w:val="none" w:sz="0" w:space="0" w:color="auto"/>
          </w:divBdr>
          <w:divsChild>
            <w:div w:id="859707625">
              <w:marLeft w:val="0"/>
              <w:marRight w:val="0"/>
              <w:marTop w:val="0"/>
              <w:marBottom w:val="0"/>
              <w:divBdr>
                <w:top w:val="none" w:sz="0" w:space="0" w:color="auto"/>
                <w:left w:val="none" w:sz="0" w:space="0" w:color="auto"/>
                <w:bottom w:val="none" w:sz="0" w:space="0" w:color="auto"/>
                <w:right w:val="none" w:sz="0" w:space="0" w:color="auto"/>
              </w:divBdr>
              <w:divsChild>
                <w:div w:id="649408707">
                  <w:marLeft w:val="0"/>
                  <w:marRight w:val="0"/>
                  <w:marTop w:val="0"/>
                  <w:marBottom w:val="0"/>
                  <w:divBdr>
                    <w:top w:val="none" w:sz="0" w:space="0" w:color="auto"/>
                    <w:left w:val="none" w:sz="0" w:space="0" w:color="auto"/>
                    <w:bottom w:val="none" w:sz="0" w:space="0" w:color="auto"/>
                    <w:right w:val="none" w:sz="0" w:space="0" w:color="auto"/>
                  </w:divBdr>
                  <w:divsChild>
                    <w:div w:id="809906057">
                      <w:marLeft w:val="0"/>
                      <w:marRight w:val="0"/>
                      <w:marTop w:val="0"/>
                      <w:marBottom w:val="0"/>
                      <w:divBdr>
                        <w:top w:val="none" w:sz="0" w:space="0" w:color="auto"/>
                        <w:left w:val="none" w:sz="0" w:space="0" w:color="auto"/>
                        <w:bottom w:val="none" w:sz="0" w:space="0" w:color="auto"/>
                        <w:right w:val="none" w:sz="0" w:space="0" w:color="auto"/>
                      </w:divBdr>
                      <w:divsChild>
                        <w:div w:id="1132791379">
                          <w:marLeft w:val="0"/>
                          <w:marRight w:val="0"/>
                          <w:marTop w:val="0"/>
                          <w:marBottom w:val="0"/>
                          <w:divBdr>
                            <w:top w:val="none" w:sz="0" w:space="0" w:color="auto"/>
                            <w:left w:val="none" w:sz="0" w:space="0" w:color="auto"/>
                            <w:bottom w:val="none" w:sz="0" w:space="0" w:color="auto"/>
                            <w:right w:val="none" w:sz="0" w:space="0" w:color="auto"/>
                          </w:divBdr>
                          <w:divsChild>
                            <w:div w:id="1112633500">
                              <w:marLeft w:val="0"/>
                              <w:marRight w:val="0"/>
                              <w:marTop w:val="0"/>
                              <w:marBottom w:val="0"/>
                              <w:divBdr>
                                <w:top w:val="none" w:sz="0" w:space="0" w:color="auto"/>
                                <w:left w:val="none" w:sz="0" w:space="0" w:color="auto"/>
                                <w:bottom w:val="none" w:sz="0" w:space="0" w:color="auto"/>
                                <w:right w:val="none" w:sz="0" w:space="0" w:color="auto"/>
                              </w:divBdr>
                              <w:divsChild>
                                <w:div w:id="12216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24265">
      <w:bodyDiv w:val="1"/>
      <w:marLeft w:val="0"/>
      <w:marRight w:val="0"/>
      <w:marTop w:val="0"/>
      <w:marBottom w:val="0"/>
      <w:divBdr>
        <w:top w:val="none" w:sz="0" w:space="0" w:color="auto"/>
        <w:left w:val="none" w:sz="0" w:space="0" w:color="auto"/>
        <w:bottom w:val="none" w:sz="0" w:space="0" w:color="auto"/>
        <w:right w:val="none" w:sz="0" w:space="0" w:color="auto"/>
      </w:divBdr>
      <w:divsChild>
        <w:div w:id="1287854215">
          <w:marLeft w:val="0"/>
          <w:marRight w:val="0"/>
          <w:marTop w:val="0"/>
          <w:marBottom w:val="0"/>
          <w:divBdr>
            <w:top w:val="none" w:sz="0" w:space="0" w:color="auto"/>
            <w:left w:val="none" w:sz="0" w:space="0" w:color="auto"/>
            <w:bottom w:val="none" w:sz="0" w:space="0" w:color="auto"/>
            <w:right w:val="none" w:sz="0" w:space="0" w:color="auto"/>
          </w:divBdr>
          <w:divsChild>
            <w:div w:id="2124029159">
              <w:marLeft w:val="0"/>
              <w:marRight w:val="0"/>
              <w:marTop w:val="0"/>
              <w:marBottom w:val="750"/>
              <w:divBdr>
                <w:top w:val="none" w:sz="0" w:space="0" w:color="auto"/>
                <w:left w:val="none" w:sz="0" w:space="0" w:color="auto"/>
                <w:bottom w:val="none" w:sz="0" w:space="0" w:color="auto"/>
                <w:right w:val="none" w:sz="0" w:space="0" w:color="auto"/>
              </w:divBdr>
              <w:divsChild>
                <w:div w:id="2065178789">
                  <w:marLeft w:val="0"/>
                  <w:marRight w:val="0"/>
                  <w:marTop w:val="0"/>
                  <w:marBottom w:val="0"/>
                  <w:divBdr>
                    <w:top w:val="none" w:sz="0" w:space="0" w:color="auto"/>
                    <w:left w:val="none" w:sz="0" w:space="0" w:color="auto"/>
                    <w:bottom w:val="none" w:sz="0" w:space="0" w:color="auto"/>
                    <w:right w:val="none" w:sz="0" w:space="0" w:color="auto"/>
                  </w:divBdr>
                  <w:divsChild>
                    <w:div w:id="1937054111">
                      <w:marLeft w:val="0"/>
                      <w:marRight w:val="0"/>
                      <w:marTop w:val="0"/>
                      <w:marBottom w:val="0"/>
                      <w:divBdr>
                        <w:top w:val="none" w:sz="0" w:space="0" w:color="auto"/>
                        <w:left w:val="none" w:sz="0" w:space="0" w:color="auto"/>
                        <w:bottom w:val="none" w:sz="0" w:space="0" w:color="auto"/>
                        <w:right w:val="none" w:sz="0" w:space="0" w:color="auto"/>
                      </w:divBdr>
                      <w:divsChild>
                        <w:div w:id="2069767674">
                          <w:marLeft w:val="0"/>
                          <w:marRight w:val="0"/>
                          <w:marTop w:val="0"/>
                          <w:marBottom w:val="360"/>
                          <w:divBdr>
                            <w:top w:val="none" w:sz="0" w:space="0" w:color="auto"/>
                            <w:left w:val="none" w:sz="0" w:space="0" w:color="auto"/>
                            <w:bottom w:val="dotted" w:sz="6" w:space="18" w:color="CCCCCC"/>
                            <w:right w:val="none" w:sz="0" w:space="0" w:color="auto"/>
                          </w:divBdr>
                          <w:divsChild>
                            <w:div w:id="192694997">
                              <w:marLeft w:val="0"/>
                              <w:marRight w:val="0"/>
                              <w:marTop w:val="0"/>
                              <w:marBottom w:val="0"/>
                              <w:divBdr>
                                <w:top w:val="none" w:sz="0" w:space="0" w:color="auto"/>
                                <w:left w:val="none" w:sz="0" w:space="0" w:color="auto"/>
                                <w:bottom w:val="none" w:sz="0" w:space="0" w:color="auto"/>
                                <w:right w:val="none" w:sz="0" w:space="0" w:color="auto"/>
                              </w:divBdr>
                              <w:divsChild>
                                <w:div w:id="16394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9396">
      <w:bodyDiv w:val="1"/>
      <w:marLeft w:val="0"/>
      <w:marRight w:val="0"/>
      <w:marTop w:val="0"/>
      <w:marBottom w:val="0"/>
      <w:divBdr>
        <w:top w:val="none" w:sz="0" w:space="0" w:color="auto"/>
        <w:left w:val="none" w:sz="0" w:space="0" w:color="auto"/>
        <w:bottom w:val="none" w:sz="0" w:space="0" w:color="auto"/>
        <w:right w:val="none" w:sz="0" w:space="0" w:color="auto"/>
      </w:divBdr>
    </w:div>
    <w:div w:id="197205955">
      <w:bodyDiv w:val="1"/>
      <w:marLeft w:val="0"/>
      <w:marRight w:val="0"/>
      <w:marTop w:val="0"/>
      <w:marBottom w:val="0"/>
      <w:divBdr>
        <w:top w:val="none" w:sz="0" w:space="0" w:color="auto"/>
        <w:left w:val="none" w:sz="0" w:space="0" w:color="auto"/>
        <w:bottom w:val="none" w:sz="0" w:space="0" w:color="auto"/>
        <w:right w:val="none" w:sz="0" w:space="0" w:color="auto"/>
      </w:divBdr>
    </w:div>
    <w:div w:id="200172542">
      <w:bodyDiv w:val="1"/>
      <w:marLeft w:val="0"/>
      <w:marRight w:val="0"/>
      <w:marTop w:val="0"/>
      <w:marBottom w:val="0"/>
      <w:divBdr>
        <w:top w:val="none" w:sz="0" w:space="0" w:color="auto"/>
        <w:left w:val="none" w:sz="0" w:space="0" w:color="auto"/>
        <w:bottom w:val="none" w:sz="0" w:space="0" w:color="auto"/>
        <w:right w:val="none" w:sz="0" w:space="0" w:color="auto"/>
      </w:divBdr>
      <w:divsChild>
        <w:div w:id="1975140607">
          <w:marLeft w:val="0"/>
          <w:marRight w:val="0"/>
          <w:marTop w:val="0"/>
          <w:marBottom w:val="0"/>
          <w:divBdr>
            <w:top w:val="none" w:sz="0" w:space="0" w:color="auto"/>
            <w:left w:val="none" w:sz="0" w:space="0" w:color="auto"/>
            <w:bottom w:val="none" w:sz="0" w:space="0" w:color="auto"/>
            <w:right w:val="none" w:sz="0" w:space="0" w:color="auto"/>
          </w:divBdr>
          <w:divsChild>
            <w:div w:id="2107115890">
              <w:marLeft w:val="0"/>
              <w:marRight w:val="0"/>
              <w:marTop w:val="0"/>
              <w:marBottom w:val="0"/>
              <w:divBdr>
                <w:top w:val="none" w:sz="0" w:space="0" w:color="auto"/>
                <w:left w:val="none" w:sz="0" w:space="0" w:color="auto"/>
                <w:bottom w:val="none" w:sz="0" w:space="0" w:color="auto"/>
                <w:right w:val="none" w:sz="0" w:space="0" w:color="auto"/>
              </w:divBdr>
              <w:divsChild>
                <w:div w:id="1439450257">
                  <w:marLeft w:val="0"/>
                  <w:marRight w:val="0"/>
                  <w:marTop w:val="0"/>
                  <w:marBottom w:val="0"/>
                  <w:divBdr>
                    <w:top w:val="none" w:sz="0" w:space="0" w:color="auto"/>
                    <w:left w:val="none" w:sz="0" w:space="0" w:color="auto"/>
                    <w:bottom w:val="none" w:sz="0" w:space="0" w:color="auto"/>
                    <w:right w:val="none" w:sz="0" w:space="0" w:color="auto"/>
                  </w:divBdr>
                  <w:divsChild>
                    <w:div w:id="1832716204">
                      <w:marLeft w:val="0"/>
                      <w:marRight w:val="0"/>
                      <w:marTop w:val="0"/>
                      <w:marBottom w:val="0"/>
                      <w:divBdr>
                        <w:top w:val="none" w:sz="0" w:space="0" w:color="auto"/>
                        <w:left w:val="none" w:sz="0" w:space="0" w:color="auto"/>
                        <w:bottom w:val="none" w:sz="0" w:space="0" w:color="auto"/>
                        <w:right w:val="none" w:sz="0" w:space="0" w:color="auto"/>
                      </w:divBdr>
                      <w:divsChild>
                        <w:div w:id="1923293342">
                          <w:marLeft w:val="0"/>
                          <w:marRight w:val="0"/>
                          <w:marTop w:val="0"/>
                          <w:marBottom w:val="0"/>
                          <w:divBdr>
                            <w:top w:val="none" w:sz="0" w:space="0" w:color="auto"/>
                            <w:left w:val="none" w:sz="0" w:space="0" w:color="auto"/>
                            <w:bottom w:val="none" w:sz="0" w:space="0" w:color="auto"/>
                            <w:right w:val="none" w:sz="0" w:space="0" w:color="auto"/>
                          </w:divBdr>
                          <w:divsChild>
                            <w:div w:id="1192455352">
                              <w:marLeft w:val="0"/>
                              <w:marRight w:val="0"/>
                              <w:marTop w:val="0"/>
                              <w:marBottom w:val="0"/>
                              <w:divBdr>
                                <w:top w:val="none" w:sz="0" w:space="0" w:color="auto"/>
                                <w:left w:val="none" w:sz="0" w:space="0" w:color="auto"/>
                                <w:bottom w:val="none" w:sz="0" w:space="0" w:color="auto"/>
                                <w:right w:val="none" w:sz="0" w:space="0" w:color="auto"/>
                              </w:divBdr>
                              <w:divsChild>
                                <w:div w:id="1540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897845">
      <w:bodyDiv w:val="1"/>
      <w:marLeft w:val="0"/>
      <w:marRight w:val="0"/>
      <w:marTop w:val="0"/>
      <w:marBottom w:val="0"/>
      <w:divBdr>
        <w:top w:val="none" w:sz="0" w:space="0" w:color="auto"/>
        <w:left w:val="none" w:sz="0" w:space="0" w:color="auto"/>
        <w:bottom w:val="none" w:sz="0" w:space="0" w:color="auto"/>
        <w:right w:val="none" w:sz="0" w:space="0" w:color="auto"/>
      </w:divBdr>
    </w:div>
    <w:div w:id="274219128">
      <w:bodyDiv w:val="1"/>
      <w:marLeft w:val="0"/>
      <w:marRight w:val="0"/>
      <w:marTop w:val="0"/>
      <w:marBottom w:val="0"/>
      <w:divBdr>
        <w:top w:val="none" w:sz="0" w:space="0" w:color="auto"/>
        <w:left w:val="none" w:sz="0" w:space="0" w:color="auto"/>
        <w:bottom w:val="none" w:sz="0" w:space="0" w:color="auto"/>
        <w:right w:val="none" w:sz="0" w:space="0" w:color="auto"/>
      </w:divBdr>
    </w:div>
    <w:div w:id="274485323">
      <w:bodyDiv w:val="1"/>
      <w:marLeft w:val="0"/>
      <w:marRight w:val="0"/>
      <w:marTop w:val="0"/>
      <w:marBottom w:val="0"/>
      <w:divBdr>
        <w:top w:val="none" w:sz="0" w:space="0" w:color="auto"/>
        <w:left w:val="none" w:sz="0" w:space="0" w:color="auto"/>
        <w:bottom w:val="none" w:sz="0" w:space="0" w:color="auto"/>
        <w:right w:val="none" w:sz="0" w:space="0" w:color="auto"/>
      </w:divBdr>
      <w:divsChild>
        <w:div w:id="745689828">
          <w:marLeft w:val="0"/>
          <w:marRight w:val="0"/>
          <w:marTop w:val="0"/>
          <w:marBottom w:val="0"/>
          <w:divBdr>
            <w:top w:val="none" w:sz="0" w:space="0" w:color="auto"/>
            <w:left w:val="none" w:sz="0" w:space="0" w:color="auto"/>
            <w:bottom w:val="none" w:sz="0" w:space="0" w:color="auto"/>
            <w:right w:val="none" w:sz="0" w:space="0" w:color="auto"/>
          </w:divBdr>
          <w:divsChild>
            <w:div w:id="1771196443">
              <w:marLeft w:val="0"/>
              <w:marRight w:val="0"/>
              <w:marTop w:val="0"/>
              <w:marBottom w:val="0"/>
              <w:divBdr>
                <w:top w:val="none" w:sz="0" w:space="0" w:color="auto"/>
                <w:left w:val="none" w:sz="0" w:space="0" w:color="auto"/>
                <w:bottom w:val="none" w:sz="0" w:space="0" w:color="auto"/>
                <w:right w:val="none" w:sz="0" w:space="0" w:color="auto"/>
              </w:divBdr>
              <w:divsChild>
                <w:div w:id="805047860">
                  <w:marLeft w:val="0"/>
                  <w:marRight w:val="0"/>
                  <w:marTop w:val="0"/>
                  <w:marBottom w:val="0"/>
                  <w:divBdr>
                    <w:top w:val="none" w:sz="0" w:space="0" w:color="auto"/>
                    <w:left w:val="none" w:sz="0" w:space="0" w:color="auto"/>
                    <w:bottom w:val="none" w:sz="0" w:space="0" w:color="auto"/>
                    <w:right w:val="none" w:sz="0" w:space="0" w:color="auto"/>
                  </w:divBdr>
                  <w:divsChild>
                    <w:div w:id="1012754767">
                      <w:marLeft w:val="0"/>
                      <w:marRight w:val="0"/>
                      <w:marTop w:val="0"/>
                      <w:marBottom w:val="0"/>
                      <w:divBdr>
                        <w:top w:val="none" w:sz="0" w:space="0" w:color="auto"/>
                        <w:left w:val="none" w:sz="0" w:space="0" w:color="auto"/>
                        <w:bottom w:val="none" w:sz="0" w:space="0" w:color="auto"/>
                        <w:right w:val="none" w:sz="0" w:space="0" w:color="auto"/>
                      </w:divBdr>
                      <w:divsChild>
                        <w:div w:id="138768720">
                          <w:marLeft w:val="0"/>
                          <w:marRight w:val="0"/>
                          <w:marTop w:val="0"/>
                          <w:marBottom w:val="0"/>
                          <w:divBdr>
                            <w:top w:val="none" w:sz="0" w:space="0" w:color="auto"/>
                            <w:left w:val="none" w:sz="0" w:space="0" w:color="auto"/>
                            <w:bottom w:val="none" w:sz="0" w:space="0" w:color="auto"/>
                            <w:right w:val="none" w:sz="0" w:space="0" w:color="auto"/>
                          </w:divBdr>
                          <w:divsChild>
                            <w:div w:id="138034671">
                              <w:marLeft w:val="0"/>
                              <w:marRight w:val="0"/>
                              <w:marTop w:val="0"/>
                              <w:marBottom w:val="0"/>
                              <w:divBdr>
                                <w:top w:val="none" w:sz="0" w:space="0" w:color="auto"/>
                                <w:left w:val="none" w:sz="0" w:space="0" w:color="auto"/>
                                <w:bottom w:val="none" w:sz="0" w:space="0" w:color="auto"/>
                                <w:right w:val="none" w:sz="0" w:space="0" w:color="auto"/>
                              </w:divBdr>
                              <w:divsChild>
                                <w:div w:id="17873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062850">
      <w:bodyDiv w:val="1"/>
      <w:marLeft w:val="0"/>
      <w:marRight w:val="0"/>
      <w:marTop w:val="0"/>
      <w:marBottom w:val="0"/>
      <w:divBdr>
        <w:top w:val="none" w:sz="0" w:space="0" w:color="auto"/>
        <w:left w:val="none" w:sz="0" w:space="0" w:color="auto"/>
        <w:bottom w:val="none" w:sz="0" w:space="0" w:color="auto"/>
        <w:right w:val="none" w:sz="0" w:space="0" w:color="auto"/>
      </w:divBdr>
    </w:div>
    <w:div w:id="463156412">
      <w:bodyDiv w:val="1"/>
      <w:marLeft w:val="0"/>
      <w:marRight w:val="0"/>
      <w:marTop w:val="0"/>
      <w:marBottom w:val="0"/>
      <w:divBdr>
        <w:top w:val="none" w:sz="0" w:space="0" w:color="auto"/>
        <w:left w:val="none" w:sz="0" w:space="0" w:color="auto"/>
        <w:bottom w:val="none" w:sz="0" w:space="0" w:color="auto"/>
        <w:right w:val="none" w:sz="0" w:space="0" w:color="auto"/>
      </w:divBdr>
      <w:divsChild>
        <w:div w:id="1691570663">
          <w:marLeft w:val="0"/>
          <w:marRight w:val="0"/>
          <w:marTop w:val="0"/>
          <w:marBottom w:val="0"/>
          <w:divBdr>
            <w:top w:val="none" w:sz="0" w:space="0" w:color="auto"/>
            <w:left w:val="none" w:sz="0" w:space="0" w:color="auto"/>
            <w:bottom w:val="none" w:sz="0" w:space="0" w:color="auto"/>
            <w:right w:val="none" w:sz="0" w:space="0" w:color="auto"/>
          </w:divBdr>
          <w:divsChild>
            <w:div w:id="433551838">
              <w:marLeft w:val="0"/>
              <w:marRight w:val="0"/>
              <w:marTop w:val="0"/>
              <w:marBottom w:val="0"/>
              <w:divBdr>
                <w:top w:val="none" w:sz="0" w:space="0" w:color="auto"/>
                <w:left w:val="none" w:sz="0" w:space="0" w:color="auto"/>
                <w:bottom w:val="none" w:sz="0" w:space="0" w:color="auto"/>
                <w:right w:val="none" w:sz="0" w:space="0" w:color="auto"/>
              </w:divBdr>
              <w:divsChild>
                <w:div w:id="1065418759">
                  <w:marLeft w:val="0"/>
                  <w:marRight w:val="0"/>
                  <w:marTop w:val="0"/>
                  <w:marBottom w:val="0"/>
                  <w:divBdr>
                    <w:top w:val="none" w:sz="0" w:space="0" w:color="auto"/>
                    <w:left w:val="none" w:sz="0" w:space="0" w:color="auto"/>
                    <w:bottom w:val="none" w:sz="0" w:space="0" w:color="auto"/>
                    <w:right w:val="none" w:sz="0" w:space="0" w:color="auto"/>
                  </w:divBdr>
                  <w:divsChild>
                    <w:div w:id="392050089">
                      <w:marLeft w:val="0"/>
                      <w:marRight w:val="0"/>
                      <w:marTop w:val="0"/>
                      <w:marBottom w:val="0"/>
                      <w:divBdr>
                        <w:top w:val="none" w:sz="0" w:space="0" w:color="auto"/>
                        <w:left w:val="none" w:sz="0" w:space="0" w:color="auto"/>
                        <w:bottom w:val="none" w:sz="0" w:space="0" w:color="auto"/>
                        <w:right w:val="none" w:sz="0" w:space="0" w:color="auto"/>
                      </w:divBdr>
                      <w:divsChild>
                        <w:div w:id="1319269234">
                          <w:marLeft w:val="0"/>
                          <w:marRight w:val="0"/>
                          <w:marTop w:val="0"/>
                          <w:marBottom w:val="0"/>
                          <w:divBdr>
                            <w:top w:val="none" w:sz="0" w:space="0" w:color="auto"/>
                            <w:left w:val="none" w:sz="0" w:space="0" w:color="auto"/>
                            <w:bottom w:val="none" w:sz="0" w:space="0" w:color="auto"/>
                            <w:right w:val="none" w:sz="0" w:space="0" w:color="auto"/>
                          </w:divBdr>
                          <w:divsChild>
                            <w:div w:id="1292591590">
                              <w:marLeft w:val="0"/>
                              <w:marRight w:val="0"/>
                              <w:marTop w:val="0"/>
                              <w:marBottom w:val="0"/>
                              <w:divBdr>
                                <w:top w:val="none" w:sz="0" w:space="0" w:color="auto"/>
                                <w:left w:val="none" w:sz="0" w:space="0" w:color="auto"/>
                                <w:bottom w:val="none" w:sz="0" w:space="0" w:color="auto"/>
                                <w:right w:val="none" w:sz="0" w:space="0" w:color="auto"/>
                              </w:divBdr>
                              <w:divsChild>
                                <w:div w:id="8832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234368">
      <w:bodyDiv w:val="1"/>
      <w:marLeft w:val="0"/>
      <w:marRight w:val="0"/>
      <w:marTop w:val="0"/>
      <w:marBottom w:val="0"/>
      <w:divBdr>
        <w:top w:val="none" w:sz="0" w:space="0" w:color="auto"/>
        <w:left w:val="none" w:sz="0" w:space="0" w:color="auto"/>
        <w:bottom w:val="none" w:sz="0" w:space="0" w:color="auto"/>
        <w:right w:val="none" w:sz="0" w:space="0" w:color="auto"/>
      </w:divBdr>
    </w:div>
    <w:div w:id="608971958">
      <w:bodyDiv w:val="1"/>
      <w:marLeft w:val="0"/>
      <w:marRight w:val="0"/>
      <w:marTop w:val="0"/>
      <w:marBottom w:val="0"/>
      <w:divBdr>
        <w:top w:val="none" w:sz="0" w:space="0" w:color="auto"/>
        <w:left w:val="none" w:sz="0" w:space="0" w:color="auto"/>
        <w:bottom w:val="none" w:sz="0" w:space="0" w:color="auto"/>
        <w:right w:val="none" w:sz="0" w:space="0" w:color="auto"/>
      </w:divBdr>
    </w:div>
    <w:div w:id="618607891">
      <w:bodyDiv w:val="1"/>
      <w:marLeft w:val="0"/>
      <w:marRight w:val="0"/>
      <w:marTop w:val="0"/>
      <w:marBottom w:val="0"/>
      <w:divBdr>
        <w:top w:val="none" w:sz="0" w:space="0" w:color="auto"/>
        <w:left w:val="none" w:sz="0" w:space="0" w:color="auto"/>
        <w:bottom w:val="none" w:sz="0" w:space="0" w:color="auto"/>
        <w:right w:val="none" w:sz="0" w:space="0" w:color="auto"/>
      </w:divBdr>
    </w:div>
    <w:div w:id="750543672">
      <w:bodyDiv w:val="1"/>
      <w:marLeft w:val="0"/>
      <w:marRight w:val="0"/>
      <w:marTop w:val="0"/>
      <w:marBottom w:val="0"/>
      <w:divBdr>
        <w:top w:val="none" w:sz="0" w:space="0" w:color="auto"/>
        <w:left w:val="none" w:sz="0" w:space="0" w:color="auto"/>
        <w:bottom w:val="none" w:sz="0" w:space="0" w:color="auto"/>
        <w:right w:val="none" w:sz="0" w:space="0" w:color="auto"/>
      </w:divBdr>
      <w:divsChild>
        <w:div w:id="369039519">
          <w:marLeft w:val="0"/>
          <w:marRight w:val="0"/>
          <w:marTop w:val="0"/>
          <w:marBottom w:val="0"/>
          <w:divBdr>
            <w:top w:val="none" w:sz="0" w:space="0" w:color="auto"/>
            <w:left w:val="none" w:sz="0" w:space="0" w:color="auto"/>
            <w:bottom w:val="none" w:sz="0" w:space="0" w:color="auto"/>
            <w:right w:val="none" w:sz="0" w:space="0" w:color="auto"/>
          </w:divBdr>
          <w:divsChild>
            <w:div w:id="1833064161">
              <w:marLeft w:val="0"/>
              <w:marRight w:val="0"/>
              <w:marTop w:val="0"/>
              <w:marBottom w:val="0"/>
              <w:divBdr>
                <w:top w:val="none" w:sz="0" w:space="0" w:color="auto"/>
                <w:left w:val="none" w:sz="0" w:space="0" w:color="auto"/>
                <w:bottom w:val="none" w:sz="0" w:space="0" w:color="auto"/>
                <w:right w:val="none" w:sz="0" w:space="0" w:color="auto"/>
              </w:divBdr>
              <w:divsChild>
                <w:div w:id="2073114934">
                  <w:marLeft w:val="0"/>
                  <w:marRight w:val="0"/>
                  <w:marTop w:val="0"/>
                  <w:marBottom w:val="0"/>
                  <w:divBdr>
                    <w:top w:val="none" w:sz="0" w:space="0" w:color="auto"/>
                    <w:left w:val="none" w:sz="0" w:space="0" w:color="auto"/>
                    <w:bottom w:val="none" w:sz="0" w:space="0" w:color="auto"/>
                    <w:right w:val="none" w:sz="0" w:space="0" w:color="auto"/>
                  </w:divBdr>
                  <w:divsChild>
                    <w:div w:id="1567687817">
                      <w:marLeft w:val="0"/>
                      <w:marRight w:val="0"/>
                      <w:marTop w:val="0"/>
                      <w:marBottom w:val="0"/>
                      <w:divBdr>
                        <w:top w:val="none" w:sz="0" w:space="0" w:color="auto"/>
                        <w:left w:val="none" w:sz="0" w:space="0" w:color="auto"/>
                        <w:bottom w:val="none" w:sz="0" w:space="0" w:color="auto"/>
                        <w:right w:val="none" w:sz="0" w:space="0" w:color="auto"/>
                      </w:divBdr>
                      <w:divsChild>
                        <w:div w:id="2107142745">
                          <w:marLeft w:val="0"/>
                          <w:marRight w:val="0"/>
                          <w:marTop w:val="0"/>
                          <w:marBottom w:val="0"/>
                          <w:divBdr>
                            <w:top w:val="none" w:sz="0" w:space="0" w:color="auto"/>
                            <w:left w:val="none" w:sz="0" w:space="0" w:color="auto"/>
                            <w:bottom w:val="none" w:sz="0" w:space="0" w:color="auto"/>
                            <w:right w:val="none" w:sz="0" w:space="0" w:color="auto"/>
                          </w:divBdr>
                          <w:divsChild>
                            <w:div w:id="1924214750">
                              <w:marLeft w:val="0"/>
                              <w:marRight w:val="0"/>
                              <w:marTop w:val="0"/>
                              <w:marBottom w:val="0"/>
                              <w:divBdr>
                                <w:top w:val="none" w:sz="0" w:space="0" w:color="auto"/>
                                <w:left w:val="none" w:sz="0" w:space="0" w:color="auto"/>
                                <w:bottom w:val="none" w:sz="0" w:space="0" w:color="auto"/>
                                <w:right w:val="none" w:sz="0" w:space="0" w:color="auto"/>
                              </w:divBdr>
                              <w:divsChild>
                                <w:div w:id="8249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7840">
      <w:bodyDiv w:val="1"/>
      <w:marLeft w:val="0"/>
      <w:marRight w:val="0"/>
      <w:marTop w:val="0"/>
      <w:marBottom w:val="0"/>
      <w:divBdr>
        <w:top w:val="none" w:sz="0" w:space="0" w:color="auto"/>
        <w:left w:val="none" w:sz="0" w:space="0" w:color="auto"/>
        <w:bottom w:val="none" w:sz="0" w:space="0" w:color="auto"/>
        <w:right w:val="none" w:sz="0" w:space="0" w:color="auto"/>
      </w:divBdr>
      <w:divsChild>
        <w:div w:id="544609026">
          <w:marLeft w:val="0"/>
          <w:marRight w:val="0"/>
          <w:marTop w:val="0"/>
          <w:marBottom w:val="0"/>
          <w:divBdr>
            <w:top w:val="none" w:sz="0" w:space="0" w:color="auto"/>
            <w:left w:val="none" w:sz="0" w:space="0" w:color="auto"/>
            <w:bottom w:val="none" w:sz="0" w:space="0" w:color="auto"/>
            <w:right w:val="none" w:sz="0" w:space="0" w:color="auto"/>
          </w:divBdr>
          <w:divsChild>
            <w:div w:id="1470125907">
              <w:marLeft w:val="0"/>
              <w:marRight w:val="0"/>
              <w:marTop w:val="0"/>
              <w:marBottom w:val="0"/>
              <w:divBdr>
                <w:top w:val="none" w:sz="0" w:space="0" w:color="auto"/>
                <w:left w:val="none" w:sz="0" w:space="0" w:color="auto"/>
                <w:bottom w:val="none" w:sz="0" w:space="0" w:color="auto"/>
                <w:right w:val="none" w:sz="0" w:space="0" w:color="auto"/>
              </w:divBdr>
              <w:divsChild>
                <w:div w:id="20569270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4394">
      <w:bodyDiv w:val="1"/>
      <w:marLeft w:val="0"/>
      <w:marRight w:val="0"/>
      <w:marTop w:val="0"/>
      <w:marBottom w:val="0"/>
      <w:divBdr>
        <w:top w:val="none" w:sz="0" w:space="0" w:color="auto"/>
        <w:left w:val="none" w:sz="0" w:space="0" w:color="auto"/>
        <w:bottom w:val="none" w:sz="0" w:space="0" w:color="auto"/>
        <w:right w:val="none" w:sz="0" w:space="0" w:color="auto"/>
      </w:divBdr>
      <w:divsChild>
        <w:div w:id="1256133631">
          <w:marLeft w:val="0"/>
          <w:marRight w:val="0"/>
          <w:marTop w:val="0"/>
          <w:marBottom w:val="0"/>
          <w:divBdr>
            <w:top w:val="none" w:sz="0" w:space="0" w:color="auto"/>
            <w:left w:val="none" w:sz="0" w:space="0" w:color="auto"/>
            <w:bottom w:val="none" w:sz="0" w:space="0" w:color="auto"/>
            <w:right w:val="none" w:sz="0" w:space="0" w:color="auto"/>
          </w:divBdr>
          <w:divsChild>
            <w:div w:id="1994405637">
              <w:marLeft w:val="0"/>
              <w:marRight w:val="0"/>
              <w:marTop w:val="0"/>
              <w:marBottom w:val="0"/>
              <w:divBdr>
                <w:top w:val="none" w:sz="0" w:space="0" w:color="auto"/>
                <w:left w:val="none" w:sz="0" w:space="0" w:color="auto"/>
                <w:bottom w:val="none" w:sz="0" w:space="0" w:color="auto"/>
                <w:right w:val="none" w:sz="0" w:space="0" w:color="auto"/>
              </w:divBdr>
              <w:divsChild>
                <w:div w:id="1107040778">
                  <w:marLeft w:val="0"/>
                  <w:marRight w:val="0"/>
                  <w:marTop w:val="0"/>
                  <w:marBottom w:val="0"/>
                  <w:divBdr>
                    <w:top w:val="none" w:sz="0" w:space="0" w:color="auto"/>
                    <w:left w:val="none" w:sz="0" w:space="0" w:color="auto"/>
                    <w:bottom w:val="none" w:sz="0" w:space="0" w:color="auto"/>
                    <w:right w:val="none" w:sz="0" w:space="0" w:color="auto"/>
                  </w:divBdr>
                  <w:divsChild>
                    <w:div w:id="1397359591">
                      <w:marLeft w:val="0"/>
                      <w:marRight w:val="0"/>
                      <w:marTop w:val="0"/>
                      <w:marBottom w:val="0"/>
                      <w:divBdr>
                        <w:top w:val="none" w:sz="0" w:space="0" w:color="auto"/>
                        <w:left w:val="none" w:sz="0" w:space="0" w:color="auto"/>
                        <w:bottom w:val="none" w:sz="0" w:space="0" w:color="auto"/>
                        <w:right w:val="none" w:sz="0" w:space="0" w:color="auto"/>
                      </w:divBdr>
                      <w:divsChild>
                        <w:div w:id="641693520">
                          <w:marLeft w:val="0"/>
                          <w:marRight w:val="0"/>
                          <w:marTop w:val="0"/>
                          <w:marBottom w:val="0"/>
                          <w:divBdr>
                            <w:top w:val="none" w:sz="0" w:space="0" w:color="auto"/>
                            <w:left w:val="none" w:sz="0" w:space="0" w:color="auto"/>
                            <w:bottom w:val="none" w:sz="0" w:space="0" w:color="auto"/>
                            <w:right w:val="none" w:sz="0" w:space="0" w:color="auto"/>
                          </w:divBdr>
                          <w:divsChild>
                            <w:div w:id="102195685">
                              <w:marLeft w:val="0"/>
                              <w:marRight w:val="0"/>
                              <w:marTop w:val="0"/>
                              <w:marBottom w:val="0"/>
                              <w:divBdr>
                                <w:top w:val="none" w:sz="0" w:space="0" w:color="auto"/>
                                <w:left w:val="none" w:sz="0" w:space="0" w:color="auto"/>
                                <w:bottom w:val="none" w:sz="0" w:space="0" w:color="auto"/>
                                <w:right w:val="none" w:sz="0" w:space="0" w:color="auto"/>
                              </w:divBdr>
                              <w:divsChild>
                                <w:div w:id="14490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563887">
      <w:bodyDiv w:val="1"/>
      <w:marLeft w:val="0"/>
      <w:marRight w:val="0"/>
      <w:marTop w:val="0"/>
      <w:marBottom w:val="0"/>
      <w:divBdr>
        <w:top w:val="none" w:sz="0" w:space="0" w:color="auto"/>
        <w:left w:val="none" w:sz="0" w:space="0" w:color="auto"/>
        <w:bottom w:val="none" w:sz="0" w:space="0" w:color="auto"/>
        <w:right w:val="none" w:sz="0" w:space="0" w:color="auto"/>
      </w:divBdr>
    </w:div>
    <w:div w:id="991299212">
      <w:bodyDiv w:val="1"/>
      <w:marLeft w:val="0"/>
      <w:marRight w:val="0"/>
      <w:marTop w:val="0"/>
      <w:marBottom w:val="0"/>
      <w:divBdr>
        <w:top w:val="none" w:sz="0" w:space="0" w:color="auto"/>
        <w:left w:val="none" w:sz="0" w:space="0" w:color="auto"/>
        <w:bottom w:val="none" w:sz="0" w:space="0" w:color="auto"/>
        <w:right w:val="none" w:sz="0" w:space="0" w:color="auto"/>
      </w:divBdr>
    </w:div>
    <w:div w:id="1027098084">
      <w:bodyDiv w:val="1"/>
      <w:marLeft w:val="0"/>
      <w:marRight w:val="0"/>
      <w:marTop w:val="0"/>
      <w:marBottom w:val="0"/>
      <w:divBdr>
        <w:top w:val="none" w:sz="0" w:space="0" w:color="auto"/>
        <w:left w:val="none" w:sz="0" w:space="0" w:color="auto"/>
        <w:bottom w:val="none" w:sz="0" w:space="0" w:color="auto"/>
        <w:right w:val="none" w:sz="0" w:space="0" w:color="auto"/>
      </w:divBdr>
    </w:div>
    <w:div w:id="1064253734">
      <w:bodyDiv w:val="1"/>
      <w:marLeft w:val="0"/>
      <w:marRight w:val="0"/>
      <w:marTop w:val="0"/>
      <w:marBottom w:val="0"/>
      <w:divBdr>
        <w:top w:val="none" w:sz="0" w:space="0" w:color="auto"/>
        <w:left w:val="none" w:sz="0" w:space="0" w:color="auto"/>
        <w:bottom w:val="none" w:sz="0" w:space="0" w:color="auto"/>
        <w:right w:val="none" w:sz="0" w:space="0" w:color="auto"/>
      </w:divBdr>
    </w:div>
    <w:div w:id="1124352603">
      <w:bodyDiv w:val="1"/>
      <w:marLeft w:val="0"/>
      <w:marRight w:val="0"/>
      <w:marTop w:val="0"/>
      <w:marBottom w:val="0"/>
      <w:divBdr>
        <w:top w:val="none" w:sz="0" w:space="0" w:color="auto"/>
        <w:left w:val="none" w:sz="0" w:space="0" w:color="auto"/>
        <w:bottom w:val="none" w:sz="0" w:space="0" w:color="auto"/>
        <w:right w:val="none" w:sz="0" w:space="0" w:color="auto"/>
      </w:divBdr>
    </w:div>
    <w:div w:id="1144011147">
      <w:bodyDiv w:val="1"/>
      <w:marLeft w:val="0"/>
      <w:marRight w:val="0"/>
      <w:marTop w:val="0"/>
      <w:marBottom w:val="0"/>
      <w:divBdr>
        <w:top w:val="none" w:sz="0" w:space="0" w:color="auto"/>
        <w:left w:val="none" w:sz="0" w:space="0" w:color="auto"/>
        <w:bottom w:val="none" w:sz="0" w:space="0" w:color="auto"/>
        <w:right w:val="none" w:sz="0" w:space="0" w:color="auto"/>
      </w:divBdr>
    </w:div>
    <w:div w:id="1172910206">
      <w:bodyDiv w:val="1"/>
      <w:marLeft w:val="0"/>
      <w:marRight w:val="0"/>
      <w:marTop w:val="0"/>
      <w:marBottom w:val="0"/>
      <w:divBdr>
        <w:top w:val="none" w:sz="0" w:space="0" w:color="auto"/>
        <w:left w:val="none" w:sz="0" w:space="0" w:color="auto"/>
        <w:bottom w:val="none" w:sz="0" w:space="0" w:color="auto"/>
        <w:right w:val="none" w:sz="0" w:space="0" w:color="auto"/>
      </w:divBdr>
    </w:div>
    <w:div w:id="1240401693">
      <w:bodyDiv w:val="1"/>
      <w:marLeft w:val="0"/>
      <w:marRight w:val="0"/>
      <w:marTop w:val="0"/>
      <w:marBottom w:val="0"/>
      <w:divBdr>
        <w:top w:val="none" w:sz="0" w:space="0" w:color="auto"/>
        <w:left w:val="none" w:sz="0" w:space="0" w:color="auto"/>
        <w:bottom w:val="none" w:sz="0" w:space="0" w:color="auto"/>
        <w:right w:val="none" w:sz="0" w:space="0" w:color="auto"/>
      </w:divBdr>
    </w:div>
    <w:div w:id="1281298744">
      <w:bodyDiv w:val="1"/>
      <w:marLeft w:val="0"/>
      <w:marRight w:val="0"/>
      <w:marTop w:val="0"/>
      <w:marBottom w:val="0"/>
      <w:divBdr>
        <w:top w:val="none" w:sz="0" w:space="0" w:color="auto"/>
        <w:left w:val="none" w:sz="0" w:space="0" w:color="auto"/>
        <w:bottom w:val="none" w:sz="0" w:space="0" w:color="auto"/>
        <w:right w:val="none" w:sz="0" w:space="0" w:color="auto"/>
      </w:divBdr>
    </w:div>
    <w:div w:id="1416199109">
      <w:bodyDiv w:val="1"/>
      <w:marLeft w:val="0"/>
      <w:marRight w:val="0"/>
      <w:marTop w:val="0"/>
      <w:marBottom w:val="0"/>
      <w:divBdr>
        <w:top w:val="none" w:sz="0" w:space="0" w:color="auto"/>
        <w:left w:val="none" w:sz="0" w:space="0" w:color="auto"/>
        <w:bottom w:val="none" w:sz="0" w:space="0" w:color="auto"/>
        <w:right w:val="none" w:sz="0" w:space="0" w:color="auto"/>
      </w:divBdr>
    </w:div>
    <w:div w:id="1425299729">
      <w:bodyDiv w:val="1"/>
      <w:marLeft w:val="0"/>
      <w:marRight w:val="0"/>
      <w:marTop w:val="0"/>
      <w:marBottom w:val="0"/>
      <w:divBdr>
        <w:top w:val="none" w:sz="0" w:space="0" w:color="auto"/>
        <w:left w:val="none" w:sz="0" w:space="0" w:color="auto"/>
        <w:bottom w:val="none" w:sz="0" w:space="0" w:color="auto"/>
        <w:right w:val="none" w:sz="0" w:space="0" w:color="auto"/>
      </w:divBdr>
    </w:div>
    <w:div w:id="1480613111">
      <w:bodyDiv w:val="1"/>
      <w:marLeft w:val="0"/>
      <w:marRight w:val="0"/>
      <w:marTop w:val="0"/>
      <w:marBottom w:val="0"/>
      <w:divBdr>
        <w:top w:val="none" w:sz="0" w:space="0" w:color="auto"/>
        <w:left w:val="none" w:sz="0" w:space="0" w:color="auto"/>
        <w:bottom w:val="none" w:sz="0" w:space="0" w:color="auto"/>
        <w:right w:val="none" w:sz="0" w:space="0" w:color="auto"/>
      </w:divBdr>
      <w:divsChild>
        <w:div w:id="379594136">
          <w:marLeft w:val="0"/>
          <w:marRight w:val="0"/>
          <w:marTop w:val="0"/>
          <w:marBottom w:val="0"/>
          <w:divBdr>
            <w:top w:val="none" w:sz="0" w:space="0" w:color="auto"/>
            <w:left w:val="none" w:sz="0" w:space="0" w:color="auto"/>
            <w:bottom w:val="none" w:sz="0" w:space="0" w:color="auto"/>
            <w:right w:val="none" w:sz="0" w:space="0" w:color="auto"/>
          </w:divBdr>
          <w:divsChild>
            <w:div w:id="1208180123">
              <w:marLeft w:val="0"/>
              <w:marRight w:val="0"/>
              <w:marTop w:val="0"/>
              <w:marBottom w:val="0"/>
              <w:divBdr>
                <w:top w:val="none" w:sz="0" w:space="0" w:color="auto"/>
                <w:left w:val="none" w:sz="0" w:space="0" w:color="auto"/>
                <w:bottom w:val="none" w:sz="0" w:space="0" w:color="auto"/>
                <w:right w:val="none" w:sz="0" w:space="0" w:color="auto"/>
              </w:divBdr>
              <w:divsChild>
                <w:div w:id="1784225956">
                  <w:marLeft w:val="0"/>
                  <w:marRight w:val="0"/>
                  <w:marTop w:val="0"/>
                  <w:marBottom w:val="0"/>
                  <w:divBdr>
                    <w:top w:val="none" w:sz="0" w:space="0" w:color="auto"/>
                    <w:left w:val="none" w:sz="0" w:space="0" w:color="auto"/>
                    <w:bottom w:val="none" w:sz="0" w:space="0" w:color="auto"/>
                    <w:right w:val="none" w:sz="0" w:space="0" w:color="auto"/>
                  </w:divBdr>
                  <w:divsChild>
                    <w:div w:id="1716656976">
                      <w:marLeft w:val="0"/>
                      <w:marRight w:val="0"/>
                      <w:marTop w:val="0"/>
                      <w:marBottom w:val="0"/>
                      <w:divBdr>
                        <w:top w:val="none" w:sz="0" w:space="0" w:color="auto"/>
                        <w:left w:val="none" w:sz="0" w:space="0" w:color="auto"/>
                        <w:bottom w:val="none" w:sz="0" w:space="0" w:color="auto"/>
                        <w:right w:val="none" w:sz="0" w:space="0" w:color="auto"/>
                      </w:divBdr>
                      <w:divsChild>
                        <w:div w:id="844589303">
                          <w:marLeft w:val="0"/>
                          <w:marRight w:val="0"/>
                          <w:marTop w:val="0"/>
                          <w:marBottom w:val="0"/>
                          <w:divBdr>
                            <w:top w:val="none" w:sz="0" w:space="0" w:color="auto"/>
                            <w:left w:val="none" w:sz="0" w:space="0" w:color="auto"/>
                            <w:bottom w:val="none" w:sz="0" w:space="0" w:color="auto"/>
                            <w:right w:val="none" w:sz="0" w:space="0" w:color="auto"/>
                          </w:divBdr>
                          <w:divsChild>
                            <w:div w:id="1649704807">
                              <w:marLeft w:val="0"/>
                              <w:marRight w:val="0"/>
                              <w:marTop w:val="0"/>
                              <w:marBottom w:val="0"/>
                              <w:divBdr>
                                <w:top w:val="none" w:sz="0" w:space="0" w:color="auto"/>
                                <w:left w:val="none" w:sz="0" w:space="0" w:color="auto"/>
                                <w:bottom w:val="none" w:sz="0" w:space="0" w:color="auto"/>
                                <w:right w:val="none" w:sz="0" w:space="0" w:color="auto"/>
                              </w:divBdr>
                              <w:divsChild>
                                <w:div w:id="19643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46461">
      <w:bodyDiv w:val="1"/>
      <w:marLeft w:val="0"/>
      <w:marRight w:val="0"/>
      <w:marTop w:val="0"/>
      <w:marBottom w:val="0"/>
      <w:divBdr>
        <w:top w:val="none" w:sz="0" w:space="0" w:color="auto"/>
        <w:left w:val="none" w:sz="0" w:space="0" w:color="auto"/>
        <w:bottom w:val="none" w:sz="0" w:space="0" w:color="auto"/>
        <w:right w:val="none" w:sz="0" w:space="0" w:color="auto"/>
      </w:divBdr>
    </w:div>
    <w:div w:id="1700935907">
      <w:bodyDiv w:val="1"/>
      <w:marLeft w:val="0"/>
      <w:marRight w:val="0"/>
      <w:marTop w:val="0"/>
      <w:marBottom w:val="0"/>
      <w:divBdr>
        <w:top w:val="none" w:sz="0" w:space="0" w:color="auto"/>
        <w:left w:val="none" w:sz="0" w:space="0" w:color="auto"/>
        <w:bottom w:val="none" w:sz="0" w:space="0" w:color="auto"/>
        <w:right w:val="none" w:sz="0" w:space="0" w:color="auto"/>
      </w:divBdr>
    </w:div>
    <w:div w:id="1793475665">
      <w:bodyDiv w:val="1"/>
      <w:marLeft w:val="0"/>
      <w:marRight w:val="0"/>
      <w:marTop w:val="0"/>
      <w:marBottom w:val="0"/>
      <w:divBdr>
        <w:top w:val="none" w:sz="0" w:space="0" w:color="auto"/>
        <w:left w:val="none" w:sz="0" w:space="0" w:color="auto"/>
        <w:bottom w:val="none" w:sz="0" w:space="0" w:color="auto"/>
        <w:right w:val="none" w:sz="0" w:space="0" w:color="auto"/>
      </w:divBdr>
    </w:div>
    <w:div w:id="1878810214">
      <w:bodyDiv w:val="1"/>
      <w:marLeft w:val="0"/>
      <w:marRight w:val="0"/>
      <w:marTop w:val="0"/>
      <w:marBottom w:val="0"/>
      <w:divBdr>
        <w:top w:val="none" w:sz="0" w:space="0" w:color="auto"/>
        <w:left w:val="none" w:sz="0" w:space="0" w:color="auto"/>
        <w:bottom w:val="none" w:sz="0" w:space="0" w:color="auto"/>
        <w:right w:val="none" w:sz="0" w:space="0" w:color="auto"/>
      </w:divBdr>
    </w:div>
    <w:div w:id="1988432847">
      <w:bodyDiv w:val="1"/>
      <w:marLeft w:val="0"/>
      <w:marRight w:val="0"/>
      <w:marTop w:val="0"/>
      <w:marBottom w:val="0"/>
      <w:divBdr>
        <w:top w:val="none" w:sz="0" w:space="0" w:color="auto"/>
        <w:left w:val="none" w:sz="0" w:space="0" w:color="auto"/>
        <w:bottom w:val="none" w:sz="0" w:space="0" w:color="auto"/>
        <w:right w:val="none" w:sz="0" w:space="0" w:color="auto"/>
      </w:divBdr>
    </w:div>
    <w:div w:id="2027554686">
      <w:bodyDiv w:val="1"/>
      <w:marLeft w:val="0"/>
      <w:marRight w:val="0"/>
      <w:marTop w:val="0"/>
      <w:marBottom w:val="0"/>
      <w:divBdr>
        <w:top w:val="none" w:sz="0" w:space="0" w:color="auto"/>
        <w:left w:val="none" w:sz="0" w:space="0" w:color="auto"/>
        <w:bottom w:val="none" w:sz="0" w:space="0" w:color="auto"/>
        <w:right w:val="none" w:sz="0" w:space="0" w:color="auto"/>
      </w:divBdr>
    </w:div>
    <w:div w:id="2056541265">
      <w:bodyDiv w:val="1"/>
      <w:marLeft w:val="0"/>
      <w:marRight w:val="0"/>
      <w:marTop w:val="0"/>
      <w:marBottom w:val="0"/>
      <w:divBdr>
        <w:top w:val="none" w:sz="0" w:space="0" w:color="auto"/>
        <w:left w:val="none" w:sz="0" w:space="0" w:color="auto"/>
        <w:bottom w:val="none" w:sz="0" w:space="0" w:color="auto"/>
        <w:right w:val="none" w:sz="0" w:space="0" w:color="auto"/>
      </w:divBdr>
      <w:divsChild>
        <w:div w:id="5858407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foodstandards.gov.au/code/proposals/Pages/P1029-Maximun-Level-for-Tutin-in-Honey.aspx" TargetMode="External"/><Relationship Id="rId3" Type="http://schemas.openxmlformats.org/officeDocument/2006/relationships/hyperlink" Target="http://www.stats.govt.nz/browse_for_stats/income-and-work/Income/NZIncomeSurvey_HOTPJun13qtr.aspx" TargetMode="External"/><Relationship Id="rId7" Type="http://schemas.openxmlformats.org/officeDocument/2006/relationships/hyperlink" Target="http://www.foodstandards.gov.au/code/proposals/Pages/P1029-Maximun-Level-for-Tutin-in-Honey.aspx" TargetMode="External"/><Relationship Id="rId2" Type="http://schemas.openxmlformats.org/officeDocument/2006/relationships/hyperlink" Target="http://www.foodstandards.gov.au/code/proposals/Pages/P1029-Maximun-Level-for-Tutin-in-Honey.aspx" TargetMode="External"/><Relationship Id="rId1" Type="http://schemas.openxmlformats.org/officeDocument/2006/relationships/hyperlink" Target="http://www.ema.europa.eu/docs/en_GB/document_library/Scientific_guideline/2009/09/WC500003127.pdf" TargetMode="External"/><Relationship Id="rId6" Type="http://schemas.openxmlformats.org/officeDocument/2006/relationships/hyperlink" Target="http://accfocus.org/health/item/642-four-charges-over-toxic-honey.html" TargetMode="External"/><Relationship Id="rId5" Type="http://schemas.openxmlformats.org/officeDocument/2006/relationships/hyperlink" Target="http://www.who.int/choice/country/nzl/cost/en/%20%20" TargetMode="External"/><Relationship Id="rId4" Type="http://schemas.openxmlformats.org/officeDocument/2006/relationships/hyperlink" Target="http://www.nzherald.co.nz/nz/news/article.cfm?c_id=1&amp;objectid=104997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D28C2C-C170-4AC4-B0BB-5B4DF5B72E2E}"/>
</file>

<file path=customXml/itemProps2.xml><?xml version="1.0" encoding="utf-8"?>
<ds:datastoreItem xmlns:ds="http://schemas.openxmlformats.org/officeDocument/2006/customXml" ds:itemID="{2FE510F0-683A-48BD-9D98-B639956B268D}"/>
</file>

<file path=customXml/itemProps3.xml><?xml version="1.0" encoding="utf-8"?>
<ds:datastoreItem xmlns:ds="http://schemas.openxmlformats.org/officeDocument/2006/customXml" ds:itemID="{740AC61D-15A2-4A4A-9DEF-F505E7E95FD3}"/>
</file>

<file path=customXml/itemProps4.xml><?xml version="1.0" encoding="utf-8"?>
<ds:datastoreItem xmlns:ds="http://schemas.openxmlformats.org/officeDocument/2006/customXml" ds:itemID="{A07ACC62-963A-49CF-BB3B-5AADC800D540}"/>
</file>

<file path=docProps/app.xml><?xml version="1.0" encoding="utf-8"?>
<Properties xmlns="http://schemas.openxmlformats.org/officeDocument/2006/extended-properties" xmlns:vt="http://schemas.openxmlformats.org/officeDocument/2006/docPropsVTypes">
  <Template>Normal.dotm</Template>
  <TotalTime>0</TotalTime>
  <Pages>28</Pages>
  <Words>11060</Words>
  <Characters>63046</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73959</CharactersWithSpaces>
  <SharedDoc>false</SharedDoc>
  <HLinks>
    <vt:vector size="192" baseType="variant">
      <vt:variant>
        <vt:i4>1310768</vt:i4>
      </vt:variant>
      <vt:variant>
        <vt:i4>152</vt:i4>
      </vt:variant>
      <vt:variant>
        <vt:i4>0</vt:i4>
      </vt:variant>
      <vt:variant>
        <vt:i4>5</vt:i4>
      </vt:variant>
      <vt:variant>
        <vt:lpwstr/>
      </vt:variant>
      <vt:variant>
        <vt:lpwstr>_Toc401736621</vt:lpwstr>
      </vt:variant>
      <vt:variant>
        <vt:i4>1310768</vt:i4>
      </vt:variant>
      <vt:variant>
        <vt:i4>146</vt:i4>
      </vt:variant>
      <vt:variant>
        <vt:i4>0</vt:i4>
      </vt:variant>
      <vt:variant>
        <vt:i4>5</vt:i4>
      </vt:variant>
      <vt:variant>
        <vt:lpwstr/>
      </vt:variant>
      <vt:variant>
        <vt:lpwstr>_Toc401736620</vt:lpwstr>
      </vt:variant>
      <vt:variant>
        <vt:i4>1507376</vt:i4>
      </vt:variant>
      <vt:variant>
        <vt:i4>140</vt:i4>
      </vt:variant>
      <vt:variant>
        <vt:i4>0</vt:i4>
      </vt:variant>
      <vt:variant>
        <vt:i4>5</vt:i4>
      </vt:variant>
      <vt:variant>
        <vt:lpwstr/>
      </vt:variant>
      <vt:variant>
        <vt:lpwstr>_Toc401736619</vt:lpwstr>
      </vt:variant>
      <vt:variant>
        <vt:i4>1507376</vt:i4>
      </vt:variant>
      <vt:variant>
        <vt:i4>134</vt:i4>
      </vt:variant>
      <vt:variant>
        <vt:i4>0</vt:i4>
      </vt:variant>
      <vt:variant>
        <vt:i4>5</vt:i4>
      </vt:variant>
      <vt:variant>
        <vt:lpwstr/>
      </vt:variant>
      <vt:variant>
        <vt:lpwstr>_Toc401736618</vt:lpwstr>
      </vt:variant>
      <vt:variant>
        <vt:i4>1507376</vt:i4>
      </vt:variant>
      <vt:variant>
        <vt:i4>128</vt:i4>
      </vt:variant>
      <vt:variant>
        <vt:i4>0</vt:i4>
      </vt:variant>
      <vt:variant>
        <vt:i4>5</vt:i4>
      </vt:variant>
      <vt:variant>
        <vt:lpwstr/>
      </vt:variant>
      <vt:variant>
        <vt:lpwstr>_Toc401736617</vt:lpwstr>
      </vt:variant>
      <vt:variant>
        <vt:i4>1507376</vt:i4>
      </vt:variant>
      <vt:variant>
        <vt:i4>122</vt:i4>
      </vt:variant>
      <vt:variant>
        <vt:i4>0</vt:i4>
      </vt:variant>
      <vt:variant>
        <vt:i4>5</vt:i4>
      </vt:variant>
      <vt:variant>
        <vt:lpwstr/>
      </vt:variant>
      <vt:variant>
        <vt:lpwstr>_Toc401736616</vt:lpwstr>
      </vt:variant>
      <vt:variant>
        <vt:i4>1507376</vt:i4>
      </vt:variant>
      <vt:variant>
        <vt:i4>116</vt:i4>
      </vt:variant>
      <vt:variant>
        <vt:i4>0</vt:i4>
      </vt:variant>
      <vt:variant>
        <vt:i4>5</vt:i4>
      </vt:variant>
      <vt:variant>
        <vt:lpwstr/>
      </vt:variant>
      <vt:variant>
        <vt:lpwstr>_Toc401736615</vt:lpwstr>
      </vt:variant>
      <vt:variant>
        <vt:i4>1507376</vt:i4>
      </vt:variant>
      <vt:variant>
        <vt:i4>110</vt:i4>
      </vt:variant>
      <vt:variant>
        <vt:i4>0</vt:i4>
      </vt:variant>
      <vt:variant>
        <vt:i4>5</vt:i4>
      </vt:variant>
      <vt:variant>
        <vt:lpwstr/>
      </vt:variant>
      <vt:variant>
        <vt:lpwstr>_Toc401736614</vt:lpwstr>
      </vt:variant>
      <vt:variant>
        <vt:i4>1507376</vt:i4>
      </vt:variant>
      <vt:variant>
        <vt:i4>104</vt:i4>
      </vt:variant>
      <vt:variant>
        <vt:i4>0</vt:i4>
      </vt:variant>
      <vt:variant>
        <vt:i4>5</vt:i4>
      </vt:variant>
      <vt:variant>
        <vt:lpwstr/>
      </vt:variant>
      <vt:variant>
        <vt:lpwstr>_Toc401736613</vt:lpwstr>
      </vt:variant>
      <vt:variant>
        <vt:i4>1507376</vt:i4>
      </vt:variant>
      <vt:variant>
        <vt:i4>98</vt:i4>
      </vt:variant>
      <vt:variant>
        <vt:i4>0</vt:i4>
      </vt:variant>
      <vt:variant>
        <vt:i4>5</vt:i4>
      </vt:variant>
      <vt:variant>
        <vt:lpwstr/>
      </vt:variant>
      <vt:variant>
        <vt:lpwstr>_Toc401736612</vt:lpwstr>
      </vt:variant>
      <vt:variant>
        <vt:i4>1507376</vt:i4>
      </vt:variant>
      <vt:variant>
        <vt:i4>92</vt:i4>
      </vt:variant>
      <vt:variant>
        <vt:i4>0</vt:i4>
      </vt:variant>
      <vt:variant>
        <vt:i4>5</vt:i4>
      </vt:variant>
      <vt:variant>
        <vt:lpwstr/>
      </vt:variant>
      <vt:variant>
        <vt:lpwstr>_Toc401736611</vt:lpwstr>
      </vt:variant>
      <vt:variant>
        <vt:i4>1507376</vt:i4>
      </vt:variant>
      <vt:variant>
        <vt:i4>86</vt:i4>
      </vt:variant>
      <vt:variant>
        <vt:i4>0</vt:i4>
      </vt:variant>
      <vt:variant>
        <vt:i4>5</vt:i4>
      </vt:variant>
      <vt:variant>
        <vt:lpwstr/>
      </vt:variant>
      <vt:variant>
        <vt:lpwstr>_Toc401736610</vt:lpwstr>
      </vt:variant>
      <vt:variant>
        <vt:i4>1441840</vt:i4>
      </vt:variant>
      <vt:variant>
        <vt:i4>80</vt:i4>
      </vt:variant>
      <vt:variant>
        <vt:i4>0</vt:i4>
      </vt:variant>
      <vt:variant>
        <vt:i4>5</vt:i4>
      </vt:variant>
      <vt:variant>
        <vt:lpwstr/>
      </vt:variant>
      <vt:variant>
        <vt:lpwstr>_Toc401736609</vt:lpwstr>
      </vt:variant>
      <vt:variant>
        <vt:i4>1441840</vt:i4>
      </vt:variant>
      <vt:variant>
        <vt:i4>74</vt:i4>
      </vt:variant>
      <vt:variant>
        <vt:i4>0</vt:i4>
      </vt:variant>
      <vt:variant>
        <vt:i4>5</vt:i4>
      </vt:variant>
      <vt:variant>
        <vt:lpwstr/>
      </vt:variant>
      <vt:variant>
        <vt:lpwstr>_Toc401736608</vt:lpwstr>
      </vt:variant>
      <vt:variant>
        <vt:i4>1441840</vt:i4>
      </vt:variant>
      <vt:variant>
        <vt:i4>68</vt:i4>
      </vt:variant>
      <vt:variant>
        <vt:i4>0</vt:i4>
      </vt:variant>
      <vt:variant>
        <vt:i4>5</vt:i4>
      </vt:variant>
      <vt:variant>
        <vt:lpwstr/>
      </vt:variant>
      <vt:variant>
        <vt:lpwstr>_Toc401736607</vt:lpwstr>
      </vt:variant>
      <vt:variant>
        <vt:i4>1441840</vt:i4>
      </vt:variant>
      <vt:variant>
        <vt:i4>62</vt:i4>
      </vt:variant>
      <vt:variant>
        <vt:i4>0</vt:i4>
      </vt:variant>
      <vt:variant>
        <vt:i4>5</vt:i4>
      </vt:variant>
      <vt:variant>
        <vt:lpwstr/>
      </vt:variant>
      <vt:variant>
        <vt:lpwstr>_Toc401736606</vt:lpwstr>
      </vt:variant>
      <vt:variant>
        <vt:i4>1441840</vt:i4>
      </vt:variant>
      <vt:variant>
        <vt:i4>56</vt:i4>
      </vt:variant>
      <vt:variant>
        <vt:i4>0</vt:i4>
      </vt:variant>
      <vt:variant>
        <vt:i4>5</vt:i4>
      </vt:variant>
      <vt:variant>
        <vt:lpwstr/>
      </vt:variant>
      <vt:variant>
        <vt:lpwstr>_Toc401736605</vt:lpwstr>
      </vt:variant>
      <vt:variant>
        <vt:i4>1441840</vt:i4>
      </vt:variant>
      <vt:variant>
        <vt:i4>50</vt:i4>
      </vt:variant>
      <vt:variant>
        <vt:i4>0</vt:i4>
      </vt:variant>
      <vt:variant>
        <vt:i4>5</vt:i4>
      </vt:variant>
      <vt:variant>
        <vt:lpwstr/>
      </vt:variant>
      <vt:variant>
        <vt:lpwstr>_Toc401736604</vt:lpwstr>
      </vt:variant>
      <vt:variant>
        <vt:i4>1441840</vt:i4>
      </vt:variant>
      <vt:variant>
        <vt:i4>44</vt:i4>
      </vt:variant>
      <vt:variant>
        <vt:i4>0</vt:i4>
      </vt:variant>
      <vt:variant>
        <vt:i4>5</vt:i4>
      </vt:variant>
      <vt:variant>
        <vt:lpwstr/>
      </vt:variant>
      <vt:variant>
        <vt:lpwstr>_Toc401736603</vt:lpwstr>
      </vt:variant>
      <vt:variant>
        <vt:i4>1441840</vt:i4>
      </vt:variant>
      <vt:variant>
        <vt:i4>38</vt:i4>
      </vt:variant>
      <vt:variant>
        <vt:i4>0</vt:i4>
      </vt:variant>
      <vt:variant>
        <vt:i4>5</vt:i4>
      </vt:variant>
      <vt:variant>
        <vt:lpwstr/>
      </vt:variant>
      <vt:variant>
        <vt:lpwstr>_Toc401736602</vt:lpwstr>
      </vt:variant>
      <vt:variant>
        <vt:i4>1441840</vt:i4>
      </vt:variant>
      <vt:variant>
        <vt:i4>32</vt:i4>
      </vt:variant>
      <vt:variant>
        <vt:i4>0</vt:i4>
      </vt:variant>
      <vt:variant>
        <vt:i4>5</vt:i4>
      </vt:variant>
      <vt:variant>
        <vt:lpwstr/>
      </vt:variant>
      <vt:variant>
        <vt:lpwstr>_Toc401736601</vt:lpwstr>
      </vt:variant>
      <vt:variant>
        <vt:i4>1441840</vt:i4>
      </vt:variant>
      <vt:variant>
        <vt:i4>26</vt:i4>
      </vt:variant>
      <vt:variant>
        <vt:i4>0</vt:i4>
      </vt:variant>
      <vt:variant>
        <vt:i4>5</vt:i4>
      </vt:variant>
      <vt:variant>
        <vt:lpwstr/>
      </vt:variant>
      <vt:variant>
        <vt:lpwstr>_Toc401736600</vt:lpwstr>
      </vt:variant>
      <vt:variant>
        <vt:i4>2031667</vt:i4>
      </vt:variant>
      <vt:variant>
        <vt:i4>20</vt:i4>
      </vt:variant>
      <vt:variant>
        <vt:i4>0</vt:i4>
      </vt:variant>
      <vt:variant>
        <vt:i4>5</vt:i4>
      </vt:variant>
      <vt:variant>
        <vt:lpwstr/>
      </vt:variant>
      <vt:variant>
        <vt:lpwstr>_Toc401736599</vt:lpwstr>
      </vt:variant>
      <vt:variant>
        <vt:i4>2031667</vt:i4>
      </vt:variant>
      <vt:variant>
        <vt:i4>14</vt:i4>
      </vt:variant>
      <vt:variant>
        <vt:i4>0</vt:i4>
      </vt:variant>
      <vt:variant>
        <vt:i4>5</vt:i4>
      </vt:variant>
      <vt:variant>
        <vt:lpwstr/>
      </vt:variant>
      <vt:variant>
        <vt:lpwstr>_Toc401736598</vt:lpwstr>
      </vt:variant>
      <vt:variant>
        <vt:i4>2031667</vt:i4>
      </vt:variant>
      <vt:variant>
        <vt:i4>8</vt:i4>
      </vt:variant>
      <vt:variant>
        <vt:i4>0</vt:i4>
      </vt:variant>
      <vt:variant>
        <vt:i4>5</vt:i4>
      </vt:variant>
      <vt:variant>
        <vt:lpwstr/>
      </vt:variant>
      <vt:variant>
        <vt:lpwstr>_Toc401736597</vt:lpwstr>
      </vt:variant>
      <vt:variant>
        <vt:i4>2031667</vt:i4>
      </vt:variant>
      <vt:variant>
        <vt:i4>2</vt:i4>
      </vt:variant>
      <vt:variant>
        <vt:i4>0</vt:i4>
      </vt:variant>
      <vt:variant>
        <vt:i4>5</vt:i4>
      </vt:variant>
      <vt:variant>
        <vt:lpwstr/>
      </vt:variant>
      <vt:variant>
        <vt:lpwstr>_Toc401736596</vt:lpwstr>
      </vt:variant>
      <vt:variant>
        <vt:i4>2097190</vt:i4>
      </vt:variant>
      <vt:variant>
        <vt:i4>15</vt:i4>
      </vt:variant>
      <vt:variant>
        <vt:i4>0</vt:i4>
      </vt:variant>
      <vt:variant>
        <vt:i4>5</vt:i4>
      </vt:variant>
      <vt:variant>
        <vt:lpwstr>http://accfocus.org/health/item/642-four-charges-over-toxic-honey.html</vt:lpwstr>
      </vt:variant>
      <vt:variant>
        <vt:lpwstr/>
      </vt:variant>
      <vt:variant>
        <vt:i4>3539067</vt:i4>
      </vt:variant>
      <vt:variant>
        <vt:i4>12</vt:i4>
      </vt:variant>
      <vt:variant>
        <vt:i4>0</vt:i4>
      </vt:variant>
      <vt:variant>
        <vt:i4>5</vt:i4>
      </vt:variant>
      <vt:variant>
        <vt:lpwstr>http://www.who.int/choice/country/nzl/cost/en/</vt:lpwstr>
      </vt:variant>
      <vt:variant>
        <vt:lpwstr/>
      </vt:variant>
      <vt:variant>
        <vt:i4>5111869</vt:i4>
      </vt:variant>
      <vt:variant>
        <vt:i4>9</vt:i4>
      </vt:variant>
      <vt:variant>
        <vt:i4>0</vt:i4>
      </vt:variant>
      <vt:variant>
        <vt:i4>5</vt:i4>
      </vt:variant>
      <vt:variant>
        <vt:lpwstr>http://www.nzherald.co.nz/nz/news/article.cfm?c_id=1&amp;objectid=10499707</vt:lpwstr>
      </vt:variant>
      <vt:variant>
        <vt:lpwstr/>
      </vt:variant>
      <vt:variant>
        <vt:i4>6619154</vt:i4>
      </vt:variant>
      <vt:variant>
        <vt:i4>6</vt:i4>
      </vt:variant>
      <vt:variant>
        <vt:i4>0</vt:i4>
      </vt:variant>
      <vt:variant>
        <vt:i4>5</vt:i4>
      </vt:variant>
      <vt:variant>
        <vt:lpwstr>http://www.stats.govt.nz/browse_for_stats/income-and-work/Income/NZIncomeSurvey_HOTPJun13qtr.aspx</vt:lpwstr>
      </vt:variant>
      <vt:variant>
        <vt:lpwstr/>
      </vt:variant>
      <vt:variant>
        <vt:i4>917583</vt:i4>
      </vt:variant>
      <vt:variant>
        <vt:i4>3</vt:i4>
      </vt:variant>
      <vt:variant>
        <vt:i4>0</vt:i4>
      </vt:variant>
      <vt:variant>
        <vt:i4>5</vt:i4>
      </vt:variant>
      <vt:variant>
        <vt:lpwstr>http://www.foodstandards.gov.au/code/proposals/Pages/P1029-Maximun-Level-for-Tutin-in-Honey.aspx</vt:lpwstr>
      </vt:variant>
      <vt:variant>
        <vt:lpwstr/>
      </vt:variant>
      <vt:variant>
        <vt:i4>2687051</vt:i4>
      </vt:variant>
      <vt:variant>
        <vt:i4>0</vt:i4>
      </vt:variant>
      <vt:variant>
        <vt:i4>0</vt:i4>
      </vt:variant>
      <vt:variant>
        <vt:i4>5</vt:i4>
      </vt:variant>
      <vt:variant>
        <vt:lpwstr>http://www.ema.europa.eu/docs/en_GB/document_library/Scientific_guideline/2009/09/WC500003127.pdf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P1029-Tutin-ApprR-AttE-RIS</dc:title>
  <dc:creator/>
  <cp:lastModifiedBy/>
  <cp:revision>1</cp:revision>
  <dcterms:created xsi:type="dcterms:W3CDTF">2014-10-30T01:05:00Z</dcterms:created>
  <dcterms:modified xsi:type="dcterms:W3CDTF">2014-10-30T05:35:00Z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