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7467D7">
      <w:pPr>
        <w:widowControl/>
      </w:pPr>
      <w:bookmarkStart w:id="0" w:name="_GoBack"/>
      <w:bookmarkEnd w:id="0"/>
      <w:r>
        <w:rPr>
          <w:noProof/>
          <w:lang w:eastAsia="en-GB" w:bidi="ar-SA"/>
        </w:rPr>
        <w:drawing>
          <wp:inline distT="0" distB="0" distL="0" distR="0" wp14:anchorId="4CB0722A" wp14:editId="281899F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7467D7">
      <w:pPr>
        <w:widowControl/>
      </w:pPr>
    </w:p>
    <w:p w:rsidR="00386947" w:rsidRDefault="00386947" w:rsidP="00386947">
      <w:pPr>
        <w:rPr>
          <w:b/>
          <w:sz w:val="28"/>
          <w:szCs w:val="28"/>
        </w:rPr>
      </w:pPr>
      <w:r>
        <w:rPr>
          <w:b/>
          <w:sz w:val="28"/>
          <w:szCs w:val="28"/>
        </w:rPr>
        <w:t>18 August 2014</w:t>
      </w:r>
    </w:p>
    <w:p w:rsidR="00386947" w:rsidRDefault="00386947" w:rsidP="00386947">
      <w:pPr>
        <w:rPr>
          <w:b/>
          <w:sz w:val="28"/>
          <w:szCs w:val="28"/>
        </w:rPr>
      </w:pPr>
      <w:r>
        <w:rPr>
          <w:b/>
          <w:sz w:val="28"/>
          <w:szCs w:val="28"/>
        </w:rPr>
        <w:t>[16–14]</w:t>
      </w:r>
    </w:p>
    <w:p w:rsidR="00BA24E2" w:rsidRDefault="00BA24E2" w:rsidP="007467D7">
      <w:pPr>
        <w:widowControl/>
      </w:pPr>
    </w:p>
    <w:p w:rsidR="00D056F1" w:rsidRPr="003A647B" w:rsidRDefault="000427B2" w:rsidP="007467D7">
      <w:pPr>
        <w:pStyle w:val="FSTitle"/>
        <w:widowControl/>
        <w:rPr>
          <w:b/>
        </w:rPr>
      </w:pPr>
      <w:r w:rsidRPr="003A647B">
        <w:rPr>
          <w:b/>
        </w:rPr>
        <w:t>C</w:t>
      </w:r>
      <w:r w:rsidR="00D8470F" w:rsidRPr="003A647B">
        <w:rPr>
          <w:b/>
        </w:rPr>
        <w:t>all</w:t>
      </w:r>
      <w:r w:rsidRPr="003A647B">
        <w:rPr>
          <w:b/>
        </w:rPr>
        <w:t xml:space="preserve"> </w:t>
      </w:r>
      <w:r w:rsidR="00D8470F" w:rsidRPr="003A647B">
        <w:rPr>
          <w:b/>
        </w:rPr>
        <w:t>for</w:t>
      </w:r>
      <w:r w:rsidRPr="003A647B">
        <w:rPr>
          <w:b/>
        </w:rPr>
        <w:t xml:space="preserve"> </w:t>
      </w:r>
      <w:r w:rsidR="00D8470F" w:rsidRPr="003A647B">
        <w:rPr>
          <w:b/>
        </w:rPr>
        <w:t>submissions</w:t>
      </w:r>
      <w:r w:rsidRPr="003A647B">
        <w:rPr>
          <w:b/>
        </w:rPr>
        <w:t xml:space="preserve"> –</w:t>
      </w:r>
      <w:r w:rsidR="002E56C2" w:rsidRPr="003A647B">
        <w:rPr>
          <w:b/>
        </w:rPr>
        <w:t xml:space="preserve"> </w:t>
      </w:r>
      <w:r w:rsidR="00E203C2" w:rsidRPr="003A647B">
        <w:rPr>
          <w:b/>
        </w:rPr>
        <w:t>P</w:t>
      </w:r>
      <w:r w:rsidR="00A91DF1" w:rsidRPr="003A647B">
        <w:rPr>
          <w:b/>
        </w:rPr>
        <w:t>roposal</w:t>
      </w:r>
      <w:r w:rsidR="00D056F1" w:rsidRPr="003A647B">
        <w:rPr>
          <w:b/>
        </w:rPr>
        <w:t xml:space="preserve"> </w:t>
      </w:r>
      <w:r w:rsidR="00E203C2" w:rsidRPr="003A647B">
        <w:rPr>
          <w:b/>
        </w:rPr>
        <w:t>P</w:t>
      </w:r>
      <w:r w:rsidR="00EF6193" w:rsidRPr="003A647B">
        <w:rPr>
          <w:b/>
        </w:rPr>
        <w:t>1030</w:t>
      </w:r>
    </w:p>
    <w:p w:rsidR="00386947" w:rsidRDefault="00386947" w:rsidP="00386947"/>
    <w:p w:rsidR="00D056F1" w:rsidRPr="003A647B" w:rsidRDefault="0040339A" w:rsidP="007467D7">
      <w:pPr>
        <w:pStyle w:val="FSTitle"/>
        <w:widowControl/>
      </w:pPr>
      <w:r w:rsidRPr="003A647B">
        <w:t>Health Claims</w:t>
      </w:r>
      <w:r w:rsidR="00A14E1B">
        <w:t xml:space="preserve"> –</w:t>
      </w:r>
      <w:r w:rsidRPr="003A647B">
        <w:t xml:space="preserve"> </w:t>
      </w:r>
      <w:r w:rsidR="00450819">
        <w:t>Formulated</w:t>
      </w:r>
      <w:r w:rsidR="00A14E1B">
        <w:t xml:space="preserve"> </w:t>
      </w:r>
      <w:r w:rsidR="00450819">
        <w:t>Supplementary</w:t>
      </w:r>
      <w:r w:rsidRPr="003A647B">
        <w:t xml:space="preserve"> Sports Foods </w:t>
      </w:r>
      <w:r w:rsidR="00386947">
        <w:t>&amp;</w:t>
      </w:r>
      <w:r w:rsidRPr="003A647B">
        <w:t xml:space="preserve"> Electrolyte Drinks</w:t>
      </w:r>
      <w:r w:rsidR="00A14E1B">
        <w:t xml:space="preserve"> </w:t>
      </w:r>
    </w:p>
    <w:p w:rsidR="00E203C2" w:rsidRPr="00E81F6E" w:rsidRDefault="00E203C2" w:rsidP="007467D7">
      <w:pPr>
        <w:widowControl/>
        <w:pBdr>
          <w:bottom w:val="single" w:sz="12" w:space="1" w:color="auto"/>
        </w:pBdr>
        <w:spacing w:line="280" w:lineRule="exact"/>
        <w:rPr>
          <w:rFonts w:cs="Arial"/>
          <w:bCs/>
        </w:rPr>
      </w:pPr>
    </w:p>
    <w:p w:rsidR="00A870AD" w:rsidRDefault="00A870AD" w:rsidP="007467D7">
      <w:pPr>
        <w:widowControl/>
        <w:rPr>
          <w:sz w:val="20"/>
          <w:szCs w:val="20"/>
        </w:rPr>
      </w:pPr>
    </w:p>
    <w:p w:rsidR="00413CA8" w:rsidRPr="00C56C26" w:rsidRDefault="00413CA8" w:rsidP="007467D7">
      <w:pPr>
        <w:widowControl/>
        <w:rPr>
          <w:sz w:val="20"/>
          <w:szCs w:val="20"/>
        </w:rPr>
      </w:pPr>
      <w:r w:rsidRPr="00850766">
        <w:rPr>
          <w:sz w:val="20"/>
          <w:szCs w:val="20"/>
        </w:rPr>
        <w:t>FSANZ has assessed a</w:t>
      </w:r>
      <w:r w:rsidR="00D81D38" w:rsidRPr="00850766">
        <w:rPr>
          <w:sz w:val="20"/>
          <w:szCs w:val="20"/>
        </w:rPr>
        <w:t xml:space="preserve"> </w:t>
      </w:r>
      <w:r w:rsidR="00D81D38" w:rsidRPr="000D77BC">
        <w:rPr>
          <w:sz w:val="20"/>
          <w:szCs w:val="20"/>
        </w:rPr>
        <w:t xml:space="preserve">proposal </w:t>
      </w:r>
      <w:r w:rsidR="0087142F" w:rsidRPr="00E857BA">
        <w:rPr>
          <w:sz w:val="20"/>
          <w:szCs w:val="20"/>
        </w:rPr>
        <w:t>and has prepared a draft food regulatory</w:t>
      </w:r>
      <w:r w:rsidR="0087142F" w:rsidRPr="00850766">
        <w:rPr>
          <w:sz w:val="20"/>
          <w:szCs w:val="20"/>
        </w:rPr>
        <w:t xml:space="preserve"> </w:t>
      </w:r>
      <w:r w:rsidR="0087142F" w:rsidRPr="00C56C26">
        <w:rPr>
          <w:sz w:val="20"/>
          <w:szCs w:val="20"/>
        </w:rPr>
        <w:t>measure</w:t>
      </w:r>
      <w:r w:rsidR="0087142F" w:rsidRPr="000D77BC">
        <w:rPr>
          <w:sz w:val="20"/>
          <w:szCs w:val="20"/>
          <w:lang w:bidi="ar-SA"/>
        </w:rPr>
        <w:t xml:space="preserve"> </w:t>
      </w:r>
      <w:r w:rsidR="00444B6C" w:rsidRPr="000D77BC">
        <w:rPr>
          <w:sz w:val="20"/>
          <w:szCs w:val="20"/>
          <w:lang w:bidi="ar-SA"/>
        </w:rPr>
        <w:t>to permit formulated supplementary sports foods (FSSF</w:t>
      </w:r>
      <w:r w:rsidR="000D7392">
        <w:rPr>
          <w:sz w:val="20"/>
          <w:szCs w:val="20"/>
          <w:lang w:bidi="ar-SA"/>
        </w:rPr>
        <w:t>s</w:t>
      </w:r>
      <w:r w:rsidR="00444B6C" w:rsidRPr="000D77BC">
        <w:rPr>
          <w:sz w:val="20"/>
          <w:szCs w:val="20"/>
          <w:lang w:bidi="ar-SA"/>
        </w:rPr>
        <w:t>)</w:t>
      </w:r>
      <w:r w:rsidR="007422C4">
        <w:rPr>
          <w:sz w:val="20"/>
          <w:szCs w:val="20"/>
          <w:lang w:bidi="ar-SA"/>
        </w:rPr>
        <w:t xml:space="preserve">, </w:t>
      </w:r>
      <w:r w:rsidR="003A188C">
        <w:rPr>
          <w:sz w:val="20"/>
          <w:szCs w:val="20"/>
          <w:lang w:bidi="ar-SA"/>
        </w:rPr>
        <w:t>electrolyte drinks</w:t>
      </w:r>
      <w:r w:rsidR="007422C4">
        <w:rPr>
          <w:sz w:val="20"/>
          <w:szCs w:val="20"/>
          <w:lang w:bidi="ar-SA"/>
        </w:rPr>
        <w:t xml:space="preserve"> and electrolyte drink bases</w:t>
      </w:r>
      <w:r w:rsidR="00444B6C" w:rsidRPr="000D77BC">
        <w:rPr>
          <w:sz w:val="20"/>
          <w:szCs w:val="20"/>
          <w:lang w:bidi="ar-SA"/>
        </w:rPr>
        <w:t xml:space="preserve"> </w:t>
      </w:r>
      <w:r w:rsidR="003A188C">
        <w:rPr>
          <w:sz w:val="20"/>
          <w:szCs w:val="20"/>
          <w:lang w:bidi="ar-SA"/>
        </w:rPr>
        <w:t>(</w:t>
      </w:r>
      <w:r w:rsidR="00444B6C" w:rsidRPr="000D77BC">
        <w:rPr>
          <w:sz w:val="20"/>
          <w:szCs w:val="20"/>
          <w:lang w:bidi="ar-SA"/>
        </w:rPr>
        <w:t>ED</w:t>
      </w:r>
      <w:r w:rsidR="000D7392">
        <w:rPr>
          <w:sz w:val="20"/>
          <w:szCs w:val="20"/>
          <w:lang w:bidi="ar-SA"/>
        </w:rPr>
        <w:t>s</w:t>
      </w:r>
      <w:r w:rsidR="003A188C">
        <w:rPr>
          <w:sz w:val="20"/>
          <w:szCs w:val="20"/>
          <w:lang w:bidi="ar-SA"/>
        </w:rPr>
        <w:t>)</w:t>
      </w:r>
      <w:r w:rsidR="00444B6C" w:rsidRPr="000D77BC">
        <w:rPr>
          <w:sz w:val="20"/>
          <w:szCs w:val="20"/>
          <w:lang w:bidi="ar-SA"/>
        </w:rPr>
        <w:t xml:space="preserve"> to </w:t>
      </w:r>
      <w:r w:rsidR="00FD185E">
        <w:rPr>
          <w:sz w:val="20"/>
          <w:szCs w:val="20"/>
          <w:lang w:bidi="ar-SA"/>
        </w:rPr>
        <w:t>carry</w:t>
      </w:r>
      <w:r w:rsidR="00FD185E" w:rsidRPr="000D77BC">
        <w:rPr>
          <w:sz w:val="20"/>
          <w:szCs w:val="20"/>
          <w:lang w:bidi="ar-SA"/>
        </w:rPr>
        <w:t xml:space="preserve"> </w:t>
      </w:r>
      <w:r w:rsidR="00444B6C" w:rsidRPr="000D77BC">
        <w:rPr>
          <w:sz w:val="20"/>
          <w:szCs w:val="20"/>
          <w:lang w:bidi="ar-SA"/>
        </w:rPr>
        <w:t xml:space="preserve">health claims related to their </w:t>
      </w:r>
      <w:r w:rsidR="00B04EFB">
        <w:rPr>
          <w:sz w:val="20"/>
          <w:szCs w:val="20"/>
          <w:lang w:bidi="ar-SA"/>
        </w:rPr>
        <w:t xml:space="preserve">respective </w:t>
      </w:r>
      <w:r w:rsidR="00444B6C" w:rsidRPr="000D77BC">
        <w:rPr>
          <w:sz w:val="20"/>
          <w:szCs w:val="20"/>
          <w:lang w:bidi="ar-SA"/>
        </w:rPr>
        <w:t>purpose</w:t>
      </w:r>
      <w:r w:rsidR="00B04EFB">
        <w:rPr>
          <w:sz w:val="20"/>
          <w:szCs w:val="20"/>
          <w:lang w:bidi="ar-SA"/>
        </w:rPr>
        <w:t>s</w:t>
      </w:r>
      <w:r w:rsidR="00B75E1C">
        <w:rPr>
          <w:sz w:val="20"/>
          <w:szCs w:val="20"/>
          <w:lang w:bidi="ar-SA"/>
        </w:rPr>
        <w:t xml:space="preserve">. </w:t>
      </w:r>
      <w:r w:rsidR="00E85E89">
        <w:rPr>
          <w:sz w:val="20"/>
          <w:szCs w:val="20"/>
          <w:lang w:bidi="ar-SA"/>
        </w:rPr>
        <w:t>Given their related purpose, t</w:t>
      </w:r>
      <w:r w:rsidR="00B75E1C">
        <w:rPr>
          <w:sz w:val="20"/>
          <w:szCs w:val="20"/>
          <w:lang w:bidi="ar-SA"/>
        </w:rPr>
        <w:t>his proposal also</w:t>
      </w:r>
      <w:r w:rsidR="000D77BC" w:rsidRPr="000D77BC">
        <w:rPr>
          <w:sz w:val="20"/>
          <w:szCs w:val="20"/>
        </w:rPr>
        <w:t xml:space="preserve"> </w:t>
      </w:r>
      <w:r w:rsidR="000D77BC" w:rsidRPr="000D77BC">
        <w:rPr>
          <w:sz w:val="20"/>
          <w:szCs w:val="20"/>
          <w:lang w:bidi="ar-SA"/>
        </w:rPr>
        <w:t>transfer</w:t>
      </w:r>
      <w:r w:rsidR="00B75E1C">
        <w:rPr>
          <w:sz w:val="20"/>
          <w:szCs w:val="20"/>
          <w:lang w:bidi="ar-SA"/>
        </w:rPr>
        <w:t>s</w:t>
      </w:r>
      <w:r w:rsidR="000D77BC" w:rsidRPr="000D77BC">
        <w:rPr>
          <w:sz w:val="20"/>
          <w:szCs w:val="20"/>
          <w:lang w:bidi="ar-SA"/>
        </w:rPr>
        <w:t xml:space="preserve"> the regulation of ED</w:t>
      </w:r>
      <w:r w:rsidR="00B75E1C">
        <w:rPr>
          <w:sz w:val="20"/>
          <w:szCs w:val="20"/>
          <w:lang w:bidi="ar-SA"/>
        </w:rPr>
        <w:t>s</w:t>
      </w:r>
      <w:r w:rsidR="000D77BC" w:rsidRPr="000D77BC">
        <w:rPr>
          <w:sz w:val="20"/>
          <w:szCs w:val="20"/>
          <w:lang w:bidi="ar-SA"/>
        </w:rPr>
        <w:t xml:space="preserve"> from Standard 2.6.2 – Non-Alcoholic Beverages and Brewed Soft Drinks to Standard 2.9.4 – Formulated Supplement</w:t>
      </w:r>
      <w:r w:rsidR="0087142F">
        <w:rPr>
          <w:sz w:val="20"/>
          <w:szCs w:val="20"/>
          <w:lang w:bidi="ar-SA"/>
        </w:rPr>
        <w:t>ary Sports Foods.</w:t>
      </w:r>
      <w:r w:rsidRPr="00C56C26">
        <w:rPr>
          <w:sz w:val="20"/>
          <w:szCs w:val="20"/>
        </w:rPr>
        <w:t xml:space="preserve"> </w:t>
      </w:r>
      <w:r w:rsidR="00D81D38" w:rsidRPr="00C56C26">
        <w:rPr>
          <w:sz w:val="20"/>
          <w:szCs w:val="20"/>
        </w:rPr>
        <w:t>Pursuant to section 6</w:t>
      </w:r>
      <w:r w:rsidRPr="00C56C26">
        <w:rPr>
          <w:sz w:val="20"/>
          <w:szCs w:val="20"/>
        </w:rPr>
        <w:t xml:space="preserve">1 of the </w:t>
      </w:r>
      <w:r w:rsidRPr="00C56C26">
        <w:rPr>
          <w:i/>
          <w:sz w:val="20"/>
          <w:szCs w:val="20"/>
        </w:rPr>
        <w:t xml:space="preserve">Food Standards Australia New Zealand Act 1991 </w:t>
      </w:r>
      <w:r w:rsidRPr="00C56C26">
        <w:rPr>
          <w:sz w:val="20"/>
          <w:szCs w:val="20"/>
        </w:rPr>
        <w:t>(FSANZ Act), FSANZ now calls for submissions to assist consideration</w:t>
      </w:r>
      <w:r w:rsidR="00D81D38" w:rsidRPr="00C56C26">
        <w:rPr>
          <w:sz w:val="20"/>
          <w:szCs w:val="20"/>
        </w:rPr>
        <w:t xml:space="preserve"> of the draft </w:t>
      </w:r>
      <w:r w:rsidR="00D8470F" w:rsidRPr="00C56C26">
        <w:rPr>
          <w:sz w:val="20"/>
          <w:szCs w:val="20"/>
        </w:rPr>
        <w:t>food regulatory measure</w:t>
      </w:r>
      <w:r w:rsidR="00D81D38" w:rsidRPr="00C56C26">
        <w:rPr>
          <w:sz w:val="20"/>
          <w:szCs w:val="20"/>
        </w:rPr>
        <w:t>.</w:t>
      </w:r>
    </w:p>
    <w:p w:rsidR="00413CA8" w:rsidRPr="00C56C26" w:rsidRDefault="00413CA8" w:rsidP="007467D7">
      <w:pPr>
        <w:widowControl/>
        <w:rPr>
          <w:sz w:val="20"/>
          <w:szCs w:val="20"/>
        </w:rPr>
      </w:pPr>
    </w:p>
    <w:p w:rsidR="00351B07" w:rsidRDefault="00A91DF1" w:rsidP="007467D7">
      <w:pPr>
        <w:widowControl/>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7467D7">
      <w:pPr>
        <w:widowControl/>
        <w:rPr>
          <w:sz w:val="20"/>
          <w:szCs w:val="20"/>
        </w:rPr>
      </w:pPr>
    </w:p>
    <w:p w:rsidR="00276026" w:rsidRPr="00276026" w:rsidRDefault="00276026" w:rsidP="007467D7">
      <w:pPr>
        <w:widowControl/>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7467D7">
      <w:pPr>
        <w:widowControl/>
        <w:rPr>
          <w:color w:val="000000"/>
          <w:sz w:val="20"/>
          <w:szCs w:val="20"/>
          <w:lang w:val="en-AU"/>
        </w:rPr>
      </w:pPr>
    </w:p>
    <w:p w:rsidR="00E203C2" w:rsidRPr="007C174F" w:rsidRDefault="00AD22F9" w:rsidP="007467D7">
      <w:pPr>
        <w:widowControl/>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7467D7">
      <w:pPr>
        <w:widowControl/>
        <w:rPr>
          <w:color w:val="000000"/>
          <w:sz w:val="20"/>
          <w:szCs w:val="20"/>
          <w:lang w:val="en-AU"/>
        </w:rPr>
      </w:pPr>
    </w:p>
    <w:p w:rsidR="00351B07" w:rsidRPr="007C174F" w:rsidRDefault="00E063C6" w:rsidP="007467D7">
      <w:pPr>
        <w:widowControl/>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AE4E6E" w:rsidRPr="00B75E1C">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7467D7">
      <w:pPr>
        <w:widowControl/>
        <w:rPr>
          <w:color w:val="000000"/>
          <w:sz w:val="20"/>
          <w:szCs w:val="20"/>
          <w:lang w:val="en-AU"/>
        </w:rPr>
      </w:pPr>
    </w:p>
    <w:p w:rsidR="00E063C6" w:rsidRPr="007C174F" w:rsidRDefault="00E063C6" w:rsidP="007467D7">
      <w:pPr>
        <w:widowControl/>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063C6" w:rsidRPr="00386947" w:rsidRDefault="00E063C6" w:rsidP="007467D7">
      <w:pPr>
        <w:widowControl/>
        <w:tabs>
          <w:tab w:val="left" w:pos="7920"/>
        </w:tabs>
        <w:autoSpaceDE w:val="0"/>
        <w:autoSpaceDN w:val="0"/>
        <w:adjustRightInd w:val="0"/>
        <w:spacing w:before="120" w:after="12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386947">
        <w:rPr>
          <w:rFonts w:cs="Arial"/>
          <w:b/>
          <w:bCs/>
          <w:sz w:val="24"/>
        </w:rPr>
        <w:t xml:space="preserve">) </w:t>
      </w:r>
      <w:r w:rsidR="00386947" w:rsidRPr="00386947">
        <w:rPr>
          <w:rFonts w:cs="Arial"/>
          <w:b/>
          <w:bCs/>
          <w:sz w:val="24"/>
        </w:rPr>
        <w:t>30 September 2014</w:t>
      </w:r>
    </w:p>
    <w:p w:rsidR="00E063C6" w:rsidRPr="007C174F" w:rsidRDefault="00E063C6" w:rsidP="007467D7">
      <w:pPr>
        <w:widowControl/>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7467D7">
      <w:pPr>
        <w:widowControl/>
        <w:rPr>
          <w:sz w:val="20"/>
          <w:szCs w:val="20"/>
          <w:lang w:val="en-AU"/>
        </w:rPr>
      </w:pPr>
    </w:p>
    <w:p w:rsidR="00E063C6" w:rsidRPr="007C174F" w:rsidRDefault="0037520F" w:rsidP="007467D7">
      <w:pPr>
        <w:widowControl/>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3A7725" w:rsidRDefault="00E203C2" w:rsidP="007467D7">
      <w:pPr>
        <w:widowControl/>
        <w:rPr>
          <w:sz w:val="20"/>
          <w:lang w:val="en-AU"/>
        </w:rPr>
      </w:pPr>
    </w:p>
    <w:p w:rsidR="00E063C6" w:rsidRPr="007C174F" w:rsidRDefault="00351B07" w:rsidP="007467D7">
      <w:pPr>
        <w:widowControl/>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203C2" w:rsidP="007467D7">
      <w:pPr>
        <w:widowControl/>
        <w:rPr>
          <w:sz w:val="20"/>
          <w:szCs w:val="20"/>
          <w:lang w:val="en-AU"/>
        </w:rPr>
      </w:pPr>
    </w:p>
    <w:p w:rsidR="00386947" w:rsidRDefault="00386947" w:rsidP="007467D7">
      <w:pPr>
        <w:widowControl/>
        <w:tabs>
          <w:tab w:val="left" w:pos="4536"/>
        </w:tabs>
        <w:rPr>
          <w:sz w:val="20"/>
          <w:szCs w:val="20"/>
        </w:rPr>
      </w:pPr>
      <w:r>
        <w:rPr>
          <w:sz w:val="20"/>
          <w:szCs w:val="20"/>
        </w:rPr>
        <w:br w:type="page"/>
      </w:r>
    </w:p>
    <w:p w:rsidR="00E203C2" w:rsidRPr="007C174F" w:rsidRDefault="00E063C6" w:rsidP="007467D7">
      <w:pPr>
        <w:widowControl/>
        <w:tabs>
          <w:tab w:val="left" w:pos="4536"/>
        </w:tabs>
        <w:rPr>
          <w:sz w:val="20"/>
          <w:szCs w:val="20"/>
        </w:rPr>
      </w:pPr>
      <w:r w:rsidRPr="007C174F">
        <w:rPr>
          <w:sz w:val="20"/>
          <w:szCs w:val="20"/>
        </w:rPr>
        <w:lastRenderedPageBreak/>
        <w:t>Food Standards Australia New Zealand</w:t>
      </w:r>
      <w:r w:rsidRPr="007C174F">
        <w:rPr>
          <w:sz w:val="20"/>
          <w:szCs w:val="20"/>
        </w:rPr>
        <w:tab/>
      </w:r>
      <w:r w:rsidRPr="007C174F">
        <w:rPr>
          <w:sz w:val="20"/>
          <w:szCs w:val="20"/>
        </w:rPr>
        <w:tab/>
        <w:t>Food Standards Australia New Zealand</w:t>
      </w:r>
    </w:p>
    <w:p w:rsidR="00E203C2" w:rsidRPr="007C174F" w:rsidRDefault="00E063C6" w:rsidP="007467D7">
      <w:pPr>
        <w:widowControl/>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7467D7">
      <w:pPr>
        <w:widowControl/>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7C174F" w:rsidRDefault="00E063C6" w:rsidP="007467D7">
      <w:pPr>
        <w:widowControl/>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D22F3C" w:rsidRDefault="00E063C6" w:rsidP="007467D7">
      <w:pPr>
        <w:widowControl/>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386947" w:rsidRPr="007C174F" w:rsidRDefault="00386947" w:rsidP="007467D7">
      <w:pPr>
        <w:widowControl/>
        <w:tabs>
          <w:tab w:val="left" w:pos="4536"/>
        </w:tabs>
        <w:rPr>
          <w:rFonts w:cs="Arial"/>
          <w:bCs/>
          <w:color w:val="FF0000"/>
          <w:sz w:val="20"/>
          <w:szCs w:val="20"/>
        </w:rPr>
      </w:pPr>
    </w:p>
    <w:p w:rsidR="00413CA8" w:rsidRDefault="00413CA8" w:rsidP="00450982">
      <w:pPr>
        <w:widowControl/>
        <w:sectPr w:rsidR="00413CA8" w:rsidSect="00ED40BF">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646FDD" w:rsidRDefault="00562917" w:rsidP="007467D7">
      <w:pPr>
        <w:widowControl/>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7467D7">
      <w:pPr>
        <w:widowControl/>
        <w:rPr>
          <w:rFonts w:cs="Arial"/>
        </w:rPr>
      </w:pPr>
    </w:p>
    <w:p w:rsidR="00386947"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395775002" w:history="1">
        <w:r w:rsidR="00386947" w:rsidRPr="00A11031">
          <w:rPr>
            <w:rStyle w:val="Hyperlink"/>
            <w:noProof/>
          </w:rPr>
          <w:t>Executive summary</w:t>
        </w:r>
        <w:r w:rsidR="00386947">
          <w:rPr>
            <w:noProof/>
            <w:webHidden/>
          </w:rPr>
          <w:tab/>
        </w:r>
        <w:r w:rsidR="00386947">
          <w:rPr>
            <w:noProof/>
            <w:webHidden/>
          </w:rPr>
          <w:fldChar w:fldCharType="begin"/>
        </w:r>
        <w:r w:rsidR="00386947">
          <w:rPr>
            <w:noProof/>
            <w:webHidden/>
          </w:rPr>
          <w:instrText xml:space="preserve"> PAGEREF _Toc395775002 \h </w:instrText>
        </w:r>
        <w:r w:rsidR="00386947">
          <w:rPr>
            <w:noProof/>
            <w:webHidden/>
          </w:rPr>
        </w:r>
        <w:r w:rsidR="00386947">
          <w:rPr>
            <w:noProof/>
            <w:webHidden/>
          </w:rPr>
          <w:fldChar w:fldCharType="separate"/>
        </w:r>
        <w:r w:rsidR="00306BCF">
          <w:rPr>
            <w:noProof/>
            <w:webHidden/>
          </w:rPr>
          <w:t>2</w:t>
        </w:r>
        <w:r w:rsidR="00386947">
          <w:rPr>
            <w:noProof/>
            <w:webHidden/>
          </w:rPr>
          <w:fldChar w:fldCharType="end"/>
        </w:r>
      </w:hyperlink>
    </w:p>
    <w:p w:rsidR="00386947" w:rsidRDefault="00306BCF">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5775003" w:history="1">
        <w:r w:rsidR="00386947" w:rsidRPr="00A11031">
          <w:rPr>
            <w:rStyle w:val="Hyperlink"/>
            <w:noProof/>
          </w:rPr>
          <w:t>1</w:t>
        </w:r>
        <w:r w:rsidR="00386947">
          <w:rPr>
            <w:rFonts w:eastAsiaTheme="minorEastAsia" w:cstheme="minorBidi"/>
            <w:b w:val="0"/>
            <w:bCs w:val="0"/>
            <w:caps w:val="0"/>
            <w:noProof/>
            <w:sz w:val="22"/>
            <w:szCs w:val="22"/>
            <w:lang w:eastAsia="en-GB" w:bidi="ar-SA"/>
          </w:rPr>
          <w:tab/>
        </w:r>
        <w:r w:rsidR="00386947" w:rsidRPr="00A11031">
          <w:rPr>
            <w:rStyle w:val="Hyperlink"/>
            <w:noProof/>
          </w:rPr>
          <w:t>Introduction</w:t>
        </w:r>
        <w:r w:rsidR="00386947">
          <w:rPr>
            <w:noProof/>
            <w:webHidden/>
          </w:rPr>
          <w:tab/>
        </w:r>
        <w:r w:rsidR="00386947">
          <w:rPr>
            <w:noProof/>
            <w:webHidden/>
          </w:rPr>
          <w:fldChar w:fldCharType="begin"/>
        </w:r>
        <w:r w:rsidR="00386947">
          <w:rPr>
            <w:noProof/>
            <w:webHidden/>
          </w:rPr>
          <w:instrText xml:space="preserve"> PAGEREF _Toc395775003 \h </w:instrText>
        </w:r>
        <w:r w:rsidR="00386947">
          <w:rPr>
            <w:noProof/>
            <w:webHidden/>
          </w:rPr>
        </w:r>
        <w:r w:rsidR="00386947">
          <w:rPr>
            <w:noProof/>
            <w:webHidden/>
          </w:rPr>
          <w:fldChar w:fldCharType="separate"/>
        </w:r>
        <w:r>
          <w:rPr>
            <w:noProof/>
            <w:webHidden/>
          </w:rPr>
          <w:t>3</w:t>
        </w:r>
        <w:r w:rsidR="00386947">
          <w:rPr>
            <w:noProof/>
            <w:webHidden/>
          </w:rPr>
          <w:fldChar w:fldCharType="end"/>
        </w:r>
      </w:hyperlink>
    </w:p>
    <w:p w:rsidR="00386947" w:rsidRDefault="00306BCF">
      <w:pPr>
        <w:pStyle w:val="TOC2"/>
        <w:tabs>
          <w:tab w:val="left" w:pos="880"/>
          <w:tab w:val="right" w:leader="dot" w:pos="9060"/>
        </w:tabs>
        <w:rPr>
          <w:rFonts w:eastAsiaTheme="minorEastAsia" w:cstheme="minorBidi"/>
          <w:smallCaps w:val="0"/>
          <w:noProof/>
          <w:sz w:val="22"/>
          <w:szCs w:val="22"/>
          <w:lang w:eastAsia="en-GB" w:bidi="ar-SA"/>
        </w:rPr>
      </w:pPr>
      <w:hyperlink w:anchor="_Toc395775004" w:history="1">
        <w:r w:rsidR="00386947" w:rsidRPr="00A11031">
          <w:rPr>
            <w:rStyle w:val="Hyperlink"/>
            <w:noProof/>
          </w:rPr>
          <w:t>1.1</w:t>
        </w:r>
        <w:r w:rsidR="00386947">
          <w:rPr>
            <w:rFonts w:eastAsiaTheme="minorEastAsia" w:cstheme="minorBidi"/>
            <w:smallCaps w:val="0"/>
            <w:noProof/>
            <w:sz w:val="22"/>
            <w:szCs w:val="22"/>
            <w:lang w:eastAsia="en-GB" w:bidi="ar-SA"/>
          </w:rPr>
          <w:tab/>
        </w:r>
        <w:r w:rsidR="00386947" w:rsidRPr="00A11031">
          <w:rPr>
            <w:rStyle w:val="Hyperlink"/>
            <w:noProof/>
          </w:rPr>
          <w:t>The Proposal</w:t>
        </w:r>
        <w:r w:rsidR="00386947">
          <w:rPr>
            <w:noProof/>
            <w:webHidden/>
          </w:rPr>
          <w:tab/>
        </w:r>
        <w:r w:rsidR="00386947">
          <w:rPr>
            <w:noProof/>
            <w:webHidden/>
          </w:rPr>
          <w:fldChar w:fldCharType="begin"/>
        </w:r>
        <w:r w:rsidR="00386947">
          <w:rPr>
            <w:noProof/>
            <w:webHidden/>
          </w:rPr>
          <w:instrText xml:space="preserve"> PAGEREF _Toc395775004 \h </w:instrText>
        </w:r>
        <w:r w:rsidR="00386947">
          <w:rPr>
            <w:noProof/>
            <w:webHidden/>
          </w:rPr>
        </w:r>
        <w:r w:rsidR="00386947">
          <w:rPr>
            <w:noProof/>
            <w:webHidden/>
          </w:rPr>
          <w:fldChar w:fldCharType="separate"/>
        </w:r>
        <w:r>
          <w:rPr>
            <w:noProof/>
            <w:webHidden/>
          </w:rPr>
          <w:t>3</w:t>
        </w:r>
        <w:r w:rsidR="00386947">
          <w:rPr>
            <w:noProof/>
            <w:webHidden/>
          </w:rPr>
          <w:fldChar w:fldCharType="end"/>
        </w:r>
      </w:hyperlink>
    </w:p>
    <w:p w:rsidR="00386947" w:rsidRDefault="00306BCF">
      <w:pPr>
        <w:pStyle w:val="TOC2"/>
        <w:tabs>
          <w:tab w:val="left" w:pos="880"/>
          <w:tab w:val="right" w:leader="dot" w:pos="9060"/>
        </w:tabs>
        <w:rPr>
          <w:rFonts w:eastAsiaTheme="minorEastAsia" w:cstheme="minorBidi"/>
          <w:smallCaps w:val="0"/>
          <w:noProof/>
          <w:sz w:val="22"/>
          <w:szCs w:val="22"/>
          <w:lang w:eastAsia="en-GB" w:bidi="ar-SA"/>
        </w:rPr>
      </w:pPr>
      <w:hyperlink w:anchor="_Toc395775005" w:history="1">
        <w:r w:rsidR="00386947" w:rsidRPr="00A11031">
          <w:rPr>
            <w:rStyle w:val="Hyperlink"/>
            <w:noProof/>
            <w:u w:color="FFFF00"/>
          </w:rPr>
          <w:t>1.2</w:t>
        </w:r>
        <w:r w:rsidR="00386947">
          <w:rPr>
            <w:rFonts w:eastAsiaTheme="minorEastAsia" w:cstheme="minorBidi"/>
            <w:smallCaps w:val="0"/>
            <w:noProof/>
            <w:sz w:val="22"/>
            <w:szCs w:val="22"/>
            <w:lang w:eastAsia="en-GB" w:bidi="ar-SA"/>
          </w:rPr>
          <w:tab/>
        </w:r>
        <w:r w:rsidR="00386947" w:rsidRPr="00A11031">
          <w:rPr>
            <w:rStyle w:val="Hyperlink"/>
            <w:noProof/>
            <w:u w:color="FFFF00"/>
          </w:rPr>
          <w:t xml:space="preserve">Reasons for </w:t>
        </w:r>
        <w:r w:rsidR="00386947" w:rsidRPr="00A11031">
          <w:rPr>
            <w:rStyle w:val="Hyperlink"/>
            <w:noProof/>
          </w:rPr>
          <w:t>preparing the Proposal</w:t>
        </w:r>
        <w:r w:rsidR="00386947">
          <w:rPr>
            <w:noProof/>
            <w:webHidden/>
          </w:rPr>
          <w:tab/>
        </w:r>
        <w:r w:rsidR="00386947">
          <w:rPr>
            <w:noProof/>
            <w:webHidden/>
          </w:rPr>
          <w:fldChar w:fldCharType="begin"/>
        </w:r>
        <w:r w:rsidR="00386947">
          <w:rPr>
            <w:noProof/>
            <w:webHidden/>
          </w:rPr>
          <w:instrText xml:space="preserve"> PAGEREF _Toc395775005 \h </w:instrText>
        </w:r>
        <w:r w:rsidR="00386947">
          <w:rPr>
            <w:noProof/>
            <w:webHidden/>
          </w:rPr>
        </w:r>
        <w:r w:rsidR="00386947">
          <w:rPr>
            <w:noProof/>
            <w:webHidden/>
          </w:rPr>
          <w:fldChar w:fldCharType="separate"/>
        </w:r>
        <w:r>
          <w:rPr>
            <w:noProof/>
            <w:webHidden/>
          </w:rPr>
          <w:t>3</w:t>
        </w:r>
        <w:r w:rsidR="00386947">
          <w:rPr>
            <w:noProof/>
            <w:webHidden/>
          </w:rPr>
          <w:fldChar w:fldCharType="end"/>
        </w:r>
      </w:hyperlink>
    </w:p>
    <w:p w:rsidR="00386947" w:rsidRDefault="00306BCF">
      <w:pPr>
        <w:pStyle w:val="TOC2"/>
        <w:tabs>
          <w:tab w:val="left" w:pos="880"/>
          <w:tab w:val="right" w:leader="dot" w:pos="9060"/>
        </w:tabs>
        <w:rPr>
          <w:rFonts w:eastAsiaTheme="minorEastAsia" w:cstheme="minorBidi"/>
          <w:smallCaps w:val="0"/>
          <w:noProof/>
          <w:sz w:val="22"/>
          <w:szCs w:val="22"/>
          <w:lang w:eastAsia="en-GB" w:bidi="ar-SA"/>
        </w:rPr>
      </w:pPr>
      <w:hyperlink w:anchor="_Toc395775006" w:history="1">
        <w:r w:rsidR="00386947" w:rsidRPr="00A11031">
          <w:rPr>
            <w:rStyle w:val="Hyperlink"/>
            <w:noProof/>
          </w:rPr>
          <w:t>1.3</w:t>
        </w:r>
        <w:r w:rsidR="00386947">
          <w:rPr>
            <w:rFonts w:eastAsiaTheme="minorEastAsia" w:cstheme="minorBidi"/>
            <w:smallCaps w:val="0"/>
            <w:noProof/>
            <w:sz w:val="22"/>
            <w:szCs w:val="22"/>
            <w:lang w:eastAsia="en-GB" w:bidi="ar-SA"/>
          </w:rPr>
          <w:tab/>
        </w:r>
        <w:r w:rsidR="00386947" w:rsidRPr="00A11031">
          <w:rPr>
            <w:rStyle w:val="Hyperlink"/>
            <w:noProof/>
          </w:rPr>
          <w:t>The current Standards</w:t>
        </w:r>
        <w:r w:rsidR="00386947">
          <w:rPr>
            <w:noProof/>
            <w:webHidden/>
          </w:rPr>
          <w:tab/>
        </w:r>
        <w:r w:rsidR="00386947">
          <w:rPr>
            <w:noProof/>
            <w:webHidden/>
          </w:rPr>
          <w:fldChar w:fldCharType="begin"/>
        </w:r>
        <w:r w:rsidR="00386947">
          <w:rPr>
            <w:noProof/>
            <w:webHidden/>
          </w:rPr>
          <w:instrText xml:space="preserve"> PAGEREF _Toc395775006 \h </w:instrText>
        </w:r>
        <w:r w:rsidR="00386947">
          <w:rPr>
            <w:noProof/>
            <w:webHidden/>
          </w:rPr>
        </w:r>
        <w:r w:rsidR="00386947">
          <w:rPr>
            <w:noProof/>
            <w:webHidden/>
          </w:rPr>
          <w:fldChar w:fldCharType="separate"/>
        </w:r>
        <w:r>
          <w:rPr>
            <w:noProof/>
            <w:webHidden/>
          </w:rPr>
          <w:t>3</w:t>
        </w:r>
        <w:r w:rsidR="00386947">
          <w:rPr>
            <w:noProof/>
            <w:webHidden/>
          </w:rPr>
          <w:fldChar w:fldCharType="end"/>
        </w:r>
      </w:hyperlink>
    </w:p>
    <w:p w:rsidR="00386947" w:rsidRDefault="00306BCF">
      <w:pPr>
        <w:pStyle w:val="TOC2"/>
        <w:tabs>
          <w:tab w:val="left" w:pos="880"/>
          <w:tab w:val="right" w:leader="dot" w:pos="9060"/>
        </w:tabs>
        <w:rPr>
          <w:rFonts w:eastAsiaTheme="minorEastAsia" w:cstheme="minorBidi"/>
          <w:smallCaps w:val="0"/>
          <w:noProof/>
          <w:sz w:val="22"/>
          <w:szCs w:val="22"/>
          <w:lang w:eastAsia="en-GB" w:bidi="ar-SA"/>
        </w:rPr>
      </w:pPr>
      <w:hyperlink w:anchor="_Toc395775007" w:history="1">
        <w:r w:rsidR="00386947" w:rsidRPr="00A11031">
          <w:rPr>
            <w:rStyle w:val="Hyperlink"/>
            <w:noProof/>
          </w:rPr>
          <w:t>1.4</w:t>
        </w:r>
        <w:r w:rsidR="00386947">
          <w:rPr>
            <w:rFonts w:eastAsiaTheme="minorEastAsia" w:cstheme="minorBidi"/>
            <w:smallCaps w:val="0"/>
            <w:noProof/>
            <w:sz w:val="22"/>
            <w:szCs w:val="22"/>
            <w:lang w:eastAsia="en-GB" w:bidi="ar-SA"/>
          </w:rPr>
          <w:tab/>
        </w:r>
        <w:r w:rsidR="00386947" w:rsidRPr="00A11031">
          <w:rPr>
            <w:rStyle w:val="Hyperlink"/>
            <w:noProof/>
          </w:rPr>
          <w:t>Procedure for assessment</w:t>
        </w:r>
        <w:r w:rsidR="00386947">
          <w:rPr>
            <w:noProof/>
            <w:webHidden/>
          </w:rPr>
          <w:tab/>
        </w:r>
        <w:r w:rsidR="00386947">
          <w:rPr>
            <w:noProof/>
            <w:webHidden/>
          </w:rPr>
          <w:fldChar w:fldCharType="begin"/>
        </w:r>
        <w:r w:rsidR="00386947">
          <w:rPr>
            <w:noProof/>
            <w:webHidden/>
          </w:rPr>
          <w:instrText xml:space="preserve"> PAGEREF _Toc395775007 \h </w:instrText>
        </w:r>
        <w:r w:rsidR="00386947">
          <w:rPr>
            <w:noProof/>
            <w:webHidden/>
          </w:rPr>
        </w:r>
        <w:r w:rsidR="00386947">
          <w:rPr>
            <w:noProof/>
            <w:webHidden/>
          </w:rPr>
          <w:fldChar w:fldCharType="separate"/>
        </w:r>
        <w:r>
          <w:rPr>
            <w:noProof/>
            <w:webHidden/>
          </w:rPr>
          <w:t>4</w:t>
        </w:r>
        <w:r w:rsidR="00386947">
          <w:rPr>
            <w:noProof/>
            <w:webHidden/>
          </w:rPr>
          <w:fldChar w:fldCharType="end"/>
        </w:r>
      </w:hyperlink>
    </w:p>
    <w:p w:rsidR="00386947" w:rsidRDefault="00306BCF">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5775008" w:history="1">
        <w:r w:rsidR="00386947" w:rsidRPr="00A11031">
          <w:rPr>
            <w:rStyle w:val="Hyperlink"/>
            <w:noProof/>
          </w:rPr>
          <w:t>2</w:t>
        </w:r>
        <w:r w:rsidR="00386947">
          <w:rPr>
            <w:rFonts w:eastAsiaTheme="minorEastAsia" w:cstheme="minorBidi"/>
            <w:b w:val="0"/>
            <w:bCs w:val="0"/>
            <w:caps w:val="0"/>
            <w:noProof/>
            <w:sz w:val="22"/>
            <w:szCs w:val="22"/>
            <w:lang w:eastAsia="en-GB" w:bidi="ar-SA"/>
          </w:rPr>
          <w:tab/>
        </w:r>
        <w:r w:rsidR="00386947" w:rsidRPr="00A11031">
          <w:rPr>
            <w:rStyle w:val="Hyperlink"/>
            <w:noProof/>
          </w:rPr>
          <w:t>Summary of the assessment</w:t>
        </w:r>
        <w:r w:rsidR="00386947">
          <w:rPr>
            <w:noProof/>
            <w:webHidden/>
          </w:rPr>
          <w:tab/>
        </w:r>
        <w:r w:rsidR="00386947">
          <w:rPr>
            <w:noProof/>
            <w:webHidden/>
          </w:rPr>
          <w:fldChar w:fldCharType="begin"/>
        </w:r>
        <w:r w:rsidR="00386947">
          <w:rPr>
            <w:noProof/>
            <w:webHidden/>
          </w:rPr>
          <w:instrText xml:space="preserve"> PAGEREF _Toc395775008 \h </w:instrText>
        </w:r>
        <w:r w:rsidR="00386947">
          <w:rPr>
            <w:noProof/>
            <w:webHidden/>
          </w:rPr>
        </w:r>
        <w:r w:rsidR="00386947">
          <w:rPr>
            <w:noProof/>
            <w:webHidden/>
          </w:rPr>
          <w:fldChar w:fldCharType="separate"/>
        </w:r>
        <w:r>
          <w:rPr>
            <w:noProof/>
            <w:webHidden/>
          </w:rPr>
          <w:t>4</w:t>
        </w:r>
        <w:r w:rsidR="00386947">
          <w:rPr>
            <w:noProof/>
            <w:webHidden/>
          </w:rPr>
          <w:fldChar w:fldCharType="end"/>
        </w:r>
      </w:hyperlink>
    </w:p>
    <w:p w:rsidR="00386947" w:rsidRDefault="00306BCF">
      <w:pPr>
        <w:pStyle w:val="TOC2"/>
        <w:tabs>
          <w:tab w:val="left" w:pos="880"/>
          <w:tab w:val="right" w:leader="dot" w:pos="9060"/>
        </w:tabs>
        <w:rPr>
          <w:rFonts w:eastAsiaTheme="minorEastAsia" w:cstheme="minorBidi"/>
          <w:smallCaps w:val="0"/>
          <w:noProof/>
          <w:sz w:val="22"/>
          <w:szCs w:val="22"/>
          <w:lang w:eastAsia="en-GB" w:bidi="ar-SA"/>
        </w:rPr>
      </w:pPr>
      <w:hyperlink w:anchor="_Toc395775009" w:history="1">
        <w:r w:rsidR="00386947" w:rsidRPr="00A11031">
          <w:rPr>
            <w:rStyle w:val="Hyperlink"/>
            <w:noProof/>
          </w:rPr>
          <w:t>2.1</w:t>
        </w:r>
        <w:r w:rsidR="00386947">
          <w:rPr>
            <w:rFonts w:eastAsiaTheme="minorEastAsia" w:cstheme="minorBidi"/>
            <w:smallCaps w:val="0"/>
            <w:noProof/>
            <w:sz w:val="22"/>
            <w:szCs w:val="22"/>
            <w:lang w:eastAsia="en-GB" w:bidi="ar-SA"/>
          </w:rPr>
          <w:tab/>
        </w:r>
        <w:r w:rsidR="00386947" w:rsidRPr="00A11031">
          <w:rPr>
            <w:rStyle w:val="Hyperlink"/>
            <w:noProof/>
          </w:rPr>
          <w:t>Health Claims</w:t>
        </w:r>
        <w:r w:rsidR="00386947">
          <w:rPr>
            <w:noProof/>
            <w:webHidden/>
          </w:rPr>
          <w:tab/>
        </w:r>
        <w:r w:rsidR="00386947">
          <w:rPr>
            <w:noProof/>
            <w:webHidden/>
          </w:rPr>
          <w:fldChar w:fldCharType="begin"/>
        </w:r>
        <w:r w:rsidR="00386947">
          <w:rPr>
            <w:noProof/>
            <w:webHidden/>
          </w:rPr>
          <w:instrText xml:space="preserve"> PAGEREF _Toc395775009 \h </w:instrText>
        </w:r>
        <w:r w:rsidR="00386947">
          <w:rPr>
            <w:noProof/>
            <w:webHidden/>
          </w:rPr>
        </w:r>
        <w:r w:rsidR="00386947">
          <w:rPr>
            <w:noProof/>
            <w:webHidden/>
          </w:rPr>
          <w:fldChar w:fldCharType="separate"/>
        </w:r>
        <w:r>
          <w:rPr>
            <w:noProof/>
            <w:webHidden/>
          </w:rPr>
          <w:t>4</w:t>
        </w:r>
        <w:r w:rsidR="00386947">
          <w:rPr>
            <w:noProof/>
            <w:webHidden/>
          </w:rPr>
          <w:fldChar w:fldCharType="end"/>
        </w:r>
      </w:hyperlink>
    </w:p>
    <w:p w:rsidR="00386947" w:rsidRDefault="00306BCF">
      <w:pPr>
        <w:pStyle w:val="TOC2"/>
        <w:tabs>
          <w:tab w:val="left" w:pos="880"/>
          <w:tab w:val="right" w:leader="dot" w:pos="9060"/>
        </w:tabs>
        <w:rPr>
          <w:rFonts w:eastAsiaTheme="minorEastAsia" w:cstheme="minorBidi"/>
          <w:smallCaps w:val="0"/>
          <w:noProof/>
          <w:sz w:val="22"/>
          <w:szCs w:val="22"/>
          <w:lang w:eastAsia="en-GB" w:bidi="ar-SA"/>
        </w:rPr>
      </w:pPr>
      <w:hyperlink w:anchor="_Toc395775010" w:history="1">
        <w:r w:rsidR="00386947" w:rsidRPr="00A11031">
          <w:rPr>
            <w:rStyle w:val="Hyperlink"/>
            <w:noProof/>
          </w:rPr>
          <w:t>2.2</w:t>
        </w:r>
        <w:r w:rsidR="00386947">
          <w:rPr>
            <w:rFonts w:eastAsiaTheme="minorEastAsia" w:cstheme="minorBidi"/>
            <w:smallCaps w:val="0"/>
            <w:noProof/>
            <w:sz w:val="22"/>
            <w:szCs w:val="22"/>
            <w:lang w:eastAsia="en-GB" w:bidi="ar-SA"/>
          </w:rPr>
          <w:tab/>
        </w:r>
        <w:r w:rsidR="00386947" w:rsidRPr="00A11031">
          <w:rPr>
            <w:rStyle w:val="Hyperlink"/>
            <w:noProof/>
          </w:rPr>
          <w:t>Electrolyte Drinks</w:t>
        </w:r>
        <w:r w:rsidR="00386947">
          <w:rPr>
            <w:noProof/>
            <w:webHidden/>
          </w:rPr>
          <w:tab/>
        </w:r>
        <w:r w:rsidR="00386947">
          <w:rPr>
            <w:noProof/>
            <w:webHidden/>
          </w:rPr>
          <w:fldChar w:fldCharType="begin"/>
        </w:r>
        <w:r w:rsidR="00386947">
          <w:rPr>
            <w:noProof/>
            <w:webHidden/>
          </w:rPr>
          <w:instrText xml:space="preserve"> PAGEREF _Toc395775010 \h </w:instrText>
        </w:r>
        <w:r w:rsidR="00386947">
          <w:rPr>
            <w:noProof/>
            <w:webHidden/>
          </w:rPr>
        </w:r>
        <w:r w:rsidR="00386947">
          <w:rPr>
            <w:noProof/>
            <w:webHidden/>
          </w:rPr>
          <w:fldChar w:fldCharType="separate"/>
        </w:r>
        <w:r>
          <w:rPr>
            <w:noProof/>
            <w:webHidden/>
          </w:rPr>
          <w:t>5</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11" w:history="1">
        <w:r w:rsidR="00386947" w:rsidRPr="00A11031">
          <w:rPr>
            <w:rStyle w:val="Hyperlink"/>
            <w:noProof/>
          </w:rPr>
          <w:t>2.2.1</w:t>
        </w:r>
        <w:r w:rsidR="00386947">
          <w:rPr>
            <w:rFonts w:eastAsiaTheme="minorEastAsia" w:cstheme="minorBidi"/>
            <w:i w:val="0"/>
            <w:iCs w:val="0"/>
            <w:noProof/>
            <w:sz w:val="22"/>
            <w:szCs w:val="22"/>
            <w:lang w:eastAsia="en-GB" w:bidi="ar-SA"/>
          </w:rPr>
          <w:tab/>
        </w:r>
        <w:r w:rsidR="00386947" w:rsidRPr="00A11031">
          <w:rPr>
            <w:rStyle w:val="Hyperlink"/>
            <w:noProof/>
          </w:rPr>
          <w:t>Definition</w:t>
        </w:r>
        <w:r w:rsidR="00386947">
          <w:rPr>
            <w:noProof/>
            <w:webHidden/>
          </w:rPr>
          <w:tab/>
        </w:r>
        <w:r w:rsidR="00386947">
          <w:rPr>
            <w:noProof/>
            <w:webHidden/>
          </w:rPr>
          <w:fldChar w:fldCharType="begin"/>
        </w:r>
        <w:r w:rsidR="00386947">
          <w:rPr>
            <w:noProof/>
            <w:webHidden/>
          </w:rPr>
          <w:instrText xml:space="preserve"> PAGEREF _Toc395775011 \h </w:instrText>
        </w:r>
        <w:r w:rsidR="00386947">
          <w:rPr>
            <w:noProof/>
            <w:webHidden/>
          </w:rPr>
        </w:r>
        <w:r w:rsidR="00386947">
          <w:rPr>
            <w:noProof/>
            <w:webHidden/>
          </w:rPr>
          <w:fldChar w:fldCharType="separate"/>
        </w:r>
        <w:r>
          <w:rPr>
            <w:noProof/>
            <w:webHidden/>
          </w:rPr>
          <w:t>5</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12" w:history="1">
        <w:r w:rsidR="00386947" w:rsidRPr="00A11031">
          <w:rPr>
            <w:rStyle w:val="Hyperlink"/>
            <w:noProof/>
          </w:rPr>
          <w:t>2.2.2</w:t>
        </w:r>
        <w:r w:rsidR="00386947">
          <w:rPr>
            <w:rFonts w:eastAsiaTheme="minorEastAsia" w:cstheme="minorBidi"/>
            <w:i w:val="0"/>
            <w:iCs w:val="0"/>
            <w:noProof/>
            <w:sz w:val="22"/>
            <w:szCs w:val="22"/>
            <w:lang w:eastAsia="en-GB" w:bidi="ar-SA"/>
          </w:rPr>
          <w:tab/>
        </w:r>
        <w:r w:rsidR="00386947" w:rsidRPr="00A11031">
          <w:rPr>
            <w:rStyle w:val="Hyperlink"/>
            <w:noProof/>
          </w:rPr>
          <w:t>Electrolyte Drinks as a Special Purpose Food</w:t>
        </w:r>
        <w:r w:rsidR="00386947">
          <w:rPr>
            <w:noProof/>
            <w:webHidden/>
          </w:rPr>
          <w:tab/>
        </w:r>
        <w:r w:rsidR="00386947">
          <w:rPr>
            <w:noProof/>
            <w:webHidden/>
          </w:rPr>
          <w:fldChar w:fldCharType="begin"/>
        </w:r>
        <w:r w:rsidR="00386947">
          <w:rPr>
            <w:noProof/>
            <w:webHidden/>
          </w:rPr>
          <w:instrText xml:space="preserve"> PAGEREF _Toc395775012 \h </w:instrText>
        </w:r>
        <w:r w:rsidR="00386947">
          <w:rPr>
            <w:noProof/>
            <w:webHidden/>
          </w:rPr>
        </w:r>
        <w:r w:rsidR="00386947">
          <w:rPr>
            <w:noProof/>
            <w:webHidden/>
          </w:rPr>
          <w:fldChar w:fldCharType="separate"/>
        </w:r>
        <w:r>
          <w:rPr>
            <w:noProof/>
            <w:webHidden/>
          </w:rPr>
          <w:t>5</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13" w:history="1">
        <w:r w:rsidR="00386947" w:rsidRPr="00A11031">
          <w:rPr>
            <w:rStyle w:val="Hyperlink"/>
            <w:noProof/>
          </w:rPr>
          <w:t>2.2.3</w:t>
        </w:r>
        <w:r w:rsidR="00386947">
          <w:rPr>
            <w:rFonts w:eastAsiaTheme="minorEastAsia" w:cstheme="minorBidi"/>
            <w:i w:val="0"/>
            <w:iCs w:val="0"/>
            <w:noProof/>
            <w:sz w:val="22"/>
            <w:szCs w:val="22"/>
            <w:lang w:eastAsia="en-GB" w:bidi="ar-SA"/>
          </w:rPr>
          <w:tab/>
        </w:r>
        <w:r w:rsidR="00386947" w:rsidRPr="00A11031">
          <w:rPr>
            <w:rStyle w:val="Hyperlink"/>
            <w:noProof/>
          </w:rPr>
          <w:t>Prescribed Name</w:t>
        </w:r>
        <w:r w:rsidR="00386947">
          <w:rPr>
            <w:noProof/>
            <w:webHidden/>
          </w:rPr>
          <w:tab/>
        </w:r>
        <w:r w:rsidR="00386947">
          <w:rPr>
            <w:noProof/>
            <w:webHidden/>
          </w:rPr>
          <w:fldChar w:fldCharType="begin"/>
        </w:r>
        <w:r w:rsidR="00386947">
          <w:rPr>
            <w:noProof/>
            <w:webHidden/>
          </w:rPr>
          <w:instrText xml:space="preserve"> PAGEREF _Toc395775013 \h </w:instrText>
        </w:r>
        <w:r w:rsidR="00386947">
          <w:rPr>
            <w:noProof/>
            <w:webHidden/>
          </w:rPr>
        </w:r>
        <w:r w:rsidR="00386947">
          <w:rPr>
            <w:noProof/>
            <w:webHidden/>
          </w:rPr>
          <w:fldChar w:fldCharType="separate"/>
        </w:r>
        <w:r>
          <w:rPr>
            <w:noProof/>
            <w:webHidden/>
          </w:rPr>
          <w:t>6</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14" w:history="1">
        <w:r w:rsidR="00386947" w:rsidRPr="00A11031">
          <w:rPr>
            <w:rStyle w:val="Hyperlink"/>
            <w:noProof/>
          </w:rPr>
          <w:t>2.2.4</w:t>
        </w:r>
        <w:r w:rsidR="00386947">
          <w:rPr>
            <w:rFonts w:eastAsiaTheme="minorEastAsia" w:cstheme="minorBidi"/>
            <w:i w:val="0"/>
            <w:iCs w:val="0"/>
            <w:noProof/>
            <w:sz w:val="22"/>
            <w:szCs w:val="22"/>
            <w:lang w:eastAsia="en-GB" w:bidi="ar-SA"/>
          </w:rPr>
          <w:tab/>
        </w:r>
        <w:r w:rsidR="00386947" w:rsidRPr="00A11031">
          <w:rPr>
            <w:rStyle w:val="Hyperlink"/>
            <w:noProof/>
          </w:rPr>
          <w:t>Nutrition information requirements for EDs</w:t>
        </w:r>
        <w:r w:rsidR="00386947">
          <w:rPr>
            <w:noProof/>
            <w:webHidden/>
          </w:rPr>
          <w:tab/>
        </w:r>
        <w:r w:rsidR="00386947">
          <w:rPr>
            <w:noProof/>
            <w:webHidden/>
          </w:rPr>
          <w:fldChar w:fldCharType="begin"/>
        </w:r>
        <w:r w:rsidR="00386947">
          <w:rPr>
            <w:noProof/>
            <w:webHidden/>
          </w:rPr>
          <w:instrText xml:space="preserve"> PAGEREF _Toc395775014 \h </w:instrText>
        </w:r>
        <w:r w:rsidR="00386947">
          <w:rPr>
            <w:noProof/>
            <w:webHidden/>
          </w:rPr>
        </w:r>
        <w:r w:rsidR="00386947">
          <w:rPr>
            <w:noProof/>
            <w:webHidden/>
          </w:rPr>
          <w:fldChar w:fldCharType="separate"/>
        </w:r>
        <w:r>
          <w:rPr>
            <w:noProof/>
            <w:webHidden/>
          </w:rPr>
          <w:t>6</w:t>
        </w:r>
        <w:r w:rsidR="00386947">
          <w:rPr>
            <w:noProof/>
            <w:webHidden/>
          </w:rPr>
          <w:fldChar w:fldCharType="end"/>
        </w:r>
      </w:hyperlink>
    </w:p>
    <w:p w:rsidR="00386947" w:rsidRDefault="00306BCF">
      <w:pPr>
        <w:pStyle w:val="TOC2"/>
        <w:tabs>
          <w:tab w:val="left" w:pos="880"/>
          <w:tab w:val="right" w:leader="dot" w:pos="9060"/>
        </w:tabs>
        <w:rPr>
          <w:rFonts w:eastAsiaTheme="minorEastAsia" w:cstheme="minorBidi"/>
          <w:smallCaps w:val="0"/>
          <w:noProof/>
          <w:sz w:val="22"/>
          <w:szCs w:val="22"/>
          <w:lang w:eastAsia="en-GB" w:bidi="ar-SA"/>
        </w:rPr>
      </w:pPr>
      <w:hyperlink w:anchor="_Toc395775015" w:history="1">
        <w:r w:rsidR="00386947" w:rsidRPr="00A11031">
          <w:rPr>
            <w:rStyle w:val="Hyperlink"/>
            <w:noProof/>
          </w:rPr>
          <w:t>2.3</w:t>
        </w:r>
        <w:r w:rsidR="00386947">
          <w:rPr>
            <w:rFonts w:eastAsiaTheme="minorEastAsia" w:cstheme="minorBidi"/>
            <w:smallCaps w:val="0"/>
            <w:noProof/>
            <w:sz w:val="22"/>
            <w:szCs w:val="22"/>
            <w:lang w:eastAsia="en-GB" w:bidi="ar-SA"/>
          </w:rPr>
          <w:tab/>
        </w:r>
        <w:r w:rsidR="00386947" w:rsidRPr="00A11031">
          <w:rPr>
            <w:rStyle w:val="Hyperlink"/>
            <w:noProof/>
          </w:rPr>
          <w:t>Risk communication</w:t>
        </w:r>
        <w:r w:rsidR="00386947">
          <w:rPr>
            <w:noProof/>
            <w:webHidden/>
          </w:rPr>
          <w:tab/>
        </w:r>
        <w:r w:rsidR="00386947">
          <w:rPr>
            <w:noProof/>
            <w:webHidden/>
          </w:rPr>
          <w:fldChar w:fldCharType="begin"/>
        </w:r>
        <w:r w:rsidR="00386947">
          <w:rPr>
            <w:noProof/>
            <w:webHidden/>
          </w:rPr>
          <w:instrText xml:space="preserve"> PAGEREF _Toc395775015 \h </w:instrText>
        </w:r>
        <w:r w:rsidR="00386947">
          <w:rPr>
            <w:noProof/>
            <w:webHidden/>
          </w:rPr>
        </w:r>
        <w:r w:rsidR="00386947">
          <w:rPr>
            <w:noProof/>
            <w:webHidden/>
          </w:rPr>
          <w:fldChar w:fldCharType="separate"/>
        </w:r>
        <w:r>
          <w:rPr>
            <w:noProof/>
            <w:webHidden/>
          </w:rPr>
          <w:t>6</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16" w:history="1">
        <w:r w:rsidR="00386947" w:rsidRPr="00A11031">
          <w:rPr>
            <w:rStyle w:val="Hyperlink"/>
            <w:noProof/>
          </w:rPr>
          <w:t>2.3.1</w:t>
        </w:r>
        <w:r w:rsidR="00386947">
          <w:rPr>
            <w:rFonts w:eastAsiaTheme="minorEastAsia" w:cstheme="minorBidi"/>
            <w:i w:val="0"/>
            <w:iCs w:val="0"/>
            <w:noProof/>
            <w:sz w:val="22"/>
            <w:szCs w:val="22"/>
            <w:lang w:eastAsia="en-GB" w:bidi="ar-SA"/>
          </w:rPr>
          <w:tab/>
        </w:r>
        <w:r w:rsidR="00386947" w:rsidRPr="00A11031">
          <w:rPr>
            <w:rStyle w:val="Hyperlink"/>
            <w:noProof/>
          </w:rPr>
          <w:t>Consultation</w:t>
        </w:r>
        <w:r w:rsidR="00386947">
          <w:rPr>
            <w:noProof/>
            <w:webHidden/>
          </w:rPr>
          <w:tab/>
        </w:r>
        <w:r w:rsidR="00386947">
          <w:rPr>
            <w:noProof/>
            <w:webHidden/>
          </w:rPr>
          <w:fldChar w:fldCharType="begin"/>
        </w:r>
        <w:r w:rsidR="00386947">
          <w:rPr>
            <w:noProof/>
            <w:webHidden/>
          </w:rPr>
          <w:instrText xml:space="preserve"> PAGEREF _Toc395775016 \h </w:instrText>
        </w:r>
        <w:r w:rsidR="00386947">
          <w:rPr>
            <w:noProof/>
            <w:webHidden/>
          </w:rPr>
        </w:r>
        <w:r w:rsidR="00386947">
          <w:rPr>
            <w:noProof/>
            <w:webHidden/>
          </w:rPr>
          <w:fldChar w:fldCharType="separate"/>
        </w:r>
        <w:r>
          <w:rPr>
            <w:noProof/>
            <w:webHidden/>
          </w:rPr>
          <w:t>6</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17" w:history="1">
        <w:r w:rsidR="00386947" w:rsidRPr="00A11031">
          <w:rPr>
            <w:rStyle w:val="Hyperlink"/>
            <w:noProof/>
          </w:rPr>
          <w:t>2.3.2</w:t>
        </w:r>
        <w:r w:rsidR="00386947">
          <w:rPr>
            <w:rFonts w:eastAsiaTheme="minorEastAsia" w:cstheme="minorBidi"/>
            <w:i w:val="0"/>
            <w:iCs w:val="0"/>
            <w:noProof/>
            <w:sz w:val="22"/>
            <w:szCs w:val="22"/>
            <w:lang w:eastAsia="en-GB" w:bidi="ar-SA"/>
          </w:rPr>
          <w:tab/>
        </w:r>
        <w:r w:rsidR="00386947" w:rsidRPr="00A11031">
          <w:rPr>
            <w:rStyle w:val="Hyperlink"/>
            <w:noProof/>
          </w:rPr>
          <w:t>World Trade Organization (WTO)</w:t>
        </w:r>
        <w:r w:rsidR="00386947">
          <w:rPr>
            <w:noProof/>
            <w:webHidden/>
          </w:rPr>
          <w:tab/>
        </w:r>
        <w:r w:rsidR="00386947">
          <w:rPr>
            <w:noProof/>
            <w:webHidden/>
          </w:rPr>
          <w:fldChar w:fldCharType="begin"/>
        </w:r>
        <w:r w:rsidR="00386947">
          <w:rPr>
            <w:noProof/>
            <w:webHidden/>
          </w:rPr>
          <w:instrText xml:space="preserve"> PAGEREF _Toc395775017 \h </w:instrText>
        </w:r>
        <w:r w:rsidR="00386947">
          <w:rPr>
            <w:noProof/>
            <w:webHidden/>
          </w:rPr>
        </w:r>
        <w:r w:rsidR="00386947">
          <w:rPr>
            <w:noProof/>
            <w:webHidden/>
          </w:rPr>
          <w:fldChar w:fldCharType="separate"/>
        </w:r>
        <w:r>
          <w:rPr>
            <w:noProof/>
            <w:webHidden/>
          </w:rPr>
          <w:t>7</w:t>
        </w:r>
        <w:r w:rsidR="00386947">
          <w:rPr>
            <w:noProof/>
            <w:webHidden/>
          </w:rPr>
          <w:fldChar w:fldCharType="end"/>
        </w:r>
      </w:hyperlink>
    </w:p>
    <w:p w:rsidR="00386947" w:rsidRDefault="00306BCF">
      <w:pPr>
        <w:pStyle w:val="TOC2"/>
        <w:tabs>
          <w:tab w:val="left" w:pos="880"/>
          <w:tab w:val="right" w:leader="dot" w:pos="9060"/>
        </w:tabs>
        <w:rPr>
          <w:rFonts w:eastAsiaTheme="minorEastAsia" w:cstheme="minorBidi"/>
          <w:smallCaps w:val="0"/>
          <w:noProof/>
          <w:sz w:val="22"/>
          <w:szCs w:val="22"/>
          <w:lang w:eastAsia="en-GB" w:bidi="ar-SA"/>
        </w:rPr>
      </w:pPr>
      <w:hyperlink w:anchor="_Toc395775018" w:history="1">
        <w:r w:rsidR="00386947" w:rsidRPr="00A11031">
          <w:rPr>
            <w:rStyle w:val="Hyperlink"/>
            <w:noProof/>
          </w:rPr>
          <w:t>2.4</w:t>
        </w:r>
        <w:r w:rsidR="00386947">
          <w:rPr>
            <w:rFonts w:eastAsiaTheme="minorEastAsia" w:cstheme="minorBidi"/>
            <w:smallCaps w:val="0"/>
            <w:noProof/>
            <w:sz w:val="22"/>
            <w:szCs w:val="22"/>
            <w:lang w:eastAsia="en-GB" w:bidi="ar-SA"/>
          </w:rPr>
          <w:tab/>
        </w:r>
        <w:r w:rsidR="00386947" w:rsidRPr="00A11031">
          <w:rPr>
            <w:rStyle w:val="Hyperlink"/>
            <w:noProof/>
          </w:rPr>
          <w:t>FSANZ Act assessment requirements</w:t>
        </w:r>
        <w:r w:rsidR="00386947">
          <w:rPr>
            <w:noProof/>
            <w:webHidden/>
          </w:rPr>
          <w:tab/>
        </w:r>
        <w:r w:rsidR="00386947">
          <w:rPr>
            <w:noProof/>
            <w:webHidden/>
          </w:rPr>
          <w:fldChar w:fldCharType="begin"/>
        </w:r>
        <w:r w:rsidR="00386947">
          <w:rPr>
            <w:noProof/>
            <w:webHidden/>
          </w:rPr>
          <w:instrText xml:space="preserve"> PAGEREF _Toc395775018 \h </w:instrText>
        </w:r>
        <w:r w:rsidR="00386947">
          <w:rPr>
            <w:noProof/>
            <w:webHidden/>
          </w:rPr>
        </w:r>
        <w:r w:rsidR="00386947">
          <w:rPr>
            <w:noProof/>
            <w:webHidden/>
          </w:rPr>
          <w:fldChar w:fldCharType="separate"/>
        </w:r>
        <w:r>
          <w:rPr>
            <w:noProof/>
            <w:webHidden/>
          </w:rPr>
          <w:t>7</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19" w:history="1">
        <w:r w:rsidR="00386947" w:rsidRPr="00A11031">
          <w:rPr>
            <w:rStyle w:val="Hyperlink"/>
            <w:noProof/>
          </w:rPr>
          <w:t>2.4.1</w:t>
        </w:r>
        <w:r w:rsidR="00386947">
          <w:rPr>
            <w:rFonts w:eastAsiaTheme="minorEastAsia" w:cstheme="minorBidi"/>
            <w:i w:val="0"/>
            <w:iCs w:val="0"/>
            <w:noProof/>
            <w:sz w:val="22"/>
            <w:szCs w:val="22"/>
            <w:lang w:eastAsia="en-GB" w:bidi="ar-SA"/>
          </w:rPr>
          <w:tab/>
        </w:r>
        <w:r w:rsidR="00386947" w:rsidRPr="00A11031">
          <w:rPr>
            <w:rStyle w:val="Hyperlink"/>
            <w:noProof/>
          </w:rPr>
          <w:t>Section 59</w:t>
        </w:r>
        <w:r w:rsidR="00386947">
          <w:rPr>
            <w:noProof/>
            <w:webHidden/>
          </w:rPr>
          <w:tab/>
        </w:r>
        <w:r w:rsidR="00386947">
          <w:rPr>
            <w:noProof/>
            <w:webHidden/>
          </w:rPr>
          <w:fldChar w:fldCharType="begin"/>
        </w:r>
        <w:r w:rsidR="00386947">
          <w:rPr>
            <w:noProof/>
            <w:webHidden/>
          </w:rPr>
          <w:instrText xml:space="preserve"> PAGEREF _Toc395775019 \h </w:instrText>
        </w:r>
        <w:r w:rsidR="00386947">
          <w:rPr>
            <w:noProof/>
            <w:webHidden/>
          </w:rPr>
        </w:r>
        <w:r w:rsidR="00386947">
          <w:rPr>
            <w:noProof/>
            <w:webHidden/>
          </w:rPr>
          <w:fldChar w:fldCharType="separate"/>
        </w:r>
        <w:r>
          <w:rPr>
            <w:noProof/>
            <w:webHidden/>
          </w:rPr>
          <w:t>7</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20" w:history="1">
        <w:r w:rsidR="00386947" w:rsidRPr="00A11031">
          <w:rPr>
            <w:rStyle w:val="Hyperlink"/>
            <w:noProof/>
          </w:rPr>
          <w:t>2.4.2</w:t>
        </w:r>
        <w:r w:rsidR="00386947">
          <w:rPr>
            <w:rFonts w:eastAsiaTheme="minorEastAsia" w:cstheme="minorBidi"/>
            <w:i w:val="0"/>
            <w:iCs w:val="0"/>
            <w:noProof/>
            <w:sz w:val="22"/>
            <w:szCs w:val="22"/>
            <w:lang w:eastAsia="en-GB" w:bidi="ar-SA"/>
          </w:rPr>
          <w:tab/>
        </w:r>
        <w:r w:rsidR="00386947" w:rsidRPr="00A11031">
          <w:rPr>
            <w:rStyle w:val="Hyperlink"/>
            <w:noProof/>
          </w:rPr>
          <w:t>Subsection 18(1)</w:t>
        </w:r>
        <w:r w:rsidR="00386947">
          <w:rPr>
            <w:noProof/>
            <w:webHidden/>
          </w:rPr>
          <w:tab/>
        </w:r>
        <w:r w:rsidR="00386947">
          <w:rPr>
            <w:noProof/>
            <w:webHidden/>
          </w:rPr>
          <w:fldChar w:fldCharType="begin"/>
        </w:r>
        <w:r w:rsidR="00386947">
          <w:rPr>
            <w:noProof/>
            <w:webHidden/>
          </w:rPr>
          <w:instrText xml:space="preserve"> PAGEREF _Toc395775020 \h </w:instrText>
        </w:r>
        <w:r w:rsidR="00386947">
          <w:rPr>
            <w:noProof/>
            <w:webHidden/>
          </w:rPr>
        </w:r>
        <w:r w:rsidR="00386947">
          <w:rPr>
            <w:noProof/>
            <w:webHidden/>
          </w:rPr>
          <w:fldChar w:fldCharType="separate"/>
        </w:r>
        <w:r>
          <w:rPr>
            <w:noProof/>
            <w:webHidden/>
          </w:rPr>
          <w:t>8</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21" w:history="1">
        <w:r w:rsidR="00386947" w:rsidRPr="00A11031">
          <w:rPr>
            <w:rStyle w:val="Hyperlink"/>
            <w:noProof/>
          </w:rPr>
          <w:t>2.4.3</w:t>
        </w:r>
        <w:r w:rsidR="00386947">
          <w:rPr>
            <w:rFonts w:eastAsiaTheme="minorEastAsia" w:cstheme="minorBidi"/>
            <w:i w:val="0"/>
            <w:iCs w:val="0"/>
            <w:noProof/>
            <w:sz w:val="22"/>
            <w:szCs w:val="22"/>
            <w:lang w:eastAsia="en-GB" w:bidi="ar-SA"/>
          </w:rPr>
          <w:tab/>
        </w:r>
        <w:r w:rsidR="00386947" w:rsidRPr="00A11031">
          <w:rPr>
            <w:rStyle w:val="Hyperlink"/>
            <w:noProof/>
          </w:rPr>
          <w:t>Subsection 18(2) considerations</w:t>
        </w:r>
        <w:r w:rsidR="00386947">
          <w:rPr>
            <w:noProof/>
            <w:webHidden/>
          </w:rPr>
          <w:tab/>
        </w:r>
        <w:r w:rsidR="00386947">
          <w:rPr>
            <w:noProof/>
            <w:webHidden/>
          </w:rPr>
          <w:fldChar w:fldCharType="begin"/>
        </w:r>
        <w:r w:rsidR="00386947">
          <w:rPr>
            <w:noProof/>
            <w:webHidden/>
          </w:rPr>
          <w:instrText xml:space="preserve"> PAGEREF _Toc395775021 \h </w:instrText>
        </w:r>
        <w:r w:rsidR="00386947">
          <w:rPr>
            <w:noProof/>
            <w:webHidden/>
          </w:rPr>
        </w:r>
        <w:r w:rsidR="00386947">
          <w:rPr>
            <w:noProof/>
            <w:webHidden/>
          </w:rPr>
          <w:fldChar w:fldCharType="separate"/>
        </w:r>
        <w:r>
          <w:rPr>
            <w:noProof/>
            <w:webHidden/>
          </w:rPr>
          <w:t>8</w:t>
        </w:r>
        <w:r w:rsidR="00386947">
          <w:rPr>
            <w:noProof/>
            <w:webHidden/>
          </w:rPr>
          <w:fldChar w:fldCharType="end"/>
        </w:r>
      </w:hyperlink>
    </w:p>
    <w:p w:rsidR="00386947" w:rsidRDefault="00306BCF">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5775022" w:history="1">
        <w:r w:rsidR="00386947" w:rsidRPr="00A11031">
          <w:rPr>
            <w:rStyle w:val="Hyperlink"/>
            <w:noProof/>
          </w:rPr>
          <w:t>3</w:t>
        </w:r>
        <w:r w:rsidR="00386947">
          <w:rPr>
            <w:rFonts w:eastAsiaTheme="minorEastAsia" w:cstheme="minorBidi"/>
            <w:b w:val="0"/>
            <w:bCs w:val="0"/>
            <w:caps w:val="0"/>
            <w:noProof/>
            <w:sz w:val="22"/>
            <w:szCs w:val="22"/>
            <w:lang w:eastAsia="en-GB" w:bidi="ar-SA"/>
          </w:rPr>
          <w:tab/>
        </w:r>
        <w:r w:rsidR="00386947" w:rsidRPr="00A11031">
          <w:rPr>
            <w:rStyle w:val="Hyperlink"/>
            <w:noProof/>
          </w:rPr>
          <w:t>Draft variation</w:t>
        </w:r>
        <w:r w:rsidR="00386947">
          <w:rPr>
            <w:noProof/>
            <w:webHidden/>
          </w:rPr>
          <w:tab/>
        </w:r>
        <w:r w:rsidR="00386947">
          <w:rPr>
            <w:noProof/>
            <w:webHidden/>
          </w:rPr>
          <w:fldChar w:fldCharType="begin"/>
        </w:r>
        <w:r w:rsidR="00386947">
          <w:rPr>
            <w:noProof/>
            <w:webHidden/>
          </w:rPr>
          <w:instrText xml:space="preserve"> PAGEREF _Toc395775022 \h </w:instrText>
        </w:r>
        <w:r w:rsidR="00386947">
          <w:rPr>
            <w:noProof/>
            <w:webHidden/>
          </w:rPr>
        </w:r>
        <w:r w:rsidR="00386947">
          <w:rPr>
            <w:noProof/>
            <w:webHidden/>
          </w:rPr>
          <w:fldChar w:fldCharType="separate"/>
        </w:r>
        <w:r>
          <w:rPr>
            <w:noProof/>
            <w:webHidden/>
          </w:rPr>
          <w:t>9</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23" w:history="1">
        <w:r w:rsidR="00386947" w:rsidRPr="00A11031">
          <w:rPr>
            <w:rStyle w:val="Hyperlink"/>
            <w:noProof/>
          </w:rPr>
          <w:t xml:space="preserve">3.1 </w:t>
        </w:r>
        <w:r w:rsidR="00386947">
          <w:rPr>
            <w:rFonts w:eastAsiaTheme="minorEastAsia" w:cstheme="minorBidi"/>
            <w:i w:val="0"/>
            <w:iCs w:val="0"/>
            <w:noProof/>
            <w:sz w:val="22"/>
            <w:szCs w:val="22"/>
            <w:lang w:eastAsia="en-GB" w:bidi="ar-SA"/>
          </w:rPr>
          <w:tab/>
        </w:r>
        <w:r w:rsidR="00386947" w:rsidRPr="00A11031">
          <w:rPr>
            <w:rStyle w:val="Hyperlink"/>
            <w:noProof/>
          </w:rPr>
          <w:t>Draft variation and explanatory statement</w:t>
        </w:r>
        <w:r w:rsidR="00386947">
          <w:rPr>
            <w:noProof/>
            <w:webHidden/>
          </w:rPr>
          <w:tab/>
        </w:r>
        <w:r w:rsidR="00386947">
          <w:rPr>
            <w:noProof/>
            <w:webHidden/>
          </w:rPr>
          <w:fldChar w:fldCharType="begin"/>
        </w:r>
        <w:r w:rsidR="00386947">
          <w:rPr>
            <w:noProof/>
            <w:webHidden/>
          </w:rPr>
          <w:instrText xml:space="preserve"> PAGEREF _Toc395775023 \h </w:instrText>
        </w:r>
        <w:r w:rsidR="00386947">
          <w:rPr>
            <w:noProof/>
            <w:webHidden/>
          </w:rPr>
        </w:r>
        <w:r w:rsidR="00386947">
          <w:rPr>
            <w:noProof/>
            <w:webHidden/>
          </w:rPr>
          <w:fldChar w:fldCharType="separate"/>
        </w:r>
        <w:r>
          <w:rPr>
            <w:noProof/>
            <w:webHidden/>
          </w:rPr>
          <w:t>9</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24" w:history="1">
        <w:r w:rsidR="00386947" w:rsidRPr="00A11031">
          <w:rPr>
            <w:rStyle w:val="Hyperlink"/>
            <w:noProof/>
          </w:rPr>
          <w:t>3.2.</w:t>
        </w:r>
        <w:r w:rsidR="00386947">
          <w:rPr>
            <w:rFonts w:eastAsiaTheme="minorEastAsia" w:cstheme="minorBidi"/>
            <w:i w:val="0"/>
            <w:iCs w:val="0"/>
            <w:noProof/>
            <w:sz w:val="22"/>
            <w:szCs w:val="22"/>
            <w:lang w:eastAsia="en-GB" w:bidi="ar-SA"/>
          </w:rPr>
          <w:tab/>
        </w:r>
        <w:r w:rsidR="00386947" w:rsidRPr="00A11031">
          <w:rPr>
            <w:rStyle w:val="Hyperlink"/>
            <w:noProof/>
          </w:rPr>
          <w:t>Transitional arrangements</w:t>
        </w:r>
        <w:r w:rsidR="00386947">
          <w:rPr>
            <w:noProof/>
            <w:webHidden/>
          </w:rPr>
          <w:tab/>
        </w:r>
        <w:r w:rsidR="00386947">
          <w:rPr>
            <w:noProof/>
            <w:webHidden/>
          </w:rPr>
          <w:fldChar w:fldCharType="begin"/>
        </w:r>
        <w:r w:rsidR="00386947">
          <w:rPr>
            <w:noProof/>
            <w:webHidden/>
          </w:rPr>
          <w:instrText xml:space="preserve"> PAGEREF _Toc395775024 \h </w:instrText>
        </w:r>
        <w:r w:rsidR="00386947">
          <w:rPr>
            <w:noProof/>
            <w:webHidden/>
          </w:rPr>
        </w:r>
        <w:r w:rsidR="00386947">
          <w:rPr>
            <w:noProof/>
            <w:webHidden/>
          </w:rPr>
          <w:fldChar w:fldCharType="separate"/>
        </w:r>
        <w:r>
          <w:rPr>
            <w:noProof/>
            <w:webHidden/>
          </w:rPr>
          <w:t>10</w:t>
        </w:r>
        <w:r w:rsidR="00386947">
          <w:rPr>
            <w:noProof/>
            <w:webHidden/>
          </w:rPr>
          <w:fldChar w:fldCharType="end"/>
        </w:r>
      </w:hyperlink>
    </w:p>
    <w:p w:rsidR="00386947" w:rsidRDefault="00306BCF">
      <w:pPr>
        <w:pStyle w:val="TOC3"/>
        <w:tabs>
          <w:tab w:val="left" w:pos="1100"/>
          <w:tab w:val="right" w:leader="dot" w:pos="9060"/>
        </w:tabs>
        <w:rPr>
          <w:rFonts w:eastAsiaTheme="minorEastAsia" w:cstheme="minorBidi"/>
          <w:i w:val="0"/>
          <w:iCs w:val="0"/>
          <w:noProof/>
          <w:sz w:val="22"/>
          <w:szCs w:val="22"/>
          <w:lang w:eastAsia="en-GB" w:bidi="ar-SA"/>
        </w:rPr>
      </w:pPr>
      <w:hyperlink w:anchor="_Toc395775025" w:history="1">
        <w:r w:rsidR="00386947" w:rsidRPr="00A11031">
          <w:rPr>
            <w:rStyle w:val="Hyperlink"/>
            <w:noProof/>
          </w:rPr>
          <w:t>3.3.</w:t>
        </w:r>
        <w:r w:rsidR="00386947">
          <w:rPr>
            <w:rFonts w:eastAsiaTheme="minorEastAsia" w:cstheme="minorBidi"/>
            <w:i w:val="0"/>
            <w:iCs w:val="0"/>
            <w:noProof/>
            <w:sz w:val="22"/>
            <w:szCs w:val="22"/>
            <w:lang w:eastAsia="en-GB" w:bidi="ar-SA"/>
          </w:rPr>
          <w:tab/>
        </w:r>
        <w:r w:rsidR="00386947" w:rsidRPr="00A11031">
          <w:rPr>
            <w:rStyle w:val="Hyperlink"/>
            <w:noProof/>
          </w:rPr>
          <w:t>Implementation and review</w:t>
        </w:r>
        <w:r w:rsidR="00386947">
          <w:rPr>
            <w:noProof/>
            <w:webHidden/>
          </w:rPr>
          <w:tab/>
        </w:r>
        <w:r w:rsidR="00386947">
          <w:rPr>
            <w:noProof/>
            <w:webHidden/>
          </w:rPr>
          <w:fldChar w:fldCharType="begin"/>
        </w:r>
        <w:r w:rsidR="00386947">
          <w:rPr>
            <w:noProof/>
            <w:webHidden/>
          </w:rPr>
          <w:instrText xml:space="preserve"> PAGEREF _Toc395775025 \h </w:instrText>
        </w:r>
        <w:r w:rsidR="00386947">
          <w:rPr>
            <w:noProof/>
            <w:webHidden/>
          </w:rPr>
        </w:r>
        <w:r w:rsidR="00386947">
          <w:rPr>
            <w:noProof/>
            <w:webHidden/>
          </w:rPr>
          <w:fldChar w:fldCharType="separate"/>
        </w:r>
        <w:r>
          <w:rPr>
            <w:noProof/>
            <w:webHidden/>
          </w:rPr>
          <w:t>10</w:t>
        </w:r>
        <w:r w:rsidR="00386947">
          <w:rPr>
            <w:noProof/>
            <w:webHidden/>
          </w:rPr>
          <w:fldChar w:fldCharType="end"/>
        </w:r>
      </w:hyperlink>
    </w:p>
    <w:p w:rsidR="00386947" w:rsidRDefault="00306BCF">
      <w:pPr>
        <w:pStyle w:val="TOC2"/>
        <w:tabs>
          <w:tab w:val="right" w:leader="dot" w:pos="9060"/>
        </w:tabs>
        <w:rPr>
          <w:rFonts w:eastAsiaTheme="minorEastAsia" w:cstheme="minorBidi"/>
          <w:smallCaps w:val="0"/>
          <w:noProof/>
          <w:sz w:val="22"/>
          <w:szCs w:val="22"/>
          <w:lang w:eastAsia="en-GB" w:bidi="ar-SA"/>
        </w:rPr>
      </w:pPr>
      <w:hyperlink w:anchor="_Toc395775026" w:history="1">
        <w:r w:rsidR="00386947" w:rsidRPr="00A11031">
          <w:rPr>
            <w:rStyle w:val="Hyperlink"/>
            <w:noProof/>
          </w:rPr>
          <w:t>Appendix 1</w:t>
        </w:r>
        <w:r w:rsidR="00386947">
          <w:rPr>
            <w:noProof/>
            <w:webHidden/>
          </w:rPr>
          <w:tab/>
        </w:r>
        <w:r w:rsidR="00386947">
          <w:rPr>
            <w:noProof/>
            <w:webHidden/>
          </w:rPr>
          <w:fldChar w:fldCharType="begin"/>
        </w:r>
        <w:r w:rsidR="00386947">
          <w:rPr>
            <w:noProof/>
            <w:webHidden/>
          </w:rPr>
          <w:instrText xml:space="preserve"> PAGEREF _Toc395775026 \h </w:instrText>
        </w:r>
        <w:r w:rsidR="00386947">
          <w:rPr>
            <w:noProof/>
            <w:webHidden/>
          </w:rPr>
        </w:r>
        <w:r w:rsidR="00386947">
          <w:rPr>
            <w:noProof/>
            <w:webHidden/>
          </w:rPr>
          <w:fldChar w:fldCharType="separate"/>
        </w:r>
        <w:r>
          <w:rPr>
            <w:noProof/>
            <w:webHidden/>
          </w:rPr>
          <w:t>11</w:t>
        </w:r>
        <w:r w:rsidR="00386947">
          <w:rPr>
            <w:noProof/>
            <w:webHidden/>
          </w:rPr>
          <w:fldChar w:fldCharType="end"/>
        </w:r>
      </w:hyperlink>
    </w:p>
    <w:p w:rsidR="00386947" w:rsidRDefault="00306BCF">
      <w:pPr>
        <w:pStyle w:val="TOC2"/>
        <w:tabs>
          <w:tab w:val="right" w:leader="dot" w:pos="9060"/>
        </w:tabs>
        <w:rPr>
          <w:rFonts w:eastAsiaTheme="minorEastAsia" w:cstheme="minorBidi"/>
          <w:smallCaps w:val="0"/>
          <w:noProof/>
          <w:sz w:val="22"/>
          <w:szCs w:val="22"/>
          <w:lang w:eastAsia="en-GB" w:bidi="ar-SA"/>
        </w:rPr>
      </w:pPr>
      <w:hyperlink w:anchor="_Toc395775027" w:history="1">
        <w:r w:rsidR="00386947" w:rsidRPr="00A11031">
          <w:rPr>
            <w:rStyle w:val="Hyperlink"/>
            <w:noProof/>
          </w:rPr>
          <w:t xml:space="preserve">Attachment A – Draft variations to the </w:t>
        </w:r>
        <w:r w:rsidR="00386947" w:rsidRPr="00A11031">
          <w:rPr>
            <w:rStyle w:val="Hyperlink"/>
            <w:i/>
            <w:noProof/>
          </w:rPr>
          <w:t>Australia New Zealand Food Standards Code</w:t>
        </w:r>
        <w:r w:rsidR="00386947">
          <w:rPr>
            <w:noProof/>
            <w:webHidden/>
          </w:rPr>
          <w:tab/>
        </w:r>
        <w:r w:rsidR="00386947">
          <w:rPr>
            <w:noProof/>
            <w:webHidden/>
          </w:rPr>
          <w:fldChar w:fldCharType="begin"/>
        </w:r>
        <w:r w:rsidR="00386947">
          <w:rPr>
            <w:noProof/>
            <w:webHidden/>
          </w:rPr>
          <w:instrText xml:space="preserve"> PAGEREF _Toc395775027 \h </w:instrText>
        </w:r>
        <w:r w:rsidR="00386947">
          <w:rPr>
            <w:noProof/>
            <w:webHidden/>
          </w:rPr>
        </w:r>
        <w:r w:rsidR="00386947">
          <w:rPr>
            <w:noProof/>
            <w:webHidden/>
          </w:rPr>
          <w:fldChar w:fldCharType="separate"/>
        </w:r>
        <w:r>
          <w:rPr>
            <w:noProof/>
            <w:webHidden/>
          </w:rPr>
          <w:t>13</w:t>
        </w:r>
        <w:r w:rsidR="00386947">
          <w:rPr>
            <w:noProof/>
            <w:webHidden/>
          </w:rPr>
          <w:fldChar w:fldCharType="end"/>
        </w:r>
      </w:hyperlink>
    </w:p>
    <w:p w:rsidR="00386947" w:rsidRDefault="00306BCF">
      <w:pPr>
        <w:pStyle w:val="TOC2"/>
        <w:tabs>
          <w:tab w:val="right" w:leader="dot" w:pos="9060"/>
        </w:tabs>
        <w:rPr>
          <w:rFonts w:eastAsiaTheme="minorEastAsia" w:cstheme="minorBidi"/>
          <w:smallCaps w:val="0"/>
          <w:noProof/>
          <w:sz w:val="22"/>
          <w:szCs w:val="22"/>
          <w:lang w:eastAsia="en-GB" w:bidi="ar-SA"/>
        </w:rPr>
      </w:pPr>
      <w:hyperlink w:anchor="_Toc395775028" w:history="1">
        <w:r w:rsidR="00386947" w:rsidRPr="00A11031">
          <w:rPr>
            <w:rStyle w:val="Hyperlink"/>
            <w:noProof/>
          </w:rPr>
          <w:t>Attachment B – Draft Explanatory Statement</w:t>
        </w:r>
        <w:r w:rsidR="00386947">
          <w:rPr>
            <w:noProof/>
            <w:webHidden/>
          </w:rPr>
          <w:tab/>
        </w:r>
        <w:r w:rsidR="00386947">
          <w:rPr>
            <w:noProof/>
            <w:webHidden/>
          </w:rPr>
          <w:fldChar w:fldCharType="begin"/>
        </w:r>
        <w:r w:rsidR="00386947">
          <w:rPr>
            <w:noProof/>
            <w:webHidden/>
          </w:rPr>
          <w:instrText xml:space="preserve"> PAGEREF _Toc395775028 \h </w:instrText>
        </w:r>
        <w:r w:rsidR="00386947">
          <w:rPr>
            <w:noProof/>
            <w:webHidden/>
          </w:rPr>
        </w:r>
        <w:r w:rsidR="00386947">
          <w:rPr>
            <w:noProof/>
            <w:webHidden/>
          </w:rPr>
          <w:fldChar w:fldCharType="separate"/>
        </w:r>
        <w:r>
          <w:rPr>
            <w:noProof/>
            <w:webHidden/>
          </w:rPr>
          <w:t>20</w:t>
        </w:r>
        <w:r w:rsidR="00386947">
          <w:rPr>
            <w:noProof/>
            <w:webHidden/>
          </w:rPr>
          <w:fldChar w:fldCharType="end"/>
        </w:r>
      </w:hyperlink>
    </w:p>
    <w:p w:rsidR="00051ED9" w:rsidRDefault="00051ED9" w:rsidP="007467D7">
      <w:pPr>
        <w:widowControl/>
      </w:pPr>
      <w:r w:rsidRPr="00867B23">
        <w:rPr>
          <w:rFonts w:cs="Arial"/>
        </w:rPr>
        <w:fldChar w:fldCharType="end"/>
      </w:r>
    </w:p>
    <w:p w:rsidR="00051ED9" w:rsidRDefault="00562917" w:rsidP="007467D7">
      <w:pPr>
        <w:widowControl/>
      </w:pPr>
      <w:r w:rsidRPr="00E203C2">
        <w:br w:type="page"/>
      </w:r>
    </w:p>
    <w:p w:rsidR="00E063C6" w:rsidRDefault="00F33BB8" w:rsidP="007467D7">
      <w:pPr>
        <w:pStyle w:val="Heading1"/>
        <w:widowControl/>
      </w:pPr>
      <w:bookmarkStart w:id="1" w:name="_Toc286391001"/>
      <w:bookmarkStart w:id="2" w:name="_Toc300933414"/>
      <w:bookmarkStart w:id="3" w:name="_Toc395775002"/>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D73931" w:rsidRPr="002A65C0" w:rsidRDefault="00A52210" w:rsidP="007467D7">
      <w:pPr>
        <w:widowControl/>
        <w:rPr>
          <w:lang w:bidi="ar-SA"/>
        </w:rPr>
      </w:pPr>
      <w:r w:rsidRPr="00CD1D9F">
        <w:rPr>
          <w:lang w:bidi="ar-SA"/>
        </w:rPr>
        <w:t xml:space="preserve">FSANZ has prepared a draft variation to the </w:t>
      </w:r>
      <w:r w:rsidR="009A555C" w:rsidRPr="009A555C">
        <w:rPr>
          <w:i/>
          <w:lang w:bidi="ar-SA"/>
        </w:rPr>
        <w:t xml:space="preserve">Australia New Zealand Food Standards </w:t>
      </w:r>
      <w:r w:rsidRPr="009A555C">
        <w:rPr>
          <w:i/>
          <w:lang w:bidi="ar-SA"/>
        </w:rPr>
        <w:t>Code</w:t>
      </w:r>
      <w:r w:rsidRPr="00CD1D9F">
        <w:rPr>
          <w:lang w:bidi="ar-SA"/>
        </w:rPr>
        <w:t xml:space="preserve"> </w:t>
      </w:r>
      <w:r w:rsidR="009A555C">
        <w:rPr>
          <w:lang w:bidi="ar-SA"/>
        </w:rPr>
        <w:t xml:space="preserve">(the Code) </w:t>
      </w:r>
      <w:r w:rsidR="00C55A34">
        <w:rPr>
          <w:lang w:bidi="ar-SA"/>
        </w:rPr>
        <w:t xml:space="preserve">to </w:t>
      </w:r>
      <w:r w:rsidR="00C55A34" w:rsidRPr="002A65C0">
        <w:rPr>
          <w:lang w:bidi="ar-SA"/>
        </w:rPr>
        <w:t>permit formulated supplementary sports foods (FSSF</w:t>
      </w:r>
      <w:r w:rsidR="00ED40BF">
        <w:rPr>
          <w:lang w:bidi="ar-SA"/>
        </w:rPr>
        <w:t>s</w:t>
      </w:r>
      <w:r w:rsidR="00C55A34" w:rsidRPr="002A65C0">
        <w:rPr>
          <w:lang w:bidi="ar-SA"/>
        </w:rPr>
        <w:t>)</w:t>
      </w:r>
      <w:r w:rsidR="005D46CF">
        <w:rPr>
          <w:lang w:bidi="ar-SA"/>
        </w:rPr>
        <w:t>,</w:t>
      </w:r>
      <w:r w:rsidR="00FD185E">
        <w:rPr>
          <w:lang w:bidi="ar-SA"/>
        </w:rPr>
        <w:t xml:space="preserve"> </w:t>
      </w:r>
      <w:r w:rsidR="00D764D7">
        <w:rPr>
          <w:lang w:bidi="ar-SA"/>
        </w:rPr>
        <w:t>electrolyte drinks and electrolyte drink bases (</w:t>
      </w:r>
      <w:r w:rsidR="00C55A34" w:rsidRPr="002A65C0">
        <w:rPr>
          <w:lang w:bidi="ar-SA"/>
        </w:rPr>
        <w:t>ED</w:t>
      </w:r>
      <w:r w:rsidR="00ED40BF">
        <w:rPr>
          <w:lang w:bidi="ar-SA"/>
        </w:rPr>
        <w:t>s</w:t>
      </w:r>
      <w:r w:rsidR="00D764D7">
        <w:rPr>
          <w:lang w:bidi="ar-SA"/>
        </w:rPr>
        <w:t>)</w:t>
      </w:r>
      <w:r w:rsidR="00C55A34" w:rsidRPr="002A65C0">
        <w:rPr>
          <w:lang w:bidi="ar-SA"/>
        </w:rPr>
        <w:t xml:space="preserve"> to </w:t>
      </w:r>
      <w:r w:rsidR="009129C4">
        <w:rPr>
          <w:lang w:bidi="ar-SA"/>
        </w:rPr>
        <w:t>carry</w:t>
      </w:r>
      <w:r w:rsidR="00C55A34" w:rsidRPr="002A65C0">
        <w:rPr>
          <w:lang w:bidi="ar-SA"/>
        </w:rPr>
        <w:t xml:space="preserve"> health claims </w:t>
      </w:r>
      <w:r w:rsidR="00CB3ADB">
        <w:rPr>
          <w:lang w:bidi="ar-SA"/>
        </w:rPr>
        <w:t>consistent with</w:t>
      </w:r>
      <w:r w:rsidR="00C55A34" w:rsidRPr="002A65C0">
        <w:rPr>
          <w:lang w:bidi="ar-SA"/>
        </w:rPr>
        <w:t xml:space="preserve"> their</w:t>
      </w:r>
      <w:r w:rsidR="00CB3ADB">
        <w:rPr>
          <w:lang w:bidi="ar-SA"/>
        </w:rPr>
        <w:t xml:space="preserve"> intended</w:t>
      </w:r>
      <w:r w:rsidR="00C55A34" w:rsidRPr="002A65C0">
        <w:rPr>
          <w:lang w:bidi="ar-SA"/>
        </w:rPr>
        <w:t xml:space="preserve"> purpose</w:t>
      </w:r>
      <w:r w:rsidR="004649EB">
        <w:rPr>
          <w:lang w:bidi="ar-SA"/>
        </w:rPr>
        <w:t>s</w:t>
      </w:r>
      <w:r w:rsidR="000408E6">
        <w:rPr>
          <w:lang w:bidi="ar-SA"/>
        </w:rPr>
        <w:t xml:space="preserve"> </w:t>
      </w:r>
      <w:r w:rsidR="000408E6" w:rsidRPr="001A1F56">
        <w:t>related to exercise or physical performance</w:t>
      </w:r>
      <w:r w:rsidR="000408E6">
        <w:t xml:space="preserve">. Also, </w:t>
      </w:r>
      <w:r w:rsidR="000408E6">
        <w:rPr>
          <w:lang w:bidi="ar-SA"/>
        </w:rPr>
        <w:t>based on the</w:t>
      </w:r>
      <w:r w:rsidR="004649EB">
        <w:rPr>
          <w:lang w:bidi="ar-SA"/>
        </w:rPr>
        <w:t xml:space="preserve"> similarity in </w:t>
      </w:r>
      <w:r w:rsidR="00E85E89">
        <w:rPr>
          <w:lang w:bidi="ar-SA"/>
        </w:rPr>
        <w:t>purpose</w:t>
      </w:r>
      <w:r w:rsidR="004649EB">
        <w:rPr>
          <w:lang w:bidi="ar-SA"/>
        </w:rPr>
        <w:t xml:space="preserve"> of the two foods</w:t>
      </w:r>
      <w:r w:rsidR="00076E21">
        <w:rPr>
          <w:lang w:bidi="ar-SA"/>
        </w:rPr>
        <w:t>,</w:t>
      </w:r>
      <w:r w:rsidR="000408E6">
        <w:rPr>
          <w:lang w:bidi="ar-SA"/>
        </w:rPr>
        <w:t xml:space="preserve"> the draft variation </w:t>
      </w:r>
      <w:r w:rsidR="008616E6" w:rsidRPr="00CD1D9F">
        <w:rPr>
          <w:lang w:bidi="ar-SA"/>
        </w:rPr>
        <w:t>transfer</w:t>
      </w:r>
      <w:r w:rsidR="000408E6">
        <w:rPr>
          <w:lang w:bidi="ar-SA"/>
        </w:rPr>
        <w:t>s</w:t>
      </w:r>
      <w:r w:rsidR="008616E6" w:rsidRPr="00CD1D9F">
        <w:rPr>
          <w:lang w:bidi="ar-SA"/>
        </w:rPr>
        <w:t xml:space="preserve"> the</w:t>
      </w:r>
      <w:r w:rsidRPr="00CD1D9F">
        <w:rPr>
          <w:lang w:bidi="ar-SA"/>
        </w:rPr>
        <w:t xml:space="preserve"> regulation of </w:t>
      </w:r>
      <w:r w:rsidR="0085666D">
        <w:rPr>
          <w:lang w:bidi="ar-SA"/>
        </w:rPr>
        <w:t>ED</w:t>
      </w:r>
      <w:r w:rsidR="00047C8F">
        <w:rPr>
          <w:lang w:bidi="ar-SA"/>
        </w:rPr>
        <w:t>s</w:t>
      </w:r>
      <w:r w:rsidRPr="002A65C0">
        <w:rPr>
          <w:lang w:bidi="ar-SA"/>
        </w:rPr>
        <w:t xml:space="preserve"> </w:t>
      </w:r>
      <w:r w:rsidR="00366C5C" w:rsidRPr="002A65C0">
        <w:rPr>
          <w:lang w:bidi="ar-SA"/>
        </w:rPr>
        <w:t>from Standard 2.6.2 – Non-</w:t>
      </w:r>
      <w:r w:rsidR="0056502C" w:rsidRPr="002A65C0">
        <w:rPr>
          <w:lang w:bidi="ar-SA"/>
        </w:rPr>
        <w:t>A</w:t>
      </w:r>
      <w:r w:rsidR="00366C5C" w:rsidRPr="002A65C0">
        <w:rPr>
          <w:lang w:bidi="ar-SA"/>
        </w:rPr>
        <w:t xml:space="preserve">lcoholic </w:t>
      </w:r>
      <w:r w:rsidR="00373FC1" w:rsidRPr="002A65C0">
        <w:rPr>
          <w:lang w:bidi="ar-SA"/>
        </w:rPr>
        <w:t>Beverages and Brewed S</w:t>
      </w:r>
      <w:r w:rsidR="00366C5C" w:rsidRPr="002A65C0">
        <w:rPr>
          <w:lang w:bidi="ar-SA"/>
        </w:rPr>
        <w:t>oft</w:t>
      </w:r>
      <w:r w:rsidR="00087DE0" w:rsidRPr="002A65C0">
        <w:rPr>
          <w:lang w:bidi="ar-SA"/>
        </w:rPr>
        <w:t xml:space="preserve"> </w:t>
      </w:r>
      <w:r w:rsidR="00373FC1" w:rsidRPr="002A65C0">
        <w:rPr>
          <w:lang w:bidi="ar-SA"/>
        </w:rPr>
        <w:t>D</w:t>
      </w:r>
      <w:r w:rsidR="00366C5C" w:rsidRPr="002A65C0">
        <w:rPr>
          <w:lang w:bidi="ar-SA"/>
        </w:rPr>
        <w:t xml:space="preserve">rinks </w:t>
      </w:r>
      <w:r w:rsidRPr="002A65C0">
        <w:rPr>
          <w:lang w:bidi="ar-SA"/>
        </w:rPr>
        <w:t>to Standard 2.9.</w:t>
      </w:r>
      <w:r w:rsidR="00373FC1" w:rsidRPr="002A65C0">
        <w:rPr>
          <w:lang w:bidi="ar-SA"/>
        </w:rPr>
        <w:t xml:space="preserve">4 – Formulated </w:t>
      </w:r>
      <w:r w:rsidR="00366C5C" w:rsidRPr="002A65C0">
        <w:rPr>
          <w:lang w:bidi="ar-SA"/>
        </w:rPr>
        <w:t>Supplementary Sports Foods</w:t>
      </w:r>
      <w:r w:rsidR="00144120">
        <w:rPr>
          <w:lang w:bidi="ar-SA"/>
        </w:rPr>
        <w:t xml:space="preserve">. </w:t>
      </w:r>
    </w:p>
    <w:p w:rsidR="00A52210" w:rsidRDefault="00A52210" w:rsidP="007467D7">
      <w:pPr>
        <w:widowControl/>
        <w:rPr>
          <w:lang w:bidi="ar-SA"/>
        </w:rPr>
      </w:pPr>
    </w:p>
    <w:p w:rsidR="00437B0C" w:rsidRPr="002A65C0" w:rsidRDefault="00AB4651" w:rsidP="007467D7">
      <w:pPr>
        <w:widowControl/>
        <w:rPr>
          <w:lang w:bidi="ar-SA"/>
        </w:rPr>
      </w:pPr>
      <w:r>
        <w:t>The C</w:t>
      </w:r>
      <w:r w:rsidR="00437B0C">
        <w:t>ode recognises that FSSF</w:t>
      </w:r>
      <w:r w:rsidR="00047C8F">
        <w:t>s</w:t>
      </w:r>
      <w:r w:rsidR="00437B0C">
        <w:t xml:space="preserve"> </w:t>
      </w:r>
      <w:r w:rsidR="00564ABE">
        <w:t xml:space="preserve">and EDs </w:t>
      </w:r>
      <w:r w:rsidR="00437B0C">
        <w:t xml:space="preserve">are </w:t>
      </w:r>
      <w:r w:rsidR="004649EB">
        <w:t xml:space="preserve">each </w:t>
      </w:r>
      <w:r w:rsidR="00437B0C">
        <w:t>formulated to achieve a</w:t>
      </w:r>
      <w:r w:rsidR="00B04EFB">
        <w:t xml:space="preserve"> </w:t>
      </w:r>
      <w:r w:rsidR="0000024E">
        <w:t>specific</w:t>
      </w:r>
      <w:r w:rsidR="00437B0C">
        <w:t xml:space="preserve"> purpose</w:t>
      </w:r>
      <w:r w:rsidR="004649EB">
        <w:t>.</w:t>
      </w:r>
      <w:r w:rsidR="00396D3B">
        <w:t xml:space="preserve"> </w:t>
      </w:r>
      <w:r w:rsidR="00437B0C" w:rsidRPr="002A65C0">
        <w:t>Whe</w:t>
      </w:r>
      <w:r w:rsidR="00396D3B">
        <w:t>n</w:t>
      </w:r>
      <w:r w:rsidR="00437B0C" w:rsidRPr="002A65C0">
        <w:t xml:space="preserve"> these </w:t>
      </w:r>
      <w:r w:rsidR="00021980">
        <w:t>foods</w:t>
      </w:r>
      <w:r w:rsidR="00021980" w:rsidRPr="002A65C0">
        <w:t xml:space="preserve"> </w:t>
      </w:r>
      <w:r w:rsidR="00437B0C" w:rsidRPr="002A65C0">
        <w:t xml:space="preserve">meet </w:t>
      </w:r>
      <w:r w:rsidR="00A43AA5">
        <w:t>their respective</w:t>
      </w:r>
      <w:r w:rsidR="00A43AA5" w:rsidRPr="002A65C0">
        <w:t xml:space="preserve"> </w:t>
      </w:r>
      <w:r w:rsidR="00437B0C" w:rsidRPr="002A65C0">
        <w:t xml:space="preserve">prescribed composition, </w:t>
      </w:r>
      <w:r w:rsidR="00FD185E">
        <w:t>certain</w:t>
      </w:r>
      <w:r w:rsidR="00355473" w:rsidRPr="00C4218E">
        <w:t xml:space="preserve"> </w:t>
      </w:r>
      <w:r w:rsidR="00DE0DDE">
        <w:t xml:space="preserve">labelling </w:t>
      </w:r>
      <w:r w:rsidR="00437B0C" w:rsidRPr="00C4218E">
        <w:t>claims relating</w:t>
      </w:r>
      <w:r w:rsidR="00437B0C" w:rsidRPr="002A65C0">
        <w:t xml:space="preserve"> </w:t>
      </w:r>
      <w:r w:rsidR="00FD185E">
        <w:t>to</w:t>
      </w:r>
      <w:r w:rsidR="002A10A1">
        <w:t xml:space="preserve"> </w:t>
      </w:r>
      <w:r w:rsidR="00437B0C" w:rsidRPr="002A65C0">
        <w:t>the</w:t>
      </w:r>
      <w:r w:rsidR="00782BA9">
        <w:t>ir</w:t>
      </w:r>
      <w:r w:rsidR="00437B0C" w:rsidRPr="002A65C0">
        <w:t xml:space="preserve"> purpose are permitted.</w:t>
      </w:r>
      <w:r w:rsidR="00FD185E">
        <w:t xml:space="preserve"> For example</w:t>
      </w:r>
      <w:r w:rsidR="00D63697">
        <w:t>,</w:t>
      </w:r>
      <w:r w:rsidR="00FD185E">
        <w:t xml:space="preserve"> high carbohydrate FSSF can </w:t>
      </w:r>
      <w:r w:rsidR="004170E2">
        <w:t>carry</w:t>
      </w:r>
      <w:r w:rsidR="00FD185E">
        <w:t xml:space="preserve"> claims that the product is useful before, during or after sustained strenuous exercise. </w:t>
      </w:r>
      <w:r w:rsidR="00396D3B">
        <w:t>Before</w:t>
      </w:r>
      <w:r w:rsidR="00437B0C">
        <w:t xml:space="preserve"> gazettal </w:t>
      </w:r>
      <w:r w:rsidR="00386947">
        <w:t>in</w:t>
      </w:r>
      <w:r w:rsidR="00386947" w:rsidRPr="002A65C0">
        <w:t xml:space="preserve"> January 2013</w:t>
      </w:r>
      <w:r w:rsidR="00386947">
        <w:t xml:space="preserve"> </w:t>
      </w:r>
      <w:r w:rsidR="00437B0C">
        <w:t>of Standard 1.2.7</w:t>
      </w:r>
      <w:r w:rsidR="002961CB">
        <w:t xml:space="preserve"> – Nutrition Health and Related Claims</w:t>
      </w:r>
      <w:r w:rsidR="00437B0C" w:rsidRPr="002A65C0">
        <w:t xml:space="preserve">, </w:t>
      </w:r>
      <w:r w:rsidR="00437B0C" w:rsidRPr="00C4218E">
        <w:t xml:space="preserve">only one other </w:t>
      </w:r>
      <w:r w:rsidR="00437B0C" w:rsidRPr="00BA6651">
        <w:t>health claim</w:t>
      </w:r>
      <w:r w:rsidR="00437B0C" w:rsidRPr="00C4218E">
        <w:t xml:space="preserve"> was</w:t>
      </w:r>
      <w:r w:rsidR="00437B0C" w:rsidRPr="002A65C0">
        <w:t xml:space="preserve"> permitted in the Code (folate and neural tube defects).</w:t>
      </w:r>
    </w:p>
    <w:p w:rsidR="000837C4" w:rsidRDefault="000837C4" w:rsidP="007467D7">
      <w:pPr>
        <w:widowControl/>
        <w:rPr>
          <w:rFonts w:cs="Arial"/>
        </w:rPr>
      </w:pPr>
    </w:p>
    <w:p w:rsidR="00437B0C" w:rsidRDefault="00437B0C" w:rsidP="007467D7">
      <w:pPr>
        <w:widowControl/>
      </w:pPr>
      <w:r w:rsidRPr="00046B7F">
        <w:t xml:space="preserve">Standard 1.2.7 </w:t>
      </w:r>
      <w:r w:rsidR="00564ABE">
        <w:t xml:space="preserve">permits </w:t>
      </w:r>
      <w:r w:rsidRPr="00046B7F">
        <w:t>food</w:t>
      </w:r>
      <w:r>
        <w:t>s</w:t>
      </w:r>
      <w:r w:rsidRPr="00046B7F">
        <w:t xml:space="preserve"> </w:t>
      </w:r>
      <w:r w:rsidR="00564ABE">
        <w:t xml:space="preserve">generally to </w:t>
      </w:r>
      <w:r w:rsidR="009129C4">
        <w:t>carry</w:t>
      </w:r>
      <w:r w:rsidRPr="00046B7F">
        <w:t xml:space="preserve"> </w:t>
      </w:r>
      <w:r>
        <w:t xml:space="preserve">health </w:t>
      </w:r>
      <w:r w:rsidRPr="00046B7F">
        <w:t>claims</w:t>
      </w:r>
      <w:r>
        <w:t xml:space="preserve">, including about physical performance, providing </w:t>
      </w:r>
      <w:r w:rsidR="00564ABE">
        <w:t xml:space="preserve">certain </w:t>
      </w:r>
      <w:r w:rsidRPr="00046B7F">
        <w:t>criteria</w:t>
      </w:r>
      <w:r w:rsidR="00782BA9">
        <w:t xml:space="preserve"> are met</w:t>
      </w:r>
      <w:r w:rsidRPr="00046B7F">
        <w:t xml:space="preserve">. </w:t>
      </w:r>
      <w:r>
        <w:t>However,</w:t>
      </w:r>
      <w:r w:rsidRPr="00714767">
        <w:t xml:space="preserve"> </w:t>
      </w:r>
      <w:r w:rsidR="00782BA9">
        <w:t xml:space="preserve">the Code prevents </w:t>
      </w:r>
      <w:r>
        <w:t>FSSF</w:t>
      </w:r>
      <w:r w:rsidR="00564ABE">
        <w:t>s</w:t>
      </w:r>
      <w:r>
        <w:t xml:space="preserve"> and ED</w:t>
      </w:r>
      <w:r w:rsidR="00564ABE">
        <w:t>s</w:t>
      </w:r>
      <w:r>
        <w:t xml:space="preserve"> from </w:t>
      </w:r>
      <w:r w:rsidR="00355473">
        <w:t xml:space="preserve">carrying </w:t>
      </w:r>
      <w:r>
        <w:t xml:space="preserve">health claims </w:t>
      </w:r>
      <w:r w:rsidR="009129C4">
        <w:t xml:space="preserve">consistent with their </w:t>
      </w:r>
      <w:r w:rsidR="00564ABE">
        <w:t xml:space="preserve">specific </w:t>
      </w:r>
      <w:r w:rsidR="009129C4">
        <w:t>purpose</w:t>
      </w:r>
      <w:r w:rsidR="00A43AA5">
        <w:t>s</w:t>
      </w:r>
      <w:r w:rsidR="009129C4">
        <w:t xml:space="preserve"> </w:t>
      </w:r>
      <w:r>
        <w:t xml:space="preserve">except for </w:t>
      </w:r>
      <w:r w:rsidR="00E97667">
        <w:t xml:space="preserve">a </w:t>
      </w:r>
      <w:r w:rsidR="00A43AA5">
        <w:t xml:space="preserve">very </w:t>
      </w:r>
      <w:r w:rsidR="00E97667">
        <w:t xml:space="preserve">limited number of </w:t>
      </w:r>
      <w:r w:rsidRPr="00BA6651">
        <w:t>claims.</w:t>
      </w:r>
      <w:r w:rsidR="007718D3">
        <w:t xml:space="preserve"> This Proposal addresses this anomaly. </w:t>
      </w:r>
    </w:p>
    <w:p w:rsidR="00437B0C" w:rsidRDefault="00437B0C" w:rsidP="007467D7">
      <w:pPr>
        <w:widowControl/>
        <w:rPr>
          <w:rFonts w:cs="Arial"/>
        </w:rPr>
      </w:pPr>
    </w:p>
    <w:p w:rsidR="00437B0C" w:rsidRPr="00CD1D9F" w:rsidRDefault="00437B0C" w:rsidP="007467D7">
      <w:pPr>
        <w:widowControl/>
        <w:rPr>
          <w:lang w:bidi="ar-SA"/>
        </w:rPr>
      </w:pPr>
      <w:r w:rsidRPr="00CD1D9F">
        <w:rPr>
          <w:lang w:bidi="ar-SA"/>
        </w:rPr>
        <w:t xml:space="preserve">The draft variation </w:t>
      </w:r>
      <w:r w:rsidR="00AB59B1">
        <w:rPr>
          <w:lang w:bidi="ar-SA"/>
        </w:rPr>
        <w:t>permit</w:t>
      </w:r>
      <w:r w:rsidR="00826E7B">
        <w:rPr>
          <w:lang w:bidi="ar-SA"/>
        </w:rPr>
        <w:t>s</w:t>
      </w:r>
      <w:r w:rsidRPr="00CD1D9F">
        <w:rPr>
          <w:lang w:bidi="ar-SA"/>
        </w:rPr>
        <w:t xml:space="preserve"> both FSSF</w:t>
      </w:r>
      <w:r w:rsidR="00D2268B">
        <w:rPr>
          <w:lang w:bidi="ar-SA"/>
        </w:rPr>
        <w:t>s</w:t>
      </w:r>
      <w:r w:rsidRPr="00CD1D9F">
        <w:rPr>
          <w:lang w:bidi="ar-SA"/>
        </w:rPr>
        <w:t xml:space="preserve"> and ED</w:t>
      </w:r>
      <w:r w:rsidR="00D2268B">
        <w:rPr>
          <w:lang w:bidi="ar-SA"/>
        </w:rPr>
        <w:t>s</w:t>
      </w:r>
      <w:r w:rsidRPr="00CD1D9F">
        <w:rPr>
          <w:lang w:bidi="ar-SA"/>
        </w:rPr>
        <w:t xml:space="preserve"> to </w:t>
      </w:r>
      <w:r w:rsidR="00355473">
        <w:rPr>
          <w:lang w:bidi="ar-SA"/>
        </w:rPr>
        <w:t>carry</w:t>
      </w:r>
      <w:r w:rsidR="00355473" w:rsidRPr="00CD1D9F">
        <w:rPr>
          <w:lang w:bidi="ar-SA"/>
        </w:rPr>
        <w:t xml:space="preserve"> </w:t>
      </w:r>
      <w:r w:rsidRPr="00CD1D9F">
        <w:rPr>
          <w:lang w:bidi="ar-SA"/>
        </w:rPr>
        <w:t xml:space="preserve">health claims relating to their </w:t>
      </w:r>
      <w:r w:rsidR="00B04EFB">
        <w:rPr>
          <w:lang w:bidi="ar-SA"/>
        </w:rPr>
        <w:t xml:space="preserve">respective </w:t>
      </w:r>
      <w:r w:rsidRPr="00CD1D9F">
        <w:rPr>
          <w:lang w:bidi="ar-SA"/>
        </w:rPr>
        <w:t>purpos</w:t>
      </w:r>
      <w:r w:rsidR="00AB59B1">
        <w:rPr>
          <w:lang w:bidi="ar-SA"/>
        </w:rPr>
        <w:t>e</w:t>
      </w:r>
      <w:r w:rsidR="00021980">
        <w:rPr>
          <w:lang w:bidi="ar-SA"/>
        </w:rPr>
        <w:t>s</w:t>
      </w:r>
      <w:r w:rsidR="00782BA9">
        <w:rPr>
          <w:lang w:bidi="ar-SA"/>
        </w:rPr>
        <w:t xml:space="preserve"> </w:t>
      </w:r>
      <w:r w:rsidR="00AB59B1">
        <w:rPr>
          <w:lang w:bidi="ar-SA"/>
        </w:rPr>
        <w:t xml:space="preserve">i.e. </w:t>
      </w:r>
      <w:r w:rsidRPr="00CD1D9F">
        <w:rPr>
          <w:lang w:bidi="ar-SA"/>
        </w:rPr>
        <w:t>for FSSF</w:t>
      </w:r>
      <w:r w:rsidR="00564ABE">
        <w:rPr>
          <w:lang w:bidi="ar-SA"/>
        </w:rPr>
        <w:t>s</w:t>
      </w:r>
      <w:r w:rsidR="00B04EFB">
        <w:rPr>
          <w:lang w:bidi="ar-SA"/>
        </w:rPr>
        <w:t>,</w:t>
      </w:r>
      <w:r w:rsidRPr="00CD1D9F">
        <w:rPr>
          <w:lang w:bidi="ar-SA"/>
        </w:rPr>
        <w:t xml:space="preserve"> to </w:t>
      </w:r>
      <w:r w:rsidR="00A43AA5">
        <w:rPr>
          <w:lang w:bidi="ar-SA"/>
        </w:rPr>
        <w:t xml:space="preserve">assist </w:t>
      </w:r>
      <w:r w:rsidRPr="00CD1D9F">
        <w:rPr>
          <w:lang w:bidi="ar-SA"/>
        </w:rPr>
        <w:t xml:space="preserve">sports people </w:t>
      </w:r>
      <w:r w:rsidR="00782BA9">
        <w:rPr>
          <w:lang w:bidi="ar-SA"/>
        </w:rPr>
        <w:t xml:space="preserve">in </w:t>
      </w:r>
      <w:r w:rsidRPr="00CD1D9F">
        <w:rPr>
          <w:lang w:bidi="ar-SA"/>
        </w:rPr>
        <w:t>achiev</w:t>
      </w:r>
      <w:r w:rsidR="00782BA9">
        <w:rPr>
          <w:lang w:bidi="ar-SA"/>
        </w:rPr>
        <w:t>ing</w:t>
      </w:r>
      <w:r w:rsidRPr="00CD1D9F">
        <w:rPr>
          <w:lang w:bidi="ar-SA"/>
        </w:rPr>
        <w:t xml:space="preserve"> specific nutritional or performance goals</w:t>
      </w:r>
      <w:r w:rsidR="00B04EFB">
        <w:rPr>
          <w:lang w:bidi="ar-SA"/>
        </w:rPr>
        <w:t>;</w:t>
      </w:r>
      <w:r w:rsidRPr="00CD1D9F">
        <w:rPr>
          <w:lang w:bidi="ar-SA"/>
        </w:rPr>
        <w:t xml:space="preserve"> and for ED</w:t>
      </w:r>
      <w:r w:rsidR="00D2268B">
        <w:rPr>
          <w:lang w:bidi="ar-SA"/>
        </w:rPr>
        <w:t>s</w:t>
      </w:r>
      <w:r w:rsidR="00B04EFB">
        <w:rPr>
          <w:lang w:bidi="ar-SA"/>
        </w:rPr>
        <w:t>,</w:t>
      </w:r>
      <w:r w:rsidRPr="00CD1D9F">
        <w:rPr>
          <w:lang w:bidi="ar-SA"/>
        </w:rPr>
        <w:t xml:space="preserve"> </w:t>
      </w:r>
      <w:r w:rsidR="00782BA9">
        <w:rPr>
          <w:lang w:bidi="ar-SA"/>
        </w:rPr>
        <w:t>for the</w:t>
      </w:r>
      <w:r w:rsidRPr="00CD1D9F">
        <w:rPr>
          <w:lang w:bidi="ar-SA"/>
        </w:rPr>
        <w:t xml:space="preserve"> rapid replacement of fluid, carbohydrates </w:t>
      </w:r>
      <w:r>
        <w:rPr>
          <w:lang w:bidi="ar-SA"/>
        </w:rPr>
        <w:t xml:space="preserve">and </w:t>
      </w:r>
      <w:r w:rsidRPr="00CD1D9F">
        <w:rPr>
          <w:lang w:bidi="ar-SA"/>
        </w:rPr>
        <w:t>electrolytes</w:t>
      </w:r>
      <w:r>
        <w:rPr>
          <w:lang w:bidi="ar-SA"/>
        </w:rPr>
        <w:t xml:space="preserve"> lost as a result of sustained strenuous physical activity</w:t>
      </w:r>
      <w:r w:rsidRPr="00CD1D9F">
        <w:rPr>
          <w:lang w:bidi="ar-SA"/>
        </w:rPr>
        <w:t xml:space="preserve">. </w:t>
      </w:r>
      <w:r w:rsidRPr="00CD1D9F">
        <w:t xml:space="preserve">The </w:t>
      </w:r>
      <w:r w:rsidR="00782BA9">
        <w:t xml:space="preserve">health </w:t>
      </w:r>
      <w:r w:rsidRPr="00CD1D9F">
        <w:t>claims</w:t>
      </w:r>
      <w:r>
        <w:t xml:space="preserve"> already permitted </w:t>
      </w:r>
      <w:r w:rsidR="00782BA9">
        <w:t xml:space="preserve">by </w:t>
      </w:r>
      <w:r>
        <w:t xml:space="preserve">the Code </w:t>
      </w:r>
      <w:r w:rsidR="00782BA9">
        <w:t xml:space="preserve">in relation to these foods </w:t>
      </w:r>
      <w:r w:rsidR="00021980">
        <w:t>will remain</w:t>
      </w:r>
      <w:r w:rsidRPr="00CD1D9F">
        <w:t xml:space="preserve">. </w:t>
      </w:r>
      <w:r w:rsidR="00AB59B1">
        <w:t>S</w:t>
      </w:r>
      <w:r w:rsidRPr="00CD1D9F">
        <w:rPr>
          <w:lang w:bidi="ar-SA"/>
        </w:rPr>
        <w:t>ubstantiation requirements</w:t>
      </w:r>
      <w:r>
        <w:rPr>
          <w:lang w:bidi="ar-SA"/>
        </w:rPr>
        <w:t xml:space="preserve"> and other conditions for making health claims in</w:t>
      </w:r>
      <w:r w:rsidRPr="00CD1D9F">
        <w:rPr>
          <w:lang w:bidi="ar-SA"/>
        </w:rPr>
        <w:t xml:space="preserve"> Standard 1.2.7 will apply</w:t>
      </w:r>
      <w:r w:rsidR="00355D7F">
        <w:rPr>
          <w:lang w:bidi="ar-SA"/>
        </w:rPr>
        <w:t>. H</w:t>
      </w:r>
      <w:r w:rsidRPr="00CD1D9F">
        <w:rPr>
          <w:lang w:bidi="ar-SA"/>
        </w:rPr>
        <w:t xml:space="preserve">owever </w:t>
      </w:r>
      <w:r>
        <w:rPr>
          <w:lang w:bidi="ar-SA"/>
        </w:rPr>
        <w:t xml:space="preserve">the requirement to meet the </w:t>
      </w:r>
      <w:r w:rsidR="00090568">
        <w:rPr>
          <w:lang w:bidi="ar-SA"/>
        </w:rPr>
        <w:t xml:space="preserve">nutrient profile scoring </w:t>
      </w:r>
      <w:r w:rsidR="0012529A">
        <w:rPr>
          <w:lang w:bidi="ar-SA"/>
        </w:rPr>
        <w:t>criterion (</w:t>
      </w:r>
      <w:r w:rsidRPr="00CD1D9F">
        <w:rPr>
          <w:lang w:bidi="ar-SA"/>
        </w:rPr>
        <w:t>NPSC</w:t>
      </w:r>
      <w:r w:rsidR="0012529A">
        <w:rPr>
          <w:lang w:bidi="ar-SA"/>
        </w:rPr>
        <w:t>)</w:t>
      </w:r>
      <w:r>
        <w:rPr>
          <w:lang w:bidi="ar-SA"/>
        </w:rPr>
        <w:t xml:space="preserve"> </w:t>
      </w:r>
      <w:r w:rsidR="00355D7F">
        <w:rPr>
          <w:lang w:bidi="ar-SA"/>
        </w:rPr>
        <w:t xml:space="preserve">does </w:t>
      </w:r>
      <w:r>
        <w:rPr>
          <w:lang w:bidi="ar-SA"/>
        </w:rPr>
        <w:t xml:space="preserve">not </w:t>
      </w:r>
      <w:r w:rsidR="00994EAA">
        <w:rPr>
          <w:lang w:bidi="ar-SA"/>
        </w:rPr>
        <w:t>apply</w:t>
      </w:r>
      <w:r>
        <w:rPr>
          <w:lang w:bidi="ar-SA"/>
        </w:rPr>
        <w:t>, in keeping with the existing arrangements in Standard 1.2.7</w:t>
      </w:r>
      <w:r w:rsidR="004170E2">
        <w:rPr>
          <w:lang w:bidi="ar-SA"/>
        </w:rPr>
        <w:t xml:space="preserve"> i.e. foods standardised in Part 2.9 of the Code do not ne</w:t>
      </w:r>
      <w:r w:rsidR="00222D8A">
        <w:rPr>
          <w:lang w:bidi="ar-SA"/>
        </w:rPr>
        <w:t>e</w:t>
      </w:r>
      <w:r w:rsidR="004170E2">
        <w:rPr>
          <w:lang w:bidi="ar-SA"/>
        </w:rPr>
        <w:t>d to meet the NPSC</w:t>
      </w:r>
      <w:r w:rsidR="00076E21">
        <w:rPr>
          <w:lang w:bidi="ar-SA"/>
        </w:rPr>
        <w:t xml:space="preserve"> when </w:t>
      </w:r>
      <w:r w:rsidR="00021980">
        <w:rPr>
          <w:lang w:bidi="ar-SA"/>
        </w:rPr>
        <w:t xml:space="preserve">carrying </w:t>
      </w:r>
      <w:r w:rsidR="00076E21">
        <w:rPr>
          <w:lang w:bidi="ar-SA"/>
        </w:rPr>
        <w:t>a health claim</w:t>
      </w:r>
      <w:r w:rsidR="004170E2">
        <w:rPr>
          <w:lang w:bidi="ar-SA"/>
        </w:rPr>
        <w:t>.</w:t>
      </w:r>
      <w:r>
        <w:rPr>
          <w:lang w:bidi="ar-SA"/>
        </w:rPr>
        <w:t xml:space="preserve"> </w:t>
      </w:r>
    </w:p>
    <w:p w:rsidR="00437B0C" w:rsidRDefault="00437B0C" w:rsidP="007467D7">
      <w:pPr>
        <w:widowControl/>
        <w:rPr>
          <w:rFonts w:cs="Arial"/>
        </w:rPr>
      </w:pPr>
    </w:p>
    <w:p w:rsidR="00437B0C" w:rsidRDefault="00437B0C" w:rsidP="007467D7">
      <w:pPr>
        <w:widowControl/>
        <w:rPr>
          <w:rFonts w:cs="Arial"/>
        </w:rPr>
      </w:pPr>
      <w:r>
        <w:rPr>
          <w:rFonts w:cs="Arial"/>
        </w:rPr>
        <w:t xml:space="preserve">The draft variation also proposes </w:t>
      </w:r>
      <w:r w:rsidR="00AB59B1">
        <w:rPr>
          <w:rFonts w:cs="Arial"/>
        </w:rPr>
        <w:t>transferring the</w:t>
      </w:r>
      <w:r>
        <w:rPr>
          <w:rFonts w:cs="Arial"/>
        </w:rPr>
        <w:t xml:space="preserve"> regulation of ED</w:t>
      </w:r>
      <w:r w:rsidR="00D2268B">
        <w:rPr>
          <w:rFonts w:cs="Arial"/>
        </w:rPr>
        <w:t>s</w:t>
      </w:r>
      <w:r>
        <w:rPr>
          <w:rFonts w:cs="Arial"/>
        </w:rPr>
        <w:t xml:space="preserve"> from Standard 2.6.2 to Standard 2.9.4. </w:t>
      </w:r>
      <w:r>
        <w:t xml:space="preserve">This </w:t>
      </w:r>
      <w:r w:rsidR="00AB59B1">
        <w:t>recognises</w:t>
      </w:r>
      <w:r>
        <w:t xml:space="preserve"> the purpose of</w:t>
      </w:r>
      <w:r w:rsidR="0035277F">
        <w:t xml:space="preserve"> </w:t>
      </w:r>
      <w:r>
        <w:t>ED</w:t>
      </w:r>
      <w:r w:rsidR="00D2268B">
        <w:t>s</w:t>
      </w:r>
      <w:r>
        <w:t xml:space="preserve"> as food</w:t>
      </w:r>
      <w:r w:rsidR="00F648AD">
        <w:t>s</w:t>
      </w:r>
      <w:r>
        <w:t xml:space="preserve"> specifically formulated for strenuous physical activity, rather than </w:t>
      </w:r>
      <w:r w:rsidR="00E940F0">
        <w:t xml:space="preserve">as </w:t>
      </w:r>
      <w:r>
        <w:t>lifestyle product</w:t>
      </w:r>
      <w:r w:rsidR="00F648AD">
        <w:t>s</w:t>
      </w:r>
      <w:r>
        <w:t xml:space="preserve"> not specifically formulated for </w:t>
      </w:r>
      <w:r w:rsidR="001A1F56">
        <w:t>sports people</w:t>
      </w:r>
      <w:r w:rsidR="005D46CF">
        <w:t>. This approach is</w:t>
      </w:r>
      <w:r>
        <w:t xml:space="preserve"> consistent with feedback from previous targeted stakeholder consultation and the </w:t>
      </w:r>
      <w:r w:rsidR="00B04EFB">
        <w:t xml:space="preserve">findings </w:t>
      </w:r>
      <w:r>
        <w:t>of FSANZ consumer research</w:t>
      </w:r>
      <w:r w:rsidR="00AB4651">
        <w:t>.</w:t>
      </w:r>
    </w:p>
    <w:p w:rsidR="00437B0C" w:rsidRDefault="00437B0C" w:rsidP="007467D7">
      <w:pPr>
        <w:widowControl/>
        <w:rPr>
          <w:rFonts w:cs="Arial"/>
        </w:rPr>
      </w:pPr>
    </w:p>
    <w:p w:rsidR="000A09EE" w:rsidRPr="00A14E1B" w:rsidRDefault="000A09EE" w:rsidP="000A09EE">
      <w:pPr>
        <w:widowControl/>
      </w:pPr>
      <w:bookmarkStart w:id="9" w:name="_Toc286391003"/>
      <w:r>
        <w:t xml:space="preserve">The current definition of </w:t>
      </w:r>
      <w:r w:rsidR="00386947">
        <w:t xml:space="preserve">an </w:t>
      </w:r>
      <w:r>
        <w:t xml:space="preserve">ED is </w:t>
      </w:r>
      <w:r w:rsidRPr="002A65C0">
        <w:t xml:space="preserve">a </w:t>
      </w:r>
      <w:r w:rsidRPr="005E2B6C">
        <w:rPr>
          <w:i/>
        </w:rPr>
        <w:t>drink formulated and represented as suitable for the rapid replacement of fluid, carbohydrates, electrolytes and minerals</w:t>
      </w:r>
      <w:r>
        <w:rPr>
          <w:i/>
        </w:rPr>
        <w:t xml:space="preserve">. </w:t>
      </w:r>
      <w:r>
        <w:t xml:space="preserve">The draft variation proposes to change the definition by removing the reference to minerals because there is no mandatory compositional requirement to include minerals, other than sodium, which can be considered a mineral or an electrolyte. Also, it proposes to remove the need </w:t>
      </w:r>
      <w:r w:rsidR="00C25770">
        <w:t xml:space="preserve">for EDs </w:t>
      </w:r>
      <w:r>
        <w:t>to be ‘represented as’</w:t>
      </w:r>
      <w:r w:rsidR="00C25770">
        <w:t>. This is proposed to be replaced</w:t>
      </w:r>
      <w:r>
        <w:t xml:space="preserve"> by </w:t>
      </w:r>
      <w:r w:rsidR="00C25770">
        <w:t>a</w:t>
      </w:r>
      <w:r>
        <w:t xml:space="preserve"> new requirement for a prescribed name – ‘</w:t>
      </w:r>
      <w:r w:rsidRPr="00CD1D9F">
        <w:t>electrolyte drink</w:t>
      </w:r>
      <w:r>
        <w:t>’</w:t>
      </w:r>
      <w:r w:rsidRPr="00363435">
        <w:t xml:space="preserve"> </w:t>
      </w:r>
      <w:r>
        <w:t>which will</w:t>
      </w:r>
      <w:r w:rsidRPr="00CD1D9F">
        <w:t xml:space="preserve"> </w:t>
      </w:r>
      <w:r>
        <w:t xml:space="preserve">help </w:t>
      </w:r>
      <w:r w:rsidRPr="00CD1D9F">
        <w:t>enforcement agencies identify these products</w:t>
      </w:r>
      <w:r>
        <w:t xml:space="preserve">. </w:t>
      </w:r>
    </w:p>
    <w:p w:rsidR="00EF4916" w:rsidRDefault="00EF4916" w:rsidP="00EF4916">
      <w:pPr>
        <w:widowControl/>
        <w:rPr>
          <w:i/>
        </w:rPr>
      </w:pPr>
    </w:p>
    <w:p w:rsidR="00C36781" w:rsidRPr="00CD1D9F" w:rsidRDefault="00021980" w:rsidP="00EF4916">
      <w:pPr>
        <w:widowControl/>
      </w:pPr>
      <w:r>
        <w:t>Changes are also proposed</w:t>
      </w:r>
      <w:r w:rsidR="00EF4916">
        <w:t xml:space="preserve"> to the way compositional requirements for FSSFs and EDs are presented in the Code but </w:t>
      </w:r>
      <w:r>
        <w:t xml:space="preserve">the actual </w:t>
      </w:r>
      <w:r w:rsidR="00CD1D9F" w:rsidRPr="00CD1D9F">
        <w:t>compositional permissions</w:t>
      </w:r>
      <w:r w:rsidR="005F3F5F">
        <w:t xml:space="preserve"> and requirements</w:t>
      </w:r>
      <w:r>
        <w:t xml:space="preserve"> have not changed.</w:t>
      </w:r>
      <w:r w:rsidR="00CD1D9F" w:rsidRPr="00CD1D9F">
        <w:t xml:space="preserve"> </w:t>
      </w:r>
    </w:p>
    <w:p w:rsidR="0053464E" w:rsidRDefault="0053464E" w:rsidP="007467D7">
      <w:pPr>
        <w:widowControl/>
      </w:pPr>
      <w:r>
        <w:br w:type="page"/>
      </w:r>
    </w:p>
    <w:p w:rsidR="002A5F8B" w:rsidRPr="000B6AF2" w:rsidRDefault="00F33BB8" w:rsidP="007467D7">
      <w:pPr>
        <w:pStyle w:val="Heading1"/>
        <w:widowControl/>
      </w:pPr>
      <w:bookmarkStart w:id="10" w:name="_Toc300933417"/>
      <w:bookmarkStart w:id="11" w:name="_Toc395775003"/>
      <w:r>
        <w:lastRenderedPageBreak/>
        <w:t>1</w:t>
      </w:r>
      <w:r w:rsidR="001542D8">
        <w:tab/>
      </w:r>
      <w:r w:rsidR="002A5F8B" w:rsidRPr="000B6AF2">
        <w:t>Introduction</w:t>
      </w:r>
      <w:bookmarkEnd w:id="9"/>
      <w:bookmarkEnd w:id="10"/>
      <w:bookmarkEnd w:id="11"/>
    </w:p>
    <w:p w:rsidR="0053464E" w:rsidRPr="0053464E" w:rsidRDefault="003561A9" w:rsidP="00386947">
      <w:pPr>
        <w:pStyle w:val="Heading2"/>
      </w:pPr>
      <w:bookmarkStart w:id="12" w:name="_Toc300761891"/>
      <w:bookmarkStart w:id="13" w:name="_Toc300933420"/>
      <w:bookmarkStart w:id="14" w:name="_Toc395775004"/>
      <w:r>
        <w:t>1.</w:t>
      </w:r>
      <w:r w:rsidR="00A729A7">
        <w:t>1</w:t>
      </w:r>
      <w:r>
        <w:tab/>
      </w:r>
      <w:r w:rsidR="0053464E" w:rsidRPr="0053464E">
        <w:t xml:space="preserve">The </w:t>
      </w:r>
      <w:bookmarkEnd w:id="12"/>
      <w:r w:rsidR="00256D65" w:rsidRPr="00EF6193">
        <w:t>Proposal</w:t>
      </w:r>
      <w:bookmarkEnd w:id="13"/>
      <w:bookmarkEnd w:id="14"/>
    </w:p>
    <w:p w:rsidR="00960BCF" w:rsidRDefault="005E2043" w:rsidP="007467D7">
      <w:pPr>
        <w:widowControl/>
      </w:pPr>
      <w:bookmarkStart w:id="15" w:name="_Toc300761892"/>
      <w:bookmarkStart w:id="16" w:name="_Toc300933421"/>
      <w:r>
        <w:t>The Proposal was prepared t</w:t>
      </w:r>
      <w:r w:rsidRPr="00E857BA">
        <w:t>o</w:t>
      </w:r>
      <w:r w:rsidR="00960BCF">
        <w:t>:</w:t>
      </w:r>
    </w:p>
    <w:p w:rsidR="00B93B9B" w:rsidRDefault="00B93B9B" w:rsidP="007467D7">
      <w:pPr>
        <w:widowControl/>
      </w:pPr>
    </w:p>
    <w:p w:rsidR="00960BCF" w:rsidRDefault="00866B9D" w:rsidP="00386947">
      <w:pPr>
        <w:pStyle w:val="FSBullet1"/>
      </w:pPr>
      <w:r w:rsidRPr="00064DD6">
        <w:t xml:space="preserve">permit </w:t>
      </w:r>
      <w:r w:rsidR="00B41C75" w:rsidRPr="002A65C0">
        <w:t>formulated supplementary sports foods (FSSF</w:t>
      </w:r>
      <w:r w:rsidR="00B41C75">
        <w:t>s</w:t>
      </w:r>
      <w:r w:rsidR="00B41C75" w:rsidRPr="002A65C0">
        <w:t>)</w:t>
      </w:r>
      <w:r w:rsidR="00960BCF">
        <w:t>,</w:t>
      </w:r>
      <w:r w:rsidR="00E57882">
        <w:t xml:space="preserve"> </w:t>
      </w:r>
      <w:r w:rsidR="00B41C75">
        <w:t>electrolyte drinks and electrolyte drink bases (</w:t>
      </w:r>
      <w:r w:rsidR="00B41C75" w:rsidRPr="002A65C0">
        <w:t>ED</w:t>
      </w:r>
      <w:r w:rsidR="00B41C75">
        <w:t>s)</w:t>
      </w:r>
      <w:r w:rsidRPr="00064DD6">
        <w:t xml:space="preserve"> to carry</w:t>
      </w:r>
      <w:r>
        <w:t xml:space="preserve"> </w:t>
      </w:r>
      <w:r w:rsidRPr="00064DD6">
        <w:t xml:space="preserve">health claims </w:t>
      </w:r>
      <w:r>
        <w:t>consistent with their</w:t>
      </w:r>
      <w:r w:rsidR="00EC3755">
        <w:t xml:space="preserve"> respective</w:t>
      </w:r>
      <w:r>
        <w:t xml:space="preserve"> </w:t>
      </w:r>
      <w:r w:rsidR="00CB3ADB">
        <w:t>intended</w:t>
      </w:r>
      <w:r w:rsidR="00AF6302">
        <w:t xml:space="preserve"> </w:t>
      </w:r>
      <w:r>
        <w:t xml:space="preserve">purpose and in </w:t>
      </w:r>
      <w:r w:rsidRPr="0068498D">
        <w:t xml:space="preserve">accordance with Standard 1.2.7 </w:t>
      </w:r>
      <w:r>
        <w:t>– Nutrition, Health and Related Claims</w:t>
      </w:r>
    </w:p>
    <w:p w:rsidR="0020330C" w:rsidRDefault="00D91D0D" w:rsidP="00386947">
      <w:pPr>
        <w:pStyle w:val="FSBullet1"/>
      </w:pPr>
      <w:proofErr w:type="gramStart"/>
      <w:r>
        <w:t>transfer</w:t>
      </w:r>
      <w:proofErr w:type="gramEnd"/>
      <w:r>
        <w:t xml:space="preserve"> the regulation of ED</w:t>
      </w:r>
      <w:r w:rsidR="00F648AD">
        <w:t>s</w:t>
      </w:r>
      <w:r w:rsidR="005F3F5F">
        <w:t xml:space="preserve"> from</w:t>
      </w:r>
      <w:r>
        <w:t xml:space="preserve"> </w:t>
      </w:r>
      <w:r w:rsidR="005F3F5F" w:rsidRPr="005F3F5F">
        <w:t>Standard 2.6.2</w:t>
      </w:r>
      <w:r w:rsidR="001154FE">
        <w:t xml:space="preserve"> – </w:t>
      </w:r>
      <w:r w:rsidR="001A1F56">
        <w:t>Non</w:t>
      </w:r>
      <w:r w:rsidR="000408E6">
        <w:t>-</w:t>
      </w:r>
      <w:r w:rsidR="001A1F56">
        <w:t xml:space="preserve">Alcoholic Beverages and Brewed Soft Drinks </w:t>
      </w:r>
      <w:r>
        <w:t>to Standard 2.9.4</w:t>
      </w:r>
      <w:r w:rsidR="001154FE">
        <w:t xml:space="preserve"> – </w:t>
      </w:r>
      <w:r w:rsidR="001A1F56">
        <w:t>Formulated Supplementary Sports Foods</w:t>
      </w:r>
      <w:r w:rsidR="00C01690">
        <w:t>.</w:t>
      </w:r>
      <w:r w:rsidR="003A188C">
        <w:t xml:space="preserve"> </w:t>
      </w:r>
    </w:p>
    <w:p w:rsidR="00EF6193" w:rsidRPr="00064DD6" w:rsidRDefault="00EF6193" w:rsidP="007467D7">
      <w:pPr>
        <w:pStyle w:val="FSBullet"/>
        <w:widowControl/>
        <w:numPr>
          <w:ilvl w:val="0"/>
          <w:numId w:val="0"/>
        </w:numPr>
        <w:ind w:left="567"/>
      </w:pPr>
    </w:p>
    <w:p w:rsidR="0020330C" w:rsidRPr="0020330C" w:rsidRDefault="00ED6194" w:rsidP="007467D7">
      <w:pPr>
        <w:widowControl/>
      </w:pPr>
      <w:r>
        <w:t>T</w:t>
      </w:r>
      <w:r w:rsidR="0020330C">
        <w:t xml:space="preserve">his </w:t>
      </w:r>
      <w:r w:rsidR="00370E8F">
        <w:t xml:space="preserve">Proposal </w:t>
      </w:r>
      <w:r w:rsidR="0020330C">
        <w:t xml:space="preserve">aims to deliver an interim arrangement pending the </w:t>
      </w:r>
      <w:r w:rsidR="001154FE">
        <w:t xml:space="preserve">future </w:t>
      </w:r>
      <w:r w:rsidR="0020330C">
        <w:t>review of Standard</w:t>
      </w:r>
      <w:r w:rsidR="001154FE">
        <w:t xml:space="preserve"> 2.9.4</w:t>
      </w:r>
      <w:r w:rsidR="0020330C" w:rsidRPr="0020330C">
        <w:t>.</w:t>
      </w:r>
    </w:p>
    <w:p w:rsidR="00A729A7" w:rsidRPr="00046B7F" w:rsidRDefault="00A729A7" w:rsidP="007467D7">
      <w:pPr>
        <w:pStyle w:val="Heading2"/>
        <w:widowControl/>
        <w:rPr>
          <w:u w:color="FFFF00"/>
        </w:rPr>
      </w:pPr>
      <w:bookmarkStart w:id="17" w:name="_Toc395775005"/>
      <w:r w:rsidRPr="00046B7F">
        <w:rPr>
          <w:u w:color="FFFF00"/>
        </w:rPr>
        <w:t>1.</w:t>
      </w:r>
      <w:r>
        <w:rPr>
          <w:u w:color="FFFF00"/>
        </w:rPr>
        <w:t>2</w:t>
      </w:r>
      <w:r w:rsidRPr="00046B7F">
        <w:rPr>
          <w:u w:color="FFFF00"/>
        </w:rPr>
        <w:tab/>
        <w:t xml:space="preserve">Reasons for </w:t>
      </w:r>
      <w:r w:rsidRPr="00046B7F">
        <w:t>preparing the Proposal</w:t>
      </w:r>
      <w:bookmarkEnd w:id="17"/>
    </w:p>
    <w:p w:rsidR="00A729A7" w:rsidRDefault="001154FE" w:rsidP="007467D7">
      <w:pPr>
        <w:widowControl/>
      </w:pPr>
      <w:r>
        <w:t xml:space="preserve">FSSFs and </w:t>
      </w:r>
      <w:r w:rsidR="00A729A7">
        <w:t xml:space="preserve">EDs </w:t>
      </w:r>
      <w:r w:rsidR="000408E6">
        <w:t xml:space="preserve">each </w:t>
      </w:r>
      <w:r w:rsidR="0021780E">
        <w:t xml:space="preserve">have a prescribed composition to achieve </w:t>
      </w:r>
      <w:r w:rsidR="00A729A7">
        <w:t>a</w:t>
      </w:r>
      <w:r w:rsidR="00D52C4A">
        <w:t>n intended</w:t>
      </w:r>
      <w:r w:rsidR="00A729A7">
        <w:t xml:space="preserve"> </w:t>
      </w:r>
      <w:r w:rsidR="00A729A7" w:rsidRPr="001A1F56">
        <w:t>purpose</w:t>
      </w:r>
      <w:r w:rsidRPr="001A1F56">
        <w:t xml:space="preserve"> which </w:t>
      </w:r>
      <w:r w:rsidR="00370E8F" w:rsidRPr="001A1F56">
        <w:t>is</w:t>
      </w:r>
      <w:r w:rsidRPr="001A1F56">
        <w:t xml:space="preserve"> related to exercise or physical performance</w:t>
      </w:r>
      <w:r w:rsidR="0021780E" w:rsidRPr="001A1F56">
        <w:t>.</w:t>
      </w:r>
      <w:r w:rsidR="0021780E">
        <w:t xml:space="preserve"> </w:t>
      </w:r>
      <w:r w:rsidR="00A729A7">
        <w:t xml:space="preserve">With the introduction of Standard 1.2.7, </w:t>
      </w:r>
      <w:r w:rsidR="00E57882">
        <w:t xml:space="preserve">most </w:t>
      </w:r>
      <w:r w:rsidR="00A729A7">
        <w:t>foods can carry health claims</w:t>
      </w:r>
      <w:r w:rsidR="00F73180">
        <w:t xml:space="preserve">, including claims about physical performance, </w:t>
      </w:r>
      <w:r w:rsidR="00A729A7">
        <w:t>providing certain claim criteria are met</w:t>
      </w:r>
      <w:r w:rsidR="00F73180">
        <w:t xml:space="preserve">. </w:t>
      </w:r>
      <w:r>
        <w:t>However,</w:t>
      </w:r>
      <w:r w:rsidR="00A729A7">
        <w:t xml:space="preserve"> apart from </w:t>
      </w:r>
      <w:r w:rsidR="00F73180">
        <w:t>a few</w:t>
      </w:r>
      <w:r w:rsidR="00A729A7">
        <w:t xml:space="preserve"> </w:t>
      </w:r>
      <w:r w:rsidR="00EF7272">
        <w:t xml:space="preserve">limited </w:t>
      </w:r>
      <w:r w:rsidR="00A729A7">
        <w:t xml:space="preserve">claims </w:t>
      </w:r>
      <w:r w:rsidR="00F73180">
        <w:t xml:space="preserve">already permitted </w:t>
      </w:r>
      <w:r w:rsidR="00A729A7">
        <w:t>in Standard 2.9.4 and Standard 2.6.2, FSSFs and most EDs are not able to carry health claims consistent with their</w:t>
      </w:r>
      <w:r w:rsidR="000408E6">
        <w:t xml:space="preserve"> respective</w:t>
      </w:r>
      <w:r w:rsidR="00A729A7">
        <w:t xml:space="preserve"> intended purpose</w:t>
      </w:r>
      <w:r w:rsidR="0021780E">
        <w:t xml:space="preserve">. </w:t>
      </w:r>
      <w:r w:rsidR="00EF7272">
        <w:t xml:space="preserve">This </w:t>
      </w:r>
      <w:r>
        <w:t xml:space="preserve">Proposal </w:t>
      </w:r>
      <w:r w:rsidR="00ED6194">
        <w:t xml:space="preserve">addresses this anomaly. </w:t>
      </w:r>
    </w:p>
    <w:p w:rsidR="0053464E" w:rsidRPr="0053464E" w:rsidRDefault="00F33BB8" w:rsidP="007467D7">
      <w:pPr>
        <w:pStyle w:val="Heading2"/>
        <w:widowControl/>
      </w:pPr>
      <w:bookmarkStart w:id="18" w:name="_Toc395775006"/>
      <w:r>
        <w:t>1</w:t>
      </w:r>
      <w:r w:rsidR="00A56E34">
        <w:t>.</w:t>
      </w:r>
      <w:r w:rsidR="003561A9">
        <w:t>3</w:t>
      </w:r>
      <w:r w:rsidR="00A56E34">
        <w:tab/>
        <w:t>The c</w:t>
      </w:r>
      <w:r w:rsidR="0053464E" w:rsidRPr="0053464E">
        <w:t>urrent Standard</w:t>
      </w:r>
      <w:bookmarkEnd w:id="15"/>
      <w:bookmarkEnd w:id="16"/>
      <w:r w:rsidR="00A35392">
        <w:t>s</w:t>
      </w:r>
      <w:bookmarkEnd w:id="18"/>
    </w:p>
    <w:p w:rsidR="002802FB" w:rsidRDefault="00A35392" w:rsidP="007467D7">
      <w:pPr>
        <w:widowControl/>
        <w:rPr>
          <w:rFonts w:cs="Arial"/>
        </w:rPr>
      </w:pPr>
      <w:bookmarkStart w:id="19" w:name="_Toc286391007"/>
      <w:bookmarkStart w:id="20" w:name="_Toc300933423"/>
      <w:bookmarkStart w:id="21" w:name="_Toc175381432"/>
      <w:r w:rsidRPr="00A43FE2">
        <w:rPr>
          <w:rFonts w:cs="Arial"/>
        </w:rPr>
        <w:t>Standard 1.2.</w:t>
      </w:r>
      <w:r w:rsidRPr="005C0244">
        <w:rPr>
          <w:rFonts w:cs="Arial"/>
        </w:rPr>
        <w:t xml:space="preserve">7 </w:t>
      </w:r>
      <w:r w:rsidRPr="00A43FE2">
        <w:rPr>
          <w:rFonts w:cs="Arial"/>
        </w:rPr>
        <w:t xml:space="preserve">regulates </w:t>
      </w:r>
      <w:r w:rsidR="00D56891">
        <w:rPr>
          <w:rFonts w:cs="Arial"/>
        </w:rPr>
        <w:t xml:space="preserve">the conditions under which </w:t>
      </w:r>
      <w:r w:rsidRPr="00A43FE2">
        <w:rPr>
          <w:rFonts w:cs="Arial"/>
        </w:rPr>
        <w:t>nutrition</w:t>
      </w:r>
      <w:r w:rsidR="002D6697">
        <w:rPr>
          <w:rFonts w:cs="Arial"/>
        </w:rPr>
        <w:t xml:space="preserve"> content and</w:t>
      </w:r>
      <w:r w:rsidRPr="00A43FE2">
        <w:rPr>
          <w:rFonts w:cs="Arial"/>
        </w:rPr>
        <w:t xml:space="preserve"> health claims</w:t>
      </w:r>
      <w:r w:rsidR="002802FB">
        <w:rPr>
          <w:rFonts w:cs="Arial"/>
        </w:rPr>
        <w:t xml:space="preserve"> on foods</w:t>
      </w:r>
      <w:r w:rsidRPr="00A43FE2">
        <w:rPr>
          <w:rFonts w:cs="Arial"/>
        </w:rPr>
        <w:t xml:space="preserve"> can be made</w:t>
      </w:r>
      <w:r w:rsidR="00E57882">
        <w:rPr>
          <w:rFonts w:cs="Arial"/>
        </w:rPr>
        <w:t>,</w:t>
      </w:r>
      <w:r w:rsidR="008302E9">
        <w:rPr>
          <w:rFonts w:cs="Arial"/>
        </w:rPr>
        <w:t xml:space="preserve"> </w:t>
      </w:r>
      <w:r w:rsidR="00D56891">
        <w:rPr>
          <w:rFonts w:cs="Arial"/>
        </w:rPr>
        <w:t xml:space="preserve">including requirements for self-substantiating food-health relationships </w:t>
      </w:r>
      <w:r w:rsidR="001154FE">
        <w:rPr>
          <w:rFonts w:cs="Arial"/>
        </w:rPr>
        <w:t xml:space="preserve">that </w:t>
      </w:r>
      <w:r w:rsidR="005F3F5F">
        <w:rPr>
          <w:rFonts w:cs="Arial"/>
        </w:rPr>
        <w:t xml:space="preserve">underpin </w:t>
      </w:r>
      <w:r w:rsidR="00D56891">
        <w:rPr>
          <w:rFonts w:cs="Arial"/>
        </w:rPr>
        <w:t>general level health claims</w:t>
      </w:r>
      <w:r w:rsidR="00960BCF">
        <w:rPr>
          <w:rFonts w:cs="Arial"/>
        </w:rPr>
        <w:t xml:space="preserve"> (GLHC)</w:t>
      </w:r>
      <w:r w:rsidR="00D56891">
        <w:rPr>
          <w:rFonts w:cs="Arial"/>
        </w:rPr>
        <w:t xml:space="preserve"> and </w:t>
      </w:r>
      <w:r w:rsidR="001154FE">
        <w:rPr>
          <w:rFonts w:cs="Arial"/>
        </w:rPr>
        <w:t>the need for a food to</w:t>
      </w:r>
      <w:r w:rsidRPr="00A43FE2">
        <w:rPr>
          <w:rFonts w:cs="Arial"/>
        </w:rPr>
        <w:t xml:space="preserve"> meet </w:t>
      </w:r>
      <w:r w:rsidR="005F3F5F">
        <w:rPr>
          <w:rFonts w:cs="Arial"/>
        </w:rPr>
        <w:t xml:space="preserve">the </w:t>
      </w:r>
      <w:r w:rsidR="00F648AD">
        <w:rPr>
          <w:rFonts w:cs="Arial"/>
        </w:rPr>
        <w:t>nutrient profiling scoring criterion (</w:t>
      </w:r>
      <w:r w:rsidRPr="00A43FE2">
        <w:rPr>
          <w:rFonts w:cs="Arial"/>
        </w:rPr>
        <w:t>NPSC</w:t>
      </w:r>
      <w:r w:rsidR="00F648AD">
        <w:rPr>
          <w:rFonts w:cs="Arial"/>
        </w:rPr>
        <w:t>)</w:t>
      </w:r>
      <w:r w:rsidRPr="00A43FE2">
        <w:rPr>
          <w:rFonts w:cs="Arial"/>
        </w:rPr>
        <w:t xml:space="preserve"> </w:t>
      </w:r>
      <w:r w:rsidR="002B6C2D">
        <w:rPr>
          <w:rFonts w:cs="Arial"/>
        </w:rPr>
        <w:t>to be eligible to carry a health claim</w:t>
      </w:r>
      <w:r w:rsidRPr="00A43FE2">
        <w:rPr>
          <w:rFonts w:cs="Arial"/>
        </w:rPr>
        <w:t xml:space="preserve">. </w:t>
      </w:r>
    </w:p>
    <w:p w:rsidR="00C36AFC" w:rsidRDefault="00C36AFC" w:rsidP="007467D7">
      <w:pPr>
        <w:widowControl/>
        <w:rPr>
          <w:rFonts w:cs="Arial"/>
        </w:rPr>
      </w:pPr>
    </w:p>
    <w:p w:rsidR="00007F59" w:rsidRDefault="00800ED4" w:rsidP="007467D7">
      <w:pPr>
        <w:widowControl/>
        <w:rPr>
          <w:rFonts w:cs="Arial"/>
        </w:rPr>
      </w:pPr>
      <w:r w:rsidRPr="002A65C0">
        <w:rPr>
          <w:rFonts w:cs="Arial"/>
        </w:rPr>
        <w:t xml:space="preserve">Standard 1.2.7 does not apply to claims expressly permitted elsewhere in the Code. </w:t>
      </w:r>
      <w:r>
        <w:rPr>
          <w:rFonts w:cs="Arial"/>
        </w:rPr>
        <w:t>In addition, s</w:t>
      </w:r>
      <w:r w:rsidR="00D56891">
        <w:rPr>
          <w:rFonts w:cs="Arial"/>
        </w:rPr>
        <w:t>ubclause 17(5) of Standard</w:t>
      </w:r>
      <w:r w:rsidR="00FB1FEF">
        <w:rPr>
          <w:rFonts w:cs="Arial"/>
        </w:rPr>
        <w:t xml:space="preserve"> 1.2.7</w:t>
      </w:r>
      <w:r w:rsidR="00D56891">
        <w:rPr>
          <w:rFonts w:cs="Arial"/>
        </w:rPr>
        <w:t xml:space="preserve"> states that </w:t>
      </w:r>
      <w:r w:rsidR="004F7104" w:rsidRPr="00940E9B">
        <w:rPr>
          <w:rFonts w:cs="Arial"/>
          <w:i/>
        </w:rPr>
        <w:t xml:space="preserve">a </w:t>
      </w:r>
      <w:r w:rsidR="00D56891" w:rsidRPr="00940E9B">
        <w:rPr>
          <w:rFonts w:cs="Arial"/>
          <w:i/>
        </w:rPr>
        <w:t>food that is standardised in Part 2.9 of this Code does not need to meet the NPSC</w:t>
      </w:r>
      <w:r w:rsidR="00D56891" w:rsidRPr="002A65C0">
        <w:rPr>
          <w:rFonts w:cs="Arial"/>
        </w:rPr>
        <w:t xml:space="preserve"> </w:t>
      </w:r>
      <w:r w:rsidR="000D504F">
        <w:rPr>
          <w:rFonts w:cs="Arial"/>
        </w:rPr>
        <w:t xml:space="preserve">when making a health claim. </w:t>
      </w:r>
      <w:r w:rsidR="00D56891" w:rsidRPr="002A65C0">
        <w:rPr>
          <w:rFonts w:cs="Arial"/>
        </w:rPr>
        <w:t xml:space="preserve">The transition period for </w:t>
      </w:r>
      <w:r w:rsidR="00A35392" w:rsidRPr="002A65C0">
        <w:rPr>
          <w:rFonts w:cs="Arial"/>
        </w:rPr>
        <w:t xml:space="preserve">Standard 1.2.7 </w:t>
      </w:r>
      <w:r w:rsidR="00D56891" w:rsidRPr="002A65C0">
        <w:rPr>
          <w:rFonts w:cs="Arial"/>
        </w:rPr>
        <w:t>ends</w:t>
      </w:r>
      <w:r w:rsidR="008302E9" w:rsidRPr="002A65C0">
        <w:rPr>
          <w:rFonts w:cs="Arial"/>
        </w:rPr>
        <w:t xml:space="preserve"> in </w:t>
      </w:r>
      <w:r w:rsidR="00A35392" w:rsidRPr="002A65C0">
        <w:rPr>
          <w:rFonts w:cs="Arial"/>
        </w:rPr>
        <w:t xml:space="preserve">January 2016. </w:t>
      </w:r>
      <w:r w:rsidR="005F3F5F">
        <w:rPr>
          <w:rFonts w:cs="Arial"/>
        </w:rPr>
        <w:t>During th</w:t>
      </w:r>
      <w:r w:rsidR="00076E21">
        <w:rPr>
          <w:rFonts w:cs="Arial"/>
        </w:rPr>
        <w:t>e</w:t>
      </w:r>
      <w:r w:rsidR="005F3F5F">
        <w:rPr>
          <w:rFonts w:cs="Arial"/>
        </w:rPr>
        <w:t xml:space="preserve"> </w:t>
      </w:r>
      <w:r w:rsidR="00D05AA3">
        <w:rPr>
          <w:rFonts w:cs="Arial"/>
        </w:rPr>
        <w:t xml:space="preserve">transition </w:t>
      </w:r>
      <w:r w:rsidR="001154FE">
        <w:rPr>
          <w:rFonts w:cs="Arial"/>
        </w:rPr>
        <w:t>period</w:t>
      </w:r>
      <w:r w:rsidR="005F3F5F">
        <w:rPr>
          <w:rFonts w:cs="Arial"/>
        </w:rPr>
        <w:t xml:space="preserve">, </w:t>
      </w:r>
      <w:r w:rsidR="004E0ACB">
        <w:rPr>
          <w:rFonts w:cs="Arial"/>
        </w:rPr>
        <w:t xml:space="preserve">a </w:t>
      </w:r>
      <w:r w:rsidR="004E0ACB" w:rsidRPr="004E0ACB">
        <w:rPr>
          <w:rFonts w:cs="Arial"/>
        </w:rPr>
        <w:t>food must comply with Standard 1.2.</w:t>
      </w:r>
      <w:r w:rsidR="004E0ACB">
        <w:rPr>
          <w:rFonts w:cs="Arial"/>
        </w:rPr>
        <w:t>7</w:t>
      </w:r>
      <w:r w:rsidR="004E0ACB" w:rsidRPr="004E0ACB">
        <w:rPr>
          <w:rFonts w:cs="Arial"/>
        </w:rPr>
        <w:t xml:space="preserve"> or with the Transitional Standard 1.1A.2 – Health Claims</w:t>
      </w:r>
      <w:r w:rsidR="004E0ACB">
        <w:rPr>
          <w:rFonts w:cs="Arial"/>
        </w:rPr>
        <w:t xml:space="preserve">, but not both. </w:t>
      </w:r>
    </w:p>
    <w:p w:rsidR="00007F59" w:rsidRDefault="00007F59" w:rsidP="007467D7">
      <w:pPr>
        <w:widowControl/>
        <w:rPr>
          <w:rFonts w:cs="Arial"/>
        </w:rPr>
      </w:pPr>
    </w:p>
    <w:p w:rsidR="00386947" w:rsidRDefault="00DC1643" w:rsidP="007467D7">
      <w:pPr>
        <w:widowControl/>
      </w:pPr>
      <w:r w:rsidRPr="009D1A5A">
        <w:t xml:space="preserve">Part 2.9 of the Code </w:t>
      </w:r>
      <w:r w:rsidR="00D45629" w:rsidRPr="009D1A5A">
        <w:t xml:space="preserve">regulates </w:t>
      </w:r>
      <w:r w:rsidRPr="009D1A5A">
        <w:t>special purpose foods which</w:t>
      </w:r>
      <w:r w:rsidR="00ED6194">
        <w:t xml:space="preserve"> have a </w:t>
      </w:r>
      <w:r w:rsidR="001154FE">
        <w:t xml:space="preserve">prescribed </w:t>
      </w:r>
      <w:r w:rsidR="00ED6194">
        <w:t xml:space="preserve">composition </w:t>
      </w:r>
      <w:r w:rsidR="001154FE">
        <w:t>related</w:t>
      </w:r>
      <w:r w:rsidR="00ED6194">
        <w:t xml:space="preserve"> to </w:t>
      </w:r>
      <w:r w:rsidR="000408E6">
        <w:t>a</w:t>
      </w:r>
      <w:r w:rsidR="00ED6194">
        <w:t xml:space="preserve"> particular intended </w:t>
      </w:r>
      <w:r w:rsidR="002961CB">
        <w:t>purpose</w:t>
      </w:r>
      <w:r w:rsidR="00ED6194">
        <w:t xml:space="preserve">. </w:t>
      </w:r>
      <w:r w:rsidR="00007F59" w:rsidRPr="002802FB">
        <w:t>Standard 2.9.4</w:t>
      </w:r>
      <w:r w:rsidR="00007F59" w:rsidRPr="009D1A5A">
        <w:t xml:space="preserve"> regulates the composition and labelling of </w:t>
      </w:r>
      <w:r w:rsidR="002961CB">
        <w:t xml:space="preserve">FSSFs which are </w:t>
      </w:r>
      <w:r w:rsidR="00007F59" w:rsidRPr="009D1A5A">
        <w:t>foods</w:t>
      </w:r>
      <w:r w:rsidR="002961CB">
        <w:t xml:space="preserve"> or mixture of foods</w:t>
      </w:r>
      <w:r w:rsidR="00007F59" w:rsidRPr="009D1A5A">
        <w:t xml:space="preserve"> specially formulated to assist sports people in achieving nutritional or performance goals. </w:t>
      </w:r>
    </w:p>
    <w:p w:rsidR="00386947" w:rsidRDefault="00386947" w:rsidP="007467D7">
      <w:pPr>
        <w:widowControl/>
      </w:pPr>
    </w:p>
    <w:p w:rsidR="00386947" w:rsidRDefault="00007F59" w:rsidP="007467D7">
      <w:pPr>
        <w:widowControl/>
        <w:rPr>
          <w:rFonts w:cs="Arial"/>
        </w:rPr>
      </w:pPr>
      <w:r w:rsidRPr="009D1A5A">
        <w:t xml:space="preserve">Division 1 – </w:t>
      </w:r>
      <w:r w:rsidRPr="00386947">
        <w:t>Formulated Supplementary Sports Foods Generally</w:t>
      </w:r>
      <w:r w:rsidR="009D1A5A" w:rsidRPr="00386947">
        <w:t xml:space="preserve"> </w:t>
      </w:r>
      <w:r w:rsidR="00386947">
        <w:t xml:space="preserve">in </w:t>
      </w:r>
      <w:r w:rsidR="009D1A5A" w:rsidRPr="009D1A5A">
        <w:t>Standard 2.9.4</w:t>
      </w:r>
      <w:r w:rsidRPr="009D1A5A">
        <w:t xml:space="preserve"> regulates the composition and labelling </w:t>
      </w:r>
      <w:r w:rsidR="007467D7">
        <w:t>of</w:t>
      </w:r>
      <w:r w:rsidR="001154FE">
        <w:t xml:space="preserve"> all FSSFs</w:t>
      </w:r>
      <w:r w:rsidR="008C2D40" w:rsidRPr="009D1A5A">
        <w:t xml:space="preserve">. </w:t>
      </w:r>
      <w:r w:rsidR="001154FE">
        <w:t xml:space="preserve">In relation to labelling, </w:t>
      </w:r>
      <w:r w:rsidRPr="009D1A5A">
        <w:t>FSSF</w:t>
      </w:r>
      <w:r w:rsidR="00090856" w:rsidRPr="009D1A5A">
        <w:t>s</w:t>
      </w:r>
      <w:r w:rsidRPr="009D1A5A">
        <w:t xml:space="preserve"> </w:t>
      </w:r>
      <w:r w:rsidR="001154FE">
        <w:t xml:space="preserve">must carry advice that such foods </w:t>
      </w:r>
      <w:r w:rsidRPr="009D1A5A">
        <w:t>are not suitable for pregnant women or children under 15 years of age</w:t>
      </w:r>
      <w:r w:rsidR="008C2D40" w:rsidRPr="009D1A5A">
        <w:t>;</w:t>
      </w:r>
      <w:r w:rsidRPr="009D1A5A">
        <w:t xml:space="preserve"> and that they must be used under medical or dietetic supervision. Division 2 </w:t>
      </w:r>
      <w:r w:rsidR="009D1A5A" w:rsidRPr="009D1A5A">
        <w:t xml:space="preserve">– </w:t>
      </w:r>
      <w:r w:rsidR="009D1A5A" w:rsidRPr="00386947">
        <w:t xml:space="preserve">Particular Formulated Supplementary Sports </w:t>
      </w:r>
      <w:proofErr w:type="gramStart"/>
      <w:r w:rsidR="009D1A5A" w:rsidRPr="00386947">
        <w:t>Foods,</w:t>
      </w:r>
      <w:proofErr w:type="gramEnd"/>
      <w:r w:rsidR="009D1A5A">
        <w:t xml:space="preserve"> </w:t>
      </w:r>
      <w:r w:rsidRPr="00A43FE2">
        <w:rPr>
          <w:rFonts w:cs="Arial"/>
        </w:rPr>
        <w:t>permits</w:t>
      </w:r>
      <w:r w:rsidR="001154FE">
        <w:rPr>
          <w:rFonts w:cs="Arial"/>
        </w:rPr>
        <w:t xml:space="preserve"> particular</w:t>
      </w:r>
      <w:r>
        <w:rPr>
          <w:rFonts w:cs="Arial"/>
        </w:rPr>
        <w:t xml:space="preserve"> FSSF</w:t>
      </w:r>
      <w:r w:rsidR="00090856">
        <w:rPr>
          <w:rFonts w:cs="Arial"/>
        </w:rPr>
        <w:t>s</w:t>
      </w:r>
      <w:r w:rsidRPr="00A43FE2">
        <w:rPr>
          <w:rFonts w:cs="Arial"/>
        </w:rPr>
        <w:t xml:space="preserve"> that meet</w:t>
      </w:r>
      <w:r>
        <w:rPr>
          <w:rFonts w:cs="Arial"/>
        </w:rPr>
        <w:t xml:space="preserve"> one of</w:t>
      </w:r>
      <w:r w:rsidRPr="00A43FE2">
        <w:rPr>
          <w:rFonts w:cs="Arial"/>
        </w:rPr>
        <w:t xml:space="preserve"> three types of compositional specifications</w:t>
      </w:r>
      <w:r>
        <w:rPr>
          <w:rFonts w:cs="Arial"/>
        </w:rPr>
        <w:t xml:space="preserve"> (high carbohydrate; protein energy, or energy)</w:t>
      </w:r>
      <w:r w:rsidRPr="00A43FE2">
        <w:rPr>
          <w:rFonts w:cs="Arial"/>
        </w:rPr>
        <w:t xml:space="preserve"> to </w:t>
      </w:r>
      <w:r>
        <w:rPr>
          <w:rFonts w:cs="Arial"/>
        </w:rPr>
        <w:t xml:space="preserve">carry </w:t>
      </w:r>
      <w:r w:rsidR="004642A1">
        <w:rPr>
          <w:rFonts w:cs="Arial"/>
        </w:rPr>
        <w:t xml:space="preserve">certain </w:t>
      </w:r>
      <w:r>
        <w:rPr>
          <w:rFonts w:cs="Arial"/>
        </w:rPr>
        <w:t xml:space="preserve">claims on their labels </w:t>
      </w:r>
      <w:r w:rsidRPr="00A43FE2">
        <w:rPr>
          <w:rFonts w:cs="Arial"/>
        </w:rPr>
        <w:t xml:space="preserve">e.g. </w:t>
      </w:r>
      <w:r w:rsidRPr="00A43FE2">
        <w:rPr>
          <w:rFonts w:cs="Arial"/>
          <w:i/>
        </w:rPr>
        <w:t>the product is useful before, during and after sustained strenuous exercise</w:t>
      </w:r>
      <w:r w:rsidRPr="00A43FE2">
        <w:rPr>
          <w:rFonts w:cs="Arial"/>
        </w:rPr>
        <w:t xml:space="preserve">. Apart from </w:t>
      </w:r>
      <w:r w:rsidR="000212AE">
        <w:rPr>
          <w:rFonts w:cs="Arial"/>
        </w:rPr>
        <w:t xml:space="preserve">these </w:t>
      </w:r>
      <w:r>
        <w:rPr>
          <w:rFonts w:cs="Arial"/>
        </w:rPr>
        <w:t>claims</w:t>
      </w:r>
      <w:r w:rsidR="004642A1">
        <w:rPr>
          <w:rFonts w:cs="Arial"/>
        </w:rPr>
        <w:t xml:space="preserve"> permitted under Division 2</w:t>
      </w:r>
      <w:r w:rsidRPr="00A43FE2">
        <w:rPr>
          <w:rFonts w:cs="Arial"/>
        </w:rPr>
        <w:t xml:space="preserve">, </w:t>
      </w:r>
      <w:r w:rsidR="00076E21">
        <w:rPr>
          <w:rFonts w:cs="Arial"/>
        </w:rPr>
        <w:t>c</w:t>
      </w:r>
      <w:r w:rsidR="000212AE">
        <w:rPr>
          <w:rFonts w:cs="Arial"/>
        </w:rPr>
        <w:t xml:space="preserve">lause 6 of </w:t>
      </w:r>
      <w:r w:rsidRPr="00A43FE2">
        <w:rPr>
          <w:rFonts w:cs="Arial"/>
        </w:rPr>
        <w:t>Standard 2.9.4 prohibits representations about enhanced athletic performance</w:t>
      </w:r>
      <w:r>
        <w:rPr>
          <w:rFonts w:cs="Arial"/>
        </w:rPr>
        <w:t xml:space="preserve"> and beneficial physiological effects, by </w:t>
      </w:r>
      <w:r w:rsidR="001154FE">
        <w:rPr>
          <w:rFonts w:cs="Arial"/>
        </w:rPr>
        <w:t xml:space="preserve">the </w:t>
      </w:r>
      <w:r w:rsidR="000212AE">
        <w:rPr>
          <w:rFonts w:cs="Arial"/>
        </w:rPr>
        <w:t>follow</w:t>
      </w:r>
      <w:r w:rsidR="001154FE">
        <w:rPr>
          <w:rFonts w:cs="Arial"/>
        </w:rPr>
        <w:t>ing</w:t>
      </w:r>
      <w:r>
        <w:rPr>
          <w:rFonts w:cs="Arial"/>
        </w:rPr>
        <w:t xml:space="preserve">: </w:t>
      </w:r>
      <w:r w:rsidR="00386947">
        <w:rPr>
          <w:rFonts w:cs="Arial"/>
        </w:rPr>
        <w:br w:type="page"/>
      </w:r>
    </w:p>
    <w:p w:rsidR="00007F59" w:rsidRPr="00A77E35" w:rsidRDefault="00007F59" w:rsidP="007467D7">
      <w:pPr>
        <w:keepLines/>
        <w:widowControl/>
        <w:ind w:left="567"/>
        <w:rPr>
          <w:i/>
          <w:sz w:val="20"/>
        </w:rPr>
      </w:pPr>
      <w:r w:rsidRPr="00A77E35">
        <w:rPr>
          <w:i/>
          <w:sz w:val="20"/>
        </w:rPr>
        <w:lastRenderedPageBreak/>
        <w:t xml:space="preserve">Unless specific permission is given in this Part, the label on a package of formulated supplementary sports food must not include an express or implied representation that relates to any property or proposed use of the food to enhanced athletic performance or beneficial physiological effects. </w:t>
      </w:r>
    </w:p>
    <w:p w:rsidR="00A35392" w:rsidRPr="002A65C0" w:rsidRDefault="00A35392" w:rsidP="007467D7">
      <w:pPr>
        <w:widowControl/>
        <w:rPr>
          <w:rFonts w:cs="Arial"/>
        </w:rPr>
      </w:pPr>
    </w:p>
    <w:p w:rsidR="00213511" w:rsidRPr="002A65C0" w:rsidRDefault="00213511" w:rsidP="007467D7">
      <w:pPr>
        <w:widowControl/>
        <w:rPr>
          <w:rFonts w:cs="Arial"/>
          <w:i/>
        </w:rPr>
      </w:pPr>
      <w:r w:rsidRPr="002A65C0">
        <w:rPr>
          <w:rFonts w:cs="Arial"/>
        </w:rPr>
        <w:t xml:space="preserve">Standard 2.6.2 regulates packaged water and water-based beverages. It defines an electrolyte drink as </w:t>
      </w:r>
      <w:r w:rsidRPr="00660AAF">
        <w:rPr>
          <w:rFonts w:cs="Arial"/>
          <w:i/>
        </w:rPr>
        <w:t>a drink formulated and represented as suitable for the rapid replacement of fluid, carbohydrates, electrolytes and minerals</w:t>
      </w:r>
      <w:r w:rsidR="003A188C">
        <w:rPr>
          <w:rFonts w:cs="Arial"/>
          <w:i/>
        </w:rPr>
        <w:t xml:space="preserve"> </w:t>
      </w:r>
      <w:r w:rsidR="003A188C" w:rsidRPr="00660AAF">
        <w:rPr>
          <w:rFonts w:cs="Arial"/>
        </w:rPr>
        <w:t xml:space="preserve">and </w:t>
      </w:r>
      <w:r w:rsidR="003A188C">
        <w:rPr>
          <w:rFonts w:cs="Arial"/>
        </w:rPr>
        <w:t>electrolyte drink bases</w:t>
      </w:r>
      <w:r w:rsidR="004E0ACB">
        <w:rPr>
          <w:rFonts w:cs="Arial"/>
        </w:rPr>
        <w:t xml:space="preserve"> as</w:t>
      </w:r>
      <w:r w:rsidR="003A188C" w:rsidRPr="00660AAF">
        <w:rPr>
          <w:rFonts w:cs="Arial"/>
          <w:i/>
        </w:rPr>
        <w:t xml:space="preserve"> a solid or liquid which when made up, makes an electrolyte drink.</w:t>
      </w:r>
      <w:r w:rsidR="003A188C">
        <w:rPr>
          <w:rFonts w:cs="Arial"/>
        </w:rPr>
        <w:t xml:space="preserve"> </w:t>
      </w:r>
      <w:r w:rsidRPr="002A65C0">
        <w:rPr>
          <w:rFonts w:cs="Arial"/>
        </w:rPr>
        <w:t>Compositional requirements are also prescribed for ED</w:t>
      </w:r>
      <w:r w:rsidR="00D05AA3">
        <w:rPr>
          <w:rFonts w:cs="Arial"/>
        </w:rPr>
        <w:t>s</w:t>
      </w:r>
      <w:r w:rsidRPr="002A65C0">
        <w:rPr>
          <w:rFonts w:cs="Arial"/>
        </w:rPr>
        <w:t xml:space="preserve"> as shown in Table 1. </w:t>
      </w:r>
    </w:p>
    <w:p w:rsidR="00213511" w:rsidRPr="002A65C0" w:rsidRDefault="00213511" w:rsidP="007467D7">
      <w:pPr>
        <w:widowControl/>
        <w:rPr>
          <w:rFonts w:cs="Arial"/>
        </w:rPr>
      </w:pPr>
    </w:p>
    <w:p w:rsidR="00213511" w:rsidRPr="00386947" w:rsidRDefault="00213511" w:rsidP="007467D7">
      <w:pPr>
        <w:pStyle w:val="FSTableTitle"/>
        <w:widowControl/>
      </w:pPr>
      <w:r w:rsidRPr="00386947">
        <w:t xml:space="preserve">Table 1: </w:t>
      </w:r>
      <w:r w:rsidR="00940E9B" w:rsidRPr="00386947">
        <w:t xml:space="preserve"> </w:t>
      </w:r>
      <w:r w:rsidRPr="00386947">
        <w:t>Prescribed composition of electrolyte drinks</w:t>
      </w:r>
      <w:r w:rsidR="00DF16F5" w:rsidRPr="00386947">
        <w:t xml:space="preserve"> and electrolyte drink bases</w:t>
      </w:r>
    </w:p>
    <w:p w:rsidR="00386947" w:rsidRPr="00386947" w:rsidRDefault="00386947" w:rsidP="00386947"/>
    <w:tbl>
      <w:tblPr>
        <w:tblStyle w:val="TableGrid"/>
        <w:tblW w:w="5000" w:type="pct"/>
        <w:tblInd w:w="108" w:type="dxa"/>
        <w:tblLook w:val="04A0" w:firstRow="1" w:lastRow="0" w:firstColumn="1" w:lastColumn="0" w:noHBand="0" w:noVBand="1"/>
      </w:tblPr>
      <w:tblGrid>
        <w:gridCol w:w="4643"/>
        <w:gridCol w:w="4643"/>
      </w:tblGrid>
      <w:tr w:rsidR="00213511" w:rsidRPr="002A65C0" w:rsidTr="0093196F">
        <w:tc>
          <w:tcPr>
            <w:tcW w:w="2500" w:type="pct"/>
          </w:tcPr>
          <w:p w:rsidR="00213511" w:rsidRPr="002A65C0" w:rsidRDefault="00213511" w:rsidP="007467D7">
            <w:pPr>
              <w:widowControl/>
              <w:rPr>
                <w:sz w:val="20"/>
                <w:szCs w:val="20"/>
              </w:rPr>
            </w:pPr>
            <w:r w:rsidRPr="002A65C0">
              <w:rPr>
                <w:sz w:val="20"/>
                <w:szCs w:val="20"/>
              </w:rPr>
              <w:t>Carbohydrate (specified sugars)</w:t>
            </w:r>
          </w:p>
        </w:tc>
        <w:tc>
          <w:tcPr>
            <w:tcW w:w="2500" w:type="pct"/>
          </w:tcPr>
          <w:p w:rsidR="00213511" w:rsidRPr="002A65C0" w:rsidRDefault="00213511" w:rsidP="007467D7">
            <w:pPr>
              <w:widowControl/>
              <w:rPr>
                <w:sz w:val="20"/>
                <w:szCs w:val="20"/>
              </w:rPr>
            </w:pPr>
            <w:r w:rsidRPr="002A65C0">
              <w:rPr>
                <w:sz w:val="20"/>
                <w:szCs w:val="20"/>
              </w:rPr>
              <w:t>50</w:t>
            </w:r>
            <w:r w:rsidR="001154FE">
              <w:rPr>
                <w:sz w:val="20"/>
                <w:szCs w:val="20"/>
              </w:rPr>
              <w:t>-</w:t>
            </w:r>
            <w:r w:rsidRPr="002A65C0">
              <w:rPr>
                <w:sz w:val="20"/>
                <w:szCs w:val="20"/>
              </w:rPr>
              <w:t>100 g/L</w:t>
            </w:r>
          </w:p>
        </w:tc>
      </w:tr>
      <w:tr w:rsidR="00213511" w:rsidRPr="002A65C0" w:rsidTr="0093196F">
        <w:tc>
          <w:tcPr>
            <w:tcW w:w="2500" w:type="pct"/>
          </w:tcPr>
          <w:p w:rsidR="00213511" w:rsidRPr="002A65C0" w:rsidRDefault="00213511" w:rsidP="007467D7">
            <w:pPr>
              <w:widowControl/>
              <w:rPr>
                <w:sz w:val="20"/>
                <w:szCs w:val="20"/>
              </w:rPr>
            </w:pPr>
            <w:r w:rsidRPr="002A65C0">
              <w:rPr>
                <w:sz w:val="20"/>
                <w:szCs w:val="20"/>
              </w:rPr>
              <w:t>Sodium</w:t>
            </w:r>
          </w:p>
        </w:tc>
        <w:tc>
          <w:tcPr>
            <w:tcW w:w="2500" w:type="pct"/>
          </w:tcPr>
          <w:p w:rsidR="00213511" w:rsidRPr="002A65C0" w:rsidRDefault="00213511" w:rsidP="007467D7">
            <w:pPr>
              <w:widowControl/>
              <w:rPr>
                <w:sz w:val="20"/>
                <w:szCs w:val="20"/>
              </w:rPr>
            </w:pPr>
            <w:r w:rsidRPr="002A65C0">
              <w:rPr>
                <w:sz w:val="20"/>
                <w:szCs w:val="20"/>
              </w:rPr>
              <w:t>&gt;10 mmol/L</w:t>
            </w:r>
          </w:p>
        </w:tc>
      </w:tr>
      <w:tr w:rsidR="00213511" w:rsidRPr="002A65C0" w:rsidTr="0093196F">
        <w:tc>
          <w:tcPr>
            <w:tcW w:w="2500" w:type="pct"/>
          </w:tcPr>
          <w:p w:rsidR="00213511" w:rsidRPr="002A65C0" w:rsidRDefault="00213511" w:rsidP="007467D7">
            <w:pPr>
              <w:widowControl/>
              <w:rPr>
                <w:sz w:val="20"/>
                <w:szCs w:val="20"/>
              </w:rPr>
            </w:pPr>
            <w:r w:rsidRPr="002A65C0">
              <w:rPr>
                <w:sz w:val="20"/>
                <w:szCs w:val="20"/>
              </w:rPr>
              <w:t>Osmolality (isotonic only)</w:t>
            </w:r>
          </w:p>
        </w:tc>
        <w:tc>
          <w:tcPr>
            <w:tcW w:w="2500" w:type="pct"/>
          </w:tcPr>
          <w:p w:rsidR="00213511" w:rsidRPr="002A65C0" w:rsidRDefault="00213511" w:rsidP="007467D7">
            <w:pPr>
              <w:widowControl/>
              <w:rPr>
                <w:sz w:val="20"/>
                <w:szCs w:val="20"/>
              </w:rPr>
            </w:pPr>
            <w:r w:rsidRPr="002A65C0">
              <w:rPr>
                <w:sz w:val="20"/>
                <w:szCs w:val="20"/>
              </w:rPr>
              <w:t>250</w:t>
            </w:r>
            <w:r w:rsidR="001154FE">
              <w:rPr>
                <w:sz w:val="20"/>
                <w:szCs w:val="20"/>
              </w:rPr>
              <w:t>-</w:t>
            </w:r>
            <w:r w:rsidRPr="002A65C0">
              <w:rPr>
                <w:sz w:val="20"/>
                <w:szCs w:val="20"/>
              </w:rPr>
              <w:t>340 milliOsmol/L</w:t>
            </w:r>
          </w:p>
        </w:tc>
      </w:tr>
    </w:tbl>
    <w:p w:rsidR="00213511" w:rsidRPr="002A65C0" w:rsidRDefault="00213511" w:rsidP="007467D7">
      <w:pPr>
        <w:widowControl/>
        <w:rPr>
          <w:rFonts w:cs="Arial"/>
        </w:rPr>
      </w:pPr>
    </w:p>
    <w:p w:rsidR="00213511" w:rsidRDefault="00213511" w:rsidP="007467D7">
      <w:pPr>
        <w:widowControl/>
        <w:rPr>
          <w:rFonts w:cs="Arial"/>
        </w:rPr>
      </w:pPr>
      <w:r w:rsidRPr="002A65C0">
        <w:rPr>
          <w:rFonts w:cs="Arial"/>
        </w:rPr>
        <w:t xml:space="preserve">Standard 2.6.2 permits isotonic </w:t>
      </w:r>
      <w:r w:rsidR="00DA0B30">
        <w:rPr>
          <w:rFonts w:cs="Arial"/>
        </w:rPr>
        <w:t xml:space="preserve">electrolyte drinks </w:t>
      </w:r>
      <w:r w:rsidR="007467D7">
        <w:rPr>
          <w:rFonts w:cs="Arial"/>
        </w:rPr>
        <w:t xml:space="preserve">to carry </w:t>
      </w:r>
      <w:r w:rsidR="007467D7" w:rsidRPr="002A65C0">
        <w:rPr>
          <w:rFonts w:cs="Arial"/>
        </w:rPr>
        <w:t xml:space="preserve">a claim </w:t>
      </w:r>
      <w:r w:rsidRPr="002A65C0">
        <w:rPr>
          <w:rFonts w:cs="Arial"/>
        </w:rPr>
        <w:t>to the effect that</w:t>
      </w:r>
      <w:r w:rsidRPr="002A65C0">
        <w:rPr>
          <w:rFonts w:cs="Arial"/>
          <w:i/>
        </w:rPr>
        <w:t xml:space="preserve"> the product is designed to promote the availability of energy and to prevent or treat mild dehydration that may occur as a result of sustained strenuous exercise</w:t>
      </w:r>
      <w:r w:rsidRPr="002A65C0">
        <w:rPr>
          <w:rFonts w:cs="Arial"/>
        </w:rPr>
        <w:t>.</w:t>
      </w:r>
    </w:p>
    <w:p w:rsidR="00DE79D9" w:rsidRDefault="00D3171B" w:rsidP="007467D7">
      <w:pPr>
        <w:pStyle w:val="Heading2"/>
        <w:widowControl/>
      </w:pPr>
      <w:bookmarkStart w:id="22" w:name="_Toc395775007"/>
      <w:bookmarkStart w:id="23" w:name="_Toc286391008"/>
      <w:bookmarkStart w:id="24" w:name="_Toc11735630"/>
      <w:bookmarkStart w:id="25" w:name="_Toc29883114"/>
      <w:bookmarkStart w:id="26" w:name="_Toc41906801"/>
      <w:bookmarkStart w:id="27" w:name="_Toc41907548"/>
      <w:bookmarkStart w:id="28" w:name="_Toc120358578"/>
      <w:bookmarkStart w:id="29" w:name="_Toc175381435"/>
      <w:bookmarkEnd w:id="4"/>
      <w:bookmarkEnd w:id="5"/>
      <w:bookmarkEnd w:id="6"/>
      <w:bookmarkEnd w:id="7"/>
      <w:bookmarkEnd w:id="8"/>
      <w:bookmarkEnd w:id="19"/>
      <w:bookmarkEnd w:id="20"/>
      <w:bookmarkEnd w:id="21"/>
      <w:r>
        <w:t>1</w:t>
      </w:r>
      <w:r w:rsidR="00606C88">
        <w:t>.</w:t>
      </w:r>
      <w:r w:rsidR="00064DD6">
        <w:t>4</w:t>
      </w:r>
      <w:r w:rsidR="00DE79D9">
        <w:tab/>
        <w:t>Procedure for assessment</w:t>
      </w:r>
      <w:bookmarkEnd w:id="22"/>
    </w:p>
    <w:p w:rsidR="00DE79D9" w:rsidRPr="004A62F4" w:rsidRDefault="00DE79D9" w:rsidP="007467D7">
      <w:pPr>
        <w:widowControl/>
      </w:pPr>
      <w:r w:rsidRPr="004A62F4">
        <w:t>The Proposal is being assessed under the General Procedure.</w:t>
      </w:r>
    </w:p>
    <w:p w:rsidR="00DE79D9" w:rsidRPr="00D062E4" w:rsidRDefault="00DE79D9" w:rsidP="007467D7">
      <w:pPr>
        <w:widowControl/>
      </w:pPr>
    </w:p>
    <w:p w:rsidR="00AF387F" w:rsidRPr="00180C41" w:rsidRDefault="00D3171B" w:rsidP="007467D7">
      <w:pPr>
        <w:pStyle w:val="Heading1"/>
        <w:widowControl/>
      </w:pPr>
      <w:bookmarkStart w:id="30" w:name="_Toc300933424"/>
      <w:bookmarkStart w:id="31" w:name="_Toc395775008"/>
      <w:r>
        <w:t>2</w:t>
      </w:r>
      <w:r w:rsidR="001542D8">
        <w:tab/>
      </w:r>
      <w:r w:rsidR="00350DBD">
        <w:t>S</w:t>
      </w:r>
      <w:r w:rsidR="00FB1533">
        <w:t>ummary of the a</w:t>
      </w:r>
      <w:r w:rsidR="00FD2FBE">
        <w:t>ssessment</w:t>
      </w:r>
      <w:bookmarkEnd w:id="23"/>
      <w:bookmarkEnd w:id="30"/>
      <w:bookmarkEnd w:id="31"/>
    </w:p>
    <w:p w:rsidR="002E39F6" w:rsidRPr="00046B7F" w:rsidRDefault="0005689E" w:rsidP="007467D7">
      <w:pPr>
        <w:pStyle w:val="Heading2"/>
        <w:widowControl/>
      </w:pPr>
      <w:bookmarkStart w:id="32" w:name="_Toc395775009"/>
      <w:r>
        <w:t>2.1</w:t>
      </w:r>
      <w:r w:rsidR="00C56C26">
        <w:tab/>
      </w:r>
      <w:r w:rsidR="002E39F6">
        <w:t>H</w:t>
      </w:r>
      <w:r w:rsidR="002E39F6" w:rsidRPr="00046B7F">
        <w:t xml:space="preserve">ealth </w:t>
      </w:r>
      <w:r w:rsidR="002E39F6">
        <w:t>C</w:t>
      </w:r>
      <w:r w:rsidR="002E39F6" w:rsidRPr="00046B7F">
        <w:t>laims</w:t>
      </w:r>
      <w:bookmarkEnd w:id="32"/>
      <w:r w:rsidR="002E39F6">
        <w:t xml:space="preserve"> </w:t>
      </w:r>
    </w:p>
    <w:p w:rsidR="00B7290A" w:rsidRDefault="00AB4651" w:rsidP="007467D7">
      <w:pPr>
        <w:widowControl/>
      </w:pPr>
      <w:r>
        <w:t>The C</w:t>
      </w:r>
      <w:r w:rsidR="00B7290A">
        <w:t xml:space="preserve">ode recognises that </w:t>
      </w:r>
      <w:r w:rsidR="007467D7">
        <w:t xml:space="preserve">FSSFs and </w:t>
      </w:r>
      <w:r w:rsidR="00B7290A">
        <w:t>ED</w:t>
      </w:r>
      <w:r w:rsidR="00CA5C90">
        <w:t>s</w:t>
      </w:r>
      <w:r w:rsidR="00B7290A">
        <w:t xml:space="preserve"> are </w:t>
      </w:r>
      <w:r w:rsidR="00EF69ED">
        <w:t>foods each</w:t>
      </w:r>
      <w:r w:rsidR="00B7290A">
        <w:t xml:space="preserve"> </w:t>
      </w:r>
      <w:r w:rsidR="007718D3">
        <w:t>f</w:t>
      </w:r>
      <w:r w:rsidR="00B7290A">
        <w:t>ormulated to achieve a</w:t>
      </w:r>
      <w:r w:rsidR="00970FDF">
        <w:t xml:space="preserve"> </w:t>
      </w:r>
      <w:r w:rsidR="00CE4034">
        <w:t>specific</w:t>
      </w:r>
      <w:r w:rsidR="00D967AA">
        <w:t xml:space="preserve"> </w:t>
      </w:r>
      <w:r w:rsidR="00B7290A">
        <w:t>purpose</w:t>
      </w:r>
      <w:r w:rsidR="00970FDF">
        <w:t>:</w:t>
      </w:r>
      <w:r w:rsidR="00B7290A">
        <w:t xml:space="preserve"> FSSF</w:t>
      </w:r>
      <w:r w:rsidR="00CA5C90">
        <w:t>s</w:t>
      </w:r>
      <w:r w:rsidR="00B7290A">
        <w:t xml:space="preserve"> to </w:t>
      </w:r>
      <w:r w:rsidR="007718D3">
        <w:t xml:space="preserve">help </w:t>
      </w:r>
      <w:r w:rsidR="00B7290A" w:rsidRPr="002A65C0">
        <w:t>sports people achieve nutritional or performance goals</w:t>
      </w:r>
      <w:r w:rsidR="007467D7">
        <w:t>;</w:t>
      </w:r>
      <w:r w:rsidR="007467D7" w:rsidRPr="007467D7">
        <w:t xml:space="preserve"> </w:t>
      </w:r>
      <w:r w:rsidR="007467D7">
        <w:t xml:space="preserve">and EDs to </w:t>
      </w:r>
      <w:r w:rsidR="007718D3">
        <w:t xml:space="preserve">help </w:t>
      </w:r>
      <w:r w:rsidR="007467D7">
        <w:t>with rapid replacement of fluid, carbohydrates and electrolytes</w:t>
      </w:r>
      <w:r w:rsidR="00B7290A">
        <w:t xml:space="preserve">. </w:t>
      </w:r>
      <w:r w:rsidR="00B7290A" w:rsidRPr="002A65C0">
        <w:t xml:space="preserve">Where these </w:t>
      </w:r>
      <w:r w:rsidR="00EF69ED">
        <w:t>foods</w:t>
      </w:r>
      <w:r w:rsidR="00B7290A" w:rsidRPr="002A65C0">
        <w:t xml:space="preserve"> meet a prescribed composition, </w:t>
      </w:r>
      <w:r w:rsidR="000D504F">
        <w:t xml:space="preserve">a </w:t>
      </w:r>
      <w:r w:rsidR="00E360EC">
        <w:t>limited number of</w:t>
      </w:r>
      <w:r w:rsidR="000D504F">
        <w:t xml:space="preserve"> </w:t>
      </w:r>
      <w:r w:rsidR="00B7290A" w:rsidRPr="00C4218E">
        <w:t>claims relating</w:t>
      </w:r>
      <w:r w:rsidR="00B7290A" w:rsidRPr="002A65C0">
        <w:t xml:space="preserve"> to the purpose of the </w:t>
      </w:r>
      <w:r w:rsidR="00EF69ED">
        <w:t>food</w:t>
      </w:r>
      <w:r w:rsidR="00B7290A" w:rsidRPr="002A65C0">
        <w:t xml:space="preserve"> are permitted</w:t>
      </w:r>
      <w:r w:rsidR="00BD020C">
        <w:t xml:space="preserve">. These claims </w:t>
      </w:r>
      <w:r w:rsidR="007467D7">
        <w:t>comprised most of the</w:t>
      </w:r>
      <w:r w:rsidR="00BD020C">
        <w:t xml:space="preserve"> permitted </w:t>
      </w:r>
      <w:r w:rsidR="00853ECD">
        <w:t xml:space="preserve">health </w:t>
      </w:r>
      <w:r w:rsidR="00BD020C">
        <w:t>claims in the Code</w:t>
      </w:r>
      <w:r w:rsidR="00451AC7">
        <w:t xml:space="preserve"> </w:t>
      </w:r>
      <w:r w:rsidR="007718D3">
        <w:t>before</w:t>
      </w:r>
      <w:r w:rsidR="00451AC7">
        <w:t xml:space="preserve"> the introduction of Standard 1.2.7</w:t>
      </w:r>
      <w:r w:rsidR="007718D3">
        <w:t xml:space="preserve">, with the </w:t>
      </w:r>
      <w:r w:rsidR="007467D7">
        <w:t>other</w:t>
      </w:r>
      <w:r w:rsidR="00BD020C">
        <w:t xml:space="preserve"> </w:t>
      </w:r>
      <w:r w:rsidR="00853ECD">
        <w:t xml:space="preserve">health </w:t>
      </w:r>
      <w:r w:rsidR="00BD020C">
        <w:t>claim relat</w:t>
      </w:r>
      <w:r w:rsidR="007718D3">
        <w:t>ing</w:t>
      </w:r>
      <w:r w:rsidR="00BD020C">
        <w:t xml:space="preserve"> to folate and neural tube defects</w:t>
      </w:r>
      <w:r w:rsidR="00853ECD">
        <w:t>.</w:t>
      </w:r>
    </w:p>
    <w:p w:rsidR="00B7290A" w:rsidRDefault="00B7290A" w:rsidP="007467D7">
      <w:pPr>
        <w:widowControl/>
      </w:pPr>
    </w:p>
    <w:p w:rsidR="00660AAF" w:rsidRDefault="007718D3" w:rsidP="007467D7">
      <w:pPr>
        <w:widowControl/>
      </w:pPr>
      <w:r>
        <w:t>T</w:t>
      </w:r>
      <w:r w:rsidR="00660AAF" w:rsidRPr="00046B7F">
        <w:t>he introduction of Standard 1.2.7</w:t>
      </w:r>
      <w:r>
        <w:t xml:space="preserve"> in</w:t>
      </w:r>
      <w:r w:rsidR="00660AAF" w:rsidRPr="00046B7F">
        <w:t xml:space="preserve"> the Code </w:t>
      </w:r>
      <w:r w:rsidR="00EF69ED">
        <w:t>provides for</w:t>
      </w:r>
      <w:r w:rsidR="00660AAF" w:rsidRPr="00046B7F">
        <w:t xml:space="preserve"> </w:t>
      </w:r>
      <w:r w:rsidR="00456BC2">
        <w:t xml:space="preserve">health claims </w:t>
      </w:r>
      <w:r w:rsidR="00EF69ED">
        <w:t>to</w:t>
      </w:r>
      <w:r>
        <w:t xml:space="preserve"> </w:t>
      </w:r>
      <w:r w:rsidR="00456BC2">
        <w:t xml:space="preserve">be made about </w:t>
      </w:r>
      <w:r w:rsidR="00660AAF" w:rsidRPr="00046B7F">
        <w:t>food</w:t>
      </w:r>
      <w:r w:rsidR="00660AAF">
        <w:t xml:space="preserve">s, including </w:t>
      </w:r>
      <w:r w:rsidR="00456BC2">
        <w:t xml:space="preserve">health claims </w:t>
      </w:r>
      <w:r w:rsidR="00660AAF">
        <w:t xml:space="preserve">about physical performance, </w:t>
      </w:r>
      <w:r w:rsidR="00B7290A">
        <w:t xml:space="preserve">providing </w:t>
      </w:r>
      <w:r w:rsidR="007467D7">
        <w:t>such foods</w:t>
      </w:r>
      <w:r w:rsidR="00B7290A">
        <w:t xml:space="preserve"> meet </w:t>
      </w:r>
      <w:r w:rsidR="0072249A">
        <w:t xml:space="preserve">certain </w:t>
      </w:r>
      <w:r w:rsidR="00660AAF" w:rsidRPr="00046B7F">
        <w:t xml:space="preserve">claim criteria. </w:t>
      </w:r>
      <w:r w:rsidR="00660AAF">
        <w:t>However,</w:t>
      </w:r>
      <w:r w:rsidR="00660AAF" w:rsidRPr="00714767">
        <w:t xml:space="preserve"> </w:t>
      </w:r>
      <w:r w:rsidR="00660AAF">
        <w:t>FSSF</w:t>
      </w:r>
      <w:r w:rsidR="00F648AD">
        <w:t>s</w:t>
      </w:r>
      <w:r w:rsidR="00660AAF">
        <w:t xml:space="preserve"> and </w:t>
      </w:r>
      <w:r w:rsidR="00AB4651">
        <w:t xml:space="preserve">most </w:t>
      </w:r>
      <w:r w:rsidR="00660AAF">
        <w:t>ED</w:t>
      </w:r>
      <w:r w:rsidR="00F648AD">
        <w:t>s</w:t>
      </w:r>
      <w:r w:rsidR="00660AAF">
        <w:t xml:space="preserve"> are prevented from making health claims except where express permission is provided </w:t>
      </w:r>
      <w:r w:rsidR="007A6E72">
        <w:t xml:space="preserve">in </w:t>
      </w:r>
      <w:r w:rsidR="004A080E">
        <w:t xml:space="preserve">Standards 2.9.4 and 2.6.2 </w:t>
      </w:r>
      <w:r w:rsidR="00660AAF">
        <w:t xml:space="preserve">for </w:t>
      </w:r>
      <w:r w:rsidR="007A6E72">
        <w:t xml:space="preserve">making </w:t>
      </w:r>
      <w:r w:rsidR="00660AAF" w:rsidRPr="00C4218E">
        <w:t xml:space="preserve">certain </w:t>
      </w:r>
      <w:r w:rsidR="00660AAF" w:rsidRPr="00BA6651">
        <w:t>claims.</w:t>
      </w:r>
    </w:p>
    <w:p w:rsidR="00660AAF" w:rsidRDefault="00660AAF" w:rsidP="007467D7">
      <w:pPr>
        <w:widowControl/>
      </w:pPr>
    </w:p>
    <w:p w:rsidR="00660AAF" w:rsidRDefault="007F14DF" w:rsidP="007467D7">
      <w:pPr>
        <w:widowControl/>
      </w:pPr>
      <w:r>
        <w:t>EDs</w:t>
      </w:r>
      <w:r w:rsidRPr="00046B7F">
        <w:t xml:space="preserve"> are considered</w:t>
      </w:r>
      <w:r w:rsidR="00D05AA3">
        <w:t xml:space="preserve"> </w:t>
      </w:r>
      <w:r w:rsidRPr="00046B7F">
        <w:t xml:space="preserve">to be </w:t>
      </w:r>
      <w:r>
        <w:t xml:space="preserve">one </w:t>
      </w:r>
      <w:r w:rsidR="00EF69ED">
        <w:t>type of</w:t>
      </w:r>
      <w:r>
        <w:t xml:space="preserve"> product </w:t>
      </w:r>
      <w:r w:rsidR="007467D7">
        <w:t>on the market</w:t>
      </w:r>
      <w:r w:rsidR="007467D7" w:rsidRPr="00046B7F">
        <w:t xml:space="preserve"> </w:t>
      </w:r>
      <w:r>
        <w:t xml:space="preserve">in the </w:t>
      </w:r>
      <w:r w:rsidRPr="00046B7F">
        <w:t xml:space="preserve">sports drink category. Unlike other products in </w:t>
      </w:r>
      <w:r>
        <w:t>this</w:t>
      </w:r>
      <w:r w:rsidRPr="00046B7F">
        <w:t xml:space="preserve"> category</w:t>
      </w:r>
      <w:r>
        <w:t>,</w:t>
      </w:r>
      <w:r w:rsidRPr="00046B7F">
        <w:t xml:space="preserve"> the Code prescribes the minimum and maximum </w:t>
      </w:r>
      <w:r>
        <w:t xml:space="preserve">quantity of sugars </w:t>
      </w:r>
      <w:r w:rsidRPr="00046B7F">
        <w:t>and a minimum sodium leve</w:t>
      </w:r>
      <w:r>
        <w:t>l in order for ED</w:t>
      </w:r>
      <w:r w:rsidR="00CA5C90">
        <w:t>s</w:t>
      </w:r>
      <w:r>
        <w:t xml:space="preserve"> to achieve the specific purpose of rapid replacement of fluid, electrolytes and carbohydrates. </w:t>
      </w:r>
      <w:r w:rsidRPr="00002FD1">
        <w:t>No such minimum sugar composition requirement exists for sports drinks not regulated as ED</w:t>
      </w:r>
      <w:r w:rsidR="00CA5C90">
        <w:t>s</w:t>
      </w:r>
      <w:r w:rsidRPr="00002FD1">
        <w:t xml:space="preserve">. </w:t>
      </w:r>
      <w:r>
        <w:t>T</w:t>
      </w:r>
      <w:r w:rsidR="00660AAF" w:rsidRPr="002A65C0">
        <w:rPr>
          <w:rFonts w:cs="Arial"/>
        </w:rPr>
        <w:t xml:space="preserve">he prescribed </w:t>
      </w:r>
      <w:r>
        <w:rPr>
          <w:rFonts w:cs="Arial"/>
        </w:rPr>
        <w:t>sugar</w:t>
      </w:r>
      <w:r w:rsidR="007467D7">
        <w:rPr>
          <w:rFonts w:cs="Arial"/>
        </w:rPr>
        <w:t>s</w:t>
      </w:r>
      <w:r w:rsidR="00660AAF" w:rsidRPr="002A65C0">
        <w:rPr>
          <w:rFonts w:cs="Arial"/>
        </w:rPr>
        <w:t xml:space="preserve"> content </w:t>
      </w:r>
      <w:r w:rsidR="00AB7E97">
        <w:rPr>
          <w:rFonts w:cs="Arial"/>
        </w:rPr>
        <w:t xml:space="preserve">for EDs in general </w:t>
      </w:r>
      <w:r w:rsidR="00660AAF" w:rsidRPr="002A65C0">
        <w:rPr>
          <w:rFonts w:cs="Arial"/>
        </w:rPr>
        <w:t xml:space="preserve">disqualifies </w:t>
      </w:r>
      <w:r w:rsidR="00AB7E97">
        <w:rPr>
          <w:rFonts w:cs="Arial"/>
        </w:rPr>
        <w:t>them</w:t>
      </w:r>
      <w:r w:rsidR="00660AAF" w:rsidRPr="002A65C0">
        <w:rPr>
          <w:rFonts w:cs="Arial"/>
        </w:rPr>
        <w:t xml:space="preserve"> from meeting the NPSC and therefore from </w:t>
      </w:r>
      <w:r w:rsidR="00EF69ED">
        <w:rPr>
          <w:rFonts w:cs="Arial"/>
        </w:rPr>
        <w:t>carrying</w:t>
      </w:r>
      <w:r w:rsidR="00660AAF" w:rsidRPr="002A65C0">
        <w:rPr>
          <w:rFonts w:cs="Arial"/>
        </w:rPr>
        <w:t xml:space="preserve"> health claims </w:t>
      </w:r>
      <w:r w:rsidR="00800ED4">
        <w:rPr>
          <w:rFonts w:cs="Arial"/>
        </w:rPr>
        <w:t>(</w:t>
      </w:r>
      <w:r w:rsidR="00660AAF" w:rsidRPr="002A65C0">
        <w:rPr>
          <w:rFonts w:cs="Arial"/>
        </w:rPr>
        <w:t xml:space="preserve">apart from </w:t>
      </w:r>
      <w:r w:rsidR="00AB7E97">
        <w:rPr>
          <w:rFonts w:cs="Arial"/>
        </w:rPr>
        <w:t xml:space="preserve">their </w:t>
      </w:r>
      <w:r w:rsidR="004A080E">
        <w:rPr>
          <w:rFonts w:cs="Arial"/>
        </w:rPr>
        <w:t xml:space="preserve">one permitted </w:t>
      </w:r>
      <w:r w:rsidR="00660AAF">
        <w:rPr>
          <w:rFonts w:cs="Arial"/>
        </w:rPr>
        <w:t>claim</w:t>
      </w:r>
      <w:r w:rsidR="00800ED4">
        <w:rPr>
          <w:rFonts w:cs="Arial"/>
        </w:rPr>
        <w:t>)</w:t>
      </w:r>
      <w:r w:rsidR="00660AAF">
        <w:rPr>
          <w:rFonts w:cs="Arial"/>
        </w:rPr>
        <w:t xml:space="preserve">. </w:t>
      </w:r>
    </w:p>
    <w:p w:rsidR="00660AAF" w:rsidRDefault="00660AAF" w:rsidP="007467D7">
      <w:pPr>
        <w:widowControl/>
      </w:pPr>
    </w:p>
    <w:p w:rsidR="00386947" w:rsidRDefault="00386947" w:rsidP="007467D7">
      <w:pPr>
        <w:widowControl/>
        <w:rPr>
          <w:rFonts w:cs="Arial"/>
          <w:szCs w:val="22"/>
          <w:lang w:val="en-US"/>
        </w:rPr>
      </w:pPr>
      <w:r>
        <w:rPr>
          <w:rFonts w:cs="Arial"/>
          <w:szCs w:val="22"/>
          <w:lang w:val="en-US"/>
        </w:rPr>
        <w:br w:type="page"/>
      </w:r>
    </w:p>
    <w:p w:rsidR="00386947" w:rsidRDefault="00660AAF" w:rsidP="007467D7">
      <w:pPr>
        <w:widowControl/>
        <w:rPr>
          <w:rFonts w:cs="Arial"/>
          <w:szCs w:val="22"/>
          <w:lang w:val="en-US"/>
        </w:rPr>
      </w:pPr>
      <w:r>
        <w:rPr>
          <w:rFonts w:cs="Arial"/>
          <w:szCs w:val="22"/>
          <w:lang w:val="en-US"/>
        </w:rPr>
        <w:lastRenderedPageBreak/>
        <w:t xml:space="preserve">The draft variation </w:t>
      </w:r>
      <w:r w:rsidRPr="001058CF">
        <w:rPr>
          <w:rFonts w:cs="Arial"/>
          <w:szCs w:val="22"/>
          <w:lang w:val="en-US"/>
        </w:rPr>
        <w:t>propose</w:t>
      </w:r>
      <w:r>
        <w:rPr>
          <w:rFonts w:cs="Arial"/>
          <w:szCs w:val="22"/>
          <w:lang w:val="en-US"/>
        </w:rPr>
        <w:t xml:space="preserve">s </w:t>
      </w:r>
      <w:r w:rsidR="00EF69ED">
        <w:rPr>
          <w:rFonts w:cs="Arial"/>
          <w:szCs w:val="22"/>
          <w:lang w:val="en-US"/>
        </w:rPr>
        <w:t>that</w:t>
      </w:r>
      <w:r>
        <w:rPr>
          <w:rFonts w:cs="Arial"/>
          <w:szCs w:val="22"/>
          <w:lang w:val="en-US"/>
        </w:rPr>
        <w:t xml:space="preserve"> FSSF</w:t>
      </w:r>
      <w:r w:rsidR="00CA5C90">
        <w:rPr>
          <w:rFonts w:cs="Arial"/>
          <w:szCs w:val="22"/>
          <w:lang w:val="en-US"/>
        </w:rPr>
        <w:t>s</w:t>
      </w:r>
      <w:r>
        <w:rPr>
          <w:rFonts w:cs="Arial"/>
          <w:szCs w:val="22"/>
          <w:lang w:val="en-US"/>
        </w:rPr>
        <w:t xml:space="preserve"> and ED</w:t>
      </w:r>
      <w:r w:rsidR="00CA5C90">
        <w:rPr>
          <w:rFonts w:cs="Arial"/>
          <w:szCs w:val="22"/>
          <w:lang w:val="en-US"/>
        </w:rPr>
        <w:t>s</w:t>
      </w:r>
      <w:r>
        <w:rPr>
          <w:rFonts w:cs="Arial"/>
          <w:szCs w:val="22"/>
          <w:lang w:val="en-US"/>
        </w:rPr>
        <w:t xml:space="preserve"> </w:t>
      </w:r>
      <w:r w:rsidR="00EF69ED">
        <w:rPr>
          <w:rFonts w:cs="Arial"/>
          <w:szCs w:val="22"/>
          <w:lang w:val="en-US"/>
        </w:rPr>
        <w:t xml:space="preserve">be permitted </w:t>
      </w:r>
      <w:r>
        <w:rPr>
          <w:rFonts w:cs="Arial"/>
          <w:szCs w:val="22"/>
          <w:lang w:val="en-US"/>
        </w:rPr>
        <w:t xml:space="preserve">to carry health claims </w:t>
      </w:r>
      <w:r w:rsidR="00AB7E97">
        <w:rPr>
          <w:rFonts w:cs="Arial"/>
          <w:szCs w:val="22"/>
          <w:lang w:val="en-US"/>
        </w:rPr>
        <w:t xml:space="preserve">relating to their </w:t>
      </w:r>
      <w:r w:rsidR="00EF69ED">
        <w:rPr>
          <w:rFonts w:cs="Arial"/>
          <w:szCs w:val="22"/>
          <w:lang w:val="en-US"/>
        </w:rPr>
        <w:t xml:space="preserve">respective </w:t>
      </w:r>
      <w:r w:rsidR="00AB7E97">
        <w:rPr>
          <w:rFonts w:cs="Arial"/>
          <w:szCs w:val="22"/>
          <w:lang w:val="en-US"/>
        </w:rPr>
        <w:t>intended purpose in accordance with the requirements in Standard 1.2.7</w:t>
      </w:r>
      <w:r w:rsidR="00EF69ED">
        <w:rPr>
          <w:rFonts w:cs="Arial"/>
          <w:szCs w:val="22"/>
          <w:lang w:val="en-US"/>
        </w:rPr>
        <w:t>, which allows for self -substantiated claims</w:t>
      </w:r>
      <w:r w:rsidR="00E360EC">
        <w:rPr>
          <w:rFonts w:cs="Arial"/>
          <w:szCs w:val="22"/>
          <w:lang w:val="en-US"/>
        </w:rPr>
        <w:t xml:space="preserve">. The existing claims </w:t>
      </w:r>
      <w:r w:rsidR="00EF69ED">
        <w:rPr>
          <w:rFonts w:cs="Arial"/>
          <w:szCs w:val="22"/>
          <w:lang w:val="en-US"/>
        </w:rPr>
        <w:t xml:space="preserve">permitted in the Code for these foods </w:t>
      </w:r>
      <w:r w:rsidR="00E360EC">
        <w:rPr>
          <w:rFonts w:cs="Arial"/>
          <w:szCs w:val="22"/>
          <w:lang w:val="en-US"/>
        </w:rPr>
        <w:t>will be retained.</w:t>
      </w:r>
      <w:r w:rsidR="00AB7E97">
        <w:rPr>
          <w:rFonts w:cs="Arial"/>
          <w:szCs w:val="22"/>
          <w:lang w:val="en-US"/>
        </w:rPr>
        <w:t xml:space="preserve"> </w:t>
      </w:r>
    </w:p>
    <w:p w:rsidR="00386947" w:rsidRDefault="00386947" w:rsidP="007467D7">
      <w:pPr>
        <w:widowControl/>
        <w:rPr>
          <w:rFonts w:cs="Arial"/>
          <w:szCs w:val="22"/>
          <w:lang w:val="en-US"/>
        </w:rPr>
      </w:pPr>
    </w:p>
    <w:p w:rsidR="007F14DF" w:rsidRDefault="00660AAF" w:rsidP="007467D7">
      <w:pPr>
        <w:widowControl/>
      </w:pPr>
      <w:r>
        <w:rPr>
          <w:rFonts w:cs="Arial"/>
          <w:szCs w:val="22"/>
          <w:lang w:val="en-US"/>
        </w:rPr>
        <w:t xml:space="preserve">Consistent with the current provisions for </w:t>
      </w:r>
      <w:r w:rsidR="007F14DF">
        <w:rPr>
          <w:rFonts w:cs="Arial"/>
          <w:szCs w:val="22"/>
          <w:lang w:val="en-US"/>
        </w:rPr>
        <w:t>s</w:t>
      </w:r>
      <w:r>
        <w:rPr>
          <w:rFonts w:cs="Arial"/>
          <w:szCs w:val="22"/>
          <w:lang w:val="en-US"/>
        </w:rPr>
        <w:t xml:space="preserve">pecial </w:t>
      </w:r>
      <w:r w:rsidR="007F14DF">
        <w:rPr>
          <w:rFonts w:cs="Arial"/>
          <w:szCs w:val="22"/>
          <w:lang w:val="en-US"/>
        </w:rPr>
        <w:t>p</w:t>
      </w:r>
      <w:r>
        <w:rPr>
          <w:rFonts w:cs="Arial"/>
          <w:szCs w:val="22"/>
          <w:lang w:val="en-US"/>
        </w:rPr>
        <w:t xml:space="preserve">urpose foods, </w:t>
      </w:r>
      <w:r>
        <w:t>FSSF</w:t>
      </w:r>
      <w:r w:rsidR="00CA5C90">
        <w:t>s</w:t>
      </w:r>
      <w:r>
        <w:t xml:space="preserve"> and ED</w:t>
      </w:r>
      <w:r w:rsidR="00CA5C90">
        <w:t>s</w:t>
      </w:r>
      <w:r>
        <w:t xml:space="preserve"> carrying such claims will not have to meet the NPSC. </w:t>
      </w:r>
      <w:r w:rsidR="007F14DF" w:rsidRPr="002A65C0">
        <w:t xml:space="preserve">The </w:t>
      </w:r>
      <w:r w:rsidR="007718D3">
        <w:t>reason for this</w:t>
      </w:r>
      <w:r w:rsidR="006D4FCB">
        <w:t xml:space="preserve"> </w:t>
      </w:r>
      <w:r w:rsidR="007F14DF" w:rsidRPr="002A65C0">
        <w:t xml:space="preserve">is that </w:t>
      </w:r>
      <w:r w:rsidR="006D4FCB">
        <w:t xml:space="preserve">these </w:t>
      </w:r>
      <w:r w:rsidR="007F14DF" w:rsidRPr="002A65C0">
        <w:t xml:space="preserve">foods </w:t>
      </w:r>
      <w:r w:rsidR="006D4FCB">
        <w:t>are</w:t>
      </w:r>
      <w:r w:rsidR="007F14DF" w:rsidRPr="002A65C0">
        <w:t xml:space="preserve"> specially formulated for specific dietary purposes</w:t>
      </w:r>
      <w:r w:rsidR="008F07B5">
        <w:t xml:space="preserve"> and must meet certain prescribed compositional requirements</w:t>
      </w:r>
      <w:r w:rsidR="006D4FCB">
        <w:t xml:space="preserve"> related to those purposes</w:t>
      </w:r>
      <w:r w:rsidR="008F07B5">
        <w:t xml:space="preserve">. </w:t>
      </w:r>
      <w:r w:rsidR="007718D3">
        <w:t xml:space="preserve">Limiting </w:t>
      </w:r>
      <w:r w:rsidR="005708C5">
        <w:t xml:space="preserve">permitted </w:t>
      </w:r>
      <w:r w:rsidR="008F07B5">
        <w:t xml:space="preserve">health claims to the purpose of the </w:t>
      </w:r>
      <w:r w:rsidR="006D4FCB">
        <w:t>food</w:t>
      </w:r>
      <w:r w:rsidR="005708C5">
        <w:t xml:space="preserve"> </w:t>
      </w:r>
      <w:r w:rsidR="007718D3">
        <w:t xml:space="preserve">will </w:t>
      </w:r>
      <w:r w:rsidR="005708C5" w:rsidRPr="005708C5">
        <w:t>reduce the potential for consumers to be misled</w:t>
      </w:r>
      <w:r w:rsidR="008F07B5" w:rsidRPr="008F07B5">
        <w:t xml:space="preserve"> as to </w:t>
      </w:r>
      <w:r w:rsidR="006D4FCB">
        <w:t xml:space="preserve">the </w:t>
      </w:r>
      <w:r w:rsidR="008F07B5" w:rsidRPr="008F07B5">
        <w:t>overall health value and purpose</w:t>
      </w:r>
      <w:r w:rsidR="00EF69ED">
        <w:t xml:space="preserve"> of the</w:t>
      </w:r>
      <w:r w:rsidR="00EF69ED" w:rsidRPr="00EF69ED">
        <w:t xml:space="preserve"> </w:t>
      </w:r>
      <w:r w:rsidR="00EF69ED">
        <w:t>foods</w:t>
      </w:r>
      <w:r w:rsidR="001F7711">
        <w:t xml:space="preserve">. </w:t>
      </w:r>
    </w:p>
    <w:p w:rsidR="00D45629" w:rsidRDefault="00D45629" w:rsidP="007467D7">
      <w:pPr>
        <w:widowControl/>
      </w:pPr>
    </w:p>
    <w:p w:rsidR="000C7DAA" w:rsidRDefault="00451AC7" w:rsidP="007467D7">
      <w:pPr>
        <w:widowControl/>
      </w:pPr>
      <w:r w:rsidRPr="00451AC7">
        <w:t>Standard 1.2.7 regulates nutrition content claims as well as health claims. T</w:t>
      </w:r>
      <w:r w:rsidR="009B74A2" w:rsidRPr="00451AC7">
        <w:rPr>
          <w:lang w:val="en-NZ"/>
        </w:rPr>
        <w:t xml:space="preserve">he draft variation </w:t>
      </w:r>
      <w:r w:rsidRPr="00451AC7">
        <w:rPr>
          <w:lang w:val="en-NZ"/>
        </w:rPr>
        <w:t>makes</w:t>
      </w:r>
      <w:r w:rsidR="009B74A2" w:rsidRPr="00451AC7">
        <w:rPr>
          <w:lang w:val="en-NZ"/>
        </w:rPr>
        <w:t xml:space="preserve"> a minor amendment to </w:t>
      </w:r>
      <w:r w:rsidRPr="00451AC7">
        <w:rPr>
          <w:lang w:val="en-NZ"/>
        </w:rPr>
        <w:t xml:space="preserve">Schedule 1 of </w:t>
      </w:r>
      <w:r w:rsidR="009B74A2" w:rsidRPr="00451AC7">
        <w:rPr>
          <w:lang w:val="en-NZ"/>
        </w:rPr>
        <w:t xml:space="preserve">Standard 1.2.7 to provide the conditions that must be met when making </w:t>
      </w:r>
      <w:r w:rsidR="00A5532E">
        <w:rPr>
          <w:lang w:val="en-NZ"/>
        </w:rPr>
        <w:t xml:space="preserve">pre-approved </w:t>
      </w:r>
      <w:r w:rsidR="009B74A2" w:rsidRPr="00451AC7">
        <w:rPr>
          <w:lang w:val="en-NZ"/>
        </w:rPr>
        <w:t xml:space="preserve">health claims about specific vitamins or minerals in </w:t>
      </w:r>
      <w:r w:rsidR="007861E7" w:rsidRPr="00451AC7">
        <w:rPr>
          <w:lang w:val="en-NZ"/>
        </w:rPr>
        <w:t>relation to FSSFs</w:t>
      </w:r>
      <w:r w:rsidR="000C7DAA" w:rsidRPr="00451AC7">
        <w:t>.</w:t>
      </w:r>
      <w:r w:rsidRPr="00451AC7">
        <w:t xml:space="preserve"> However, the draft variation does not change existing requirements </w:t>
      </w:r>
      <w:r w:rsidR="00A5532E">
        <w:t>for</w:t>
      </w:r>
      <w:r w:rsidRPr="00451AC7">
        <w:t xml:space="preserve"> mak</w:t>
      </w:r>
      <w:r w:rsidR="00A5532E">
        <w:t>ing</w:t>
      </w:r>
      <w:r w:rsidRPr="00451AC7">
        <w:t xml:space="preserve"> nutrition content claims about FSSFs and EDs</w:t>
      </w:r>
      <w:r>
        <w:t>.</w:t>
      </w:r>
    </w:p>
    <w:p w:rsidR="00D3641E" w:rsidRDefault="00D3641E" w:rsidP="007467D7">
      <w:pPr>
        <w:widowControl/>
      </w:pPr>
    </w:p>
    <w:p w:rsidR="00D3641E" w:rsidRPr="009B74A2" w:rsidRDefault="00D3641E" w:rsidP="007467D7">
      <w:pPr>
        <w:widowControl/>
      </w:pPr>
      <w:r>
        <w:t>Apart from permitting FSSF to carry health claims related to their intended purpose</w:t>
      </w:r>
      <w:r w:rsidR="00940E9B">
        <w:t>,</w:t>
      </w:r>
      <w:r>
        <w:t xml:space="preserve"> the draft variation proposes no other changes to the regulation of FSSF. </w:t>
      </w:r>
    </w:p>
    <w:p w:rsidR="00345E52" w:rsidRDefault="00345E52" w:rsidP="007467D7">
      <w:pPr>
        <w:pStyle w:val="Heading2"/>
        <w:widowControl/>
      </w:pPr>
      <w:bookmarkStart w:id="33" w:name="_Toc395775010"/>
      <w:r>
        <w:t>2.2</w:t>
      </w:r>
      <w:r w:rsidR="006270D6">
        <w:tab/>
      </w:r>
      <w:r>
        <w:t>Electrolyte Drinks</w:t>
      </w:r>
      <w:bookmarkEnd w:id="33"/>
    </w:p>
    <w:p w:rsidR="006F3005" w:rsidRDefault="006F3005" w:rsidP="007467D7">
      <w:pPr>
        <w:pStyle w:val="Heading3"/>
        <w:widowControl/>
      </w:pPr>
      <w:bookmarkStart w:id="34" w:name="_Toc395775011"/>
      <w:r>
        <w:t>2.2.</w:t>
      </w:r>
      <w:r w:rsidR="007D1350">
        <w:t>1</w:t>
      </w:r>
      <w:r>
        <w:tab/>
        <w:t>Definition</w:t>
      </w:r>
      <w:bookmarkEnd w:id="34"/>
      <w:r>
        <w:t xml:space="preserve"> </w:t>
      </w:r>
    </w:p>
    <w:p w:rsidR="00274C87" w:rsidRPr="00A14E1B" w:rsidRDefault="00274C87" w:rsidP="00274C87">
      <w:pPr>
        <w:widowControl/>
      </w:pPr>
      <w:r>
        <w:t xml:space="preserve">The current definition of </w:t>
      </w:r>
      <w:r w:rsidR="00386947">
        <w:t xml:space="preserve">an </w:t>
      </w:r>
      <w:r>
        <w:t xml:space="preserve">ED is </w:t>
      </w:r>
      <w:r w:rsidRPr="002A65C0">
        <w:t xml:space="preserve">a </w:t>
      </w:r>
      <w:r w:rsidRPr="005E2B6C">
        <w:rPr>
          <w:i/>
        </w:rPr>
        <w:t>drink formulated and represented as suitable for the rapid replacement of fluid, carbohydrates, electrolytes and minerals</w:t>
      </w:r>
      <w:r>
        <w:rPr>
          <w:i/>
        </w:rPr>
        <w:t xml:space="preserve">. </w:t>
      </w:r>
      <w:r>
        <w:t xml:space="preserve">FSANZ </w:t>
      </w:r>
      <w:r w:rsidR="007B4157">
        <w:t xml:space="preserve">is </w:t>
      </w:r>
      <w:r>
        <w:t>propos</w:t>
      </w:r>
      <w:r w:rsidR="007B4157">
        <w:t>ing</w:t>
      </w:r>
      <w:r>
        <w:t xml:space="preserve"> </w:t>
      </w:r>
      <w:r w:rsidR="00EF69ED">
        <w:t xml:space="preserve">to </w:t>
      </w:r>
      <w:r>
        <w:t>chang</w:t>
      </w:r>
      <w:r w:rsidR="00EF69ED">
        <w:t>e</w:t>
      </w:r>
      <w:r>
        <w:t xml:space="preserve"> the definition by removing the reference to minerals, because there is no mandatory compositional requirement to include minerals, other than sodium, which can be considered a</w:t>
      </w:r>
      <w:r w:rsidR="007B4157">
        <w:t>s a</w:t>
      </w:r>
      <w:r>
        <w:t xml:space="preserve"> mineral or an electrolyte. </w:t>
      </w:r>
    </w:p>
    <w:p w:rsidR="00BD235A" w:rsidRDefault="00BD235A" w:rsidP="007467D7">
      <w:pPr>
        <w:widowControl/>
      </w:pPr>
    </w:p>
    <w:p w:rsidR="00D77136" w:rsidRDefault="00D77136" w:rsidP="00D77136">
      <w:pPr>
        <w:widowControl/>
      </w:pPr>
      <w:r>
        <w:t>Also, a</w:t>
      </w:r>
      <w:r w:rsidR="00BD235A">
        <w:t xml:space="preserve">s the </w:t>
      </w:r>
      <w:r w:rsidR="00B620B9">
        <w:t xml:space="preserve">Proposal </w:t>
      </w:r>
      <w:r w:rsidR="007B4157">
        <w:t xml:space="preserve">will broaden the permitted </w:t>
      </w:r>
      <w:r w:rsidR="00BD235A">
        <w:t xml:space="preserve">health claims </w:t>
      </w:r>
      <w:r w:rsidR="007B4157">
        <w:t>for</w:t>
      </w:r>
      <w:r w:rsidR="00BD235A">
        <w:t xml:space="preserve"> EDs</w:t>
      </w:r>
      <w:r w:rsidR="00B620B9">
        <w:t>,</w:t>
      </w:r>
      <w:r w:rsidR="00BD235A">
        <w:t xml:space="preserve"> the requirement in the definition for EDs to be </w:t>
      </w:r>
      <w:r w:rsidR="00A5532E">
        <w:t>‘</w:t>
      </w:r>
      <w:r w:rsidR="00BD235A">
        <w:t>represented as</w:t>
      </w:r>
      <w:r w:rsidR="00A5532E">
        <w:t>’</w:t>
      </w:r>
      <w:r w:rsidR="00BD235A">
        <w:t xml:space="preserve"> has become superfluous. </w:t>
      </w:r>
      <w:r w:rsidR="006F3005">
        <w:t xml:space="preserve">The </w:t>
      </w:r>
      <w:r w:rsidR="00BD235A">
        <w:t xml:space="preserve">proposed new </w:t>
      </w:r>
      <w:r w:rsidR="006F3005">
        <w:t xml:space="preserve">definition also strengthens the association of consumption </w:t>
      </w:r>
      <w:r w:rsidR="00B620B9">
        <w:t xml:space="preserve">of EDs </w:t>
      </w:r>
      <w:r w:rsidR="006F3005">
        <w:t xml:space="preserve">with </w:t>
      </w:r>
      <w:r w:rsidR="00614D03">
        <w:t xml:space="preserve">their intended purpose and use for </w:t>
      </w:r>
      <w:r w:rsidR="006F3005">
        <w:t>sustained strenuous physical activity.</w:t>
      </w:r>
      <w:r w:rsidRPr="00D77136">
        <w:t xml:space="preserve"> </w:t>
      </w:r>
    </w:p>
    <w:p w:rsidR="00D77136" w:rsidRDefault="00D77136" w:rsidP="00D77136">
      <w:pPr>
        <w:widowControl/>
      </w:pPr>
    </w:p>
    <w:p w:rsidR="00D77136" w:rsidRDefault="00D77136" w:rsidP="00D77136">
      <w:pPr>
        <w:widowControl/>
      </w:pPr>
      <w:r>
        <w:t xml:space="preserve">The proposed new </w:t>
      </w:r>
      <w:r w:rsidRPr="00A870AD">
        <w:t>definition is</w:t>
      </w:r>
      <w:r>
        <w:t>:</w:t>
      </w:r>
      <w:r w:rsidRPr="00A870AD">
        <w:t xml:space="preserve"> </w:t>
      </w:r>
      <w:r w:rsidRPr="00B35622">
        <w:rPr>
          <w:b/>
          <w:szCs w:val="22"/>
        </w:rPr>
        <w:t>e</w:t>
      </w:r>
      <w:r w:rsidRPr="00CA5C90">
        <w:rPr>
          <w:b/>
          <w:i/>
          <w:szCs w:val="22"/>
        </w:rPr>
        <w:t>lectrolyte</w:t>
      </w:r>
      <w:r w:rsidRPr="00CA5C90">
        <w:rPr>
          <w:i/>
        </w:rPr>
        <w:t xml:space="preserve"> </w:t>
      </w:r>
      <w:r w:rsidRPr="00CA5C90">
        <w:rPr>
          <w:b/>
          <w:i/>
          <w:szCs w:val="22"/>
        </w:rPr>
        <w:t>drink</w:t>
      </w:r>
      <w:r w:rsidRPr="00CA5C90">
        <w:rPr>
          <w:i/>
        </w:rPr>
        <w:t xml:space="preserve"> means a drink formulated for the rapid replacement of fluid, carbohydrates and electrolytes lost as a result of sustained strenuous physical activity</w:t>
      </w:r>
      <w:r>
        <w:t>.</w:t>
      </w:r>
    </w:p>
    <w:p w:rsidR="000D6E9A" w:rsidRDefault="00345E52" w:rsidP="007467D7">
      <w:pPr>
        <w:pStyle w:val="Heading3"/>
        <w:widowControl/>
      </w:pPr>
      <w:bookmarkStart w:id="35" w:name="_Toc395775012"/>
      <w:r>
        <w:t>2.2.</w:t>
      </w:r>
      <w:r w:rsidR="007D1350">
        <w:t>2</w:t>
      </w:r>
      <w:r w:rsidR="007D016B">
        <w:tab/>
      </w:r>
      <w:r w:rsidR="00F716B7">
        <w:t>E</w:t>
      </w:r>
      <w:r w:rsidR="00BD4D34">
        <w:t xml:space="preserve">lectrolyte </w:t>
      </w:r>
      <w:r w:rsidR="00F716B7">
        <w:t>D</w:t>
      </w:r>
      <w:r w:rsidR="00BD4D34">
        <w:t>rinks</w:t>
      </w:r>
      <w:r w:rsidR="00F716B7">
        <w:t xml:space="preserve"> as a </w:t>
      </w:r>
      <w:r w:rsidR="00732C13">
        <w:t>Special Purpose Food</w:t>
      </w:r>
      <w:bookmarkEnd w:id="35"/>
      <w:r w:rsidR="000D6E9A">
        <w:t xml:space="preserve"> </w:t>
      </w:r>
    </w:p>
    <w:p w:rsidR="0046166F" w:rsidRDefault="0046166F" w:rsidP="007467D7">
      <w:pPr>
        <w:widowControl/>
      </w:pPr>
      <w:r w:rsidRPr="00F96722">
        <w:t>The draft variation transfers regulation of ED</w:t>
      </w:r>
      <w:r>
        <w:t>s</w:t>
      </w:r>
      <w:r w:rsidRPr="00F96722">
        <w:t xml:space="preserve"> to </w:t>
      </w:r>
      <w:r>
        <w:t xml:space="preserve">a new division of </w:t>
      </w:r>
      <w:r w:rsidRPr="00F96722">
        <w:t>Standard 2.9.4</w:t>
      </w:r>
      <w:r>
        <w:t xml:space="preserve"> </w:t>
      </w:r>
      <w:r w:rsidRPr="00F96722">
        <w:t xml:space="preserve">to more clearly </w:t>
      </w:r>
      <w:r w:rsidR="00614D03">
        <w:t>recognise</w:t>
      </w:r>
      <w:r w:rsidR="00614D03" w:rsidRPr="00F96722">
        <w:t xml:space="preserve"> </w:t>
      </w:r>
      <w:r w:rsidRPr="00F96722">
        <w:t>the purpose of ED</w:t>
      </w:r>
      <w:r>
        <w:t>s</w:t>
      </w:r>
      <w:r w:rsidRPr="00F96722">
        <w:t xml:space="preserve"> as a food specifically formulated for strenuous physical activity, rather than </w:t>
      </w:r>
      <w:r>
        <w:t xml:space="preserve">as </w:t>
      </w:r>
      <w:r w:rsidRPr="00F96722">
        <w:t xml:space="preserve">a lifestyle product not specifically formulated for </w:t>
      </w:r>
      <w:r w:rsidR="00AD3E69">
        <w:t>sports people</w:t>
      </w:r>
      <w:r w:rsidRPr="00F96722">
        <w:t xml:space="preserve">. This </w:t>
      </w:r>
      <w:r>
        <w:t>transfer</w:t>
      </w:r>
      <w:r w:rsidRPr="00F96722">
        <w:t xml:space="preserve"> is consistent with </w:t>
      </w:r>
      <w:r w:rsidR="00A8703F">
        <w:t xml:space="preserve">targeted consultation with industry and jurisdictions </w:t>
      </w:r>
      <w:r w:rsidR="00BD235A">
        <w:t xml:space="preserve">in 2011 </w:t>
      </w:r>
      <w:r w:rsidRPr="00F96722">
        <w:t xml:space="preserve">and the </w:t>
      </w:r>
      <w:r>
        <w:t>findings</w:t>
      </w:r>
      <w:r w:rsidRPr="00F96722">
        <w:t xml:space="preserve"> of FSANZ consumer research</w:t>
      </w:r>
      <w:r w:rsidRPr="00F96722">
        <w:rPr>
          <w:vertAlign w:val="superscript"/>
        </w:rPr>
        <w:footnoteReference w:id="1"/>
      </w:r>
      <w:r w:rsidRPr="00F96722">
        <w:t xml:space="preserve"> which show</w:t>
      </w:r>
      <w:r w:rsidR="00BD235A">
        <w:t>ed</w:t>
      </w:r>
      <w:r w:rsidRPr="00F96722">
        <w:t xml:space="preserve"> consumers consider ED</w:t>
      </w:r>
      <w:r>
        <w:t>s</w:t>
      </w:r>
      <w:r w:rsidRPr="00F96722">
        <w:t xml:space="preserve"> to be a sports food. </w:t>
      </w:r>
    </w:p>
    <w:p w:rsidR="00AD3E69" w:rsidRDefault="00AD3E69" w:rsidP="007467D7">
      <w:pPr>
        <w:widowControl/>
        <w:rPr>
          <w:lang w:bidi="ar-SA"/>
        </w:rPr>
      </w:pPr>
    </w:p>
    <w:p w:rsidR="00386947" w:rsidRDefault="007A18FA" w:rsidP="007467D7">
      <w:pPr>
        <w:widowControl/>
        <w:rPr>
          <w:lang w:bidi="ar-SA"/>
        </w:rPr>
      </w:pPr>
      <w:r w:rsidRPr="00CD1D9F">
        <w:rPr>
          <w:lang w:bidi="ar-SA"/>
        </w:rPr>
        <w:t xml:space="preserve">Foods regulated by Part 2.9 </w:t>
      </w:r>
      <w:r>
        <w:rPr>
          <w:lang w:bidi="ar-SA"/>
        </w:rPr>
        <w:t>(including Standard 2.9.4) are considered special purpose foods</w:t>
      </w:r>
      <w:r w:rsidR="007B4157">
        <w:rPr>
          <w:lang w:bidi="ar-SA"/>
        </w:rPr>
        <w:t xml:space="preserve"> that are</w:t>
      </w:r>
      <w:r w:rsidR="00E96CC9">
        <w:rPr>
          <w:lang w:bidi="ar-SA"/>
        </w:rPr>
        <w:t xml:space="preserve"> formulated for specific dietary purposes</w:t>
      </w:r>
      <w:r>
        <w:rPr>
          <w:lang w:bidi="ar-SA"/>
        </w:rPr>
        <w:t xml:space="preserve">. </w:t>
      </w:r>
      <w:r w:rsidR="00386947">
        <w:rPr>
          <w:lang w:bidi="ar-SA"/>
        </w:rPr>
        <w:br w:type="page"/>
      </w:r>
    </w:p>
    <w:p w:rsidR="00D05AA3" w:rsidRDefault="007A18FA" w:rsidP="007467D7">
      <w:pPr>
        <w:widowControl/>
      </w:pPr>
      <w:r>
        <w:lastRenderedPageBreak/>
        <w:t>Special purpose foods have prescribed composition</w:t>
      </w:r>
      <w:r w:rsidR="00747F49">
        <w:t>al requirements</w:t>
      </w:r>
      <w:r>
        <w:t xml:space="preserve"> and </w:t>
      </w:r>
      <w:r w:rsidR="00E96CC9">
        <w:t>can</w:t>
      </w:r>
      <w:r w:rsidR="00747F49">
        <w:t xml:space="preserve"> </w:t>
      </w:r>
      <w:r w:rsidR="00E96CC9">
        <w:t xml:space="preserve">have </w:t>
      </w:r>
      <w:r>
        <w:t xml:space="preserve">specific labelling requirements to address </w:t>
      </w:r>
      <w:r w:rsidR="00E96CC9">
        <w:t xml:space="preserve">any </w:t>
      </w:r>
      <w:r>
        <w:t xml:space="preserve">potential risks associated with the composition of the food. </w:t>
      </w:r>
      <w:r w:rsidR="006F3005">
        <w:t xml:space="preserve">The </w:t>
      </w:r>
      <w:r w:rsidR="00947D34">
        <w:rPr>
          <w:rFonts w:cs="Helvetica"/>
          <w:lang w:val="en-AU"/>
        </w:rPr>
        <w:t xml:space="preserve">Australia and New Zealand Ministerial Forum on Food </w:t>
      </w:r>
      <w:r w:rsidR="00947D34">
        <w:rPr>
          <w:rFonts w:cs="Arial"/>
        </w:rPr>
        <w:t>Regulation</w:t>
      </w:r>
      <w:r w:rsidR="00947D34">
        <w:rPr>
          <w:rStyle w:val="FootnoteReference"/>
        </w:rPr>
        <w:footnoteReference w:id="2"/>
      </w:r>
      <w:r w:rsidR="00FF7D8E">
        <w:t xml:space="preserve"> </w:t>
      </w:r>
      <w:r w:rsidR="004417C8">
        <w:t>ha</w:t>
      </w:r>
      <w:r w:rsidR="008871D8">
        <w:t>s</w:t>
      </w:r>
      <w:r w:rsidR="004417C8">
        <w:t xml:space="preserve"> issued a </w:t>
      </w:r>
      <w:r w:rsidR="006F3005">
        <w:t>Policy Guideline</w:t>
      </w:r>
      <w:r w:rsidR="00ED40BF">
        <w:rPr>
          <w:rStyle w:val="FootnoteReference"/>
        </w:rPr>
        <w:footnoteReference w:id="3"/>
      </w:r>
      <w:r w:rsidR="00CA5C90">
        <w:t xml:space="preserve"> </w:t>
      </w:r>
      <w:r w:rsidR="006F3005">
        <w:t xml:space="preserve">on the </w:t>
      </w:r>
      <w:r w:rsidR="00AD3E69">
        <w:t xml:space="preserve">Intent </w:t>
      </w:r>
      <w:r w:rsidR="006F3005">
        <w:t>of Part 2.9 – Special Purpose Foods</w:t>
      </w:r>
      <w:r w:rsidR="00B620B9">
        <w:t>.</w:t>
      </w:r>
      <w:r w:rsidR="006F3005">
        <w:t xml:space="preserve"> </w:t>
      </w:r>
      <w:r w:rsidR="004417C8" w:rsidRPr="00046B7F">
        <w:t xml:space="preserve">FSANZ </w:t>
      </w:r>
      <w:r w:rsidR="0081440D">
        <w:t xml:space="preserve">is required to have regard to this </w:t>
      </w:r>
      <w:r w:rsidR="00D30B1A">
        <w:t>g</w:t>
      </w:r>
      <w:r w:rsidR="00B620B9">
        <w:t xml:space="preserve">uideline </w:t>
      </w:r>
      <w:r w:rsidR="0081440D">
        <w:t xml:space="preserve">and </w:t>
      </w:r>
      <w:r w:rsidR="004417C8" w:rsidRPr="00046B7F">
        <w:t xml:space="preserve">considers </w:t>
      </w:r>
      <w:r w:rsidR="0081440D">
        <w:t xml:space="preserve">the transfer of EDs </w:t>
      </w:r>
      <w:r w:rsidR="00B73C00">
        <w:t xml:space="preserve">and the draft variation </w:t>
      </w:r>
      <w:r w:rsidR="007B4157">
        <w:t>to be</w:t>
      </w:r>
      <w:r w:rsidR="009A192B">
        <w:t xml:space="preserve"> </w:t>
      </w:r>
      <w:r w:rsidR="0081440D">
        <w:t xml:space="preserve">consistent </w:t>
      </w:r>
      <w:r w:rsidR="00B73C00">
        <w:t xml:space="preserve">with the </w:t>
      </w:r>
      <w:proofErr w:type="gramStart"/>
      <w:r w:rsidR="007B4157">
        <w:t>guideline</w:t>
      </w:r>
      <w:r w:rsidR="00B73C00">
        <w:t>,</w:t>
      </w:r>
      <w:proofErr w:type="gramEnd"/>
      <w:r w:rsidR="00B73C00">
        <w:t xml:space="preserve"> </w:t>
      </w:r>
      <w:r w:rsidR="00F96722">
        <w:t>s</w:t>
      </w:r>
      <w:r w:rsidR="004417C8">
        <w:t>ee analysis at Appendix 1.</w:t>
      </w:r>
      <w:r w:rsidR="004417C8" w:rsidRPr="00046B7F">
        <w:t xml:space="preserve"> </w:t>
      </w:r>
      <w:r w:rsidR="00D30B1A">
        <w:t>Tran</w:t>
      </w:r>
      <w:r w:rsidR="00940E9B">
        <w:t>s</w:t>
      </w:r>
      <w:r w:rsidR="00D30B1A">
        <w:t>ferring</w:t>
      </w:r>
      <w:r w:rsidR="00D05AA3">
        <w:t xml:space="preserve"> regulation of EDs from Standard 2.6.2</w:t>
      </w:r>
      <w:r w:rsidR="007C6EB3">
        <w:t xml:space="preserve"> to Standard 2.9.4</w:t>
      </w:r>
      <w:r w:rsidR="00D05AA3">
        <w:t xml:space="preserve"> does not change the </w:t>
      </w:r>
      <w:r w:rsidR="00D05AA3" w:rsidRPr="00F96722">
        <w:t xml:space="preserve">composition </w:t>
      </w:r>
      <w:r w:rsidR="0081440D">
        <w:t xml:space="preserve">requirements </w:t>
      </w:r>
      <w:r w:rsidR="007C6EB3">
        <w:t xml:space="preserve">for </w:t>
      </w:r>
      <w:r w:rsidR="00D05AA3" w:rsidRPr="00F96722">
        <w:t>ED</w:t>
      </w:r>
      <w:r w:rsidR="00D05AA3">
        <w:t>s</w:t>
      </w:r>
      <w:r w:rsidR="0081440D">
        <w:t xml:space="preserve"> nor </w:t>
      </w:r>
      <w:r w:rsidR="00B620B9">
        <w:t xml:space="preserve">does it change </w:t>
      </w:r>
      <w:r w:rsidR="0081440D">
        <w:t>t</w:t>
      </w:r>
      <w:r w:rsidR="00D05AA3">
        <w:t xml:space="preserve">he </w:t>
      </w:r>
      <w:r w:rsidR="005C5541">
        <w:t xml:space="preserve">existing </w:t>
      </w:r>
      <w:r w:rsidR="00D05AA3">
        <w:t>labelling requirements</w:t>
      </w:r>
      <w:r w:rsidR="0081440D">
        <w:t xml:space="preserve">. </w:t>
      </w:r>
      <w:r w:rsidR="005C5541">
        <w:t>However</w:t>
      </w:r>
      <w:r w:rsidR="00370E8F">
        <w:t>,</w:t>
      </w:r>
      <w:r w:rsidR="005C5541">
        <w:t xml:space="preserve"> FSANZ is proposing inclu</w:t>
      </w:r>
      <w:r w:rsidR="00D30B1A">
        <w:t xml:space="preserve">ding </w:t>
      </w:r>
      <w:r w:rsidR="005C5541">
        <w:t>a prescribed name and updated nutrition information requirements as discussed below.</w:t>
      </w:r>
    </w:p>
    <w:p w:rsidR="00AD3B5D" w:rsidRDefault="00AD3B5D" w:rsidP="007467D7">
      <w:pPr>
        <w:widowControl/>
      </w:pPr>
    </w:p>
    <w:p w:rsidR="000D4785" w:rsidRPr="009B74A2" w:rsidRDefault="000D4785" w:rsidP="007467D7">
      <w:pPr>
        <w:widowControl/>
      </w:pPr>
      <w:r w:rsidRPr="009B74A2">
        <w:t xml:space="preserve">The food additive permissions for </w:t>
      </w:r>
      <w:r w:rsidR="00134508">
        <w:t>water</w:t>
      </w:r>
      <w:r w:rsidR="00370E8F">
        <w:t>-</w:t>
      </w:r>
      <w:r w:rsidR="00134508">
        <w:t xml:space="preserve">based flavoured drinks that apply to EDs and the permissions listed under </w:t>
      </w:r>
      <w:r w:rsidRPr="009B74A2">
        <w:t xml:space="preserve">electrolyte drinks and electrolyte drink bases </w:t>
      </w:r>
      <w:r w:rsidR="00CA5C90">
        <w:t xml:space="preserve">currently found </w:t>
      </w:r>
      <w:r w:rsidRPr="009B74A2">
        <w:t>in Schedule 1 of Standard 1.3.1</w:t>
      </w:r>
      <w:r w:rsidR="006713CD" w:rsidRPr="009B74A2">
        <w:t xml:space="preserve"> – Food Additives</w:t>
      </w:r>
      <w:r w:rsidRPr="009B74A2">
        <w:t xml:space="preserve"> will be </w:t>
      </w:r>
      <w:r w:rsidR="002F2C38" w:rsidRPr="009B74A2">
        <w:t>moved to the Special Purpose Foods section of th</w:t>
      </w:r>
      <w:r w:rsidR="00370E8F">
        <w:t>at</w:t>
      </w:r>
      <w:r w:rsidR="002F2C38" w:rsidRPr="009B74A2">
        <w:t xml:space="preserve"> </w:t>
      </w:r>
      <w:r w:rsidR="00ED40BF">
        <w:t>S</w:t>
      </w:r>
      <w:r w:rsidR="002F2C38" w:rsidRPr="009B74A2">
        <w:t>chedule.</w:t>
      </w:r>
      <w:r w:rsidR="00134508">
        <w:t xml:space="preserve"> </w:t>
      </w:r>
    </w:p>
    <w:p w:rsidR="007E70D3" w:rsidRPr="00046B7F" w:rsidRDefault="0005689E" w:rsidP="007467D7">
      <w:pPr>
        <w:pStyle w:val="Heading3"/>
        <w:widowControl/>
      </w:pPr>
      <w:bookmarkStart w:id="36" w:name="_Toc395775013"/>
      <w:bookmarkStart w:id="37" w:name="_Toc300761910"/>
      <w:r>
        <w:t>2.</w:t>
      </w:r>
      <w:r w:rsidR="00345E52">
        <w:t>2.3</w:t>
      </w:r>
      <w:r w:rsidR="00C56C26">
        <w:tab/>
      </w:r>
      <w:r w:rsidR="007E70D3" w:rsidRPr="00046B7F">
        <w:t>Prescribed Name</w:t>
      </w:r>
      <w:bookmarkEnd w:id="36"/>
    </w:p>
    <w:p w:rsidR="00DB01AF" w:rsidRDefault="002132CC" w:rsidP="007467D7">
      <w:pPr>
        <w:widowControl/>
      </w:pPr>
      <w:r>
        <w:t>Standard 1.2.2</w:t>
      </w:r>
      <w:r w:rsidR="00370E8F">
        <w:t xml:space="preserve"> – </w:t>
      </w:r>
      <w:r w:rsidR="00C40EF7">
        <w:t>Food Identification Requirements</w:t>
      </w:r>
      <w:r w:rsidR="000A09EE">
        <w:t>,</w:t>
      </w:r>
      <w:r w:rsidR="00C40EF7">
        <w:t xml:space="preserve"> </w:t>
      </w:r>
      <w:r>
        <w:t>requires that the label on a package of food must include the prescribed name of the food</w:t>
      </w:r>
      <w:r w:rsidR="008164AF">
        <w:t xml:space="preserve"> (if a name is prescribed by the Code)</w:t>
      </w:r>
      <w:r>
        <w:t xml:space="preserve"> and in any other case</w:t>
      </w:r>
      <w:r w:rsidR="00370E8F">
        <w:t>,</w:t>
      </w:r>
      <w:r>
        <w:t xml:space="preserve"> a name or description of the food sufficient to indicate the true nature of the food. </w:t>
      </w:r>
      <w:r w:rsidR="00E132D0">
        <w:t>‘</w:t>
      </w:r>
      <w:r w:rsidR="007E70D3" w:rsidRPr="00046B7F">
        <w:t>F</w:t>
      </w:r>
      <w:r>
        <w:t xml:space="preserve">ormulated </w:t>
      </w:r>
      <w:r w:rsidR="00E14870">
        <w:t>supplementary sports food</w:t>
      </w:r>
      <w:r w:rsidR="00E132D0">
        <w:t>’</w:t>
      </w:r>
      <w:r w:rsidR="00E14870" w:rsidRPr="00046B7F">
        <w:t xml:space="preserve"> </w:t>
      </w:r>
      <w:r w:rsidR="00BE59C9">
        <w:t xml:space="preserve">is a </w:t>
      </w:r>
      <w:r w:rsidR="007E70D3" w:rsidRPr="00046B7F">
        <w:t>prescribed name</w:t>
      </w:r>
      <w:r w:rsidR="00BE59C9">
        <w:t xml:space="preserve"> in the Code.</w:t>
      </w:r>
      <w:r>
        <w:t xml:space="preserve"> </w:t>
      </w:r>
      <w:r w:rsidR="008B5DB1">
        <w:t>With the transfer of regulation of ED</w:t>
      </w:r>
      <w:r w:rsidR="00CA5C90">
        <w:t>s</w:t>
      </w:r>
      <w:r w:rsidR="008B5DB1">
        <w:t xml:space="preserve"> to Standard 2.9.4 and the removal of the requirement </w:t>
      </w:r>
      <w:r w:rsidR="00370E8F">
        <w:t xml:space="preserve">in the definition </w:t>
      </w:r>
      <w:r w:rsidR="008B5DB1">
        <w:t>for ED</w:t>
      </w:r>
      <w:r w:rsidR="00CA5C90">
        <w:t>s</w:t>
      </w:r>
      <w:r w:rsidR="008B5DB1">
        <w:t xml:space="preserve"> to be </w:t>
      </w:r>
      <w:r w:rsidR="009A555C">
        <w:t>‘</w:t>
      </w:r>
      <w:r w:rsidR="008B5DB1">
        <w:t>represented as</w:t>
      </w:r>
      <w:r w:rsidR="004714F2">
        <w:t>’</w:t>
      </w:r>
      <w:r w:rsidR="008B5DB1">
        <w:t xml:space="preserve">, a prescribed name </w:t>
      </w:r>
      <w:r w:rsidR="008F6149">
        <w:t xml:space="preserve">of </w:t>
      </w:r>
      <w:r w:rsidR="005D2B8A">
        <w:t>‘</w:t>
      </w:r>
      <w:r w:rsidR="008F6149">
        <w:t>electrolyte drink</w:t>
      </w:r>
      <w:r w:rsidR="005D2B8A">
        <w:t>’</w:t>
      </w:r>
      <w:r w:rsidR="008F6149">
        <w:t xml:space="preserve"> </w:t>
      </w:r>
      <w:r w:rsidR="00E2622B">
        <w:t xml:space="preserve">has been set </w:t>
      </w:r>
      <w:r w:rsidR="007B4157">
        <w:t>in place of manufacturers’ descriptions of the true nature of the food</w:t>
      </w:r>
      <w:r w:rsidR="005D2B8A">
        <w:t>,</w:t>
      </w:r>
      <w:r w:rsidR="008B5DB1">
        <w:t xml:space="preserve"> to </w:t>
      </w:r>
      <w:r w:rsidR="00D30B1A">
        <w:t xml:space="preserve">help </w:t>
      </w:r>
      <w:r w:rsidR="008B5DB1">
        <w:t xml:space="preserve">enforcement agencies </w:t>
      </w:r>
      <w:r w:rsidR="005C5541">
        <w:t xml:space="preserve">clearly </w:t>
      </w:r>
      <w:r w:rsidR="008B5DB1">
        <w:t>identify ED</w:t>
      </w:r>
      <w:r w:rsidR="00CA5C90">
        <w:t>s</w:t>
      </w:r>
      <w:r w:rsidR="004F7104">
        <w:t xml:space="preserve">. </w:t>
      </w:r>
      <w:r w:rsidR="004C1B40">
        <w:t xml:space="preserve">This is consistent with the approach taken </w:t>
      </w:r>
      <w:r w:rsidR="005965B7">
        <w:t>for</w:t>
      </w:r>
      <w:r w:rsidR="004C1B40">
        <w:t xml:space="preserve"> other </w:t>
      </w:r>
      <w:r w:rsidR="007B4157">
        <w:t>foods</w:t>
      </w:r>
      <w:r w:rsidR="004C1B40">
        <w:t xml:space="preserve"> regulated </w:t>
      </w:r>
      <w:r w:rsidR="00370E8F">
        <w:t>by</w:t>
      </w:r>
      <w:r w:rsidR="004C1B40">
        <w:t xml:space="preserve"> Part 2.9 of the Code</w:t>
      </w:r>
      <w:r w:rsidR="005965B7">
        <w:t>.</w:t>
      </w:r>
    </w:p>
    <w:p w:rsidR="00DB01AF" w:rsidRDefault="00DB01AF" w:rsidP="007467D7">
      <w:pPr>
        <w:pStyle w:val="Heading3"/>
        <w:widowControl/>
      </w:pPr>
      <w:bookmarkStart w:id="38" w:name="_Toc395775014"/>
      <w:r>
        <w:t>2.</w:t>
      </w:r>
      <w:r w:rsidR="00345E52">
        <w:t>2.4</w:t>
      </w:r>
      <w:r>
        <w:tab/>
        <w:t>Nutrition information requirements for ED</w:t>
      </w:r>
      <w:r w:rsidR="00E94E62">
        <w:t>s</w:t>
      </w:r>
      <w:bookmarkEnd w:id="38"/>
    </w:p>
    <w:p w:rsidR="0079101F" w:rsidRDefault="00672A95" w:rsidP="007467D7">
      <w:pPr>
        <w:widowControl/>
      </w:pPr>
      <w:r>
        <w:t xml:space="preserve">A nutrition information panel is currently required on the label of EDs, by Standard 1.2.8 – Nutrition Information Requirements. Additionally, </w:t>
      </w:r>
      <w:r w:rsidR="0079101F">
        <w:t xml:space="preserve">EDs are currently required by Standard 2.6.2 to include a declaration on the label of the average energy value; total carbohydrate, including each type of monosaccharide and disaccharide present; and the milligrams and millimoles of added minerals and electrolytes, per 100 mL of the ED as ready to drink. </w:t>
      </w:r>
    </w:p>
    <w:p w:rsidR="0079101F" w:rsidRDefault="0079101F" w:rsidP="007467D7">
      <w:pPr>
        <w:widowControl/>
      </w:pPr>
    </w:p>
    <w:p w:rsidR="00234CFD" w:rsidRPr="00234CFD" w:rsidRDefault="0079101F" w:rsidP="007467D7">
      <w:pPr>
        <w:widowControl/>
        <w:rPr>
          <w:lang w:bidi="ar-SA"/>
        </w:rPr>
      </w:pPr>
      <w:r>
        <w:t xml:space="preserve">The </w:t>
      </w:r>
      <w:r w:rsidR="00A2754F">
        <w:t xml:space="preserve">draft variation transfers the </w:t>
      </w:r>
      <w:r w:rsidR="00672A95">
        <w:t xml:space="preserve">additional </w:t>
      </w:r>
      <w:r>
        <w:t xml:space="preserve">nutrition information requirements for EDs </w:t>
      </w:r>
      <w:r w:rsidR="004A169D">
        <w:t xml:space="preserve">from Standard 2.6.2 </w:t>
      </w:r>
      <w:r>
        <w:t xml:space="preserve">to Standard 2.9.4 and </w:t>
      </w:r>
      <w:r w:rsidR="004A169D">
        <w:t>align</w:t>
      </w:r>
      <w:r w:rsidR="00A2754F">
        <w:t>s them</w:t>
      </w:r>
      <w:r w:rsidR="004A169D">
        <w:t xml:space="preserve"> with the </w:t>
      </w:r>
      <w:r>
        <w:t>provisions in Standard 1.2.8</w:t>
      </w:r>
      <w:r w:rsidR="004A169D">
        <w:t xml:space="preserve"> for nutrition information panels</w:t>
      </w:r>
      <w:r>
        <w:t xml:space="preserve">. This provides consistency in the requirements for the presentation of nutrition information on ED labels to support consumer use. As requirements to declare </w:t>
      </w:r>
      <w:r w:rsidR="004A169D">
        <w:t xml:space="preserve">the ‘average quantity’ of </w:t>
      </w:r>
      <w:r>
        <w:t xml:space="preserve">carbohydrate and </w:t>
      </w:r>
      <w:r w:rsidR="004A169D">
        <w:t xml:space="preserve">the ‘average </w:t>
      </w:r>
      <w:r>
        <w:t xml:space="preserve">energy </w:t>
      </w:r>
      <w:r w:rsidR="004A169D">
        <w:t xml:space="preserve">content’ </w:t>
      </w:r>
      <w:r>
        <w:t>are already set out in Standard 1.2.8, the requirement</w:t>
      </w:r>
      <w:r w:rsidR="00AA65EE">
        <w:t>s</w:t>
      </w:r>
      <w:r>
        <w:t xml:space="preserve"> to declare ‘total carbohydrate’ and ‘average energy value’ </w:t>
      </w:r>
      <w:r w:rsidR="003E777E">
        <w:t>ha</w:t>
      </w:r>
      <w:r w:rsidR="00AA65EE">
        <w:t>ve</w:t>
      </w:r>
      <w:r w:rsidR="003E777E">
        <w:t xml:space="preserve"> not been</w:t>
      </w:r>
      <w:r>
        <w:t xml:space="preserve"> included in Standard 2.9.4.  </w:t>
      </w:r>
    </w:p>
    <w:p w:rsidR="00E520FE" w:rsidRPr="00932F14" w:rsidRDefault="00E520FE" w:rsidP="007467D7">
      <w:pPr>
        <w:pStyle w:val="Heading2"/>
        <w:widowControl/>
      </w:pPr>
      <w:bookmarkStart w:id="39" w:name="_Toc300933435"/>
      <w:bookmarkStart w:id="40" w:name="_Toc395775015"/>
      <w:r>
        <w:t>2.</w:t>
      </w:r>
      <w:r w:rsidR="00345E52">
        <w:t>3</w:t>
      </w:r>
      <w:r>
        <w:tab/>
        <w:t>Risk communication</w:t>
      </w:r>
      <w:bookmarkEnd w:id="39"/>
      <w:bookmarkEnd w:id="40"/>
      <w:r>
        <w:t xml:space="preserve"> </w:t>
      </w:r>
    </w:p>
    <w:p w:rsidR="00E520FE" w:rsidRPr="00AD2384" w:rsidRDefault="00E520FE" w:rsidP="007467D7">
      <w:pPr>
        <w:pStyle w:val="Heading3"/>
        <w:widowControl/>
        <w:rPr>
          <w:color w:val="auto"/>
        </w:rPr>
      </w:pPr>
      <w:bookmarkStart w:id="41" w:name="_Toc300933437"/>
      <w:bookmarkStart w:id="42" w:name="_Toc395775016"/>
      <w:bookmarkStart w:id="43" w:name="_Toc286391012"/>
      <w:r w:rsidRPr="00AD2384">
        <w:rPr>
          <w:color w:val="auto"/>
        </w:rPr>
        <w:t>2.</w:t>
      </w:r>
      <w:r w:rsidR="00345E52">
        <w:rPr>
          <w:color w:val="auto"/>
        </w:rPr>
        <w:t>3</w:t>
      </w:r>
      <w:r w:rsidRPr="00AD2384">
        <w:rPr>
          <w:color w:val="auto"/>
        </w:rPr>
        <w:t>.1</w:t>
      </w:r>
      <w:r w:rsidRPr="00AD2384">
        <w:rPr>
          <w:color w:val="auto"/>
        </w:rPr>
        <w:tab/>
        <w:t>Consultation</w:t>
      </w:r>
      <w:bookmarkEnd w:id="41"/>
      <w:bookmarkEnd w:id="42"/>
    </w:p>
    <w:p w:rsidR="0027513D" w:rsidRPr="00AD2384" w:rsidRDefault="0027513D" w:rsidP="007467D7">
      <w:pPr>
        <w:widowControl/>
        <w:rPr>
          <w:szCs w:val="22"/>
        </w:rPr>
      </w:pPr>
      <w:r w:rsidRPr="00AD2384">
        <w:rPr>
          <w:szCs w:val="22"/>
        </w:rPr>
        <w:t xml:space="preserve">Consultation is a key part of FSANZ’s standards development process. </w:t>
      </w:r>
    </w:p>
    <w:p w:rsidR="0027513D" w:rsidRPr="00AD2384" w:rsidRDefault="0027513D" w:rsidP="007467D7">
      <w:pPr>
        <w:widowControl/>
      </w:pPr>
    </w:p>
    <w:p w:rsidR="00947D34" w:rsidRDefault="00AD2384" w:rsidP="007467D7">
      <w:pPr>
        <w:widowControl/>
      </w:pPr>
      <w:r w:rsidRPr="00AD2384">
        <w:t xml:space="preserve">The communication strategy </w:t>
      </w:r>
      <w:r w:rsidR="00370E8F">
        <w:t>for this Proposal</w:t>
      </w:r>
      <w:r w:rsidRPr="00AD2384">
        <w:t xml:space="preserve"> aims to ensure </w:t>
      </w:r>
      <w:r w:rsidR="005C5541">
        <w:t>that stakeholders</w:t>
      </w:r>
      <w:r w:rsidRPr="00AD2384">
        <w:t xml:space="preserve"> are aware of any changes to the Code which may result from this </w:t>
      </w:r>
      <w:r w:rsidR="00370E8F">
        <w:t>work</w:t>
      </w:r>
      <w:r w:rsidRPr="00AD2384">
        <w:t>.</w:t>
      </w:r>
      <w:r w:rsidR="0014578F" w:rsidRPr="00AD2384" w:rsidDel="0014578F">
        <w:t xml:space="preserve"> </w:t>
      </w:r>
      <w:r w:rsidRPr="00AD2384">
        <w:t xml:space="preserve">This proposed draft variation to the Code is provided on the FSANZ website for public consultation. </w:t>
      </w:r>
      <w:r w:rsidR="00947D34">
        <w:br w:type="page"/>
      </w:r>
    </w:p>
    <w:p w:rsidR="00ED40BF" w:rsidRPr="000B6A4E" w:rsidRDefault="00AD2384" w:rsidP="007467D7">
      <w:pPr>
        <w:widowControl/>
      </w:pPr>
      <w:r w:rsidRPr="00AD2384">
        <w:lastRenderedPageBreak/>
        <w:t xml:space="preserve">Following this consultation period, FSANZ will review the nature of the feedback received from submitters and determine whether additional communication or consultation is required </w:t>
      </w:r>
      <w:r w:rsidR="00370E8F">
        <w:t>before</w:t>
      </w:r>
      <w:r w:rsidRPr="00AD2384">
        <w:t xml:space="preserve"> </w:t>
      </w:r>
      <w:r w:rsidR="00ED40BF">
        <w:t xml:space="preserve">final consideration by </w:t>
      </w:r>
      <w:r w:rsidRPr="00AD2384">
        <w:t>the FSANZ Board.</w:t>
      </w:r>
      <w:r w:rsidR="00ED40BF">
        <w:t xml:space="preserve"> </w:t>
      </w:r>
      <w:r w:rsidR="00ED40BF" w:rsidRPr="000B6A4E">
        <w:t xml:space="preserve">Every submission on an application or proposal is considered by the FSANZ Board. All comments are valued and contribute to the rigour of our assessment. </w:t>
      </w:r>
    </w:p>
    <w:p w:rsidR="00AD2384" w:rsidRPr="00AD2384" w:rsidRDefault="00AD2384" w:rsidP="007467D7">
      <w:pPr>
        <w:widowControl/>
      </w:pPr>
    </w:p>
    <w:p w:rsidR="0027513D" w:rsidRPr="00AD2384" w:rsidRDefault="00AD2384" w:rsidP="007467D7">
      <w:pPr>
        <w:widowControl/>
        <w:rPr>
          <w:szCs w:val="22"/>
        </w:rPr>
      </w:pPr>
      <w:r w:rsidRPr="00AD2384">
        <w:rPr>
          <w:szCs w:val="22"/>
        </w:rPr>
        <w:t xml:space="preserve">All calls for submissions are notified via the FSANZ Notification Circular, media release and through FSANZ’s social media tools and the </w:t>
      </w:r>
      <w:r w:rsidRPr="000B6A4E">
        <w:rPr>
          <w:iCs/>
          <w:szCs w:val="22"/>
        </w:rPr>
        <w:t>Food Standards News</w:t>
      </w:r>
      <w:r w:rsidRPr="00AD2384">
        <w:rPr>
          <w:szCs w:val="22"/>
        </w:rPr>
        <w:t>. Subscribers and interested parties are also notified about the availability of reports for public comment</w:t>
      </w:r>
      <w:r w:rsidR="00370E8F">
        <w:rPr>
          <w:szCs w:val="22"/>
        </w:rPr>
        <w:t>.</w:t>
      </w:r>
    </w:p>
    <w:p w:rsidR="00E520FE" w:rsidRPr="00022DBC" w:rsidRDefault="00022DBC" w:rsidP="007467D7">
      <w:pPr>
        <w:pStyle w:val="Heading3"/>
        <w:widowControl/>
      </w:pPr>
      <w:bookmarkStart w:id="44" w:name="_Toc300761912"/>
      <w:bookmarkStart w:id="45" w:name="_Toc300933439"/>
      <w:bookmarkStart w:id="46" w:name="_Toc395775017"/>
      <w:bookmarkEnd w:id="43"/>
      <w:r w:rsidRPr="00022DBC">
        <w:t>2.</w:t>
      </w:r>
      <w:r w:rsidR="00345E52">
        <w:t>3</w:t>
      </w:r>
      <w:r w:rsidRPr="00022DBC">
        <w:t>.2</w:t>
      </w:r>
      <w:r w:rsidR="00E520FE" w:rsidRPr="00022DBC">
        <w:tab/>
        <w:t>World Trade Organization (WTO)</w:t>
      </w:r>
      <w:bookmarkEnd w:id="44"/>
      <w:bookmarkEnd w:id="45"/>
      <w:bookmarkEnd w:id="46"/>
    </w:p>
    <w:p w:rsidR="00E520FE" w:rsidRPr="00366C5C" w:rsidRDefault="00E520FE" w:rsidP="007467D7">
      <w:pPr>
        <w:widowControl/>
        <w:rPr>
          <w:rFonts w:cs="Arial"/>
        </w:rPr>
      </w:pPr>
      <w:r w:rsidRPr="00DC6570">
        <w:rPr>
          <w:rFonts w:cs="Arial"/>
          <w:color w:val="000000"/>
        </w:rPr>
        <w:t xml:space="preserve">As members of the World Trade Organization (WTO), Australia and New Zealand are obliged to notify WTO member nations where proposed mandatory regulatory measures are </w:t>
      </w:r>
      <w:r w:rsidRPr="00366C5C">
        <w:rPr>
          <w:rFonts w:cs="Arial"/>
        </w:rPr>
        <w:t>inconsistent with any existing or imminent international standards and the proposed measure may have a significant effect on trade.</w:t>
      </w:r>
    </w:p>
    <w:p w:rsidR="008A3036" w:rsidRPr="00366C5C" w:rsidRDefault="008A3036" w:rsidP="007467D7">
      <w:pPr>
        <w:widowControl/>
        <w:tabs>
          <w:tab w:val="left" w:pos="1560"/>
        </w:tabs>
      </w:pPr>
    </w:p>
    <w:p w:rsidR="00E520FE" w:rsidRPr="00366C5C" w:rsidRDefault="00E520FE" w:rsidP="007467D7">
      <w:pPr>
        <w:widowControl/>
        <w:tabs>
          <w:tab w:val="left" w:pos="1560"/>
        </w:tabs>
        <w:rPr>
          <w:rFonts w:cs="Arial"/>
        </w:rPr>
      </w:pPr>
      <w:r w:rsidRPr="00366C5C">
        <w:rPr>
          <w:rFonts w:cs="Arial"/>
        </w:rPr>
        <w:t xml:space="preserve">There are no relevant international standards </w:t>
      </w:r>
      <w:r w:rsidR="00370E8F">
        <w:rPr>
          <w:rFonts w:cs="Arial"/>
        </w:rPr>
        <w:t>so</w:t>
      </w:r>
      <w:r w:rsidRPr="00366C5C">
        <w:rPr>
          <w:rFonts w:cs="Arial"/>
        </w:rPr>
        <w:t xml:space="preserve"> amending the Code </w:t>
      </w:r>
      <w:r w:rsidR="000F4454" w:rsidRPr="00366C5C">
        <w:rPr>
          <w:rFonts w:cs="Arial"/>
        </w:rPr>
        <w:t>as described above</w:t>
      </w:r>
      <w:r w:rsidRPr="00366C5C">
        <w:rPr>
          <w:rFonts w:cs="Arial"/>
        </w:rPr>
        <w:t xml:space="preserve"> is unlikely to have a significant effect on international trade. </w:t>
      </w:r>
      <w:r w:rsidRPr="00366C5C">
        <w:rPr>
          <w:rFonts w:cs="Arial"/>
          <w:iCs/>
        </w:rPr>
        <w:t xml:space="preserve">Therefore, a notification to the WTO under </w:t>
      </w:r>
      <w:r w:rsidRPr="00366C5C">
        <w:rPr>
          <w:rFonts w:cs="Arial"/>
        </w:rPr>
        <w:t>Australia’s and New Zealand’s</w:t>
      </w:r>
      <w:r w:rsidRPr="00366C5C">
        <w:rPr>
          <w:rFonts w:cs="Arial"/>
          <w:iCs/>
        </w:rPr>
        <w:t xml:space="preserve"> obligations under the WTO Technical Barriers to Trade or Sanitary and Phytosanitary Measures Agreement was not considered necessary.</w:t>
      </w:r>
    </w:p>
    <w:p w:rsidR="00E520FE" w:rsidRPr="00366C5C" w:rsidRDefault="00022DBC" w:rsidP="007467D7">
      <w:pPr>
        <w:pStyle w:val="Heading2"/>
        <w:widowControl/>
      </w:pPr>
      <w:bookmarkStart w:id="47" w:name="_Toc395775018"/>
      <w:r w:rsidRPr="00366C5C">
        <w:t>2.</w:t>
      </w:r>
      <w:r w:rsidR="00345E52">
        <w:t>4</w:t>
      </w:r>
      <w:r w:rsidRPr="00366C5C">
        <w:tab/>
        <w:t>FSANZ Act assessment requirements</w:t>
      </w:r>
      <w:bookmarkEnd w:id="47"/>
    </w:p>
    <w:p w:rsidR="00726C2F" w:rsidRPr="00914030" w:rsidRDefault="00726C2F" w:rsidP="007467D7">
      <w:pPr>
        <w:widowControl/>
      </w:pPr>
      <w:r w:rsidRPr="00E07853">
        <w:t xml:space="preserve">When assessing this Proposal and the subsequent development of a food regulatory measure, FSANZ has had regard to the </w:t>
      </w:r>
      <w:r w:rsidRPr="00E07853" w:rsidDel="00932F14">
        <w:t xml:space="preserve">following </w:t>
      </w:r>
      <w:r w:rsidRPr="00E07853">
        <w:t xml:space="preserve">matters in section 59 of the FSANZ </w:t>
      </w:r>
      <w:r w:rsidRPr="00914030">
        <w:t>Act:</w:t>
      </w:r>
    </w:p>
    <w:p w:rsidR="00726C2F" w:rsidRPr="00914030" w:rsidRDefault="00726C2F" w:rsidP="007467D7">
      <w:pPr>
        <w:pStyle w:val="Heading3"/>
        <w:widowControl/>
      </w:pPr>
      <w:bookmarkStart w:id="48" w:name="_Toc395775019"/>
      <w:r>
        <w:t>2.</w:t>
      </w:r>
      <w:r w:rsidR="00345E52">
        <w:t>4</w:t>
      </w:r>
      <w:r>
        <w:t>.1</w:t>
      </w:r>
      <w:r>
        <w:tab/>
        <w:t xml:space="preserve">Section </w:t>
      </w:r>
      <w:r w:rsidRPr="00E07853">
        <w:rPr>
          <w:color w:val="auto"/>
        </w:rPr>
        <w:t>59</w:t>
      </w:r>
      <w:bookmarkEnd w:id="48"/>
    </w:p>
    <w:p w:rsidR="00726C2F" w:rsidRDefault="00726C2F" w:rsidP="007467D7">
      <w:pPr>
        <w:pStyle w:val="Heading4"/>
        <w:widowControl/>
      </w:pPr>
      <w:r>
        <w:t>2.</w:t>
      </w:r>
      <w:r w:rsidR="00345E52">
        <w:t>4</w:t>
      </w:r>
      <w:r>
        <w:t>.1.1</w:t>
      </w:r>
      <w:r>
        <w:tab/>
        <w:t>Cost benefit analysis</w:t>
      </w:r>
    </w:p>
    <w:p w:rsidR="00726C2F" w:rsidRDefault="00726C2F" w:rsidP="007467D7">
      <w:pPr>
        <w:widowControl/>
      </w:pPr>
      <w:r>
        <w:t xml:space="preserve">The </w:t>
      </w:r>
      <w:r w:rsidR="00851A60">
        <w:t>direct and indirect benefits</w:t>
      </w:r>
      <w:r>
        <w:t xml:space="preserve"> </w:t>
      </w:r>
      <w:r w:rsidRPr="00914030">
        <w:t xml:space="preserve">that would arise from a food regulatory measure developed or varied as a </w:t>
      </w:r>
      <w:r w:rsidRPr="004854E7">
        <w:t xml:space="preserve">result of the </w:t>
      </w:r>
      <w:r w:rsidR="00B44845">
        <w:t>P</w:t>
      </w:r>
      <w:r w:rsidR="00B44845" w:rsidRPr="004854E7">
        <w:t xml:space="preserve">roposal </w:t>
      </w:r>
      <w:r w:rsidRPr="004854E7">
        <w:t xml:space="preserve">outweigh </w:t>
      </w:r>
      <w:r w:rsidRPr="00914030">
        <w:t xml:space="preserve">the </w:t>
      </w:r>
      <w:r w:rsidR="00851A60">
        <w:t>costs</w:t>
      </w:r>
      <w:r w:rsidRPr="00914030">
        <w:t xml:space="preserve"> to the community, </w:t>
      </w:r>
      <w:r w:rsidR="006264B2">
        <w:t>g</w:t>
      </w:r>
      <w:r w:rsidRPr="00914030">
        <w:t xml:space="preserve">overnment </w:t>
      </w:r>
      <w:r w:rsidR="006264B2">
        <w:t>and</w:t>
      </w:r>
      <w:r w:rsidRPr="00914030">
        <w:t xml:space="preserve"> industry that would arise from the development or variation</w:t>
      </w:r>
      <w:r>
        <w:t xml:space="preserve"> of the food regulatory measure.</w:t>
      </w:r>
    </w:p>
    <w:p w:rsidR="00726C2F" w:rsidRDefault="00726C2F" w:rsidP="007467D7">
      <w:pPr>
        <w:widowControl/>
      </w:pPr>
    </w:p>
    <w:p w:rsidR="0098180E" w:rsidRDefault="003D38DE" w:rsidP="007467D7">
      <w:pPr>
        <w:widowControl/>
      </w:pPr>
      <w:r w:rsidRPr="00046B7F">
        <w:t>The O</w:t>
      </w:r>
      <w:r w:rsidR="00B44845">
        <w:t xml:space="preserve">ffice of </w:t>
      </w:r>
      <w:r w:rsidRPr="00046B7F">
        <w:t>B</w:t>
      </w:r>
      <w:r w:rsidR="00B44845">
        <w:t xml:space="preserve">est </w:t>
      </w:r>
      <w:r w:rsidRPr="00046B7F">
        <w:t>P</w:t>
      </w:r>
      <w:r w:rsidR="00B44845">
        <w:t xml:space="preserve">ractice </w:t>
      </w:r>
      <w:r w:rsidRPr="00046B7F">
        <w:t>R</w:t>
      </w:r>
      <w:r w:rsidR="00B44845">
        <w:t>egulation (OBPR)</w:t>
      </w:r>
      <w:r w:rsidRPr="00046B7F">
        <w:t xml:space="preserve"> </w:t>
      </w:r>
      <w:r w:rsidR="004714F2" w:rsidRPr="00046B7F">
        <w:t>ha</w:t>
      </w:r>
      <w:r w:rsidR="004714F2">
        <w:t>s</w:t>
      </w:r>
      <w:r w:rsidR="004714F2" w:rsidRPr="00046B7F">
        <w:t xml:space="preserve"> </w:t>
      </w:r>
      <w:r w:rsidRPr="00046B7F">
        <w:t xml:space="preserve">advised FSANZ that the </w:t>
      </w:r>
      <w:r w:rsidR="00B44845">
        <w:t>P</w:t>
      </w:r>
      <w:r w:rsidR="00B44845" w:rsidRPr="00046B7F">
        <w:t xml:space="preserve">roposal </w:t>
      </w:r>
      <w:r w:rsidRPr="00046B7F">
        <w:t>is likely to have</w:t>
      </w:r>
      <w:r w:rsidR="00E7411B">
        <w:t xml:space="preserve"> </w:t>
      </w:r>
      <w:r w:rsidRPr="00046B7F">
        <w:t>a minor regulatory impact on business and individuals and that a COAG R</w:t>
      </w:r>
      <w:r w:rsidR="00B44845">
        <w:t xml:space="preserve">egulatory </w:t>
      </w:r>
      <w:r w:rsidRPr="00046B7F">
        <w:t>I</w:t>
      </w:r>
      <w:r w:rsidR="00B44845">
        <w:t xml:space="preserve">mpact </w:t>
      </w:r>
      <w:r w:rsidRPr="00046B7F">
        <w:t>S</w:t>
      </w:r>
      <w:r w:rsidR="00B44845">
        <w:t>tatement (RIS)</w:t>
      </w:r>
      <w:r w:rsidRPr="00046B7F">
        <w:t xml:space="preserve"> is not required to be prepared </w:t>
      </w:r>
      <w:r w:rsidR="0085051F">
        <w:t>(OBPR ID: 16662</w:t>
      </w:r>
      <w:r w:rsidR="00E2622B">
        <w:t>).</w:t>
      </w:r>
    </w:p>
    <w:p w:rsidR="00C526FA" w:rsidRDefault="00C526FA" w:rsidP="007467D7">
      <w:pPr>
        <w:widowControl/>
        <w:rPr>
          <w:rFonts w:cs="Arial"/>
          <w:szCs w:val="22"/>
        </w:rPr>
      </w:pPr>
      <w:r w:rsidRPr="00176DDF">
        <w:rPr>
          <w:rFonts w:cs="Arial"/>
          <w:szCs w:val="22"/>
        </w:rPr>
        <w:t>Affected parties may include the following:</w:t>
      </w:r>
    </w:p>
    <w:p w:rsidR="009A555C" w:rsidRPr="00176DDF" w:rsidRDefault="009A555C" w:rsidP="007467D7">
      <w:pPr>
        <w:widowControl/>
        <w:rPr>
          <w:rFonts w:cs="Arial"/>
          <w:szCs w:val="22"/>
        </w:rPr>
      </w:pPr>
    </w:p>
    <w:p w:rsidR="00C526FA" w:rsidRPr="00176DDF" w:rsidRDefault="00C526FA" w:rsidP="007467D7">
      <w:pPr>
        <w:widowControl/>
        <w:ind w:left="1418" w:hanging="1418"/>
        <w:rPr>
          <w:lang w:bidi="ar-SA"/>
        </w:rPr>
      </w:pPr>
      <w:r w:rsidRPr="000B6A4E">
        <w:rPr>
          <w:b/>
          <w:lang w:bidi="ar-SA"/>
        </w:rPr>
        <w:t>Industry</w:t>
      </w:r>
      <w:r w:rsidRPr="00ED40BF">
        <w:rPr>
          <w:lang w:bidi="ar-SA"/>
        </w:rPr>
        <w:t>:</w:t>
      </w:r>
      <w:r w:rsidR="00ED40BF" w:rsidRPr="00ED40BF">
        <w:rPr>
          <w:lang w:bidi="ar-SA"/>
        </w:rPr>
        <w:t xml:space="preserve"> </w:t>
      </w:r>
      <w:r w:rsidR="00ED40BF">
        <w:rPr>
          <w:lang w:bidi="ar-SA"/>
        </w:rPr>
        <w:tab/>
      </w:r>
      <w:r w:rsidRPr="00176DDF">
        <w:rPr>
          <w:lang w:bidi="ar-SA"/>
        </w:rPr>
        <w:t xml:space="preserve">FSANZ considers that the draft </w:t>
      </w:r>
      <w:r w:rsidR="008E7041" w:rsidRPr="00176DDF">
        <w:rPr>
          <w:lang w:bidi="ar-SA"/>
        </w:rPr>
        <w:t xml:space="preserve">variation </w:t>
      </w:r>
      <w:r w:rsidRPr="00176DDF">
        <w:rPr>
          <w:lang w:bidi="ar-SA"/>
        </w:rPr>
        <w:t xml:space="preserve">will provide </w:t>
      </w:r>
      <w:r w:rsidR="00BA1AF8">
        <w:rPr>
          <w:lang w:bidi="ar-SA"/>
        </w:rPr>
        <w:t>manufacturers of FSSF</w:t>
      </w:r>
      <w:r w:rsidR="007861E7">
        <w:rPr>
          <w:lang w:bidi="ar-SA"/>
        </w:rPr>
        <w:t>s</w:t>
      </w:r>
      <w:r w:rsidR="00BA1AF8">
        <w:rPr>
          <w:lang w:bidi="ar-SA"/>
        </w:rPr>
        <w:t xml:space="preserve"> and ED</w:t>
      </w:r>
      <w:r w:rsidR="007861E7">
        <w:rPr>
          <w:lang w:bidi="ar-SA"/>
        </w:rPr>
        <w:t>s</w:t>
      </w:r>
      <w:r w:rsidR="00BA1AF8" w:rsidRPr="00176DDF">
        <w:rPr>
          <w:lang w:bidi="ar-SA"/>
        </w:rPr>
        <w:t xml:space="preserve"> </w:t>
      </w:r>
      <w:r w:rsidRPr="00176DDF">
        <w:rPr>
          <w:lang w:bidi="ar-SA"/>
        </w:rPr>
        <w:t xml:space="preserve">with the opportunity to carry </w:t>
      </w:r>
      <w:r w:rsidR="00176DDF">
        <w:rPr>
          <w:lang w:bidi="ar-SA"/>
        </w:rPr>
        <w:t xml:space="preserve">a broader range of </w:t>
      </w:r>
      <w:r w:rsidR="004714F2">
        <w:rPr>
          <w:lang w:bidi="ar-SA"/>
        </w:rPr>
        <w:t xml:space="preserve">health </w:t>
      </w:r>
      <w:r w:rsidRPr="00176DDF">
        <w:rPr>
          <w:lang w:bidi="ar-SA"/>
        </w:rPr>
        <w:t>claims</w:t>
      </w:r>
      <w:r w:rsidR="0014578F" w:rsidRPr="0014578F">
        <w:rPr>
          <w:lang w:bidi="ar-SA"/>
        </w:rPr>
        <w:t xml:space="preserve"> </w:t>
      </w:r>
      <w:r w:rsidR="0014578F">
        <w:rPr>
          <w:lang w:bidi="ar-SA"/>
        </w:rPr>
        <w:t xml:space="preserve">consistent with </w:t>
      </w:r>
      <w:r w:rsidR="0014578F" w:rsidRPr="00E7411B">
        <w:rPr>
          <w:lang w:bidi="ar-SA"/>
        </w:rPr>
        <w:t>the</w:t>
      </w:r>
      <w:r w:rsidR="00E2622B">
        <w:rPr>
          <w:lang w:bidi="ar-SA"/>
        </w:rPr>
        <w:t xml:space="preserve"> respective</w:t>
      </w:r>
      <w:r w:rsidR="00E7411B" w:rsidRPr="00E7411B">
        <w:rPr>
          <w:lang w:bidi="ar-SA"/>
        </w:rPr>
        <w:t xml:space="preserve"> </w:t>
      </w:r>
      <w:r w:rsidR="0014578F" w:rsidRPr="00E7411B">
        <w:rPr>
          <w:lang w:bidi="ar-SA"/>
        </w:rPr>
        <w:t>intended purpose</w:t>
      </w:r>
      <w:r w:rsidR="00E7411B">
        <w:rPr>
          <w:lang w:bidi="ar-SA"/>
        </w:rPr>
        <w:t xml:space="preserve"> </w:t>
      </w:r>
      <w:r w:rsidR="00E7411B" w:rsidRPr="00A06134">
        <w:rPr>
          <w:lang w:bidi="ar-SA"/>
        </w:rPr>
        <w:t xml:space="preserve">of the </w:t>
      </w:r>
      <w:r w:rsidR="00E2622B">
        <w:rPr>
          <w:lang w:bidi="ar-SA"/>
        </w:rPr>
        <w:t>foods</w:t>
      </w:r>
      <w:r w:rsidR="0014578F">
        <w:rPr>
          <w:lang w:bidi="ar-SA"/>
        </w:rPr>
        <w:t>. Although a limited range of claims</w:t>
      </w:r>
      <w:r w:rsidR="00E7411B" w:rsidRPr="00E7411B">
        <w:rPr>
          <w:lang w:bidi="ar-SA"/>
        </w:rPr>
        <w:t xml:space="preserve"> </w:t>
      </w:r>
      <w:r w:rsidR="00E2622B">
        <w:rPr>
          <w:lang w:bidi="ar-SA"/>
        </w:rPr>
        <w:t>is</w:t>
      </w:r>
      <w:r w:rsidR="00E7411B">
        <w:rPr>
          <w:lang w:bidi="ar-SA"/>
        </w:rPr>
        <w:t xml:space="preserve"> already permitted</w:t>
      </w:r>
      <w:r w:rsidR="0021282A">
        <w:rPr>
          <w:lang w:bidi="ar-SA"/>
        </w:rPr>
        <w:t>, FSSF</w:t>
      </w:r>
      <w:r w:rsidR="00B155BB">
        <w:rPr>
          <w:lang w:bidi="ar-SA"/>
        </w:rPr>
        <w:t>s</w:t>
      </w:r>
      <w:r w:rsidR="0021282A">
        <w:rPr>
          <w:lang w:bidi="ar-SA"/>
        </w:rPr>
        <w:t xml:space="preserve"> and </w:t>
      </w:r>
      <w:r w:rsidR="00B155BB">
        <w:rPr>
          <w:lang w:bidi="ar-SA"/>
        </w:rPr>
        <w:t xml:space="preserve">EDs </w:t>
      </w:r>
      <w:r w:rsidR="0021282A">
        <w:rPr>
          <w:lang w:bidi="ar-SA"/>
        </w:rPr>
        <w:t xml:space="preserve">will be able to </w:t>
      </w:r>
      <w:r w:rsidR="00E2622B">
        <w:rPr>
          <w:lang w:bidi="ar-SA"/>
        </w:rPr>
        <w:t>carry</w:t>
      </w:r>
      <w:r w:rsidR="0021282A">
        <w:rPr>
          <w:lang w:bidi="ar-SA"/>
        </w:rPr>
        <w:t xml:space="preserve"> other </w:t>
      </w:r>
      <w:r w:rsidR="00E7411B">
        <w:rPr>
          <w:lang w:bidi="ar-SA"/>
        </w:rPr>
        <w:t xml:space="preserve">health </w:t>
      </w:r>
      <w:r w:rsidR="0021282A">
        <w:rPr>
          <w:lang w:bidi="ar-SA"/>
        </w:rPr>
        <w:t xml:space="preserve">claims </w:t>
      </w:r>
      <w:r w:rsidR="00E7411B">
        <w:rPr>
          <w:lang w:bidi="ar-SA"/>
        </w:rPr>
        <w:t>as</w:t>
      </w:r>
      <w:r w:rsidR="0021282A">
        <w:rPr>
          <w:lang w:bidi="ar-SA"/>
        </w:rPr>
        <w:t xml:space="preserve"> </w:t>
      </w:r>
      <w:r w:rsidR="00E7411B">
        <w:rPr>
          <w:lang w:bidi="ar-SA"/>
        </w:rPr>
        <w:t xml:space="preserve">can be made for </w:t>
      </w:r>
      <w:r w:rsidR="0021282A">
        <w:rPr>
          <w:lang w:bidi="ar-SA"/>
        </w:rPr>
        <w:t>other foods</w:t>
      </w:r>
      <w:r w:rsidR="00E7411B">
        <w:rPr>
          <w:lang w:bidi="ar-SA"/>
        </w:rPr>
        <w:t>,</w:t>
      </w:r>
      <w:r w:rsidR="0021282A" w:rsidDel="0014578F">
        <w:rPr>
          <w:lang w:bidi="ar-SA"/>
        </w:rPr>
        <w:t xml:space="preserve"> </w:t>
      </w:r>
      <w:r w:rsidR="00176DDF">
        <w:rPr>
          <w:lang w:bidi="ar-SA"/>
        </w:rPr>
        <w:t xml:space="preserve">providing </w:t>
      </w:r>
      <w:r w:rsidR="00E7411B">
        <w:rPr>
          <w:lang w:bidi="ar-SA"/>
        </w:rPr>
        <w:t xml:space="preserve">that </w:t>
      </w:r>
      <w:r w:rsidR="00BA1AF8">
        <w:rPr>
          <w:lang w:bidi="ar-SA"/>
        </w:rPr>
        <w:t xml:space="preserve">such health claims </w:t>
      </w:r>
      <w:r w:rsidR="004854E7">
        <w:rPr>
          <w:lang w:bidi="ar-SA"/>
        </w:rPr>
        <w:t xml:space="preserve">are pre-approved or </w:t>
      </w:r>
      <w:r w:rsidR="00176DDF">
        <w:rPr>
          <w:lang w:bidi="ar-SA"/>
        </w:rPr>
        <w:t xml:space="preserve">can be </w:t>
      </w:r>
      <w:r w:rsidRPr="00176DDF">
        <w:rPr>
          <w:lang w:bidi="ar-SA"/>
        </w:rPr>
        <w:t>scientifically substantiated</w:t>
      </w:r>
      <w:r w:rsidR="00176DDF">
        <w:rPr>
          <w:lang w:bidi="ar-SA"/>
        </w:rPr>
        <w:t xml:space="preserve">. </w:t>
      </w:r>
      <w:r w:rsidR="00BA1AF8">
        <w:rPr>
          <w:lang w:bidi="ar-SA"/>
        </w:rPr>
        <w:t>E</w:t>
      </w:r>
      <w:r w:rsidR="00B155BB">
        <w:rPr>
          <w:lang w:bidi="ar-SA"/>
        </w:rPr>
        <w:t>lectrolyte drink</w:t>
      </w:r>
      <w:r w:rsidR="00BA1AF8">
        <w:rPr>
          <w:lang w:bidi="ar-SA"/>
        </w:rPr>
        <w:t xml:space="preserve"> manufacturers are</w:t>
      </w:r>
      <w:r w:rsidR="004C1B40">
        <w:rPr>
          <w:lang w:bidi="ar-SA"/>
        </w:rPr>
        <w:t xml:space="preserve"> already required to include </w:t>
      </w:r>
      <w:r w:rsidR="004C1B40">
        <w:t xml:space="preserve">a name or description of </w:t>
      </w:r>
      <w:r w:rsidR="00BA1AF8">
        <w:t xml:space="preserve">the </w:t>
      </w:r>
      <w:r w:rsidR="00B155BB">
        <w:t>electrolyte drink</w:t>
      </w:r>
      <w:r w:rsidR="004C1B40">
        <w:t xml:space="preserve"> sufficient to indicate the true nature of the food</w:t>
      </w:r>
      <w:r w:rsidR="00BA1AF8">
        <w:t xml:space="preserve"> –</w:t>
      </w:r>
      <w:r w:rsidR="0012529A">
        <w:t xml:space="preserve"> </w:t>
      </w:r>
      <w:r w:rsidR="004C1B40">
        <w:rPr>
          <w:lang w:bidi="ar-SA"/>
        </w:rPr>
        <w:t xml:space="preserve">the words </w:t>
      </w:r>
      <w:r w:rsidR="00E132D0">
        <w:rPr>
          <w:lang w:bidi="ar-SA"/>
        </w:rPr>
        <w:t>‘</w:t>
      </w:r>
      <w:r w:rsidR="004C1B40">
        <w:rPr>
          <w:lang w:bidi="ar-SA"/>
        </w:rPr>
        <w:t>electrolyte drink</w:t>
      </w:r>
      <w:r w:rsidR="0012529A">
        <w:rPr>
          <w:lang w:bidi="ar-SA"/>
        </w:rPr>
        <w:t>’</w:t>
      </w:r>
      <w:r w:rsidR="00BA1AF8">
        <w:rPr>
          <w:lang w:bidi="ar-SA"/>
        </w:rPr>
        <w:t xml:space="preserve"> are often used</w:t>
      </w:r>
      <w:r w:rsidR="004C1B40">
        <w:rPr>
          <w:lang w:bidi="ar-SA"/>
        </w:rPr>
        <w:t>. Therefore t</w:t>
      </w:r>
      <w:r w:rsidR="004854E7">
        <w:rPr>
          <w:lang w:bidi="ar-SA"/>
        </w:rPr>
        <w:t xml:space="preserve">he requirement </w:t>
      </w:r>
      <w:r w:rsidR="00BA1AF8">
        <w:rPr>
          <w:lang w:bidi="ar-SA"/>
        </w:rPr>
        <w:t xml:space="preserve">to change to </w:t>
      </w:r>
      <w:r w:rsidR="004854E7">
        <w:rPr>
          <w:lang w:bidi="ar-SA"/>
        </w:rPr>
        <w:t>a prescribed name on ED</w:t>
      </w:r>
      <w:r w:rsidR="00B155BB">
        <w:rPr>
          <w:lang w:bidi="ar-SA"/>
        </w:rPr>
        <w:t>s</w:t>
      </w:r>
      <w:r w:rsidR="004854E7">
        <w:rPr>
          <w:lang w:bidi="ar-SA"/>
        </w:rPr>
        <w:t xml:space="preserve"> is small, relative to the</w:t>
      </w:r>
      <w:r w:rsidR="00DA60D7">
        <w:rPr>
          <w:lang w:bidi="ar-SA"/>
        </w:rPr>
        <w:t xml:space="preserve"> likely benefits of the</w:t>
      </w:r>
      <w:r w:rsidR="004854E7">
        <w:rPr>
          <w:lang w:bidi="ar-SA"/>
        </w:rPr>
        <w:t xml:space="preserve"> permission to </w:t>
      </w:r>
      <w:r w:rsidR="00FD185E">
        <w:rPr>
          <w:lang w:bidi="ar-SA"/>
        </w:rPr>
        <w:t xml:space="preserve">carry </w:t>
      </w:r>
      <w:r w:rsidR="004854E7">
        <w:rPr>
          <w:lang w:bidi="ar-SA"/>
        </w:rPr>
        <w:t xml:space="preserve">health claims without meeting the pre-existing eligibility requirement of the NPSC. </w:t>
      </w:r>
    </w:p>
    <w:p w:rsidR="00C526FA" w:rsidRPr="00176DDF" w:rsidRDefault="00C526FA" w:rsidP="007467D7">
      <w:pPr>
        <w:widowControl/>
        <w:ind w:left="567"/>
        <w:rPr>
          <w:rFonts w:cs="Arial"/>
          <w:szCs w:val="22"/>
          <w:lang w:bidi="ar-SA"/>
        </w:rPr>
      </w:pPr>
    </w:p>
    <w:p w:rsidR="00947D34" w:rsidRDefault="00947D34" w:rsidP="007467D7">
      <w:pPr>
        <w:widowControl/>
        <w:ind w:left="1418" w:hanging="1418"/>
        <w:rPr>
          <w:b/>
          <w:lang w:bidi="ar-SA"/>
        </w:rPr>
      </w:pPr>
      <w:r>
        <w:rPr>
          <w:b/>
          <w:lang w:bidi="ar-SA"/>
        </w:rPr>
        <w:br w:type="page"/>
      </w:r>
    </w:p>
    <w:p w:rsidR="00C526FA" w:rsidRPr="00C93EB7" w:rsidRDefault="00C526FA" w:rsidP="007467D7">
      <w:pPr>
        <w:widowControl/>
        <w:ind w:left="1418" w:hanging="1418"/>
        <w:rPr>
          <w:rFonts w:cs="Arial"/>
          <w:szCs w:val="22"/>
          <w:lang w:bidi="ar-SA"/>
        </w:rPr>
      </w:pPr>
      <w:r w:rsidRPr="000B6A4E">
        <w:rPr>
          <w:b/>
          <w:lang w:bidi="ar-SA"/>
        </w:rPr>
        <w:lastRenderedPageBreak/>
        <w:t>Consumers</w:t>
      </w:r>
      <w:r w:rsidR="005E2B6C">
        <w:rPr>
          <w:lang w:bidi="ar-SA"/>
        </w:rPr>
        <w:t>:</w:t>
      </w:r>
      <w:r w:rsidR="00ED40BF">
        <w:rPr>
          <w:lang w:bidi="ar-SA"/>
        </w:rPr>
        <w:t xml:space="preserve"> </w:t>
      </w:r>
      <w:r w:rsidR="00ED40BF">
        <w:rPr>
          <w:lang w:bidi="ar-SA"/>
        </w:rPr>
        <w:tab/>
      </w:r>
      <w:r w:rsidR="00C93EB7">
        <w:rPr>
          <w:rFonts w:cs="Arial"/>
          <w:szCs w:val="22"/>
          <w:lang w:bidi="ar-SA"/>
        </w:rPr>
        <w:t>Health c</w:t>
      </w:r>
      <w:r w:rsidR="00376BB8">
        <w:rPr>
          <w:rFonts w:cs="Arial"/>
          <w:szCs w:val="22"/>
          <w:lang w:bidi="ar-SA"/>
        </w:rPr>
        <w:t xml:space="preserve">laims </w:t>
      </w:r>
      <w:r w:rsidR="00C93EB7">
        <w:rPr>
          <w:rFonts w:cs="Arial"/>
          <w:szCs w:val="22"/>
          <w:lang w:bidi="ar-SA"/>
        </w:rPr>
        <w:t xml:space="preserve">that </w:t>
      </w:r>
      <w:r w:rsidR="00C93EB7" w:rsidRPr="00BA1AF8">
        <w:rPr>
          <w:rFonts w:cs="Arial"/>
          <w:szCs w:val="22"/>
          <w:lang w:bidi="ar-SA"/>
        </w:rPr>
        <w:t>relate to the purpose of the product</w:t>
      </w:r>
      <w:r w:rsidR="00C93EB7">
        <w:rPr>
          <w:rFonts w:cs="Arial"/>
          <w:szCs w:val="22"/>
          <w:lang w:bidi="ar-SA"/>
        </w:rPr>
        <w:t xml:space="preserve"> </w:t>
      </w:r>
      <w:r w:rsidR="00376BB8">
        <w:rPr>
          <w:rFonts w:cs="Arial"/>
          <w:szCs w:val="22"/>
          <w:lang w:bidi="ar-SA"/>
        </w:rPr>
        <w:t xml:space="preserve">will </w:t>
      </w:r>
      <w:r w:rsidR="004854E7">
        <w:rPr>
          <w:rFonts w:cs="Arial"/>
          <w:szCs w:val="22"/>
          <w:lang w:bidi="ar-SA"/>
        </w:rPr>
        <w:t xml:space="preserve">be </w:t>
      </w:r>
      <w:r w:rsidR="004C1B40" w:rsidRPr="00BA1AF8">
        <w:rPr>
          <w:rFonts w:cs="Arial"/>
          <w:szCs w:val="22"/>
          <w:lang w:val="en-US"/>
        </w:rPr>
        <w:t xml:space="preserve">supported by scientific evidence to the same degree of certainty, whether they </w:t>
      </w:r>
      <w:r w:rsidR="00E7411B">
        <w:rPr>
          <w:rFonts w:cs="Arial"/>
          <w:szCs w:val="22"/>
          <w:lang w:val="en-US"/>
        </w:rPr>
        <w:t>be</w:t>
      </w:r>
      <w:r w:rsidR="004C1B40" w:rsidRPr="00BA1AF8">
        <w:rPr>
          <w:rFonts w:cs="Arial"/>
          <w:szCs w:val="22"/>
          <w:lang w:val="en-US"/>
        </w:rPr>
        <w:t xml:space="preserve"> pre-approved by FSANZ or self-substantiated</w:t>
      </w:r>
      <w:r w:rsidR="00376BB8" w:rsidRPr="00BA1AF8">
        <w:rPr>
          <w:rFonts w:cs="Arial"/>
          <w:szCs w:val="22"/>
          <w:lang w:bidi="ar-SA"/>
        </w:rPr>
        <w:t xml:space="preserve">. This </w:t>
      </w:r>
      <w:r w:rsidR="00E7411B">
        <w:rPr>
          <w:rFonts w:cs="Arial"/>
          <w:szCs w:val="22"/>
          <w:lang w:bidi="ar-SA"/>
        </w:rPr>
        <w:t xml:space="preserve">consistency </w:t>
      </w:r>
      <w:r w:rsidR="00376BB8" w:rsidRPr="00BA1AF8">
        <w:rPr>
          <w:rFonts w:cs="Arial"/>
          <w:szCs w:val="22"/>
          <w:lang w:bidi="ar-SA"/>
        </w:rPr>
        <w:t>will benefit consumers as pr</w:t>
      </w:r>
      <w:r w:rsidR="00376BB8" w:rsidRPr="00C93EB7">
        <w:rPr>
          <w:rFonts w:cs="Arial"/>
          <w:szCs w:val="22"/>
          <w:lang w:bidi="ar-SA"/>
        </w:rPr>
        <w:t xml:space="preserve">oducts </w:t>
      </w:r>
      <w:r w:rsidR="004714F2" w:rsidRPr="00C93EB7">
        <w:rPr>
          <w:rFonts w:cs="Arial"/>
          <w:szCs w:val="22"/>
          <w:lang w:bidi="ar-SA"/>
        </w:rPr>
        <w:t xml:space="preserve">may be able to </w:t>
      </w:r>
      <w:r w:rsidR="00376BB8" w:rsidRPr="00C93EB7">
        <w:rPr>
          <w:rFonts w:cs="Arial"/>
          <w:szCs w:val="22"/>
          <w:lang w:bidi="ar-SA"/>
        </w:rPr>
        <w:t>carry a broader range of</w:t>
      </w:r>
      <w:r w:rsidR="004854E7" w:rsidRPr="00C93EB7">
        <w:rPr>
          <w:rFonts w:cs="Arial"/>
          <w:szCs w:val="22"/>
          <w:lang w:bidi="ar-SA"/>
        </w:rPr>
        <w:t xml:space="preserve"> substantiated</w:t>
      </w:r>
      <w:r w:rsidR="00376BB8" w:rsidRPr="00C93EB7">
        <w:rPr>
          <w:rFonts w:cs="Arial"/>
          <w:szCs w:val="22"/>
          <w:lang w:bidi="ar-SA"/>
        </w:rPr>
        <w:t xml:space="preserve"> claims. </w:t>
      </w:r>
    </w:p>
    <w:p w:rsidR="00C526FA" w:rsidRPr="00376BB8" w:rsidRDefault="00C526FA" w:rsidP="007467D7">
      <w:pPr>
        <w:widowControl/>
        <w:rPr>
          <w:szCs w:val="22"/>
        </w:rPr>
      </w:pPr>
    </w:p>
    <w:p w:rsidR="00C526FA" w:rsidRDefault="00C526FA" w:rsidP="007467D7">
      <w:pPr>
        <w:widowControl/>
        <w:ind w:left="1418" w:hanging="1418"/>
        <w:rPr>
          <w:szCs w:val="22"/>
        </w:rPr>
      </w:pPr>
      <w:r w:rsidRPr="000B6A4E">
        <w:rPr>
          <w:b/>
          <w:lang w:bidi="ar-SA"/>
        </w:rPr>
        <w:t>Government</w:t>
      </w:r>
      <w:r w:rsidRPr="00376BB8">
        <w:rPr>
          <w:lang w:bidi="ar-SA"/>
        </w:rPr>
        <w:t>:</w:t>
      </w:r>
      <w:r w:rsidR="00ED40BF">
        <w:rPr>
          <w:lang w:bidi="ar-SA"/>
        </w:rPr>
        <w:tab/>
      </w:r>
      <w:r w:rsidR="00376BB8">
        <w:rPr>
          <w:szCs w:val="22"/>
        </w:rPr>
        <w:t>There are no additional costs to government as the draft variation use</w:t>
      </w:r>
      <w:r w:rsidR="008E7041">
        <w:rPr>
          <w:szCs w:val="22"/>
        </w:rPr>
        <w:t>s</w:t>
      </w:r>
      <w:r w:rsidR="00376BB8">
        <w:rPr>
          <w:szCs w:val="22"/>
        </w:rPr>
        <w:t xml:space="preserve"> the existing health claims framework and substantiation requirements in the Code. </w:t>
      </w:r>
      <w:r w:rsidR="00E7411B">
        <w:rPr>
          <w:szCs w:val="22"/>
        </w:rPr>
        <w:t xml:space="preserve">A prescribed name has been established to assist enforcement agencies to </w:t>
      </w:r>
      <w:r w:rsidR="00376BB8">
        <w:rPr>
          <w:szCs w:val="22"/>
        </w:rPr>
        <w:t xml:space="preserve">identify the products that are not required to meet the NPSC. </w:t>
      </w:r>
    </w:p>
    <w:p w:rsidR="00726C2F" w:rsidRDefault="00726C2F" w:rsidP="007467D7">
      <w:pPr>
        <w:pStyle w:val="Heading4"/>
        <w:widowControl/>
      </w:pPr>
      <w:r>
        <w:t>2.</w:t>
      </w:r>
      <w:r w:rsidR="00345E52">
        <w:t>4</w:t>
      </w:r>
      <w:r>
        <w:t>.1.2</w:t>
      </w:r>
      <w:r>
        <w:tab/>
        <w:t>Other measures</w:t>
      </w:r>
    </w:p>
    <w:p w:rsidR="00726C2F" w:rsidRPr="00A43A9E" w:rsidRDefault="00E42514" w:rsidP="007467D7">
      <w:pPr>
        <w:widowControl/>
      </w:pPr>
      <w:r>
        <w:t>T</w:t>
      </w:r>
      <w:r w:rsidR="00726C2F">
        <w:t>here are no</w:t>
      </w:r>
      <w:r w:rsidR="00726C2F" w:rsidRPr="007F7BF7">
        <w:t xml:space="preserve"> other measures </w:t>
      </w:r>
      <w:r w:rsidR="00726C2F">
        <w:t xml:space="preserve">(whether available to FSANZ or not) that </w:t>
      </w:r>
      <w:r w:rsidR="00726C2F" w:rsidRPr="007F7BF7">
        <w:t>would</w:t>
      </w:r>
      <w:r w:rsidR="00726C2F">
        <w:t xml:space="preserve"> be more cost-effective than a food regulatory measure varied as a result of </w:t>
      </w:r>
      <w:r w:rsidR="00726C2F" w:rsidRPr="00A43A9E">
        <w:t>the Proposal.</w:t>
      </w:r>
    </w:p>
    <w:p w:rsidR="00726C2F" w:rsidRDefault="008B0075" w:rsidP="007467D7">
      <w:pPr>
        <w:pStyle w:val="Heading4"/>
        <w:widowControl/>
      </w:pPr>
      <w:r>
        <w:t>2.</w:t>
      </w:r>
      <w:r w:rsidR="00345E52">
        <w:t>4</w:t>
      </w:r>
      <w:r>
        <w:t>.1.3</w:t>
      </w:r>
      <w:r>
        <w:tab/>
        <w:t>A</w:t>
      </w:r>
      <w:r w:rsidR="00726C2F" w:rsidRPr="00914030">
        <w:t>ny relevant New Zealand standards</w:t>
      </w:r>
    </w:p>
    <w:p w:rsidR="00EF6193" w:rsidRDefault="00C631A8" w:rsidP="007467D7">
      <w:pPr>
        <w:widowControl/>
        <w:rPr>
          <w:lang w:bidi="ar-SA"/>
        </w:rPr>
      </w:pPr>
      <w:r>
        <w:t>Th</w:t>
      </w:r>
      <w:r w:rsidR="000B6A4E">
        <w:t xml:space="preserve">e draft variations amend </w:t>
      </w:r>
      <w:r>
        <w:t>joint Australia New Zealand standard</w:t>
      </w:r>
      <w:r w:rsidR="000B6A4E">
        <w:t>s</w:t>
      </w:r>
      <w:r>
        <w:t xml:space="preserve">. </w:t>
      </w:r>
      <w:r w:rsidR="00D01647">
        <w:t xml:space="preserve">There are no relevant New Zealand </w:t>
      </w:r>
      <w:r>
        <w:t xml:space="preserve">only </w:t>
      </w:r>
      <w:r w:rsidR="00D01647">
        <w:t xml:space="preserve">standards. </w:t>
      </w:r>
      <w:r w:rsidR="00376BB8">
        <w:rPr>
          <w:highlight w:val="green"/>
        </w:rPr>
        <w:t xml:space="preserve"> </w:t>
      </w:r>
    </w:p>
    <w:p w:rsidR="00726C2F" w:rsidRPr="00914030" w:rsidRDefault="00BE3818" w:rsidP="007467D7">
      <w:pPr>
        <w:pStyle w:val="Heading4"/>
        <w:widowControl/>
      </w:pPr>
      <w:r>
        <w:t>2.</w:t>
      </w:r>
      <w:r w:rsidR="00345E52">
        <w:t>4</w:t>
      </w:r>
      <w:r>
        <w:t>.1.4</w:t>
      </w:r>
      <w:r>
        <w:tab/>
      </w:r>
      <w:r w:rsidR="0027513D">
        <w:t>A</w:t>
      </w:r>
      <w:r>
        <w:t>ny other relevant matters</w:t>
      </w:r>
    </w:p>
    <w:p w:rsidR="00BE3818" w:rsidRDefault="00BE3818" w:rsidP="007467D7">
      <w:pPr>
        <w:widowControl/>
        <w:rPr>
          <w:lang w:bidi="ar-SA"/>
        </w:rPr>
      </w:pPr>
      <w:r>
        <w:rPr>
          <w:lang w:bidi="ar-SA"/>
        </w:rPr>
        <w:t>There are no other relevant matters.</w:t>
      </w:r>
    </w:p>
    <w:p w:rsidR="00022DBC" w:rsidRPr="00914030" w:rsidRDefault="00BE3818" w:rsidP="007467D7">
      <w:pPr>
        <w:pStyle w:val="Heading3"/>
        <w:widowControl/>
      </w:pPr>
      <w:bookmarkStart w:id="49" w:name="_Toc300761897"/>
      <w:bookmarkStart w:id="50" w:name="_Toc300933440"/>
      <w:bookmarkStart w:id="51" w:name="_Toc395775020"/>
      <w:r>
        <w:t>2.</w:t>
      </w:r>
      <w:r w:rsidR="00345E52">
        <w:t>4</w:t>
      </w:r>
      <w:r>
        <w:t>.2</w:t>
      </w:r>
      <w:r w:rsidR="00022DBC" w:rsidRPr="00914030">
        <w:tab/>
      </w:r>
      <w:r>
        <w:t>Subsection 18(1)</w:t>
      </w:r>
      <w:bookmarkEnd w:id="49"/>
      <w:bookmarkEnd w:id="50"/>
      <w:bookmarkEnd w:id="51"/>
    </w:p>
    <w:p w:rsidR="00022DBC" w:rsidRPr="00914030" w:rsidRDefault="00022DBC" w:rsidP="007467D7">
      <w:pPr>
        <w:widowControl/>
      </w:pPr>
      <w:r w:rsidRPr="00914030">
        <w:rPr>
          <w:rFonts w:cs="Arial"/>
        </w:rPr>
        <w:t xml:space="preserve">FSANZ has also </w:t>
      </w:r>
      <w:r w:rsidRPr="00914030">
        <w:t xml:space="preserve">considered the three objectives in subsection 18(1) of the </w:t>
      </w:r>
      <w:r>
        <w:t>FSANZ Act during the assessment.</w:t>
      </w:r>
    </w:p>
    <w:p w:rsidR="00022DBC" w:rsidRPr="00914030" w:rsidRDefault="00BE3818" w:rsidP="007467D7">
      <w:pPr>
        <w:pStyle w:val="Heading4"/>
        <w:widowControl/>
        <w:rPr>
          <w:lang w:eastAsia="en-AU"/>
        </w:rPr>
      </w:pPr>
      <w:bookmarkStart w:id="52" w:name="_Toc297029117"/>
      <w:bookmarkStart w:id="53" w:name="_Toc300761898"/>
      <w:bookmarkStart w:id="54" w:name="_Toc300933441"/>
      <w:r>
        <w:rPr>
          <w:lang w:eastAsia="en-AU"/>
        </w:rPr>
        <w:t>2.</w:t>
      </w:r>
      <w:r w:rsidR="00345E52">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52"/>
      <w:bookmarkEnd w:id="53"/>
      <w:bookmarkEnd w:id="54"/>
    </w:p>
    <w:p w:rsidR="00022DBC" w:rsidRPr="00E91E8C" w:rsidRDefault="00134508" w:rsidP="007467D7">
      <w:pPr>
        <w:widowControl/>
      </w:pPr>
      <w:r>
        <w:t xml:space="preserve">Apart from presentational changes, </w:t>
      </w:r>
      <w:r w:rsidR="00A43A9E" w:rsidRPr="00E91E8C">
        <w:t xml:space="preserve">no changes are proposed </w:t>
      </w:r>
      <w:r>
        <w:t xml:space="preserve">to the </w:t>
      </w:r>
      <w:r w:rsidRPr="00E91E8C">
        <w:t xml:space="preserve">composition permissions or </w:t>
      </w:r>
      <w:r>
        <w:t>requirements</w:t>
      </w:r>
      <w:r w:rsidRPr="00E91E8C">
        <w:t xml:space="preserve"> </w:t>
      </w:r>
      <w:r>
        <w:t>for FSSF</w:t>
      </w:r>
      <w:r w:rsidR="007861E7">
        <w:t>s</w:t>
      </w:r>
      <w:r>
        <w:t xml:space="preserve"> and </w:t>
      </w:r>
      <w:r w:rsidR="007861E7">
        <w:t xml:space="preserve">EDs </w:t>
      </w:r>
      <w:r w:rsidR="00EF776A" w:rsidRPr="00E91E8C">
        <w:t xml:space="preserve">in this </w:t>
      </w:r>
      <w:r w:rsidR="00B44845">
        <w:t>P</w:t>
      </w:r>
      <w:r w:rsidR="00B44845" w:rsidRPr="00E91E8C">
        <w:t>roposal</w:t>
      </w:r>
      <w:r>
        <w:t xml:space="preserve">. </w:t>
      </w:r>
      <w:r w:rsidR="004D4ED7">
        <w:t xml:space="preserve">Therefore </w:t>
      </w:r>
      <w:r w:rsidR="004D4ED7" w:rsidRPr="00E91E8C">
        <w:t>public health and safety will continue to be protected</w:t>
      </w:r>
      <w:r w:rsidR="00064E05">
        <w:t>.</w:t>
      </w:r>
      <w:r w:rsidR="00203CBC" w:rsidRPr="00E91E8C">
        <w:t xml:space="preserve"> </w:t>
      </w:r>
    </w:p>
    <w:p w:rsidR="00022DBC" w:rsidRPr="00914030" w:rsidRDefault="00BE3818" w:rsidP="007467D7">
      <w:pPr>
        <w:pStyle w:val="Heading4"/>
        <w:widowControl/>
        <w:rPr>
          <w:lang w:eastAsia="en-AU"/>
        </w:rPr>
      </w:pPr>
      <w:bookmarkStart w:id="55" w:name="_Toc300761899"/>
      <w:bookmarkStart w:id="56" w:name="_Toc300933442"/>
      <w:r>
        <w:rPr>
          <w:lang w:eastAsia="en-AU"/>
        </w:rPr>
        <w:t>2.</w:t>
      </w:r>
      <w:r w:rsidR="00345E52">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55"/>
      <w:bookmarkEnd w:id="56"/>
    </w:p>
    <w:p w:rsidR="00022DBC" w:rsidRPr="00270138" w:rsidRDefault="00EF776A" w:rsidP="007467D7">
      <w:pPr>
        <w:widowControl/>
      </w:pPr>
      <w:r w:rsidRPr="00E91E8C">
        <w:t xml:space="preserve">The </w:t>
      </w:r>
      <w:r w:rsidRPr="00270138">
        <w:t>draft variation permit</w:t>
      </w:r>
      <w:r w:rsidR="008E7041">
        <w:t xml:space="preserve">s </w:t>
      </w:r>
      <w:r w:rsidR="00EB5F30" w:rsidRPr="00270138">
        <w:t xml:space="preserve">health claims </w:t>
      </w:r>
      <w:r w:rsidRPr="00270138">
        <w:t xml:space="preserve">consistent with </w:t>
      </w:r>
      <w:r w:rsidR="00EB5F30" w:rsidRPr="00270138">
        <w:t xml:space="preserve">the </w:t>
      </w:r>
      <w:r w:rsidR="00E7411B" w:rsidRPr="00270138">
        <w:t>purpose of FSSF</w:t>
      </w:r>
      <w:r w:rsidR="00E7411B">
        <w:t>s</w:t>
      </w:r>
      <w:r w:rsidR="00E7411B" w:rsidRPr="00270138">
        <w:t xml:space="preserve"> and ED</w:t>
      </w:r>
      <w:r w:rsidR="00E7411B">
        <w:t>s</w:t>
      </w:r>
      <w:r w:rsidR="00E7411B" w:rsidRPr="00270138">
        <w:t xml:space="preserve"> </w:t>
      </w:r>
      <w:r w:rsidR="0098180E" w:rsidRPr="00270138">
        <w:t>as outlined in the</w:t>
      </w:r>
      <w:r w:rsidR="00E7411B">
        <w:t>ir</w:t>
      </w:r>
      <w:r w:rsidR="0098180E" w:rsidRPr="00270138">
        <w:t xml:space="preserve"> </w:t>
      </w:r>
      <w:r w:rsidR="00E7411B" w:rsidRPr="00270138">
        <w:t xml:space="preserve">respective </w:t>
      </w:r>
      <w:r w:rsidRPr="00270138">
        <w:t>definition</w:t>
      </w:r>
      <w:r w:rsidR="00E7411B">
        <w:t>s</w:t>
      </w:r>
      <w:r w:rsidR="00EF675D">
        <w:t>. Health claims</w:t>
      </w:r>
      <w:r w:rsidR="00EB5F30" w:rsidRPr="00270138">
        <w:t xml:space="preserve"> </w:t>
      </w:r>
      <w:r w:rsidR="00BC5262">
        <w:t>can</w:t>
      </w:r>
      <w:r w:rsidR="00BC5262" w:rsidRPr="00270138">
        <w:t xml:space="preserve"> </w:t>
      </w:r>
      <w:r w:rsidRPr="00270138">
        <w:t xml:space="preserve">provide </w:t>
      </w:r>
      <w:r w:rsidR="0048787A">
        <w:t xml:space="preserve">sports people </w:t>
      </w:r>
      <w:r w:rsidR="00B01207">
        <w:t xml:space="preserve">with information to </w:t>
      </w:r>
      <w:r w:rsidR="00D30B1A">
        <w:t xml:space="preserve">help make </w:t>
      </w:r>
      <w:r w:rsidR="00B01207">
        <w:t>food choices</w:t>
      </w:r>
      <w:r w:rsidR="00DB7933">
        <w:t xml:space="preserve"> appropriate for their</w:t>
      </w:r>
      <w:r w:rsidR="00DB7933" w:rsidRPr="00DB7933">
        <w:t xml:space="preserve"> </w:t>
      </w:r>
      <w:r w:rsidR="00DB7933">
        <w:t>nutritional or performance goals</w:t>
      </w:r>
      <w:r w:rsidR="00B01207">
        <w:t>.</w:t>
      </w:r>
    </w:p>
    <w:p w:rsidR="00022DBC" w:rsidRPr="00270138" w:rsidRDefault="00BE3818" w:rsidP="007467D7">
      <w:pPr>
        <w:pStyle w:val="Heading4"/>
        <w:widowControl/>
        <w:rPr>
          <w:lang w:eastAsia="en-AU"/>
        </w:rPr>
      </w:pPr>
      <w:bookmarkStart w:id="57" w:name="_Toc300761900"/>
      <w:bookmarkStart w:id="58" w:name="_Toc300933443"/>
      <w:r w:rsidRPr="00270138">
        <w:rPr>
          <w:lang w:eastAsia="en-AU"/>
        </w:rPr>
        <w:t>2.</w:t>
      </w:r>
      <w:r w:rsidR="00345E52">
        <w:rPr>
          <w:lang w:eastAsia="en-AU"/>
        </w:rPr>
        <w:t>4</w:t>
      </w:r>
      <w:r w:rsidRPr="00270138">
        <w:rPr>
          <w:lang w:eastAsia="en-AU"/>
        </w:rPr>
        <w:t>.2</w:t>
      </w:r>
      <w:r w:rsidR="00022DBC" w:rsidRPr="00270138">
        <w:rPr>
          <w:lang w:eastAsia="en-AU"/>
        </w:rPr>
        <w:t>.3</w:t>
      </w:r>
      <w:r w:rsidR="00022DBC" w:rsidRPr="00270138">
        <w:rPr>
          <w:lang w:eastAsia="en-AU"/>
        </w:rPr>
        <w:tab/>
        <w:t>The prevention of misleading or deceptive conduct</w:t>
      </w:r>
      <w:bookmarkEnd w:id="57"/>
      <w:bookmarkEnd w:id="58"/>
    </w:p>
    <w:p w:rsidR="00203CBC" w:rsidRDefault="00EB5F30" w:rsidP="007467D7">
      <w:pPr>
        <w:widowControl/>
      </w:pPr>
      <w:r w:rsidRPr="00270138">
        <w:t xml:space="preserve">The draft variation </w:t>
      </w:r>
      <w:r w:rsidR="00EF776A" w:rsidRPr="00270138">
        <w:t>rel</w:t>
      </w:r>
      <w:r w:rsidR="00F95DE4">
        <w:t>ies</w:t>
      </w:r>
      <w:r w:rsidR="00EF776A" w:rsidRPr="00270138">
        <w:t xml:space="preserve"> </w:t>
      </w:r>
      <w:r w:rsidR="00EE111A" w:rsidRPr="00270138">
        <w:t xml:space="preserve">on the protection afforded by the requirements in Standard 1.2.7 to </w:t>
      </w:r>
      <w:r w:rsidR="00D45341">
        <w:t xml:space="preserve">mitigate the possibility of consumers being </w:t>
      </w:r>
      <w:r w:rsidR="00EE111A" w:rsidRPr="00270138">
        <w:t>mis</w:t>
      </w:r>
      <w:r w:rsidR="00EF776A" w:rsidRPr="00270138">
        <w:t>le</w:t>
      </w:r>
      <w:r w:rsidR="00D45341">
        <w:t>d</w:t>
      </w:r>
      <w:r w:rsidR="00EF776A" w:rsidRPr="00270138">
        <w:t xml:space="preserve"> </w:t>
      </w:r>
      <w:r w:rsidR="00D45341">
        <w:t>by health claims.</w:t>
      </w:r>
      <w:r w:rsidR="00EE111A" w:rsidRPr="00270138">
        <w:t xml:space="preserve"> </w:t>
      </w:r>
      <w:r w:rsidR="00A33BB0" w:rsidRPr="00A33BB0">
        <w:t xml:space="preserve">These requirements include </w:t>
      </w:r>
      <w:r w:rsidR="00A33BB0">
        <w:t xml:space="preserve">qualifying criteria for foods carrying </w:t>
      </w:r>
      <w:r w:rsidR="00A33BB0" w:rsidRPr="00A33BB0">
        <w:t>health claims, the need for all hea</w:t>
      </w:r>
      <w:r w:rsidR="00A33BB0">
        <w:t xml:space="preserve">lth claims to be substantiated and </w:t>
      </w:r>
      <w:r w:rsidR="00A33BB0" w:rsidRPr="00A33BB0">
        <w:t xml:space="preserve">requirements for dietary context statements </w:t>
      </w:r>
      <w:r w:rsidR="00A33BB0">
        <w:t xml:space="preserve">to be made </w:t>
      </w:r>
      <w:r w:rsidR="00A33BB0" w:rsidRPr="00A33BB0">
        <w:t>in association with health claims</w:t>
      </w:r>
      <w:r w:rsidR="00A33BB0">
        <w:t xml:space="preserve">. </w:t>
      </w:r>
      <w:r w:rsidR="00EE111A" w:rsidRPr="00270138">
        <w:t xml:space="preserve">Furthermore, </w:t>
      </w:r>
      <w:r w:rsidR="00D45341">
        <w:t>health</w:t>
      </w:r>
      <w:r w:rsidR="00EE111A" w:rsidRPr="00270138">
        <w:t xml:space="preserve"> claims about </w:t>
      </w:r>
      <w:r w:rsidR="00EF776A" w:rsidRPr="00270138">
        <w:t>FSSF</w:t>
      </w:r>
      <w:r w:rsidR="00A33BB0">
        <w:t>s</w:t>
      </w:r>
      <w:r w:rsidR="00EF776A" w:rsidRPr="00270138">
        <w:t xml:space="preserve"> and </w:t>
      </w:r>
      <w:r w:rsidR="00E91E8C" w:rsidRPr="00270138">
        <w:t>ED</w:t>
      </w:r>
      <w:r w:rsidR="00A33BB0">
        <w:t>s</w:t>
      </w:r>
      <w:r w:rsidRPr="00270138">
        <w:t xml:space="preserve"> </w:t>
      </w:r>
      <w:r w:rsidR="00EE111A" w:rsidRPr="00270138">
        <w:t>are limited to those consistent with the</w:t>
      </w:r>
      <w:r w:rsidR="009A555C">
        <w:t xml:space="preserve"> </w:t>
      </w:r>
      <w:r w:rsidR="00C93EB7">
        <w:t xml:space="preserve">respective </w:t>
      </w:r>
      <w:r w:rsidR="00EE111A" w:rsidRPr="00270138">
        <w:t>purpose</w:t>
      </w:r>
      <w:r w:rsidR="00C93EB7">
        <w:t>s</w:t>
      </w:r>
      <w:r w:rsidR="007154A8">
        <w:t xml:space="preserve"> of </w:t>
      </w:r>
      <w:r w:rsidR="00792853" w:rsidRPr="00270138">
        <w:t>FSSF</w:t>
      </w:r>
      <w:r w:rsidR="00792853">
        <w:t>s</w:t>
      </w:r>
      <w:r w:rsidR="00792853" w:rsidRPr="00270138">
        <w:t xml:space="preserve"> and ED</w:t>
      </w:r>
      <w:r w:rsidR="00792853">
        <w:t>s as</w:t>
      </w:r>
      <w:r w:rsidR="0098180E" w:rsidRPr="00270138">
        <w:t xml:space="preserve"> </w:t>
      </w:r>
      <w:r w:rsidR="00EE111A" w:rsidRPr="00270138">
        <w:t>defin</w:t>
      </w:r>
      <w:r w:rsidR="00792853">
        <w:t>ed</w:t>
      </w:r>
      <w:r w:rsidR="00EE111A" w:rsidRPr="00270138">
        <w:t xml:space="preserve">. </w:t>
      </w:r>
    </w:p>
    <w:p w:rsidR="00022DBC" w:rsidRPr="00914030" w:rsidRDefault="00B51E03" w:rsidP="007467D7">
      <w:pPr>
        <w:pStyle w:val="Heading3"/>
        <w:widowControl/>
      </w:pPr>
      <w:bookmarkStart w:id="59" w:name="_Toc300761901"/>
      <w:bookmarkStart w:id="60" w:name="_Toc300933444"/>
      <w:bookmarkStart w:id="61" w:name="_Toc395775021"/>
      <w:r>
        <w:t>2.</w:t>
      </w:r>
      <w:r w:rsidR="00345E52">
        <w:t>4</w:t>
      </w:r>
      <w:r>
        <w:t>.3</w:t>
      </w:r>
      <w:r w:rsidR="00022DBC" w:rsidRPr="00914030">
        <w:tab/>
        <w:t xml:space="preserve">Subsection 18(2) </w:t>
      </w:r>
      <w:bookmarkEnd w:id="59"/>
      <w:bookmarkEnd w:id="60"/>
      <w:r w:rsidR="00022DBC" w:rsidRPr="00914030">
        <w:t>considerations</w:t>
      </w:r>
      <w:bookmarkEnd w:id="61"/>
    </w:p>
    <w:p w:rsidR="00022DBC" w:rsidRPr="00914030" w:rsidRDefault="00022DBC" w:rsidP="007467D7">
      <w:pPr>
        <w:widowControl/>
        <w:rPr>
          <w:rFonts w:cs="Arial"/>
        </w:rPr>
      </w:pPr>
      <w:r w:rsidRPr="00914030">
        <w:rPr>
          <w:rFonts w:cs="Arial"/>
        </w:rPr>
        <w:t>FSANZ has also had regard to:</w:t>
      </w:r>
    </w:p>
    <w:p w:rsidR="00947D34" w:rsidRDefault="00947D34" w:rsidP="007467D7">
      <w:pPr>
        <w:widowControl/>
        <w:rPr>
          <w:rFonts w:cs="Arial"/>
        </w:rPr>
      </w:pPr>
      <w:r>
        <w:rPr>
          <w:rFonts w:cs="Arial"/>
        </w:rPr>
        <w:br w:type="page"/>
      </w:r>
    </w:p>
    <w:p w:rsidR="00022DBC" w:rsidRPr="008828D9" w:rsidRDefault="00022DBC" w:rsidP="007467D7">
      <w:pPr>
        <w:pStyle w:val="FSBullet1"/>
        <w:rPr>
          <w:b/>
        </w:rPr>
      </w:pPr>
      <w:r w:rsidRPr="008828D9">
        <w:rPr>
          <w:b/>
        </w:rPr>
        <w:lastRenderedPageBreak/>
        <w:t>the need for standards to be based on risk analysis using the best available scientific evidence</w:t>
      </w:r>
    </w:p>
    <w:p w:rsidR="008828D9" w:rsidRDefault="008828D9" w:rsidP="007467D7">
      <w:pPr>
        <w:widowControl/>
        <w:rPr>
          <w:lang w:bidi="ar-SA"/>
        </w:rPr>
      </w:pPr>
    </w:p>
    <w:p w:rsidR="002D6EA0" w:rsidRPr="00270138" w:rsidRDefault="00EE111A" w:rsidP="007467D7">
      <w:pPr>
        <w:widowControl/>
      </w:pPr>
      <w:r w:rsidRPr="00270138">
        <w:t>Since</w:t>
      </w:r>
      <w:r w:rsidR="002D6EA0" w:rsidRPr="00270138">
        <w:t xml:space="preserve"> </w:t>
      </w:r>
      <w:r w:rsidRPr="00270138">
        <w:t xml:space="preserve">the Proposal does not propose any </w:t>
      </w:r>
      <w:r w:rsidR="002D6EA0" w:rsidRPr="00270138">
        <w:t>change to composition</w:t>
      </w:r>
      <w:r w:rsidRPr="00270138">
        <w:t xml:space="preserve"> or pre-approval of health claims</w:t>
      </w:r>
      <w:r w:rsidR="002D6EA0" w:rsidRPr="00270138">
        <w:t>, no scientific</w:t>
      </w:r>
      <w:r w:rsidR="004C1B40">
        <w:t xml:space="preserve"> risk</w:t>
      </w:r>
      <w:r w:rsidR="002D6EA0" w:rsidRPr="00270138">
        <w:t xml:space="preserve"> assessment </w:t>
      </w:r>
      <w:r w:rsidR="00792853">
        <w:t>has been</w:t>
      </w:r>
      <w:r w:rsidRPr="00270138">
        <w:t xml:space="preserve"> </w:t>
      </w:r>
      <w:r w:rsidR="002D6EA0" w:rsidRPr="00270138">
        <w:t xml:space="preserve">undertaken by FSANZ. </w:t>
      </w:r>
    </w:p>
    <w:p w:rsidR="00C56C26" w:rsidRDefault="00C56C26" w:rsidP="007467D7">
      <w:pPr>
        <w:widowControl/>
        <w:rPr>
          <w:lang w:bidi="ar-SA"/>
        </w:rPr>
      </w:pPr>
    </w:p>
    <w:p w:rsidR="00022DBC" w:rsidRDefault="00022DBC" w:rsidP="00792853">
      <w:pPr>
        <w:pStyle w:val="FSBullet1"/>
        <w:keepNext/>
        <w:keepLines/>
        <w:rPr>
          <w:b/>
        </w:rPr>
      </w:pPr>
      <w:r w:rsidRPr="00270138">
        <w:rPr>
          <w:b/>
        </w:rPr>
        <w:t>the promotion of consistency between domestic and international food standards</w:t>
      </w:r>
    </w:p>
    <w:p w:rsidR="00C05B84" w:rsidRPr="00C87854" w:rsidRDefault="00C05B84" w:rsidP="00792853">
      <w:pPr>
        <w:keepNext/>
        <w:keepLines/>
        <w:widowControl/>
        <w:rPr>
          <w:lang w:bidi="ar-SA"/>
        </w:rPr>
      </w:pPr>
    </w:p>
    <w:p w:rsidR="00407C88" w:rsidRDefault="009A555C" w:rsidP="00792853">
      <w:pPr>
        <w:keepNext/>
        <w:keepLines/>
        <w:widowControl/>
        <w:rPr>
          <w:lang w:bidi="ar-SA"/>
        </w:rPr>
      </w:pPr>
      <w:r>
        <w:t>The</w:t>
      </w:r>
      <w:r w:rsidR="00C05B84">
        <w:t xml:space="preserve"> </w:t>
      </w:r>
      <w:r w:rsidR="00407C88">
        <w:t>draft variation</w:t>
      </w:r>
      <w:r w:rsidR="00B44845">
        <w:t xml:space="preserve"> </w:t>
      </w:r>
      <w:r w:rsidR="00C05B84">
        <w:t xml:space="preserve">will allow </w:t>
      </w:r>
      <w:r w:rsidR="00792853">
        <w:rPr>
          <w:lang w:bidi="ar-SA"/>
        </w:rPr>
        <w:t xml:space="preserve">internationally </w:t>
      </w:r>
      <w:r w:rsidR="00792853">
        <w:t>traded</w:t>
      </w:r>
      <w:r w:rsidR="00C05B84">
        <w:t xml:space="preserve"> </w:t>
      </w:r>
      <w:r w:rsidR="00FE2C7D">
        <w:t>FSSF</w:t>
      </w:r>
      <w:r w:rsidR="00C05B84">
        <w:t>s and ED</w:t>
      </w:r>
      <w:r w:rsidR="00996A62">
        <w:t>s</w:t>
      </w:r>
      <w:r w:rsidR="00C05B84">
        <w:t xml:space="preserve"> that meet composition requirements of the Code to </w:t>
      </w:r>
      <w:r w:rsidR="00FD185E">
        <w:t xml:space="preserve">carry </w:t>
      </w:r>
      <w:r w:rsidR="00C05B84">
        <w:t xml:space="preserve">scientifically substantiated health claims. </w:t>
      </w:r>
      <w:r w:rsidR="00407C88">
        <w:rPr>
          <w:lang w:bidi="ar-SA"/>
        </w:rPr>
        <w:t>The</w:t>
      </w:r>
      <w:r w:rsidR="00407C88" w:rsidRPr="00D652EF">
        <w:rPr>
          <w:lang w:bidi="ar-SA"/>
        </w:rPr>
        <w:t xml:space="preserve"> regulatory requirements for health claims are </w:t>
      </w:r>
      <w:r w:rsidR="00407C88">
        <w:rPr>
          <w:lang w:bidi="ar-SA"/>
        </w:rPr>
        <w:t xml:space="preserve">not inconsistent with </w:t>
      </w:r>
      <w:r w:rsidR="00407C88" w:rsidRPr="00D652EF">
        <w:rPr>
          <w:lang w:bidi="ar-SA"/>
        </w:rPr>
        <w:t>those in the E</w:t>
      </w:r>
      <w:r w:rsidR="00792853">
        <w:rPr>
          <w:lang w:bidi="ar-SA"/>
        </w:rPr>
        <w:t xml:space="preserve">uropean </w:t>
      </w:r>
      <w:r w:rsidR="00407C88" w:rsidRPr="00D652EF">
        <w:rPr>
          <w:lang w:bidi="ar-SA"/>
        </w:rPr>
        <w:t>U</w:t>
      </w:r>
      <w:r w:rsidR="00792853">
        <w:rPr>
          <w:lang w:bidi="ar-SA"/>
        </w:rPr>
        <w:t>nion</w:t>
      </w:r>
      <w:r w:rsidR="00407C88" w:rsidRPr="00D652EF">
        <w:rPr>
          <w:lang w:bidi="ar-SA"/>
        </w:rPr>
        <w:t xml:space="preserve">, </w:t>
      </w:r>
      <w:r w:rsidR="00407C88">
        <w:rPr>
          <w:lang w:bidi="ar-SA"/>
        </w:rPr>
        <w:t xml:space="preserve">USA and Canada. </w:t>
      </w:r>
    </w:p>
    <w:p w:rsidR="00C05B84" w:rsidRPr="00270138" w:rsidRDefault="00C05B84" w:rsidP="007467D7">
      <w:pPr>
        <w:widowControl/>
        <w:rPr>
          <w:lang w:bidi="ar-SA"/>
        </w:rPr>
      </w:pPr>
    </w:p>
    <w:p w:rsidR="00022DBC" w:rsidRPr="000B6A4E" w:rsidRDefault="00022DBC" w:rsidP="007467D7">
      <w:pPr>
        <w:pStyle w:val="FSBullet1"/>
        <w:rPr>
          <w:b/>
        </w:rPr>
      </w:pPr>
      <w:r w:rsidRPr="000B6A4E">
        <w:rPr>
          <w:b/>
        </w:rPr>
        <w:t>the desirability of an efficient and internationally competitive food industry</w:t>
      </w:r>
    </w:p>
    <w:p w:rsidR="00923B65" w:rsidRDefault="00923B65" w:rsidP="007467D7">
      <w:pPr>
        <w:widowControl/>
        <w:rPr>
          <w:lang w:bidi="ar-SA"/>
        </w:rPr>
      </w:pPr>
    </w:p>
    <w:p w:rsidR="007C6EB3" w:rsidRDefault="007C6EB3" w:rsidP="007467D7">
      <w:pPr>
        <w:widowControl/>
        <w:rPr>
          <w:lang w:bidi="ar-SA"/>
        </w:rPr>
      </w:pPr>
      <w:r>
        <w:rPr>
          <w:lang w:bidi="ar-SA"/>
        </w:rPr>
        <w:t xml:space="preserve">The draft variation removes a potential barrier </w:t>
      </w:r>
      <w:r w:rsidR="009D2973">
        <w:rPr>
          <w:lang w:bidi="ar-SA"/>
        </w:rPr>
        <w:t>to internationally traded</w:t>
      </w:r>
      <w:r>
        <w:rPr>
          <w:lang w:bidi="ar-SA"/>
        </w:rPr>
        <w:t xml:space="preserve"> FSSFs and EDs</w:t>
      </w:r>
      <w:r w:rsidR="009D2973">
        <w:rPr>
          <w:lang w:bidi="ar-SA"/>
        </w:rPr>
        <w:t xml:space="preserve"> by permitting a broader range of scientifically substantiated claims that r</w:t>
      </w:r>
      <w:r>
        <w:rPr>
          <w:lang w:bidi="ar-SA"/>
        </w:rPr>
        <w:t>elat</w:t>
      </w:r>
      <w:r w:rsidR="009D2973">
        <w:rPr>
          <w:lang w:bidi="ar-SA"/>
        </w:rPr>
        <w:t>e</w:t>
      </w:r>
      <w:r>
        <w:rPr>
          <w:lang w:bidi="ar-SA"/>
        </w:rPr>
        <w:t xml:space="preserve"> to their</w:t>
      </w:r>
      <w:r w:rsidR="00792853">
        <w:rPr>
          <w:lang w:bidi="ar-SA"/>
        </w:rPr>
        <w:t xml:space="preserve"> respective</w:t>
      </w:r>
      <w:r>
        <w:rPr>
          <w:lang w:bidi="ar-SA"/>
        </w:rPr>
        <w:t xml:space="preserve"> intended purpose</w:t>
      </w:r>
      <w:r w:rsidR="00792853">
        <w:rPr>
          <w:lang w:bidi="ar-SA"/>
        </w:rPr>
        <w:t>s</w:t>
      </w:r>
      <w:r>
        <w:rPr>
          <w:lang w:bidi="ar-SA"/>
        </w:rPr>
        <w:t xml:space="preserve">. </w:t>
      </w:r>
    </w:p>
    <w:p w:rsidR="00F67394" w:rsidRDefault="00F67394" w:rsidP="007467D7">
      <w:pPr>
        <w:widowControl/>
        <w:rPr>
          <w:lang w:bidi="ar-SA"/>
        </w:rPr>
      </w:pPr>
    </w:p>
    <w:p w:rsidR="00022DBC" w:rsidRPr="000B6A4E" w:rsidRDefault="00022DBC" w:rsidP="007467D7">
      <w:pPr>
        <w:pStyle w:val="FSBullet1"/>
        <w:rPr>
          <w:b/>
        </w:rPr>
      </w:pPr>
      <w:r w:rsidRPr="000B6A4E">
        <w:rPr>
          <w:b/>
        </w:rPr>
        <w:t>the promotion of fair trading in food</w:t>
      </w:r>
    </w:p>
    <w:p w:rsidR="00F67394" w:rsidRDefault="00F67394" w:rsidP="007467D7">
      <w:pPr>
        <w:widowControl/>
      </w:pPr>
    </w:p>
    <w:p w:rsidR="00CC7EC5" w:rsidRDefault="00CC7EC5" w:rsidP="007467D7">
      <w:pPr>
        <w:widowControl/>
      </w:pPr>
      <w:r w:rsidRPr="00270138">
        <w:t xml:space="preserve">The draft variation </w:t>
      </w:r>
      <w:r w:rsidR="000C7DAA">
        <w:t>promotes fair trading by</w:t>
      </w:r>
      <w:r w:rsidR="004D4ED7">
        <w:t xml:space="preserve"> </w:t>
      </w:r>
      <w:r w:rsidR="009D2973">
        <w:t xml:space="preserve">permitting </w:t>
      </w:r>
      <w:r w:rsidR="0098180E" w:rsidRPr="00270138">
        <w:t>FSSF</w:t>
      </w:r>
      <w:r w:rsidR="004D4ED7">
        <w:t>s</w:t>
      </w:r>
      <w:r w:rsidR="0098180E" w:rsidRPr="00270138">
        <w:t xml:space="preserve"> and ED</w:t>
      </w:r>
      <w:r w:rsidR="004D4ED7">
        <w:t>s</w:t>
      </w:r>
      <w:r w:rsidR="0098180E" w:rsidRPr="00270138">
        <w:t xml:space="preserve"> </w:t>
      </w:r>
      <w:r w:rsidRPr="00270138">
        <w:t xml:space="preserve">to </w:t>
      </w:r>
      <w:r w:rsidR="0098180E" w:rsidRPr="00270138">
        <w:t>carry</w:t>
      </w:r>
      <w:r w:rsidR="009D2973">
        <w:t xml:space="preserve"> a broader range of scientifically substantiated</w:t>
      </w:r>
      <w:r w:rsidR="0098180E" w:rsidRPr="00270138">
        <w:t xml:space="preserve"> health claims </w:t>
      </w:r>
      <w:r w:rsidR="009D2973">
        <w:t xml:space="preserve">that are </w:t>
      </w:r>
      <w:r w:rsidR="000C7DAA" w:rsidRPr="00270138">
        <w:t>consistent with their respective purpose</w:t>
      </w:r>
      <w:r w:rsidR="00792853">
        <w:t>s</w:t>
      </w:r>
      <w:r w:rsidR="000C7DAA">
        <w:t xml:space="preserve"> and in accordance with Standard 1.2.7. </w:t>
      </w:r>
    </w:p>
    <w:p w:rsidR="00F67394" w:rsidRPr="00270138" w:rsidRDefault="00F67394" w:rsidP="007467D7">
      <w:pPr>
        <w:widowControl/>
      </w:pPr>
    </w:p>
    <w:p w:rsidR="00022DBC" w:rsidRPr="00F67394" w:rsidRDefault="00022DBC" w:rsidP="007467D7">
      <w:pPr>
        <w:pStyle w:val="FSBullet1"/>
        <w:rPr>
          <w:b/>
        </w:rPr>
      </w:pPr>
      <w:r w:rsidRPr="00F67394">
        <w:rPr>
          <w:b/>
        </w:rPr>
        <w:t xml:space="preserve">any written policy guidelines formulated by the Ministerial </w:t>
      </w:r>
      <w:r w:rsidR="00947D34" w:rsidRPr="008828D9">
        <w:rPr>
          <w:b/>
        </w:rPr>
        <w:t>Council</w:t>
      </w:r>
      <w:r w:rsidR="00947D34" w:rsidRPr="008828D9">
        <w:rPr>
          <w:rStyle w:val="FootnoteReference"/>
          <w:b/>
        </w:rPr>
        <w:footnoteReference w:id="4"/>
      </w:r>
      <w:r w:rsidR="000A09EE" w:rsidRPr="000A09EE">
        <w:rPr>
          <w:b/>
          <w:vertAlign w:val="superscript"/>
        </w:rPr>
        <w:t>,</w:t>
      </w:r>
    </w:p>
    <w:p w:rsidR="00F67394" w:rsidRDefault="00F67394" w:rsidP="007467D7">
      <w:pPr>
        <w:widowControl/>
        <w:rPr>
          <w:lang w:val="en"/>
        </w:rPr>
      </w:pPr>
    </w:p>
    <w:p w:rsidR="00E42514" w:rsidRDefault="00E42514" w:rsidP="007467D7">
      <w:pPr>
        <w:widowControl/>
      </w:pPr>
      <w:r w:rsidRPr="00270138">
        <w:rPr>
          <w:lang w:val="en"/>
        </w:rPr>
        <w:t xml:space="preserve">Two </w:t>
      </w:r>
      <w:r w:rsidR="00792853">
        <w:rPr>
          <w:lang w:val="en"/>
        </w:rPr>
        <w:t xml:space="preserve">Ministerial </w:t>
      </w:r>
      <w:r w:rsidRPr="00270138">
        <w:rPr>
          <w:lang w:val="en"/>
        </w:rPr>
        <w:t>policy guidelines</w:t>
      </w:r>
      <w:r w:rsidR="00947D34">
        <w:rPr>
          <w:rStyle w:val="FootnoteReference"/>
          <w:b/>
        </w:rPr>
        <w:footnoteReference w:id="5"/>
      </w:r>
      <w:r w:rsidRPr="00270138">
        <w:rPr>
          <w:lang w:val="en"/>
        </w:rPr>
        <w:t xml:space="preserve"> </w:t>
      </w:r>
      <w:r w:rsidRPr="00270138">
        <w:t xml:space="preserve">are </w:t>
      </w:r>
      <w:r w:rsidRPr="00A43FE2">
        <w:t xml:space="preserve">relevant </w:t>
      </w:r>
      <w:r w:rsidR="00F67394">
        <w:t>for</w:t>
      </w:r>
      <w:r w:rsidR="00F67394" w:rsidRPr="00A43FE2">
        <w:t xml:space="preserve"> </w:t>
      </w:r>
      <w:r w:rsidRPr="00A43FE2">
        <w:t xml:space="preserve">this </w:t>
      </w:r>
      <w:r>
        <w:t xml:space="preserve">regulatory measure: </w:t>
      </w:r>
    </w:p>
    <w:p w:rsidR="00C83FB6" w:rsidRDefault="00C83FB6" w:rsidP="007467D7">
      <w:pPr>
        <w:widowControl/>
      </w:pPr>
    </w:p>
    <w:p w:rsidR="00E42514" w:rsidRDefault="009656D1" w:rsidP="007467D7">
      <w:pPr>
        <w:pStyle w:val="FSBullet1"/>
      </w:pPr>
      <w:r>
        <w:t xml:space="preserve">Intent of </w:t>
      </w:r>
      <w:r w:rsidR="00E42514" w:rsidRPr="00A43FE2">
        <w:t xml:space="preserve">Part 2.9 – Special </w:t>
      </w:r>
      <w:r w:rsidR="00E42514">
        <w:t>P</w:t>
      </w:r>
      <w:r w:rsidR="00E42514" w:rsidRPr="00A43FE2">
        <w:t xml:space="preserve">urpose </w:t>
      </w:r>
      <w:r w:rsidR="00E42514">
        <w:t>F</w:t>
      </w:r>
      <w:r w:rsidR="00E42514" w:rsidRPr="00A43FE2">
        <w:t>oods</w:t>
      </w:r>
      <w:r w:rsidR="00E42514">
        <w:t xml:space="preserve"> </w:t>
      </w:r>
    </w:p>
    <w:p w:rsidR="00E520FE" w:rsidRDefault="00E42514" w:rsidP="007467D7">
      <w:pPr>
        <w:pStyle w:val="FSBullet1"/>
      </w:pPr>
      <w:r w:rsidRPr="00A43FE2">
        <w:t xml:space="preserve">Nutrition, </w:t>
      </w:r>
      <w:r>
        <w:t>H</w:t>
      </w:r>
      <w:r w:rsidRPr="00A43FE2">
        <w:t xml:space="preserve">ealth and </w:t>
      </w:r>
      <w:r>
        <w:t>R</w:t>
      </w:r>
      <w:r w:rsidRPr="00A43FE2">
        <w:t xml:space="preserve">elated </w:t>
      </w:r>
      <w:r>
        <w:t>C</w:t>
      </w:r>
      <w:r w:rsidRPr="00A43FE2">
        <w:t>laims</w:t>
      </w:r>
      <w:r w:rsidR="00027A74">
        <w:t>.</w:t>
      </w:r>
    </w:p>
    <w:p w:rsidR="003D38DE" w:rsidRDefault="003D38DE" w:rsidP="007467D7">
      <w:pPr>
        <w:widowControl/>
        <w:ind w:firstLine="567"/>
      </w:pPr>
    </w:p>
    <w:p w:rsidR="005A58C1" w:rsidRPr="00046B7F" w:rsidRDefault="009656D1" w:rsidP="007467D7">
      <w:pPr>
        <w:widowControl/>
      </w:pPr>
      <w:r>
        <w:t xml:space="preserve">An analysis of the draft variation against the </w:t>
      </w:r>
      <w:r w:rsidR="005A58C1">
        <w:t>Policy Guideline</w:t>
      </w:r>
      <w:r w:rsidR="004C1B40">
        <w:t xml:space="preserve"> </w:t>
      </w:r>
      <w:r>
        <w:t>on the Intent of</w:t>
      </w:r>
      <w:r w:rsidR="004C1B40">
        <w:t xml:space="preserve"> Part 2.9 – Special Purpose Foods</w:t>
      </w:r>
      <w:r w:rsidR="005A58C1" w:rsidRPr="00046B7F">
        <w:t xml:space="preserve"> is at </w:t>
      </w:r>
      <w:r w:rsidR="00EC7FF6" w:rsidRPr="00046B7F">
        <w:t>A</w:t>
      </w:r>
      <w:r w:rsidR="00EC7FF6">
        <w:t xml:space="preserve">ppendix </w:t>
      </w:r>
      <w:r w:rsidR="008C7DB8">
        <w:t>1</w:t>
      </w:r>
      <w:r w:rsidR="005A58C1">
        <w:t>.</w:t>
      </w:r>
    </w:p>
    <w:p w:rsidR="005A58C1" w:rsidRPr="00046B7F" w:rsidRDefault="005A58C1" w:rsidP="007467D7">
      <w:pPr>
        <w:widowControl/>
      </w:pPr>
    </w:p>
    <w:p w:rsidR="005A58C1" w:rsidRDefault="004C1B40" w:rsidP="007467D7">
      <w:pPr>
        <w:widowControl/>
      </w:pPr>
      <w:r>
        <w:t>FSSF</w:t>
      </w:r>
      <w:r w:rsidR="000C3521">
        <w:t>s</w:t>
      </w:r>
      <w:r>
        <w:t xml:space="preserve"> and ED</w:t>
      </w:r>
      <w:r w:rsidR="000C3521">
        <w:t>s</w:t>
      </w:r>
      <w:r>
        <w:t xml:space="preserve"> </w:t>
      </w:r>
      <w:r w:rsidR="005A58C1" w:rsidRPr="00046B7F">
        <w:t xml:space="preserve">have been demonstrated as safe for use by the intended </w:t>
      </w:r>
      <w:r w:rsidR="00D77136" w:rsidRPr="00791A39">
        <w:t>population</w:t>
      </w:r>
      <w:r w:rsidR="005A58C1" w:rsidRPr="00046B7F">
        <w:t>. As there is no demonstrated risk to public health and safety</w:t>
      </w:r>
      <w:r w:rsidR="00942840">
        <w:t>,</w:t>
      </w:r>
      <w:r w:rsidR="005A58C1" w:rsidRPr="00046B7F">
        <w:t xml:space="preserve"> there is no requirement to increase controls to restrict access to these products.</w:t>
      </w:r>
    </w:p>
    <w:p w:rsidR="005A58C1" w:rsidRDefault="005A58C1" w:rsidP="007467D7">
      <w:pPr>
        <w:widowControl/>
      </w:pPr>
    </w:p>
    <w:p w:rsidR="00B75889" w:rsidRDefault="00B75889" w:rsidP="007467D7">
      <w:pPr>
        <w:widowControl/>
      </w:pPr>
      <w:r>
        <w:t xml:space="preserve">The new provisions allow certain health claims to be made </w:t>
      </w:r>
      <w:r w:rsidR="000C3521">
        <w:t xml:space="preserve">about </w:t>
      </w:r>
      <w:r>
        <w:t>FSSF</w:t>
      </w:r>
      <w:r w:rsidR="000C3521">
        <w:t>s</w:t>
      </w:r>
      <w:r>
        <w:t xml:space="preserve"> and ED</w:t>
      </w:r>
      <w:r w:rsidR="000C3521">
        <w:t>s</w:t>
      </w:r>
      <w:r>
        <w:t xml:space="preserve">, in accordance with Standard 1.2.7. </w:t>
      </w:r>
      <w:r>
        <w:rPr>
          <w:lang w:bidi="ar-SA"/>
        </w:rPr>
        <w:t>FSANZ</w:t>
      </w:r>
      <w:r w:rsidRPr="00D652EF">
        <w:rPr>
          <w:lang w:bidi="ar-SA"/>
        </w:rPr>
        <w:t xml:space="preserve"> had regard to the </w:t>
      </w:r>
      <w:r w:rsidRPr="00D652EF">
        <w:rPr>
          <w:i/>
          <w:lang w:bidi="ar-SA"/>
        </w:rPr>
        <w:t>Policy Guideline on Nutrition, Health and Related Claims</w:t>
      </w:r>
      <w:r>
        <w:t xml:space="preserve"> when developing Standard 1.2.7</w:t>
      </w:r>
      <w:r w:rsidR="003D399F">
        <w:t xml:space="preserve">. </w:t>
      </w:r>
    </w:p>
    <w:p w:rsidR="005F7342" w:rsidRPr="00270138" w:rsidRDefault="00867B23" w:rsidP="007467D7">
      <w:pPr>
        <w:pStyle w:val="Heading1"/>
        <w:widowControl/>
        <w:spacing w:before="240"/>
      </w:pPr>
      <w:bookmarkStart w:id="62" w:name="_Toc286391014"/>
      <w:bookmarkStart w:id="63" w:name="_Toc175381455"/>
      <w:bookmarkStart w:id="64" w:name="_Toc300933445"/>
      <w:bookmarkStart w:id="65" w:name="_Toc395775022"/>
      <w:bookmarkEnd w:id="24"/>
      <w:bookmarkEnd w:id="25"/>
      <w:bookmarkEnd w:id="26"/>
      <w:bookmarkEnd w:id="27"/>
      <w:bookmarkEnd w:id="28"/>
      <w:bookmarkEnd w:id="29"/>
      <w:bookmarkEnd w:id="37"/>
      <w:r>
        <w:t>3</w:t>
      </w:r>
      <w:r w:rsidR="00F604DE">
        <w:tab/>
      </w:r>
      <w:bookmarkEnd w:id="62"/>
      <w:bookmarkEnd w:id="63"/>
      <w:bookmarkEnd w:id="64"/>
      <w:r w:rsidR="00D14405" w:rsidRPr="00270138">
        <w:t xml:space="preserve">Draft </w:t>
      </w:r>
      <w:r w:rsidR="00D14405" w:rsidRPr="00791A39">
        <w:t>v</w:t>
      </w:r>
      <w:r w:rsidR="00D14405" w:rsidRPr="00270138">
        <w:t>ariation</w:t>
      </w:r>
      <w:bookmarkEnd w:id="65"/>
    </w:p>
    <w:p w:rsidR="009D2973" w:rsidRDefault="00947D34" w:rsidP="007467D7">
      <w:pPr>
        <w:pStyle w:val="Heading3"/>
        <w:widowControl/>
      </w:pPr>
      <w:bookmarkStart w:id="66" w:name="_Toc395775023"/>
      <w:r>
        <w:t>3.1</w:t>
      </w:r>
      <w:r w:rsidR="009D2973">
        <w:tab/>
        <w:t xml:space="preserve">Draft </w:t>
      </w:r>
      <w:r w:rsidR="00D3641E">
        <w:t xml:space="preserve">variation </w:t>
      </w:r>
      <w:r w:rsidR="009D2973">
        <w:t xml:space="preserve">and </w:t>
      </w:r>
      <w:r w:rsidR="00791A39">
        <w:t>explanatory statement</w:t>
      </w:r>
      <w:bookmarkEnd w:id="66"/>
    </w:p>
    <w:p w:rsidR="00E75054" w:rsidRDefault="00A12B44" w:rsidP="007467D7">
      <w:pPr>
        <w:widowControl/>
      </w:pPr>
      <w:r w:rsidRPr="00270138">
        <w:t xml:space="preserve">The draft </w:t>
      </w:r>
      <w:r w:rsidR="000D295F" w:rsidRPr="00270138">
        <w:t>variation</w:t>
      </w:r>
      <w:r w:rsidRPr="00270138">
        <w:t xml:space="preserve"> </w:t>
      </w:r>
      <w:r w:rsidR="00CD1D9F">
        <w:t xml:space="preserve">is </w:t>
      </w:r>
      <w:r w:rsidRPr="00270138">
        <w:t xml:space="preserve">at </w:t>
      </w:r>
      <w:r w:rsidR="00D26814" w:rsidRPr="00270138">
        <w:t xml:space="preserve">Attachment A. </w:t>
      </w:r>
    </w:p>
    <w:p w:rsidR="00947D34" w:rsidRDefault="00947D34" w:rsidP="007467D7">
      <w:pPr>
        <w:widowControl/>
      </w:pPr>
      <w:r>
        <w:br w:type="page"/>
      </w:r>
    </w:p>
    <w:p w:rsidR="00BD020C" w:rsidRPr="00270138" w:rsidRDefault="009D2973" w:rsidP="007467D7">
      <w:pPr>
        <w:widowControl/>
      </w:pPr>
      <w:r>
        <w:lastRenderedPageBreak/>
        <w:t>The draft variation contains the changes to Standards</w:t>
      </w:r>
      <w:r w:rsidR="00923B65">
        <w:t xml:space="preserve"> </w:t>
      </w:r>
      <w:r>
        <w:t xml:space="preserve">1.2.7, 2.6.2 and 2.9.4 that have been discussed in this Assessment Report. It also contains consequential amendments to </w:t>
      </w:r>
      <w:r w:rsidR="00BD020C">
        <w:rPr>
          <w:rFonts w:cs="Arial"/>
        </w:rPr>
        <w:t xml:space="preserve">Standard 1.3.1 </w:t>
      </w:r>
      <w:r>
        <w:rPr>
          <w:rFonts w:cs="Arial"/>
        </w:rPr>
        <w:t xml:space="preserve">which </w:t>
      </w:r>
      <w:r w:rsidR="00BD020C">
        <w:rPr>
          <w:rFonts w:cs="Arial"/>
        </w:rPr>
        <w:t>regulates the use of food additives in the production and processing of food.</w:t>
      </w:r>
    </w:p>
    <w:p w:rsidR="00270138" w:rsidRPr="00270138" w:rsidRDefault="00270138" w:rsidP="007467D7">
      <w:pPr>
        <w:widowControl/>
      </w:pPr>
    </w:p>
    <w:p w:rsidR="00A12B44" w:rsidRPr="00270138" w:rsidRDefault="00D26814" w:rsidP="007467D7">
      <w:pPr>
        <w:widowControl/>
        <w:rPr>
          <w:u w:val="single"/>
        </w:rPr>
      </w:pPr>
      <w:r w:rsidRPr="00270138">
        <w:t xml:space="preserve">A draft explanatory statement is at Attachment B. An explanatory statement is required to accompany an instrument if it is lodged on the Federal Register of Legislative Instruments. </w:t>
      </w:r>
    </w:p>
    <w:p w:rsidR="00924C80" w:rsidRPr="00270138" w:rsidRDefault="00867B23" w:rsidP="007467D7">
      <w:pPr>
        <w:pStyle w:val="Heading3"/>
        <w:widowControl/>
        <w:rPr>
          <w:color w:val="auto"/>
        </w:rPr>
      </w:pPr>
      <w:bookmarkStart w:id="67" w:name="_Toc175381456"/>
      <w:bookmarkStart w:id="68" w:name="_Toc300761917"/>
      <w:bookmarkStart w:id="69" w:name="_Toc300933449"/>
      <w:bookmarkStart w:id="70" w:name="_Toc395775024"/>
      <w:bookmarkStart w:id="71" w:name="_Toc11735643"/>
      <w:bookmarkStart w:id="72" w:name="_Toc29883130"/>
      <w:bookmarkStart w:id="73" w:name="_Toc41906817"/>
      <w:bookmarkStart w:id="74" w:name="_Toc41907564"/>
      <w:bookmarkStart w:id="75" w:name="_Toc43112360"/>
      <w:r w:rsidRPr="00270138">
        <w:rPr>
          <w:color w:val="auto"/>
        </w:rPr>
        <w:t>3</w:t>
      </w:r>
      <w:r w:rsidR="00F604DE" w:rsidRPr="00270138">
        <w:rPr>
          <w:color w:val="auto"/>
        </w:rPr>
        <w:t>.</w:t>
      </w:r>
      <w:r w:rsidR="00CD2494">
        <w:rPr>
          <w:color w:val="auto"/>
        </w:rPr>
        <w:t>2</w:t>
      </w:r>
      <w:r w:rsidR="0007466A" w:rsidRPr="00270138">
        <w:rPr>
          <w:color w:val="auto"/>
        </w:rPr>
        <w:t>.</w:t>
      </w:r>
      <w:r w:rsidR="00924C80" w:rsidRPr="00270138">
        <w:rPr>
          <w:color w:val="auto"/>
        </w:rPr>
        <w:tab/>
        <w:t xml:space="preserve">Transitional </w:t>
      </w:r>
      <w:r w:rsidR="006C28E2" w:rsidRPr="00270138">
        <w:rPr>
          <w:color w:val="auto"/>
        </w:rPr>
        <w:t>a</w:t>
      </w:r>
      <w:r w:rsidR="00924C80" w:rsidRPr="00270138">
        <w:rPr>
          <w:color w:val="auto"/>
        </w:rPr>
        <w:t>rrangements</w:t>
      </w:r>
      <w:bookmarkEnd w:id="67"/>
      <w:bookmarkEnd w:id="68"/>
      <w:bookmarkEnd w:id="69"/>
      <w:bookmarkEnd w:id="70"/>
    </w:p>
    <w:p w:rsidR="00924C80" w:rsidRDefault="00CD1D9F" w:rsidP="007467D7">
      <w:pPr>
        <w:widowControl/>
        <w:rPr>
          <w:rFonts w:cs="Arial"/>
        </w:rPr>
      </w:pPr>
      <w:r w:rsidRPr="00270138">
        <w:t>The draft variation is intended to take effect on gazettal, with a transition period until 18</w:t>
      </w:r>
      <w:r w:rsidRPr="00270138">
        <w:rPr>
          <w:vertAlign w:val="superscript"/>
        </w:rPr>
        <w:t xml:space="preserve"> </w:t>
      </w:r>
      <w:r w:rsidRPr="00270138">
        <w:t>January 2016</w:t>
      </w:r>
      <w:r>
        <w:t>, which</w:t>
      </w:r>
      <w:r w:rsidR="002D6EA0" w:rsidRPr="00270138">
        <w:rPr>
          <w:rFonts w:cs="Arial"/>
        </w:rPr>
        <w:t xml:space="preserve"> align</w:t>
      </w:r>
      <w:r>
        <w:rPr>
          <w:rFonts w:cs="Arial"/>
        </w:rPr>
        <w:t>s</w:t>
      </w:r>
      <w:r w:rsidR="002D6EA0" w:rsidRPr="00270138">
        <w:rPr>
          <w:rFonts w:cs="Arial"/>
        </w:rPr>
        <w:t xml:space="preserve"> with the transition period of Standard 1.2.7. </w:t>
      </w:r>
    </w:p>
    <w:p w:rsidR="00F67394" w:rsidRDefault="00F67394" w:rsidP="007467D7">
      <w:pPr>
        <w:widowControl/>
        <w:rPr>
          <w:rFonts w:cs="Arial"/>
        </w:rPr>
      </w:pPr>
    </w:p>
    <w:p w:rsidR="00F67394" w:rsidRPr="000B6A4E" w:rsidRDefault="00F67394" w:rsidP="007467D7">
      <w:pPr>
        <w:widowControl/>
      </w:pPr>
      <w:r w:rsidRPr="00E24DE8">
        <w:t xml:space="preserve">FSANZ is reviewing the </w:t>
      </w:r>
      <w:r>
        <w:t xml:space="preserve">Code </w:t>
      </w:r>
      <w:r w:rsidRPr="00E24DE8">
        <w:t xml:space="preserve">in order to improve its clarity and legal efficacy. This review is being undertaken </w:t>
      </w:r>
      <w:r w:rsidRPr="000B6A4E">
        <w:t>through Proposal P1025</w:t>
      </w:r>
      <w:r w:rsidR="00791A39">
        <w:t xml:space="preserve"> </w:t>
      </w:r>
      <w:r w:rsidR="009656D1">
        <w:t xml:space="preserve">– </w:t>
      </w:r>
      <w:r w:rsidR="00791A39">
        <w:t>Code Revision</w:t>
      </w:r>
      <w:r w:rsidRPr="000B6A4E">
        <w:t xml:space="preserve"> – details of which are on the FSANZ website</w:t>
      </w:r>
      <w:r w:rsidRPr="000B6A4E">
        <w:rPr>
          <w:rStyle w:val="FootnoteReference"/>
        </w:rPr>
        <w:footnoteReference w:id="6"/>
      </w:r>
      <w:r w:rsidRPr="000B6A4E">
        <w:t xml:space="preserve">. FSANZ released a draft revision of the Code for public comment in May 2013. The draft revision has changed the Code’s structure and format. A further draft revision of the Code and call for submissions was released in July 2014. </w:t>
      </w:r>
    </w:p>
    <w:p w:rsidR="00F67394" w:rsidRPr="00E24DE8" w:rsidRDefault="00F67394" w:rsidP="007467D7">
      <w:pPr>
        <w:widowControl/>
      </w:pPr>
    </w:p>
    <w:p w:rsidR="00B4332F" w:rsidRDefault="00F67394" w:rsidP="007467D7">
      <w:pPr>
        <w:widowControl/>
      </w:pPr>
      <w:r w:rsidRPr="00E24DE8">
        <w:t xml:space="preserve">The FSANZ Board is expected to consider P1025 and the proposed changes to the Code in late 2014. If approved, it </w:t>
      </w:r>
      <w:r w:rsidR="00791A39">
        <w:t xml:space="preserve">is </w:t>
      </w:r>
      <w:r w:rsidRPr="00E24DE8">
        <w:t>expected that the new Code will commence in 2015 and will repeal and replace the current Code.</w:t>
      </w:r>
    </w:p>
    <w:p w:rsidR="00B4332F" w:rsidRDefault="00B4332F" w:rsidP="007467D7">
      <w:pPr>
        <w:widowControl/>
      </w:pPr>
    </w:p>
    <w:p w:rsidR="00B4332F" w:rsidRDefault="00B4332F" w:rsidP="007467D7">
      <w:pPr>
        <w:widowControl/>
      </w:pPr>
      <w:r>
        <w:t xml:space="preserve">Due to the timing of </w:t>
      </w:r>
      <w:r w:rsidRPr="00E24DE8">
        <w:t>P1025</w:t>
      </w:r>
      <w:r>
        <w:t>, the new Code may not capture the amendments in the draft variation proposed by P1030 at Attachment A.</w:t>
      </w:r>
      <w:r w:rsidR="00F17795">
        <w:t xml:space="preserve"> Therefore, o</w:t>
      </w:r>
      <w:r>
        <w:t>nce commenced, t</w:t>
      </w:r>
      <w:r w:rsidR="00F67394" w:rsidRPr="00E24DE8">
        <w:t xml:space="preserve">he new Code will </w:t>
      </w:r>
      <w:r>
        <w:t>have</w:t>
      </w:r>
      <w:r w:rsidR="00F67394" w:rsidRPr="00E24DE8">
        <w:t xml:space="preserve"> to be amended to incorporate any outstanding changes made to the current Code, </w:t>
      </w:r>
      <w:r w:rsidR="00F67394">
        <w:t>including</w:t>
      </w:r>
      <w:r w:rsidR="00F67394" w:rsidRPr="00E24DE8">
        <w:t xml:space="preserve"> the variation </w:t>
      </w:r>
      <w:r w:rsidR="00F67394">
        <w:t>at Attachment A</w:t>
      </w:r>
      <w:r w:rsidR="00F67394" w:rsidRPr="00E24DE8">
        <w:t>.</w:t>
      </w:r>
    </w:p>
    <w:p w:rsidR="00924C80" w:rsidRPr="00270138" w:rsidRDefault="00867B23" w:rsidP="007467D7">
      <w:pPr>
        <w:pStyle w:val="Heading3"/>
        <w:widowControl/>
        <w:rPr>
          <w:color w:val="auto"/>
        </w:rPr>
      </w:pPr>
      <w:bookmarkStart w:id="76" w:name="_Toc11735642"/>
      <w:bookmarkStart w:id="77" w:name="_Toc29883129"/>
      <w:bookmarkStart w:id="78" w:name="_Toc41906816"/>
      <w:bookmarkStart w:id="79" w:name="_Toc41907563"/>
      <w:bookmarkStart w:id="80" w:name="_Toc120358595"/>
      <w:bookmarkStart w:id="81" w:name="_Toc175381457"/>
      <w:bookmarkStart w:id="82" w:name="_Toc300761918"/>
      <w:bookmarkStart w:id="83" w:name="_Toc300933450"/>
      <w:bookmarkStart w:id="84" w:name="_Toc395775025"/>
      <w:r w:rsidRPr="00270138">
        <w:rPr>
          <w:color w:val="auto"/>
        </w:rPr>
        <w:t>3</w:t>
      </w:r>
      <w:r w:rsidR="00F604DE" w:rsidRPr="00270138">
        <w:rPr>
          <w:color w:val="auto"/>
        </w:rPr>
        <w:t>.</w:t>
      </w:r>
      <w:r w:rsidR="00CD2494">
        <w:rPr>
          <w:color w:val="auto"/>
        </w:rPr>
        <w:t>3</w:t>
      </w:r>
      <w:r w:rsidR="0007466A" w:rsidRPr="00270138">
        <w:rPr>
          <w:color w:val="auto"/>
        </w:rPr>
        <w:t>.</w:t>
      </w:r>
      <w:r w:rsidR="00924C80" w:rsidRPr="00270138">
        <w:rPr>
          <w:color w:val="auto"/>
        </w:rPr>
        <w:tab/>
        <w:t xml:space="preserve">Implementation and </w:t>
      </w:r>
      <w:r w:rsidR="006C28E2" w:rsidRPr="00270138">
        <w:rPr>
          <w:color w:val="auto"/>
        </w:rPr>
        <w:t>r</w:t>
      </w:r>
      <w:r w:rsidR="00924C80" w:rsidRPr="00270138">
        <w:rPr>
          <w:color w:val="auto"/>
        </w:rPr>
        <w:t>eview</w:t>
      </w:r>
      <w:bookmarkEnd w:id="76"/>
      <w:bookmarkEnd w:id="77"/>
      <w:bookmarkEnd w:id="78"/>
      <w:bookmarkEnd w:id="79"/>
      <w:bookmarkEnd w:id="80"/>
      <w:bookmarkEnd w:id="81"/>
      <w:bookmarkEnd w:id="82"/>
      <w:bookmarkEnd w:id="83"/>
      <w:bookmarkEnd w:id="84"/>
    </w:p>
    <w:p w:rsidR="00270138" w:rsidRPr="00270138" w:rsidRDefault="0098180E" w:rsidP="007467D7">
      <w:pPr>
        <w:widowControl/>
        <w:rPr>
          <w:rFonts w:cs="Arial"/>
        </w:rPr>
      </w:pPr>
      <w:r w:rsidRPr="00270138">
        <w:rPr>
          <w:rFonts w:cs="Arial"/>
        </w:rPr>
        <w:t xml:space="preserve">The draft variation </w:t>
      </w:r>
      <w:r w:rsidR="00F95DE4">
        <w:rPr>
          <w:rFonts w:cs="Arial"/>
        </w:rPr>
        <w:t>is</w:t>
      </w:r>
      <w:r w:rsidR="00F95DE4" w:rsidRPr="00270138">
        <w:rPr>
          <w:rFonts w:cs="Arial"/>
        </w:rPr>
        <w:t xml:space="preserve"> </w:t>
      </w:r>
      <w:r w:rsidRPr="00270138">
        <w:rPr>
          <w:rFonts w:cs="Arial"/>
        </w:rPr>
        <w:t xml:space="preserve">intended to be an interim arrangement pending the </w:t>
      </w:r>
      <w:r w:rsidR="00E132D0" w:rsidRPr="00F96722">
        <w:t>FSANZ review of Standard</w:t>
      </w:r>
      <w:r w:rsidR="009656D1">
        <w:t xml:space="preserve"> 2.9.4</w:t>
      </w:r>
      <w:r w:rsidRPr="00270138">
        <w:rPr>
          <w:rFonts w:cs="Arial"/>
        </w:rPr>
        <w:t>. The variation</w:t>
      </w:r>
      <w:r w:rsidR="00F95DE4">
        <w:rPr>
          <w:rFonts w:cs="Arial"/>
        </w:rPr>
        <w:t>s</w:t>
      </w:r>
      <w:r w:rsidRPr="00270138">
        <w:rPr>
          <w:rFonts w:cs="Arial"/>
        </w:rPr>
        <w:t xml:space="preserve"> </w:t>
      </w:r>
      <w:r w:rsidR="006E71A9">
        <w:rPr>
          <w:rFonts w:cs="Arial"/>
        </w:rPr>
        <w:t xml:space="preserve">are expected to be gazetted before the commencement of </w:t>
      </w:r>
      <w:r w:rsidRPr="00270138">
        <w:rPr>
          <w:rFonts w:cs="Arial"/>
        </w:rPr>
        <w:t xml:space="preserve">the review of </w:t>
      </w:r>
      <w:r w:rsidR="00560601">
        <w:rPr>
          <w:rFonts w:cs="Arial"/>
        </w:rPr>
        <w:t xml:space="preserve">that </w:t>
      </w:r>
      <w:r w:rsidR="00C93EB7" w:rsidRPr="00270138">
        <w:rPr>
          <w:rFonts w:cs="Arial"/>
        </w:rPr>
        <w:t>Standard</w:t>
      </w:r>
      <w:r w:rsidRPr="00270138">
        <w:rPr>
          <w:rFonts w:cs="Arial"/>
        </w:rPr>
        <w:t xml:space="preserve">. </w:t>
      </w:r>
      <w:bookmarkEnd w:id="71"/>
      <w:bookmarkEnd w:id="72"/>
      <w:bookmarkEnd w:id="73"/>
      <w:bookmarkEnd w:id="74"/>
      <w:bookmarkEnd w:id="75"/>
    </w:p>
    <w:p w:rsidR="003C4969" w:rsidRPr="00924C80" w:rsidRDefault="00924C80" w:rsidP="007467D7">
      <w:pPr>
        <w:widowControl/>
        <w:spacing w:before="240" w:after="240"/>
        <w:rPr>
          <w:b/>
          <w:sz w:val="28"/>
          <w:szCs w:val="28"/>
        </w:rPr>
      </w:pPr>
      <w:r w:rsidRPr="00924C80">
        <w:rPr>
          <w:b/>
          <w:sz w:val="28"/>
          <w:szCs w:val="28"/>
        </w:rPr>
        <w:t>A</w:t>
      </w:r>
      <w:r>
        <w:rPr>
          <w:b/>
          <w:sz w:val="28"/>
          <w:szCs w:val="28"/>
        </w:rPr>
        <w:t>ttachments</w:t>
      </w:r>
    </w:p>
    <w:p w:rsidR="00924C80" w:rsidRPr="00D14405" w:rsidRDefault="00A4175D" w:rsidP="007467D7">
      <w:pPr>
        <w:widowControl/>
      </w:pPr>
      <w:r w:rsidRPr="00D26814">
        <w:t>A.</w:t>
      </w:r>
      <w:r w:rsidRPr="00D26814">
        <w:tab/>
      </w:r>
      <w:r w:rsidR="00410C76" w:rsidRPr="00CF6514">
        <w:t xml:space="preserve">Draft </w:t>
      </w:r>
      <w:r w:rsidR="0007466A" w:rsidRPr="00CF6514">
        <w:t>variation to the</w:t>
      </w:r>
      <w:r w:rsidR="0007466A" w:rsidRPr="002301A1">
        <w:rPr>
          <w:i/>
        </w:rPr>
        <w:t xml:space="preserve"> Australia New Zealand Food Standards Code</w:t>
      </w:r>
      <w:r w:rsidR="00364841" w:rsidRPr="00CF6514">
        <w:t xml:space="preserve"> </w:t>
      </w:r>
    </w:p>
    <w:p w:rsidR="001542D8" w:rsidRDefault="00A4175D" w:rsidP="007467D7">
      <w:pPr>
        <w:widowControl/>
        <w:rPr>
          <w:szCs w:val="22"/>
        </w:rPr>
      </w:pPr>
      <w:r w:rsidRPr="006E71A9">
        <w:rPr>
          <w:szCs w:val="22"/>
        </w:rPr>
        <w:t>B.</w:t>
      </w:r>
      <w:r w:rsidRPr="006E71A9">
        <w:rPr>
          <w:szCs w:val="22"/>
        </w:rPr>
        <w:tab/>
      </w:r>
      <w:r w:rsidR="001542D8" w:rsidRPr="006E71A9">
        <w:rPr>
          <w:szCs w:val="22"/>
        </w:rPr>
        <w:t>Draft Explanatory Statement</w:t>
      </w:r>
    </w:p>
    <w:p w:rsidR="00386947" w:rsidRPr="006E71A9" w:rsidRDefault="00386947" w:rsidP="007467D7">
      <w:pPr>
        <w:widowControl/>
        <w:rPr>
          <w:szCs w:val="22"/>
        </w:rPr>
      </w:pPr>
    </w:p>
    <w:p w:rsidR="00386947" w:rsidRDefault="00386947" w:rsidP="00386947">
      <w:pPr>
        <w:pStyle w:val="Heading2"/>
        <w:jc w:val="right"/>
      </w:pPr>
      <w:r>
        <w:br w:type="page"/>
      </w:r>
    </w:p>
    <w:p w:rsidR="00386947" w:rsidRPr="00221BA8" w:rsidRDefault="00386947" w:rsidP="00386947">
      <w:pPr>
        <w:pStyle w:val="Heading2"/>
        <w:jc w:val="right"/>
      </w:pPr>
      <w:bookmarkStart w:id="85" w:name="_Toc395775026"/>
      <w:r w:rsidRPr="00221BA8">
        <w:lastRenderedPageBreak/>
        <w:t>Appendix 1</w:t>
      </w:r>
      <w:bookmarkEnd w:id="85"/>
    </w:p>
    <w:p w:rsidR="00386947" w:rsidRPr="00E67074" w:rsidRDefault="00386947" w:rsidP="00386947">
      <w:pPr>
        <w:widowControl/>
        <w:spacing w:before="120" w:after="240"/>
        <w:rPr>
          <w:rFonts w:cs="Arial"/>
          <w:b/>
          <w:sz w:val="28"/>
          <w:szCs w:val="28"/>
        </w:rPr>
      </w:pPr>
      <w:r w:rsidRPr="00E67074">
        <w:rPr>
          <w:rFonts w:cs="Arial"/>
          <w:b/>
          <w:sz w:val="28"/>
          <w:szCs w:val="28"/>
        </w:rPr>
        <w:t>Special Purpose Foods: Analysis</w:t>
      </w:r>
      <w:r>
        <w:rPr>
          <w:rFonts w:cs="Arial"/>
          <w:b/>
          <w:sz w:val="28"/>
          <w:szCs w:val="28"/>
        </w:rPr>
        <w:t xml:space="preserve"> of draft variation</w:t>
      </w:r>
      <w:r w:rsidRPr="00E67074">
        <w:rPr>
          <w:rFonts w:cs="Arial"/>
          <w:b/>
          <w:sz w:val="28"/>
          <w:szCs w:val="28"/>
        </w:rPr>
        <w:t xml:space="preserve"> against policy guideline</w:t>
      </w:r>
    </w:p>
    <w:tbl>
      <w:tblPr>
        <w:tblStyle w:val="TableGrid"/>
        <w:tblW w:w="9072" w:type="dxa"/>
        <w:tblLook w:val="04A0" w:firstRow="1" w:lastRow="0" w:firstColumn="1" w:lastColumn="0" w:noHBand="0" w:noVBand="1"/>
      </w:tblPr>
      <w:tblGrid>
        <w:gridCol w:w="3815"/>
        <w:gridCol w:w="5257"/>
      </w:tblGrid>
      <w:tr w:rsidR="00386947" w:rsidRPr="00450982" w:rsidTr="00386947">
        <w:trPr>
          <w:tblHeader/>
        </w:trPr>
        <w:tc>
          <w:tcPr>
            <w:tcW w:w="0" w:type="auto"/>
            <w:shd w:val="clear" w:color="auto" w:fill="C2D69B" w:themeFill="accent3" w:themeFillTint="99"/>
          </w:tcPr>
          <w:p w:rsidR="00386947" w:rsidRPr="00450982" w:rsidRDefault="00386947" w:rsidP="00386947">
            <w:pPr>
              <w:widowControl/>
              <w:rPr>
                <w:rFonts w:cs="Arial"/>
                <w:sz w:val="20"/>
                <w:szCs w:val="20"/>
              </w:rPr>
            </w:pPr>
          </w:p>
        </w:tc>
        <w:tc>
          <w:tcPr>
            <w:tcW w:w="0" w:type="auto"/>
            <w:shd w:val="clear" w:color="auto" w:fill="C2D69B" w:themeFill="accent3" w:themeFillTint="99"/>
          </w:tcPr>
          <w:p w:rsidR="00386947" w:rsidRDefault="00386947" w:rsidP="00386947">
            <w:pPr>
              <w:widowControl/>
              <w:rPr>
                <w:rFonts w:cs="Arial"/>
                <w:b/>
                <w:sz w:val="20"/>
                <w:szCs w:val="20"/>
              </w:rPr>
            </w:pPr>
            <w:r w:rsidRPr="00450982">
              <w:rPr>
                <w:rFonts w:cs="Arial"/>
                <w:b/>
                <w:sz w:val="20"/>
                <w:szCs w:val="20"/>
              </w:rPr>
              <w:t>Electrolyte Drinks</w:t>
            </w:r>
          </w:p>
          <w:p w:rsidR="00386947" w:rsidRPr="00450982" w:rsidRDefault="00386947" w:rsidP="00386947">
            <w:pPr>
              <w:widowControl/>
              <w:rPr>
                <w:rFonts w:cs="Arial"/>
                <w:b/>
                <w:sz w:val="20"/>
                <w:szCs w:val="20"/>
              </w:rPr>
            </w:pPr>
          </w:p>
        </w:tc>
      </w:tr>
      <w:tr w:rsidR="00386947" w:rsidRPr="00450982" w:rsidTr="00386947">
        <w:tc>
          <w:tcPr>
            <w:tcW w:w="0" w:type="auto"/>
          </w:tcPr>
          <w:p w:rsidR="00386947" w:rsidRPr="00450982" w:rsidRDefault="00386947" w:rsidP="00386947">
            <w:pPr>
              <w:widowControl/>
              <w:rPr>
                <w:rFonts w:cs="Arial"/>
                <w:b/>
                <w:sz w:val="20"/>
                <w:szCs w:val="20"/>
              </w:rPr>
            </w:pPr>
            <w:r w:rsidRPr="00450982">
              <w:rPr>
                <w:rFonts w:cs="Arial"/>
                <w:b/>
                <w:sz w:val="20"/>
                <w:szCs w:val="20"/>
              </w:rPr>
              <w:t>Definition</w:t>
            </w:r>
          </w:p>
          <w:p w:rsidR="00386947" w:rsidRPr="00450982" w:rsidRDefault="00386947" w:rsidP="00386947">
            <w:pPr>
              <w:widowControl/>
              <w:rPr>
                <w:rFonts w:cs="Arial"/>
                <w:sz w:val="20"/>
                <w:szCs w:val="20"/>
              </w:rPr>
            </w:pPr>
          </w:p>
        </w:tc>
        <w:tc>
          <w:tcPr>
            <w:tcW w:w="0" w:type="auto"/>
          </w:tcPr>
          <w:p w:rsidR="00386947" w:rsidRPr="00450982" w:rsidRDefault="00386947" w:rsidP="00386947">
            <w:pPr>
              <w:pStyle w:val="Definition"/>
              <w:widowControl/>
              <w:ind w:left="851"/>
              <w:rPr>
                <w:i/>
              </w:rPr>
            </w:pPr>
            <w:r w:rsidRPr="00450982">
              <w:rPr>
                <w:i/>
              </w:rPr>
              <w:t xml:space="preserve">A drink formulated for the rapid replacement of fluid, </w:t>
            </w:r>
          </w:p>
          <w:p w:rsidR="00386947" w:rsidRPr="00450982" w:rsidRDefault="00386947" w:rsidP="00386947">
            <w:pPr>
              <w:pStyle w:val="Definition"/>
              <w:widowControl/>
              <w:ind w:left="851"/>
              <w:rPr>
                <w:i/>
              </w:rPr>
            </w:pPr>
            <w:r w:rsidRPr="00450982">
              <w:rPr>
                <w:i/>
              </w:rPr>
              <w:t xml:space="preserve">carbohydrates and electrolytes lost as a result of sustained </w:t>
            </w:r>
          </w:p>
          <w:p w:rsidR="00386947" w:rsidRPr="00450982" w:rsidRDefault="00386947" w:rsidP="00386947">
            <w:pPr>
              <w:pStyle w:val="Definition"/>
              <w:widowControl/>
              <w:ind w:left="851"/>
            </w:pPr>
            <w:r w:rsidRPr="00450982">
              <w:rPr>
                <w:i/>
              </w:rPr>
              <w:t>strenuous physical activity</w:t>
            </w:r>
          </w:p>
        </w:tc>
      </w:tr>
      <w:tr w:rsidR="00386947" w:rsidRPr="00450982" w:rsidTr="00386947">
        <w:tc>
          <w:tcPr>
            <w:tcW w:w="0" w:type="auto"/>
            <w:gridSpan w:val="2"/>
          </w:tcPr>
          <w:p w:rsidR="00386947" w:rsidRPr="00450982" w:rsidRDefault="00386947" w:rsidP="00386947">
            <w:pPr>
              <w:widowControl/>
              <w:rPr>
                <w:rFonts w:cs="Arial"/>
                <w:b/>
                <w:sz w:val="20"/>
                <w:szCs w:val="20"/>
                <w:lang w:val="en-AU"/>
              </w:rPr>
            </w:pPr>
            <w:r w:rsidRPr="00450982">
              <w:rPr>
                <w:rFonts w:cs="Arial"/>
                <w:b/>
                <w:sz w:val="20"/>
                <w:szCs w:val="20"/>
                <w:lang w:val="en-AU"/>
              </w:rPr>
              <w:t>Scope and Aim of Part 2.9 Policy Guideline</w:t>
            </w:r>
          </w:p>
        </w:tc>
      </w:tr>
      <w:tr w:rsidR="00386947" w:rsidRPr="00450982" w:rsidTr="00386947">
        <w:tc>
          <w:tcPr>
            <w:tcW w:w="0" w:type="auto"/>
          </w:tcPr>
          <w:p w:rsidR="00386947" w:rsidRPr="00450982" w:rsidRDefault="00386947" w:rsidP="00386947">
            <w:pPr>
              <w:widowControl/>
              <w:autoSpaceDE w:val="0"/>
              <w:autoSpaceDN w:val="0"/>
              <w:adjustRightInd w:val="0"/>
              <w:rPr>
                <w:rFonts w:cs="Arial"/>
                <w:sz w:val="20"/>
                <w:szCs w:val="20"/>
                <w:lang w:val="en-AU"/>
              </w:rPr>
            </w:pPr>
            <w:r w:rsidRPr="00450982">
              <w:rPr>
                <w:rFonts w:cs="Arial"/>
                <w:sz w:val="20"/>
                <w:szCs w:val="20"/>
                <w:lang w:val="en-AU"/>
              </w:rPr>
              <w:t xml:space="preserve">Part 2.9 - Special Purpose Foods, of the Code is intended to contain food standards that prescribe specific requirements for foods processed or manufactured for use by physiologically vulnerable individuals and population sub-groups. </w:t>
            </w:r>
          </w:p>
        </w:tc>
        <w:tc>
          <w:tcPr>
            <w:tcW w:w="0" w:type="auto"/>
          </w:tcPr>
          <w:p w:rsidR="00386947" w:rsidRPr="00450982" w:rsidRDefault="00386947" w:rsidP="00386947">
            <w:pPr>
              <w:widowControl/>
              <w:rPr>
                <w:rFonts w:cs="Arial"/>
                <w:sz w:val="20"/>
                <w:szCs w:val="20"/>
              </w:rPr>
            </w:pPr>
            <w:r w:rsidRPr="00450982">
              <w:rPr>
                <w:sz w:val="20"/>
                <w:szCs w:val="20"/>
              </w:rPr>
              <w:t xml:space="preserve">EDs are </w:t>
            </w:r>
            <w:r w:rsidRPr="00450982">
              <w:rPr>
                <w:rFonts w:cs="Arial"/>
                <w:sz w:val="20"/>
                <w:szCs w:val="20"/>
                <w:lang w:val="en-AU"/>
              </w:rPr>
              <w:t xml:space="preserve">foods processed or manufactured for use by persons requiring </w:t>
            </w:r>
            <w:r w:rsidRPr="00450982">
              <w:rPr>
                <w:rFonts w:cs="Arial"/>
                <w:sz w:val="20"/>
                <w:szCs w:val="20"/>
              </w:rPr>
              <w:t xml:space="preserve">rapid replacement of fluid, carbohydrate and electrolytes (such as when depleted as a result of sustained exercise). They are a subset of food intended to assist with physiological demands placed on sports people. As such they constitute foods </w:t>
            </w:r>
            <w:r w:rsidRPr="00450982">
              <w:rPr>
                <w:rFonts w:cs="Arial"/>
                <w:sz w:val="20"/>
                <w:szCs w:val="20"/>
                <w:lang w:val="en-AU"/>
              </w:rPr>
              <w:t xml:space="preserve">processed or manufactured for use by physiologically vulnerable individuals and population sub-groups, namely </w:t>
            </w:r>
            <w:proofErr w:type="gramStart"/>
            <w:r w:rsidRPr="00450982">
              <w:rPr>
                <w:rFonts w:cs="Arial"/>
                <w:sz w:val="20"/>
                <w:szCs w:val="20"/>
                <w:lang w:val="en-AU"/>
              </w:rPr>
              <w:t>those requiring altered energy intake</w:t>
            </w:r>
            <w:proofErr w:type="gramEnd"/>
            <w:r w:rsidRPr="00450982">
              <w:rPr>
                <w:rFonts w:cs="Arial"/>
                <w:sz w:val="20"/>
                <w:szCs w:val="20"/>
              </w:rPr>
              <w:t xml:space="preserve">. </w:t>
            </w:r>
          </w:p>
        </w:tc>
      </w:tr>
      <w:tr w:rsidR="00386947" w:rsidRPr="00450982" w:rsidTr="00386947">
        <w:tc>
          <w:tcPr>
            <w:tcW w:w="0" w:type="auto"/>
          </w:tcPr>
          <w:p w:rsidR="00386947" w:rsidRPr="00450982" w:rsidRDefault="00386947" w:rsidP="00386947">
            <w:pPr>
              <w:widowControl/>
              <w:autoSpaceDE w:val="0"/>
              <w:autoSpaceDN w:val="0"/>
              <w:adjustRightInd w:val="0"/>
              <w:rPr>
                <w:rFonts w:cs="Arial"/>
                <w:sz w:val="20"/>
                <w:szCs w:val="20"/>
                <w:lang w:val="en-AU"/>
              </w:rPr>
            </w:pPr>
            <w:r w:rsidRPr="00450982">
              <w:rPr>
                <w:rFonts w:cs="Arial"/>
                <w:sz w:val="20"/>
                <w:szCs w:val="20"/>
                <w:lang w:val="en-AU"/>
              </w:rPr>
              <w:t xml:space="preserve">Requirements within food standards in Part 2.9 are prescribed relative to the particular </w:t>
            </w:r>
            <w:r w:rsidRPr="00450982">
              <w:rPr>
                <w:rFonts w:cs="Arial"/>
                <w:b/>
                <w:sz w:val="20"/>
                <w:szCs w:val="20"/>
                <w:lang w:val="en-AU"/>
              </w:rPr>
              <w:t>intended dietary use</w:t>
            </w:r>
            <w:r w:rsidRPr="00450982">
              <w:rPr>
                <w:rFonts w:cs="Arial"/>
                <w:sz w:val="20"/>
                <w:szCs w:val="20"/>
                <w:lang w:val="en-AU"/>
              </w:rPr>
              <w:t xml:space="preserve"> of the food.</w:t>
            </w:r>
          </w:p>
        </w:tc>
        <w:tc>
          <w:tcPr>
            <w:tcW w:w="0" w:type="auto"/>
          </w:tcPr>
          <w:p w:rsidR="00386947" w:rsidRPr="00450982" w:rsidRDefault="00386947" w:rsidP="00386947">
            <w:pPr>
              <w:widowControl/>
              <w:rPr>
                <w:rFonts w:cs="Arial"/>
                <w:sz w:val="20"/>
                <w:szCs w:val="20"/>
              </w:rPr>
            </w:pPr>
            <w:r w:rsidRPr="00450982">
              <w:rPr>
                <w:rFonts w:cs="Arial"/>
                <w:sz w:val="20"/>
                <w:szCs w:val="20"/>
              </w:rPr>
              <w:t xml:space="preserve">The intended dietary use of EDs is to replenish fluid, carbohydrates and electrolytes. The Code therefore prescribes the minimum and maximum amount of carbohydrate and minimum sodium content to achieve the intended dietary use. The proposed health claims are related to the intended dietary use. </w:t>
            </w:r>
          </w:p>
        </w:tc>
      </w:tr>
      <w:tr w:rsidR="00386947" w:rsidRPr="00450982" w:rsidTr="00386947">
        <w:tc>
          <w:tcPr>
            <w:tcW w:w="0" w:type="auto"/>
            <w:gridSpan w:val="2"/>
          </w:tcPr>
          <w:p w:rsidR="00386947" w:rsidRPr="00450982" w:rsidRDefault="00386947" w:rsidP="00386947">
            <w:pPr>
              <w:widowControl/>
              <w:rPr>
                <w:rFonts w:cs="Arial"/>
                <w:b/>
                <w:sz w:val="20"/>
                <w:szCs w:val="20"/>
                <w:lang w:val="en-AU"/>
              </w:rPr>
            </w:pPr>
            <w:r w:rsidRPr="00450982">
              <w:rPr>
                <w:rFonts w:cs="Arial"/>
                <w:b/>
                <w:sz w:val="20"/>
                <w:szCs w:val="20"/>
                <w:lang w:val="en-AU"/>
              </w:rPr>
              <w:t>For the purpose of Part 2.9, physiological vulnerability relates only to situations where there is risk of dietary inadequacy to support:</w:t>
            </w:r>
          </w:p>
        </w:tc>
      </w:tr>
      <w:tr w:rsidR="00386947" w:rsidRPr="00450982" w:rsidTr="00386947">
        <w:tc>
          <w:tcPr>
            <w:tcW w:w="0" w:type="auto"/>
          </w:tcPr>
          <w:p w:rsidR="00386947" w:rsidRPr="00450982" w:rsidRDefault="00386947" w:rsidP="00386947">
            <w:pPr>
              <w:widowControl/>
              <w:autoSpaceDE w:val="0"/>
              <w:autoSpaceDN w:val="0"/>
              <w:adjustRightInd w:val="0"/>
              <w:rPr>
                <w:rFonts w:cs="Arial"/>
                <w:sz w:val="20"/>
                <w:szCs w:val="20"/>
                <w:lang w:val="en-AU"/>
              </w:rPr>
            </w:pPr>
            <w:r w:rsidRPr="00450982">
              <w:rPr>
                <w:rFonts w:cs="Arial"/>
                <w:sz w:val="20"/>
                <w:szCs w:val="20"/>
                <w:lang w:val="en-AU"/>
              </w:rPr>
              <w:t xml:space="preserve">physical and physiological need arising from specific life stages (e.g. infancy), physical disease, disorder and disability; </w:t>
            </w:r>
            <w:r w:rsidRPr="00450982">
              <w:rPr>
                <w:rFonts w:cs="Arial"/>
                <w:b/>
                <w:sz w:val="20"/>
                <w:szCs w:val="20"/>
                <w:u w:val="single"/>
                <w:lang w:val="en-AU"/>
              </w:rPr>
              <w:t>or</w:t>
            </w:r>
          </w:p>
        </w:tc>
        <w:tc>
          <w:tcPr>
            <w:tcW w:w="0" w:type="auto"/>
          </w:tcPr>
          <w:p w:rsidR="00386947" w:rsidRPr="00450982" w:rsidRDefault="00386947" w:rsidP="00386947">
            <w:pPr>
              <w:widowControl/>
              <w:rPr>
                <w:rFonts w:cs="Arial"/>
                <w:sz w:val="20"/>
                <w:szCs w:val="20"/>
              </w:rPr>
            </w:pPr>
            <w:r w:rsidRPr="00450982">
              <w:rPr>
                <w:rFonts w:cs="Arial"/>
                <w:sz w:val="20"/>
                <w:szCs w:val="20"/>
              </w:rPr>
              <w:t>No specific life stage identified</w:t>
            </w:r>
            <w:r>
              <w:rPr>
                <w:rFonts w:cs="Arial"/>
                <w:sz w:val="20"/>
                <w:szCs w:val="20"/>
              </w:rPr>
              <w:t xml:space="preserve">. </w:t>
            </w:r>
            <w:r w:rsidRPr="00450982">
              <w:rPr>
                <w:rFonts w:cs="Arial"/>
                <w:sz w:val="20"/>
                <w:szCs w:val="20"/>
              </w:rPr>
              <w:t>No physical disease, disorder or disability</w:t>
            </w:r>
          </w:p>
        </w:tc>
      </w:tr>
      <w:tr w:rsidR="00386947" w:rsidRPr="00450982" w:rsidTr="00386947">
        <w:tc>
          <w:tcPr>
            <w:tcW w:w="0" w:type="auto"/>
          </w:tcPr>
          <w:p w:rsidR="00386947" w:rsidRPr="00450982" w:rsidRDefault="00386947" w:rsidP="00386947">
            <w:pPr>
              <w:widowControl/>
              <w:autoSpaceDE w:val="0"/>
              <w:autoSpaceDN w:val="0"/>
              <w:adjustRightInd w:val="0"/>
              <w:rPr>
                <w:rFonts w:cs="Arial"/>
                <w:sz w:val="20"/>
                <w:szCs w:val="20"/>
                <w:lang w:val="en-AU"/>
              </w:rPr>
            </w:pPr>
            <w:r w:rsidRPr="00450982">
              <w:rPr>
                <w:rFonts w:cs="Arial"/>
                <w:sz w:val="20"/>
                <w:szCs w:val="20"/>
                <w:lang w:val="en-AU"/>
              </w:rPr>
              <w:t>physical and physiological conditions that require altered energy intake;</w:t>
            </w:r>
          </w:p>
        </w:tc>
        <w:tc>
          <w:tcPr>
            <w:tcW w:w="0" w:type="auto"/>
          </w:tcPr>
          <w:p w:rsidR="00386947" w:rsidRPr="00450982" w:rsidRDefault="00386947" w:rsidP="00386947">
            <w:pPr>
              <w:widowControl/>
              <w:rPr>
                <w:rFonts w:cs="Arial"/>
                <w:sz w:val="20"/>
                <w:szCs w:val="20"/>
              </w:rPr>
            </w:pPr>
            <w:r w:rsidRPr="00450982">
              <w:rPr>
                <w:rFonts w:cs="Arial"/>
                <w:sz w:val="20"/>
                <w:szCs w:val="20"/>
              </w:rPr>
              <w:t xml:space="preserve">Physical activity can require increased energy intake or increased intake in the form of fluid, carbohydrate, electrolytes, and minerals.  </w:t>
            </w:r>
          </w:p>
        </w:tc>
      </w:tr>
      <w:tr w:rsidR="00386947" w:rsidRPr="00450982" w:rsidTr="00386947">
        <w:tc>
          <w:tcPr>
            <w:tcW w:w="0" w:type="auto"/>
            <w:gridSpan w:val="2"/>
          </w:tcPr>
          <w:p w:rsidR="00386947" w:rsidRPr="00450982" w:rsidRDefault="00386947" w:rsidP="00386947">
            <w:pPr>
              <w:widowControl/>
              <w:rPr>
                <w:rFonts w:cs="Arial"/>
                <w:b/>
                <w:sz w:val="20"/>
                <w:szCs w:val="20"/>
              </w:rPr>
            </w:pPr>
            <w:r w:rsidRPr="00450982">
              <w:rPr>
                <w:rFonts w:cs="Arial"/>
                <w:b/>
                <w:sz w:val="20"/>
                <w:szCs w:val="20"/>
                <w:lang w:val="en-AU"/>
              </w:rPr>
              <w:t>Specific Policy Principles</w:t>
            </w:r>
          </w:p>
        </w:tc>
      </w:tr>
      <w:tr w:rsidR="00386947" w:rsidRPr="00450982" w:rsidTr="00386947">
        <w:tc>
          <w:tcPr>
            <w:tcW w:w="0" w:type="auto"/>
          </w:tcPr>
          <w:p w:rsidR="00386947" w:rsidRPr="00450982" w:rsidRDefault="00386947" w:rsidP="00386947">
            <w:pPr>
              <w:widowControl/>
              <w:autoSpaceDE w:val="0"/>
              <w:autoSpaceDN w:val="0"/>
              <w:adjustRightInd w:val="0"/>
              <w:rPr>
                <w:rFonts w:cs="Arial"/>
                <w:sz w:val="20"/>
                <w:szCs w:val="20"/>
                <w:lang w:val="en-AU"/>
              </w:rPr>
            </w:pPr>
            <w:r w:rsidRPr="00450982">
              <w:rPr>
                <w:rFonts w:cs="Arial"/>
                <w:sz w:val="20"/>
                <w:szCs w:val="20"/>
                <w:lang w:val="en-AU"/>
              </w:rPr>
              <w:t>Special purpose foods should be targeted only to those population groups satisfying the definition presented in the Scope/Aim section.</w:t>
            </w:r>
          </w:p>
        </w:tc>
        <w:tc>
          <w:tcPr>
            <w:tcW w:w="0" w:type="auto"/>
          </w:tcPr>
          <w:p w:rsidR="00386947" w:rsidRPr="00450982" w:rsidRDefault="00386947" w:rsidP="00386947">
            <w:pPr>
              <w:widowControl/>
              <w:rPr>
                <w:rFonts w:cs="Arial"/>
                <w:sz w:val="20"/>
                <w:szCs w:val="20"/>
              </w:rPr>
            </w:pPr>
            <w:r w:rsidRPr="00450982">
              <w:rPr>
                <w:rFonts w:cs="Arial"/>
                <w:sz w:val="20"/>
                <w:szCs w:val="20"/>
              </w:rPr>
              <w:t xml:space="preserve">Sports people are an identified target group, and are physiologically vulnerable after strenuous exercise. </w:t>
            </w:r>
          </w:p>
        </w:tc>
      </w:tr>
      <w:tr w:rsidR="00386947" w:rsidRPr="00450982" w:rsidTr="00386947">
        <w:tc>
          <w:tcPr>
            <w:tcW w:w="0" w:type="auto"/>
          </w:tcPr>
          <w:p w:rsidR="00386947" w:rsidRPr="00450982" w:rsidRDefault="00386947" w:rsidP="00386947">
            <w:pPr>
              <w:widowControl/>
              <w:rPr>
                <w:rFonts w:cs="Arial"/>
                <w:sz w:val="20"/>
                <w:szCs w:val="20"/>
              </w:rPr>
            </w:pPr>
            <w:r w:rsidRPr="00450982">
              <w:rPr>
                <w:rFonts w:cs="Arial"/>
                <w:sz w:val="20"/>
                <w:szCs w:val="20"/>
                <w:lang w:val="en-AU"/>
              </w:rPr>
              <w:t>The composition of special purpose food should be consistent with the intended purpose.</w:t>
            </w:r>
          </w:p>
        </w:tc>
        <w:tc>
          <w:tcPr>
            <w:tcW w:w="0" w:type="auto"/>
          </w:tcPr>
          <w:p w:rsidR="00386947" w:rsidRPr="00450982" w:rsidRDefault="00386947" w:rsidP="00386947">
            <w:pPr>
              <w:widowControl/>
              <w:rPr>
                <w:rFonts w:cs="Arial"/>
                <w:sz w:val="20"/>
                <w:szCs w:val="20"/>
              </w:rPr>
            </w:pPr>
            <w:r w:rsidRPr="00450982">
              <w:rPr>
                <w:rFonts w:cs="Arial"/>
                <w:sz w:val="20"/>
                <w:szCs w:val="20"/>
              </w:rPr>
              <w:t xml:space="preserve">The Code mandates the minimum and maximum carbohydrate content and the minimum sodium content of EDs. Products that are outside this compositional range are more suited for lifestyle users than sports people and are not regulated by this standard. </w:t>
            </w:r>
          </w:p>
        </w:tc>
      </w:tr>
      <w:tr w:rsidR="00386947" w:rsidRPr="00450982" w:rsidTr="00386947">
        <w:tc>
          <w:tcPr>
            <w:tcW w:w="0" w:type="auto"/>
            <w:gridSpan w:val="2"/>
          </w:tcPr>
          <w:p w:rsidR="00386947" w:rsidRPr="00450982" w:rsidRDefault="00386947" w:rsidP="00386947">
            <w:pPr>
              <w:widowControl/>
              <w:rPr>
                <w:rFonts w:cs="Arial"/>
                <w:b/>
                <w:sz w:val="20"/>
                <w:szCs w:val="20"/>
                <w:lang w:val="en-AU"/>
              </w:rPr>
            </w:pPr>
            <w:r w:rsidRPr="00450982">
              <w:rPr>
                <w:rFonts w:cs="Arial"/>
                <w:b/>
                <w:sz w:val="20"/>
                <w:szCs w:val="20"/>
                <w:lang w:val="en-AU"/>
              </w:rPr>
              <w:t>Adequate information should be provided, including through labelling and advertising of special purpose foods, to:</w:t>
            </w:r>
          </w:p>
        </w:tc>
      </w:tr>
      <w:tr w:rsidR="00386947" w:rsidRPr="00450982" w:rsidTr="00386947">
        <w:tc>
          <w:tcPr>
            <w:tcW w:w="0" w:type="auto"/>
          </w:tcPr>
          <w:p w:rsidR="00386947" w:rsidRPr="00450982" w:rsidRDefault="00386947" w:rsidP="00386947">
            <w:pPr>
              <w:pStyle w:val="ListParagraph"/>
              <w:numPr>
                <w:ilvl w:val="0"/>
                <w:numId w:val="12"/>
              </w:numPr>
              <w:autoSpaceDE w:val="0"/>
              <w:autoSpaceDN w:val="0"/>
              <w:adjustRightInd w:val="0"/>
              <w:rPr>
                <w:rFonts w:cs="Arial"/>
                <w:sz w:val="20"/>
                <w:szCs w:val="20"/>
                <w:lang w:val="en-AU"/>
              </w:rPr>
            </w:pPr>
            <w:r w:rsidRPr="00450982">
              <w:rPr>
                <w:rFonts w:cs="Arial"/>
                <w:sz w:val="20"/>
                <w:szCs w:val="20"/>
                <w:lang w:val="en-AU"/>
              </w:rPr>
              <w:t>assist consumer understanding of the specific nature of the food, the intended population group and intended special purpose of the food; and</w:t>
            </w:r>
          </w:p>
        </w:tc>
        <w:tc>
          <w:tcPr>
            <w:tcW w:w="0" w:type="auto"/>
          </w:tcPr>
          <w:p w:rsidR="00386947" w:rsidRPr="00450982" w:rsidRDefault="00386947" w:rsidP="00386947">
            <w:pPr>
              <w:widowControl/>
              <w:rPr>
                <w:rFonts w:cs="Arial"/>
                <w:sz w:val="20"/>
                <w:szCs w:val="20"/>
              </w:rPr>
            </w:pPr>
            <w:r w:rsidRPr="00450982">
              <w:rPr>
                <w:rFonts w:cs="Arial"/>
                <w:sz w:val="20"/>
                <w:szCs w:val="20"/>
              </w:rPr>
              <w:t>Specific labelling requirements for ED include declaration of nutrition information including each type of monosaccharide and disaccharide present and quantity of added minerals and electrolytes. It is proposed that ED will be permitted to make health claims relating to their intended purpose, i.e. to achieve rapid replacement of fluid, carbohydrates, and electrolytes lost as a result of sustained strenuous activity.</w:t>
            </w:r>
          </w:p>
        </w:tc>
      </w:tr>
      <w:tr w:rsidR="00386947" w:rsidRPr="00450982" w:rsidTr="00947D34">
        <w:trPr>
          <w:cantSplit/>
        </w:trPr>
        <w:tc>
          <w:tcPr>
            <w:tcW w:w="0" w:type="auto"/>
          </w:tcPr>
          <w:p w:rsidR="00386947" w:rsidRPr="00450982" w:rsidRDefault="00386947" w:rsidP="00386947">
            <w:pPr>
              <w:pStyle w:val="ListParagraph"/>
              <w:numPr>
                <w:ilvl w:val="0"/>
                <w:numId w:val="12"/>
              </w:numPr>
              <w:autoSpaceDE w:val="0"/>
              <w:autoSpaceDN w:val="0"/>
              <w:adjustRightInd w:val="0"/>
              <w:rPr>
                <w:rFonts w:cs="Arial"/>
                <w:sz w:val="20"/>
                <w:szCs w:val="20"/>
                <w:lang w:val="en-AU"/>
              </w:rPr>
            </w:pPr>
            <w:proofErr w:type="gramStart"/>
            <w:r w:rsidRPr="00450982">
              <w:rPr>
                <w:rFonts w:cs="Arial"/>
                <w:sz w:val="20"/>
                <w:szCs w:val="20"/>
                <w:lang w:val="en-AU"/>
              </w:rPr>
              <w:lastRenderedPageBreak/>
              <w:t>provide</w:t>
            </w:r>
            <w:proofErr w:type="gramEnd"/>
            <w:r w:rsidRPr="00450982">
              <w:rPr>
                <w:rFonts w:cs="Arial"/>
                <w:sz w:val="20"/>
                <w:szCs w:val="20"/>
                <w:lang w:val="en-AU"/>
              </w:rPr>
              <w:t xml:space="preserve"> for safe use by the intended population and to help prevent inappropriate use by those for whom the special purpose food is not intended.</w:t>
            </w:r>
          </w:p>
        </w:tc>
        <w:tc>
          <w:tcPr>
            <w:tcW w:w="0" w:type="auto"/>
          </w:tcPr>
          <w:p w:rsidR="00386947" w:rsidRPr="00450982" w:rsidRDefault="00386947" w:rsidP="00386947">
            <w:pPr>
              <w:widowControl/>
              <w:rPr>
                <w:rFonts w:cs="Arial"/>
                <w:sz w:val="20"/>
                <w:szCs w:val="20"/>
              </w:rPr>
            </w:pPr>
            <w:r w:rsidRPr="00450982">
              <w:rPr>
                <w:rFonts w:cs="Arial"/>
                <w:sz w:val="20"/>
                <w:szCs w:val="20"/>
              </w:rPr>
              <w:t xml:space="preserve">The recommended volume and frequency of use are labelling requirements. </w:t>
            </w:r>
          </w:p>
        </w:tc>
      </w:tr>
      <w:tr w:rsidR="00386947" w:rsidRPr="00450982" w:rsidTr="00386947">
        <w:tc>
          <w:tcPr>
            <w:tcW w:w="0" w:type="auto"/>
          </w:tcPr>
          <w:p w:rsidR="00386947" w:rsidRPr="00450982" w:rsidRDefault="00386947" w:rsidP="00386947">
            <w:pPr>
              <w:widowControl/>
              <w:autoSpaceDE w:val="0"/>
              <w:autoSpaceDN w:val="0"/>
              <w:adjustRightInd w:val="0"/>
              <w:rPr>
                <w:rFonts w:cs="Arial"/>
                <w:sz w:val="20"/>
                <w:szCs w:val="20"/>
                <w:lang w:val="en-AU"/>
              </w:rPr>
            </w:pPr>
            <w:r w:rsidRPr="00450982">
              <w:rPr>
                <w:rFonts w:cs="Arial"/>
                <w:sz w:val="20"/>
                <w:szCs w:val="20"/>
                <w:lang w:val="en-AU"/>
              </w:rPr>
              <w:t>Consideration, where appropriate, should be given to application of controls to restrict access to a special purpose food on the basis of risk to public health and safety.</w:t>
            </w:r>
          </w:p>
        </w:tc>
        <w:tc>
          <w:tcPr>
            <w:tcW w:w="0" w:type="auto"/>
          </w:tcPr>
          <w:p w:rsidR="00386947" w:rsidRPr="00450982" w:rsidRDefault="00386947" w:rsidP="00386947">
            <w:pPr>
              <w:widowControl/>
              <w:rPr>
                <w:rFonts w:cs="Arial"/>
                <w:sz w:val="20"/>
                <w:szCs w:val="20"/>
              </w:rPr>
            </w:pPr>
            <w:r w:rsidRPr="00450982">
              <w:rPr>
                <w:rFonts w:cs="Arial"/>
                <w:sz w:val="20"/>
                <w:szCs w:val="20"/>
              </w:rPr>
              <w:t xml:space="preserve">There is no evidence of risks to consumers that would warrant limiting access of these products. </w:t>
            </w:r>
          </w:p>
        </w:tc>
      </w:tr>
    </w:tbl>
    <w:p w:rsidR="003C4969" w:rsidRPr="00932F14" w:rsidRDefault="003C4969" w:rsidP="007467D7">
      <w:pPr>
        <w:pStyle w:val="Heading2"/>
        <w:widowControl/>
        <w:ind w:left="0" w:firstLine="0"/>
      </w:pPr>
      <w:r w:rsidRPr="00932F14">
        <w:br w:type="page"/>
      </w:r>
      <w:bookmarkStart w:id="86" w:name="_Toc29883131"/>
      <w:bookmarkStart w:id="87" w:name="_Toc41906818"/>
      <w:bookmarkStart w:id="88" w:name="_Toc41907565"/>
      <w:bookmarkStart w:id="89" w:name="_Toc120358596"/>
      <w:bookmarkStart w:id="90" w:name="_Toc175381458"/>
      <w:bookmarkStart w:id="91" w:name="_Toc11735644"/>
      <w:bookmarkStart w:id="92" w:name="_Toc286391017"/>
      <w:bookmarkStart w:id="93" w:name="_Toc300933453"/>
      <w:bookmarkStart w:id="94" w:name="_Toc395775027"/>
      <w:r w:rsidRPr="00932F14">
        <w:lastRenderedPageBreak/>
        <w:t xml:space="preserve">Attachment </w:t>
      </w:r>
      <w:bookmarkEnd w:id="86"/>
      <w:bookmarkEnd w:id="87"/>
      <w:bookmarkEnd w:id="88"/>
      <w:bookmarkEnd w:id="89"/>
      <w:bookmarkEnd w:id="90"/>
      <w:r w:rsidR="00456B54">
        <w:t>A</w:t>
      </w:r>
      <w:bookmarkStart w:id="95" w:name="_Toc120358597"/>
      <w:bookmarkStart w:id="96" w:name="_Toc175381459"/>
      <w:bookmarkEnd w:id="91"/>
      <w:r w:rsidR="007C174F">
        <w:t xml:space="preserve"> – </w:t>
      </w:r>
      <w:r w:rsidRPr="00932F14">
        <w:t>Draft variation</w:t>
      </w:r>
      <w:r w:rsidR="005B0094" w:rsidRPr="006E71A9">
        <w:t>s</w:t>
      </w:r>
      <w:r w:rsidRPr="00932F14">
        <w:t xml:space="preserve"> to the </w:t>
      </w:r>
      <w:r w:rsidRPr="007C174F">
        <w:rPr>
          <w:i/>
        </w:rPr>
        <w:t>Australia New Zealand Food Standards Code</w:t>
      </w:r>
      <w:bookmarkEnd w:id="92"/>
      <w:bookmarkEnd w:id="93"/>
      <w:bookmarkEnd w:id="95"/>
      <w:bookmarkEnd w:id="96"/>
      <w:bookmarkEnd w:id="94"/>
    </w:p>
    <w:p w:rsidR="007601F6" w:rsidRPr="00C0014E" w:rsidRDefault="007601F6" w:rsidP="007467D7">
      <w:pPr>
        <w:widowControl/>
        <w:rPr>
          <w:noProof/>
          <w:sz w:val="20"/>
          <w:lang w:val="en-AU" w:eastAsia="en-AU"/>
        </w:rPr>
      </w:pPr>
      <w:r w:rsidRPr="00C0014E">
        <w:rPr>
          <w:noProof/>
          <w:sz w:val="20"/>
          <w:lang w:eastAsia="en-GB" w:bidi="ar-SA"/>
        </w:rPr>
        <w:drawing>
          <wp:inline distT="0" distB="0" distL="0" distR="0" wp14:anchorId="54F23180" wp14:editId="6A61DBDB">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7601F6" w:rsidRPr="006153A1" w:rsidRDefault="007601F6" w:rsidP="007467D7">
      <w:pPr>
        <w:pStyle w:val="Subclause"/>
        <w:widowControl/>
      </w:pPr>
    </w:p>
    <w:p w:rsidR="007601F6" w:rsidRDefault="007601F6" w:rsidP="007467D7">
      <w:pPr>
        <w:widowControl/>
        <w:pBdr>
          <w:bottom w:val="single" w:sz="4" w:space="1" w:color="auto"/>
        </w:pBdr>
        <w:rPr>
          <w:b/>
          <w:sz w:val="20"/>
        </w:rPr>
      </w:pPr>
      <w:r w:rsidRPr="006153A1">
        <w:rPr>
          <w:b/>
          <w:sz w:val="20"/>
        </w:rPr>
        <w:t>Food Standards (</w:t>
      </w:r>
      <w:r w:rsidRPr="00F618DF">
        <w:rPr>
          <w:b/>
          <w:sz w:val="20"/>
        </w:rPr>
        <w:t>Proposal P</w:t>
      </w:r>
      <w:r>
        <w:rPr>
          <w:b/>
          <w:sz w:val="20"/>
        </w:rPr>
        <w:t>1030</w:t>
      </w:r>
      <w:r w:rsidRPr="00F618DF">
        <w:rPr>
          <w:b/>
          <w:sz w:val="20"/>
        </w:rPr>
        <w:t xml:space="preserve"> </w:t>
      </w:r>
      <w:r w:rsidRPr="00A32232">
        <w:rPr>
          <w:b/>
          <w:sz w:val="20"/>
        </w:rPr>
        <w:t xml:space="preserve">– </w:t>
      </w:r>
      <w:r>
        <w:rPr>
          <w:b/>
          <w:sz w:val="20"/>
        </w:rPr>
        <w:t>Health Clai</w:t>
      </w:r>
      <w:r w:rsidR="00A06134">
        <w:rPr>
          <w:b/>
          <w:sz w:val="20"/>
        </w:rPr>
        <w:t xml:space="preserve">ms – Formulated Supplementary </w:t>
      </w:r>
      <w:r>
        <w:rPr>
          <w:b/>
          <w:sz w:val="20"/>
        </w:rPr>
        <w:t>Sports Foods &amp; Electrolyte Drinks)</w:t>
      </w:r>
      <w:r w:rsidRPr="00C0014E">
        <w:rPr>
          <w:b/>
          <w:sz w:val="20"/>
        </w:rPr>
        <w:t xml:space="preserve"> Variation</w:t>
      </w:r>
    </w:p>
    <w:p w:rsidR="007601F6" w:rsidRPr="00C0014E" w:rsidRDefault="007601F6" w:rsidP="007467D7">
      <w:pPr>
        <w:widowControl/>
        <w:pBdr>
          <w:bottom w:val="single" w:sz="4" w:space="1" w:color="auto"/>
        </w:pBdr>
        <w:rPr>
          <w:b/>
          <w:sz w:val="20"/>
        </w:rPr>
      </w:pPr>
    </w:p>
    <w:p w:rsidR="007601F6" w:rsidRPr="008F2616" w:rsidRDefault="007601F6" w:rsidP="007467D7">
      <w:pPr>
        <w:widowControl/>
        <w:rPr>
          <w:sz w:val="20"/>
        </w:rPr>
      </w:pPr>
    </w:p>
    <w:p w:rsidR="007601F6" w:rsidRPr="008F2616" w:rsidRDefault="007601F6" w:rsidP="007467D7">
      <w:pPr>
        <w:widowControl/>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7601F6" w:rsidRPr="008F2616" w:rsidRDefault="007601F6" w:rsidP="007467D7">
      <w:pPr>
        <w:widowControl/>
        <w:rPr>
          <w:sz w:val="20"/>
        </w:rPr>
      </w:pPr>
    </w:p>
    <w:p w:rsidR="007601F6" w:rsidRPr="008F2616" w:rsidRDefault="007601F6" w:rsidP="007467D7">
      <w:pPr>
        <w:widowControl/>
        <w:rPr>
          <w:sz w:val="20"/>
        </w:rPr>
      </w:pPr>
      <w:r w:rsidRPr="008F2616">
        <w:rPr>
          <w:sz w:val="20"/>
        </w:rPr>
        <w:t xml:space="preserve">Dated </w:t>
      </w:r>
      <w:r>
        <w:rPr>
          <w:sz w:val="20"/>
        </w:rPr>
        <w:t>[To be completed by Standards Management Officer]</w:t>
      </w:r>
    </w:p>
    <w:p w:rsidR="007601F6" w:rsidRPr="008F2616" w:rsidRDefault="007601F6" w:rsidP="007467D7">
      <w:pPr>
        <w:widowControl/>
        <w:rPr>
          <w:sz w:val="20"/>
        </w:rPr>
      </w:pPr>
    </w:p>
    <w:p w:rsidR="007601F6" w:rsidRDefault="007601F6" w:rsidP="007467D7">
      <w:pPr>
        <w:widowControl/>
        <w:rPr>
          <w:sz w:val="20"/>
        </w:rPr>
      </w:pPr>
    </w:p>
    <w:p w:rsidR="007601F6" w:rsidRDefault="007601F6" w:rsidP="007467D7">
      <w:pPr>
        <w:widowControl/>
        <w:rPr>
          <w:sz w:val="20"/>
        </w:rPr>
      </w:pPr>
    </w:p>
    <w:p w:rsidR="007601F6" w:rsidRPr="008F2616" w:rsidRDefault="007601F6" w:rsidP="007467D7">
      <w:pPr>
        <w:widowControl/>
        <w:rPr>
          <w:sz w:val="20"/>
        </w:rPr>
      </w:pPr>
    </w:p>
    <w:p w:rsidR="007601F6" w:rsidRPr="008F2616" w:rsidRDefault="007601F6" w:rsidP="007467D7">
      <w:pPr>
        <w:widowControl/>
        <w:rPr>
          <w:sz w:val="20"/>
        </w:rPr>
      </w:pPr>
    </w:p>
    <w:p w:rsidR="007601F6" w:rsidRPr="008F2616" w:rsidRDefault="007601F6" w:rsidP="007467D7">
      <w:pPr>
        <w:widowControl/>
        <w:rPr>
          <w:sz w:val="20"/>
        </w:rPr>
      </w:pPr>
      <w:r w:rsidRPr="008F2616">
        <w:rPr>
          <w:sz w:val="20"/>
        </w:rPr>
        <w:t>Standards Management Officer</w:t>
      </w:r>
    </w:p>
    <w:p w:rsidR="007601F6" w:rsidRPr="008F2616" w:rsidRDefault="007601F6" w:rsidP="007467D7">
      <w:pPr>
        <w:widowControl/>
        <w:rPr>
          <w:sz w:val="20"/>
        </w:rPr>
      </w:pPr>
      <w:r w:rsidRPr="008F2616">
        <w:rPr>
          <w:sz w:val="20"/>
        </w:rPr>
        <w:t>Delegate of the Board of Food Standards Australia New Zealand</w:t>
      </w:r>
    </w:p>
    <w:p w:rsidR="007601F6" w:rsidRDefault="007601F6" w:rsidP="007467D7">
      <w:pPr>
        <w:widowControl/>
        <w:rPr>
          <w:sz w:val="20"/>
        </w:rPr>
      </w:pPr>
    </w:p>
    <w:p w:rsidR="007601F6" w:rsidRDefault="007601F6" w:rsidP="007467D7">
      <w:pPr>
        <w:widowControl/>
        <w:rPr>
          <w:sz w:val="20"/>
        </w:rPr>
      </w:pPr>
    </w:p>
    <w:p w:rsidR="007601F6" w:rsidRDefault="007601F6" w:rsidP="007467D7">
      <w:pPr>
        <w:widowControl/>
        <w:rPr>
          <w:sz w:val="20"/>
        </w:rPr>
      </w:pPr>
    </w:p>
    <w:p w:rsidR="007601F6" w:rsidRDefault="007601F6" w:rsidP="007467D7">
      <w:pPr>
        <w:widowControl/>
        <w:rPr>
          <w:sz w:val="20"/>
        </w:rPr>
      </w:pPr>
    </w:p>
    <w:p w:rsidR="007601F6" w:rsidRDefault="007601F6" w:rsidP="007467D7">
      <w:pPr>
        <w:widowControl/>
        <w:rPr>
          <w:sz w:val="20"/>
        </w:rPr>
      </w:pPr>
    </w:p>
    <w:p w:rsidR="007601F6" w:rsidRPr="00574DE1" w:rsidRDefault="007601F6" w:rsidP="007467D7">
      <w:pPr>
        <w:pStyle w:val="EditorialNoteLine1"/>
        <w:widowControl/>
        <w:rPr>
          <w:lang w:val="en-AU"/>
        </w:rPr>
      </w:pPr>
      <w:r w:rsidRPr="00574DE1">
        <w:rPr>
          <w:lang w:val="en-AU"/>
        </w:rPr>
        <w:t xml:space="preserve">Note:  </w:t>
      </w:r>
    </w:p>
    <w:p w:rsidR="007601F6" w:rsidRPr="00574DE1" w:rsidRDefault="007601F6" w:rsidP="007467D7">
      <w:pPr>
        <w:pStyle w:val="EditorialNotetext"/>
        <w:widowControl/>
        <w:rPr>
          <w:lang w:val="en-AU"/>
        </w:rPr>
      </w:pPr>
    </w:p>
    <w:p w:rsidR="007601F6" w:rsidRDefault="007601F6" w:rsidP="007467D7">
      <w:pPr>
        <w:pStyle w:val="EditorialNotetext"/>
        <w:widowControl/>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7601F6" w:rsidRDefault="007601F6" w:rsidP="007467D7">
      <w:pPr>
        <w:widowControl/>
        <w:rPr>
          <w:sz w:val="20"/>
        </w:rPr>
      </w:pPr>
    </w:p>
    <w:p w:rsidR="007601F6" w:rsidRDefault="007601F6" w:rsidP="007467D7">
      <w:pPr>
        <w:widowControl/>
        <w:rPr>
          <w:sz w:val="20"/>
        </w:rPr>
      </w:pPr>
      <w:r>
        <w:rPr>
          <w:sz w:val="20"/>
        </w:rPr>
        <w:br w:type="page"/>
      </w:r>
    </w:p>
    <w:p w:rsidR="007601F6" w:rsidRDefault="007601F6" w:rsidP="007467D7">
      <w:pPr>
        <w:pStyle w:val="Clauseheading"/>
        <w:widowControl/>
      </w:pPr>
      <w:r>
        <w:lastRenderedPageBreak/>
        <w:t>1</w:t>
      </w:r>
      <w:r>
        <w:tab/>
        <w:t>Name</w:t>
      </w:r>
    </w:p>
    <w:p w:rsidR="007601F6" w:rsidRDefault="007601F6" w:rsidP="007467D7">
      <w:pPr>
        <w:pStyle w:val="Clause"/>
        <w:widowControl/>
      </w:pPr>
    </w:p>
    <w:p w:rsidR="007601F6" w:rsidRPr="00F618DF" w:rsidRDefault="007601F6" w:rsidP="007467D7">
      <w:pPr>
        <w:pStyle w:val="Clause"/>
        <w:widowControl/>
      </w:pPr>
      <w:r w:rsidRPr="00DB170D">
        <w:t xml:space="preserve">This instrument is the </w:t>
      </w:r>
      <w:r>
        <w:rPr>
          <w:i/>
        </w:rPr>
        <w:t xml:space="preserve">Food Standards </w:t>
      </w:r>
      <w:r w:rsidRPr="00F618DF">
        <w:rPr>
          <w:i/>
        </w:rPr>
        <w:t>(</w:t>
      </w:r>
      <w:r w:rsidRPr="004D5DB3">
        <w:rPr>
          <w:i/>
        </w:rPr>
        <w:t xml:space="preserve">Proposal P1030 – Health Claims </w:t>
      </w:r>
      <w:r w:rsidR="00791A39">
        <w:rPr>
          <w:i/>
        </w:rPr>
        <w:t>– Formulated Supplementary</w:t>
      </w:r>
      <w:r w:rsidRPr="004D5DB3">
        <w:rPr>
          <w:i/>
        </w:rPr>
        <w:t xml:space="preserve"> Sports Foods </w:t>
      </w:r>
      <w:r>
        <w:rPr>
          <w:i/>
        </w:rPr>
        <w:t xml:space="preserve">&amp; </w:t>
      </w:r>
      <w:r w:rsidRPr="004D5DB3">
        <w:rPr>
          <w:i/>
        </w:rPr>
        <w:t>Electrolyte Drinks</w:t>
      </w:r>
      <w:r w:rsidRPr="00F618DF">
        <w:rPr>
          <w:i/>
        </w:rPr>
        <w:t>) Variation</w:t>
      </w:r>
      <w:r w:rsidRPr="00F618DF">
        <w:t>.</w:t>
      </w:r>
    </w:p>
    <w:p w:rsidR="007601F6" w:rsidRDefault="007601F6" w:rsidP="007467D7">
      <w:pPr>
        <w:pStyle w:val="Clause"/>
        <w:widowControl/>
      </w:pPr>
    </w:p>
    <w:p w:rsidR="007601F6" w:rsidRPr="0036244B" w:rsidRDefault="007601F6" w:rsidP="007467D7">
      <w:pPr>
        <w:pStyle w:val="Clauseheading"/>
        <w:widowControl/>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7601F6" w:rsidRDefault="007601F6" w:rsidP="007467D7">
      <w:pPr>
        <w:pStyle w:val="Clause"/>
        <w:widowControl/>
      </w:pPr>
    </w:p>
    <w:p w:rsidR="007601F6" w:rsidRDefault="007601F6" w:rsidP="007467D7">
      <w:pPr>
        <w:pStyle w:val="Clause"/>
        <w:widowControl/>
      </w:pPr>
      <w:r>
        <w:t xml:space="preserve">The Schedule varies the Standards in the </w:t>
      </w:r>
      <w:r w:rsidRPr="00FF1C11">
        <w:rPr>
          <w:i/>
        </w:rPr>
        <w:t>Australia New Zealand Food Standards Code</w:t>
      </w:r>
      <w:r>
        <w:t>.</w:t>
      </w:r>
    </w:p>
    <w:p w:rsidR="007601F6" w:rsidRDefault="007601F6" w:rsidP="007467D7">
      <w:pPr>
        <w:widowControl/>
        <w:rPr>
          <w:sz w:val="20"/>
        </w:rPr>
      </w:pPr>
    </w:p>
    <w:p w:rsidR="007601F6" w:rsidRDefault="007601F6" w:rsidP="007467D7">
      <w:pPr>
        <w:pStyle w:val="Clauseheading"/>
        <w:widowControl/>
      </w:pPr>
      <w:r>
        <w:t>3</w:t>
      </w:r>
      <w:r>
        <w:tab/>
        <w:t>Commencement</w:t>
      </w:r>
    </w:p>
    <w:p w:rsidR="007601F6" w:rsidRDefault="007601F6" w:rsidP="007467D7">
      <w:pPr>
        <w:pStyle w:val="Clause"/>
        <w:widowControl/>
      </w:pPr>
    </w:p>
    <w:p w:rsidR="007601F6" w:rsidRDefault="007601F6" w:rsidP="007467D7">
      <w:pPr>
        <w:pStyle w:val="Clause"/>
        <w:widowControl/>
      </w:pPr>
      <w:r>
        <w:t>The variation commenc</w:t>
      </w:r>
      <w:r w:rsidRPr="000055C4">
        <w:t>e</w:t>
      </w:r>
      <w:r>
        <w:t>s</w:t>
      </w:r>
      <w:r w:rsidRPr="000055C4">
        <w:t xml:space="preserve"> on</w:t>
      </w:r>
      <w:r>
        <w:t xml:space="preserve"> the date of gazettal.</w:t>
      </w:r>
    </w:p>
    <w:p w:rsidR="007601F6" w:rsidRDefault="007601F6" w:rsidP="007467D7">
      <w:pPr>
        <w:pStyle w:val="ScheduleHeading"/>
        <w:widowControl/>
      </w:pPr>
    </w:p>
    <w:p w:rsidR="007601F6" w:rsidRDefault="007601F6" w:rsidP="007467D7">
      <w:pPr>
        <w:pStyle w:val="ScheduleHeading"/>
        <w:widowControl/>
      </w:pPr>
      <w:r>
        <w:t>SCHEDULE</w:t>
      </w:r>
    </w:p>
    <w:p w:rsidR="007601F6" w:rsidRPr="0036244B" w:rsidRDefault="007601F6" w:rsidP="007467D7">
      <w:pPr>
        <w:widowControl/>
        <w:rPr>
          <w:sz w:val="20"/>
        </w:rPr>
      </w:pPr>
    </w:p>
    <w:p w:rsidR="007601F6" w:rsidRDefault="007601F6" w:rsidP="007467D7">
      <w:pPr>
        <w:pStyle w:val="Clause"/>
        <w:widowControl/>
      </w:pPr>
      <w:r w:rsidRPr="00BC3497">
        <w:rPr>
          <w:b/>
        </w:rPr>
        <w:t>[1]</w:t>
      </w:r>
      <w:r w:rsidRPr="00BC3497">
        <w:rPr>
          <w:b/>
        </w:rPr>
        <w:tab/>
        <w:t xml:space="preserve">Standard </w:t>
      </w:r>
      <w:r>
        <w:rPr>
          <w:b/>
        </w:rPr>
        <w:t>1.2.7</w:t>
      </w:r>
      <w:r w:rsidRPr="00BC3497">
        <w:t xml:space="preserve"> is varied by</w:t>
      </w:r>
      <w:r>
        <w:t xml:space="preserve"> inserting in Columns 2, 3 and 4 of Schedule 1 after the last entry for “Vitamin or mineral (not including potassium or </w:t>
      </w:r>
      <w:r w:rsidRPr="0018704C">
        <w:t>sodium</w:t>
      </w:r>
      <w:r>
        <w:t>)”</w:t>
      </w:r>
    </w:p>
    <w:p w:rsidR="007601F6" w:rsidRDefault="007601F6" w:rsidP="007467D7">
      <w:pPr>
        <w:pStyle w:val="Clause"/>
        <w:widowControl/>
      </w:pPr>
    </w:p>
    <w:p w:rsidR="007601F6" w:rsidRDefault="007601F6" w:rsidP="007467D7">
      <w:pPr>
        <w:widowControl/>
      </w:pPr>
      <w:r>
        <w:t>“</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120"/>
        <w:gridCol w:w="2107"/>
        <w:gridCol w:w="2702"/>
      </w:tblGrid>
      <w:tr w:rsidR="00F67394" w:rsidRPr="00AC1C0D" w:rsidTr="002301A1">
        <w:tc>
          <w:tcPr>
            <w:tcW w:w="2107" w:type="dxa"/>
            <w:tcBorders>
              <w:top w:val="nil"/>
              <w:left w:val="nil"/>
              <w:bottom w:val="nil"/>
            </w:tcBorders>
          </w:tcPr>
          <w:p w:rsidR="00F67394" w:rsidRDefault="00F67394" w:rsidP="007467D7">
            <w:pPr>
              <w:pStyle w:val="Table2"/>
              <w:widowControl/>
            </w:pPr>
          </w:p>
        </w:tc>
        <w:tc>
          <w:tcPr>
            <w:tcW w:w="2120" w:type="dxa"/>
          </w:tcPr>
          <w:p w:rsidR="00F67394" w:rsidRPr="00ED38F1" w:rsidRDefault="00F67394" w:rsidP="007467D7">
            <w:pPr>
              <w:pStyle w:val="Table2"/>
              <w:widowControl/>
            </w:pPr>
            <w:r>
              <w:t xml:space="preserve">If the food </w:t>
            </w:r>
            <w:r w:rsidRPr="004B138A">
              <w:t>is a formulated</w:t>
            </w:r>
            <w:r>
              <w:t xml:space="preserve"> </w:t>
            </w:r>
            <w:r w:rsidRPr="00ED38F1">
              <w:t>supplementary sports food st</w:t>
            </w:r>
            <w:r>
              <w:t>andardised under Standard 2.9.4</w:t>
            </w:r>
            <w:r w:rsidRPr="00ED38F1">
              <w:t>,</w:t>
            </w:r>
            <w:r>
              <w:t xml:space="preserve"> </w:t>
            </w:r>
            <w:r w:rsidRPr="004E6389">
              <w:t>the food meets the conditions for making a claim about vitamins and minerals in subclause 5(2) of Standard 2.</w:t>
            </w:r>
            <w:r w:rsidRPr="00F83FD8">
              <w:t>9.4</w:t>
            </w:r>
          </w:p>
        </w:tc>
        <w:tc>
          <w:tcPr>
            <w:tcW w:w="2107" w:type="dxa"/>
          </w:tcPr>
          <w:p w:rsidR="00F67394" w:rsidRPr="00AC1C0D" w:rsidRDefault="00F67394" w:rsidP="007467D7">
            <w:pPr>
              <w:widowControl/>
              <w:ind w:left="142" w:hanging="142"/>
              <w:rPr>
                <w:rFonts w:eastAsiaTheme="minorHAnsi" w:cstheme="minorBidi"/>
                <w:bCs/>
                <w:sz w:val="18"/>
                <w:lang w:eastAsia="en-AU"/>
              </w:rPr>
            </w:pPr>
          </w:p>
        </w:tc>
        <w:tc>
          <w:tcPr>
            <w:tcW w:w="2702" w:type="dxa"/>
          </w:tcPr>
          <w:p w:rsidR="00F67394" w:rsidRPr="00AC1C0D" w:rsidRDefault="00F67394" w:rsidP="007467D7">
            <w:pPr>
              <w:widowControl/>
              <w:ind w:left="142" w:hanging="142"/>
              <w:rPr>
                <w:rFonts w:eastAsiaTheme="minorHAnsi" w:cstheme="minorBidi"/>
                <w:bCs/>
                <w:sz w:val="18"/>
                <w:lang w:eastAsia="en-AU"/>
              </w:rPr>
            </w:pPr>
          </w:p>
        </w:tc>
      </w:tr>
    </w:tbl>
    <w:p w:rsidR="007601F6" w:rsidRPr="00A870AD" w:rsidRDefault="007601F6" w:rsidP="007467D7">
      <w:pPr>
        <w:pStyle w:val="Subclause"/>
        <w:widowControl/>
        <w:jc w:val="right"/>
      </w:pPr>
      <w:r w:rsidRPr="00A870AD">
        <w:t>”</w:t>
      </w:r>
    </w:p>
    <w:p w:rsidR="007601F6" w:rsidRDefault="007601F6" w:rsidP="007467D7">
      <w:pPr>
        <w:pStyle w:val="Clause"/>
        <w:widowControl/>
      </w:pPr>
    </w:p>
    <w:p w:rsidR="007601F6" w:rsidRDefault="007601F6" w:rsidP="007467D7">
      <w:pPr>
        <w:pStyle w:val="Clause"/>
        <w:widowControl/>
      </w:pPr>
      <w:r>
        <w:rPr>
          <w:b/>
        </w:rPr>
        <w:t>[2]</w:t>
      </w:r>
      <w:r>
        <w:rPr>
          <w:b/>
        </w:rPr>
        <w:tab/>
      </w:r>
      <w:r w:rsidRPr="0018704C">
        <w:rPr>
          <w:b/>
        </w:rPr>
        <w:t>Standard 1.3.1</w:t>
      </w:r>
      <w:r w:rsidRPr="00BC3497">
        <w:t xml:space="preserve"> is varied by</w:t>
      </w:r>
      <w:r>
        <w:t xml:space="preserve"> </w:t>
      </w:r>
    </w:p>
    <w:p w:rsidR="007601F6" w:rsidRDefault="007601F6" w:rsidP="007467D7">
      <w:pPr>
        <w:pStyle w:val="Clause"/>
        <w:widowControl/>
      </w:pPr>
    </w:p>
    <w:p w:rsidR="007601F6" w:rsidRDefault="007601F6" w:rsidP="007467D7">
      <w:pPr>
        <w:pStyle w:val="Subclause"/>
        <w:widowControl/>
      </w:pPr>
      <w:r w:rsidRPr="00A85341">
        <w:t>[</w:t>
      </w:r>
      <w:r>
        <w:t>2</w:t>
      </w:r>
      <w:r w:rsidRPr="00A85341">
        <w:t>.1]</w:t>
      </w:r>
      <w:r w:rsidRPr="00A85341">
        <w:tab/>
      </w:r>
      <w:r>
        <w:t xml:space="preserve">omitting from item 14.1.3 in Schedule 1 </w:t>
      </w:r>
    </w:p>
    <w:p w:rsidR="007601F6" w:rsidRDefault="007601F6" w:rsidP="007467D7">
      <w:pPr>
        <w:pStyle w:val="Clause"/>
        <w:widowControl/>
      </w:pPr>
    </w:p>
    <w:p w:rsidR="00951979" w:rsidRDefault="00951979" w:rsidP="007467D7">
      <w:pPr>
        <w:pStyle w:val="Clause"/>
        <w:widowControl/>
      </w:pPr>
      <w:r>
        <w:t>“</w:t>
      </w:r>
    </w:p>
    <w:tbl>
      <w:tblPr>
        <w:tblW w:w="9245" w:type="dxa"/>
        <w:tblLayout w:type="fixed"/>
        <w:tblLook w:val="0000" w:firstRow="0" w:lastRow="0" w:firstColumn="0" w:lastColumn="0" w:noHBand="0" w:noVBand="0"/>
      </w:tblPr>
      <w:tblGrid>
        <w:gridCol w:w="647"/>
        <w:gridCol w:w="1798"/>
        <w:gridCol w:w="2881"/>
        <w:gridCol w:w="731"/>
        <w:gridCol w:w="710"/>
        <w:gridCol w:w="543"/>
        <w:gridCol w:w="1935"/>
      </w:tblGrid>
      <w:tr w:rsidR="00951979" w:rsidTr="00164533">
        <w:trPr>
          <w:cantSplit/>
        </w:trPr>
        <w:tc>
          <w:tcPr>
            <w:tcW w:w="9245" w:type="dxa"/>
            <w:gridSpan w:val="7"/>
          </w:tcPr>
          <w:p w:rsidR="00951979" w:rsidRDefault="00951979" w:rsidP="007467D7">
            <w:pPr>
              <w:pStyle w:val="131Subitemheading"/>
            </w:pPr>
            <w:r>
              <w:tab/>
              <w:t>electrolyte drink and electrolyte drink base</w:t>
            </w:r>
          </w:p>
        </w:tc>
      </w:tr>
      <w:tr w:rsidR="00951979" w:rsidTr="00164533">
        <w:tc>
          <w:tcPr>
            <w:tcW w:w="647" w:type="dxa"/>
          </w:tcPr>
          <w:p w:rsidR="00951979" w:rsidRDefault="00951979" w:rsidP="007467D7">
            <w:pPr>
              <w:pStyle w:val="Table2"/>
              <w:widowControl/>
            </w:pPr>
          </w:p>
        </w:tc>
        <w:tc>
          <w:tcPr>
            <w:tcW w:w="1798" w:type="dxa"/>
          </w:tcPr>
          <w:p w:rsidR="00951979" w:rsidRPr="00DC3F8A" w:rsidRDefault="00951979" w:rsidP="007467D7">
            <w:pPr>
              <w:pStyle w:val="Table2"/>
              <w:widowControl/>
            </w:pPr>
            <w:r w:rsidRPr="00DC3F8A">
              <w:t>-</w:t>
            </w:r>
          </w:p>
        </w:tc>
        <w:tc>
          <w:tcPr>
            <w:tcW w:w="2881" w:type="dxa"/>
          </w:tcPr>
          <w:p w:rsidR="00951979" w:rsidRPr="00DC3F8A" w:rsidRDefault="00951979" w:rsidP="007467D7">
            <w:pPr>
              <w:pStyle w:val="Table2"/>
              <w:widowControl/>
            </w:pPr>
            <w:r w:rsidRPr="00DC3F8A">
              <w:t>Aspartame</w:t>
            </w:r>
          </w:p>
        </w:tc>
        <w:tc>
          <w:tcPr>
            <w:tcW w:w="731" w:type="dxa"/>
          </w:tcPr>
          <w:p w:rsidR="00951979" w:rsidRPr="00DC3F8A" w:rsidRDefault="00951979" w:rsidP="007467D7">
            <w:pPr>
              <w:pStyle w:val="Table2"/>
              <w:widowControl/>
            </w:pPr>
            <w:r w:rsidRPr="00DC3F8A">
              <w:t>150</w:t>
            </w:r>
          </w:p>
        </w:tc>
        <w:tc>
          <w:tcPr>
            <w:tcW w:w="710" w:type="dxa"/>
          </w:tcPr>
          <w:p w:rsidR="00951979" w:rsidRDefault="00951979" w:rsidP="007467D7">
            <w:pPr>
              <w:pStyle w:val="Table2"/>
              <w:widowControl/>
            </w:pPr>
            <w:r>
              <w:t>mg/kg</w:t>
            </w:r>
          </w:p>
        </w:tc>
        <w:tc>
          <w:tcPr>
            <w:tcW w:w="543" w:type="dxa"/>
          </w:tcPr>
          <w:p w:rsidR="00951979" w:rsidRDefault="00951979" w:rsidP="007467D7">
            <w:pPr>
              <w:pStyle w:val="Table2"/>
              <w:widowControl/>
            </w:pPr>
          </w:p>
        </w:tc>
        <w:tc>
          <w:tcPr>
            <w:tcW w:w="1935" w:type="dxa"/>
          </w:tcPr>
          <w:p w:rsidR="00951979" w:rsidRDefault="00951979" w:rsidP="007467D7">
            <w:pPr>
              <w:pStyle w:val="Table2"/>
              <w:widowControl/>
            </w:pPr>
          </w:p>
        </w:tc>
      </w:tr>
      <w:tr w:rsidR="00951979" w:rsidTr="00164533">
        <w:tc>
          <w:tcPr>
            <w:tcW w:w="647" w:type="dxa"/>
          </w:tcPr>
          <w:p w:rsidR="00951979" w:rsidRDefault="00951979" w:rsidP="007467D7">
            <w:pPr>
              <w:pStyle w:val="Table2"/>
              <w:widowControl/>
            </w:pPr>
          </w:p>
        </w:tc>
        <w:tc>
          <w:tcPr>
            <w:tcW w:w="1798" w:type="dxa"/>
          </w:tcPr>
          <w:p w:rsidR="00951979" w:rsidRPr="00DC3F8A" w:rsidRDefault="00951979" w:rsidP="007467D7">
            <w:pPr>
              <w:pStyle w:val="Table2"/>
              <w:widowControl/>
            </w:pPr>
            <w:r w:rsidRPr="00DC3F8A">
              <w:t>950</w:t>
            </w:r>
          </w:p>
        </w:tc>
        <w:tc>
          <w:tcPr>
            <w:tcW w:w="2881" w:type="dxa"/>
          </w:tcPr>
          <w:p w:rsidR="00951979" w:rsidRPr="00DC3F8A" w:rsidRDefault="00951979" w:rsidP="007467D7">
            <w:pPr>
              <w:pStyle w:val="Table2"/>
              <w:widowControl/>
            </w:pPr>
            <w:r w:rsidRPr="00DC3F8A">
              <w:t>Acesulphame potassium</w:t>
            </w:r>
          </w:p>
        </w:tc>
        <w:tc>
          <w:tcPr>
            <w:tcW w:w="731" w:type="dxa"/>
          </w:tcPr>
          <w:p w:rsidR="00951979" w:rsidRPr="00DC3F8A" w:rsidRDefault="00951979" w:rsidP="007467D7">
            <w:pPr>
              <w:pStyle w:val="Table2"/>
              <w:widowControl/>
            </w:pPr>
            <w:r w:rsidRPr="00DC3F8A">
              <w:t>150</w:t>
            </w:r>
          </w:p>
        </w:tc>
        <w:tc>
          <w:tcPr>
            <w:tcW w:w="710" w:type="dxa"/>
          </w:tcPr>
          <w:p w:rsidR="00951979" w:rsidRDefault="00951979" w:rsidP="007467D7">
            <w:pPr>
              <w:pStyle w:val="Table2"/>
              <w:widowControl/>
            </w:pPr>
            <w:r>
              <w:t>mg/kg</w:t>
            </w:r>
          </w:p>
        </w:tc>
        <w:tc>
          <w:tcPr>
            <w:tcW w:w="543" w:type="dxa"/>
          </w:tcPr>
          <w:p w:rsidR="00951979" w:rsidRDefault="00951979" w:rsidP="007467D7">
            <w:pPr>
              <w:pStyle w:val="Centeredheadings"/>
              <w:widowControl/>
              <w:rPr>
                <w:sz w:val="18"/>
              </w:rPr>
            </w:pPr>
          </w:p>
        </w:tc>
        <w:tc>
          <w:tcPr>
            <w:tcW w:w="1935" w:type="dxa"/>
          </w:tcPr>
          <w:p w:rsidR="00951979" w:rsidRDefault="00951979" w:rsidP="007467D7">
            <w:pPr>
              <w:pStyle w:val="Table2"/>
              <w:widowControl/>
            </w:pPr>
          </w:p>
        </w:tc>
      </w:tr>
      <w:tr w:rsidR="00951979" w:rsidTr="00164533">
        <w:tc>
          <w:tcPr>
            <w:tcW w:w="647" w:type="dxa"/>
          </w:tcPr>
          <w:p w:rsidR="00951979" w:rsidRDefault="00951979" w:rsidP="007467D7">
            <w:pPr>
              <w:pStyle w:val="Table2"/>
              <w:widowControl/>
            </w:pPr>
          </w:p>
        </w:tc>
        <w:tc>
          <w:tcPr>
            <w:tcW w:w="1798" w:type="dxa"/>
          </w:tcPr>
          <w:p w:rsidR="00951979" w:rsidRPr="00DC3F8A" w:rsidRDefault="00951979" w:rsidP="00FF7C9C">
            <w:pPr>
              <w:pStyle w:val="Table2"/>
              <w:widowControl/>
            </w:pPr>
            <w:r w:rsidRPr="00DC3F8A">
              <w:t>962</w:t>
            </w:r>
          </w:p>
        </w:tc>
        <w:tc>
          <w:tcPr>
            <w:tcW w:w="2881" w:type="dxa"/>
          </w:tcPr>
          <w:p w:rsidR="00951979" w:rsidRPr="00DC3F8A" w:rsidRDefault="00951979" w:rsidP="007467D7">
            <w:pPr>
              <w:pStyle w:val="Table2"/>
              <w:widowControl/>
            </w:pPr>
            <w:r w:rsidRPr="00DC3F8A">
              <w:t>Aspartame-acesulphame salt</w:t>
            </w:r>
          </w:p>
        </w:tc>
        <w:tc>
          <w:tcPr>
            <w:tcW w:w="731" w:type="dxa"/>
          </w:tcPr>
          <w:p w:rsidR="00951979" w:rsidRPr="00DC3F8A" w:rsidRDefault="00951979" w:rsidP="007467D7">
            <w:pPr>
              <w:pStyle w:val="Table2"/>
              <w:widowControl/>
            </w:pPr>
            <w:r w:rsidRPr="00DC3F8A">
              <w:t>230</w:t>
            </w:r>
          </w:p>
        </w:tc>
        <w:tc>
          <w:tcPr>
            <w:tcW w:w="710" w:type="dxa"/>
          </w:tcPr>
          <w:p w:rsidR="00951979" w:rsidRDefault="00951979" w:rsidP="007467D7">
            <w:pPr>
              <w:pStyle w:val="Table2"/>
              <w:widowControl/>
            </w:pPr>
            <w:r>
              <w:t>mg/kg</w:t>
            </w:r>
          </w:p>
        </w:tc>
        <w:tc>
          <w:tcPr>
            <w:tcW w:w="543" w:type="dxa"/>
          </w:tcPr>
          <w:p w:rsidR="00951979" w:rsidRDefault="00951979" w:rsidP="007467D7">
            <w:pPr>
              <w:pStyle w:val="Centeredheadings"/>
              <w:widowControl/>
              <w:rPr>
                <w:sz w:val="18"/>
              </w:rPr>
            </w:pPr>
          </w:p>
        </w:tc>
        <w:tc>
          <w:tcPr>
            <w:tcW w:w="1935" w:type="dxa"/>
          </w:tcPr>
          <w:p w:rsidR="00951979" w:rsidRDefault="00951979" w:rsidP="007467D7">
            <w:pPr>
              <w:pStyle w:val="Table2"/>
              <w:widowControl/>
            </w:pPr>
          </w:p>
        </w:tc>
      </w:tr>
    </w:tbl>
    <w:p w:rsidR="004A0F09" w:rsidRPr="00240403" w:rsidRDefault="004A0F09" w:rsidP="007467D7">
      <w:pPr>
        <w:pStyle w:val="Clause"/>
        <w:widowControl/>
        <w:jc w:val="right"/>
      </w:pPr>
      <w:r w:rsidRPr="00240403">
        <w:t>”</w:t>
      </w:r>
    </w:p>
    <w:p w:rsidR="007601F6" w:rsidRDefault="007601F6" w:rsidP="007467D7">
      <w:pPr>
        <w:pStyle w:val="Subclause"/>
        <w:widowControl/>
      </w:pPr>
    </w:p>
    <w:p w:rsidR="007601F6" w:rsidRDefault="007601F6" w:rsidP="007467D7">
      <w:pPr>
        <w:pStyle w:val="Subclause"/>
        <w:widowControl/>
      </w:pPr>
      <w:r>
        <w:t>[2.2]</w:t>
      </w:r>
      <w:r>
        <w:tab/>
        <w:t>inserting after item 13.4.2 in Schedule 1</w:t>
      </w:r>
    </w:p>
    <w:p w:rsidR="007601F6" w:rsidRDefault="007601F6" w:rsidP="007467D7">
      <w:pPr>
        <w:pStyle w:val="Subclause"/>
        <w:widowControl/>
      </w:pPr>
    </w:p>
    <w:p w:rsidR="007601F6" w:rsidRDefault="007601F6" w:rsidP="007467D7">
      <w:pPr>
        <w:pStyle w:val="Subclause"/>
        <w:widowControl/>
      </w:pPr>
      <w:r>
        <w:t>“</w:t>
      </w:r>
    </w:p>
    <w:tbl>
      <w:tblPr>
        <w:tblW w:w="9245" w:type="dxa"/>
        <w:tblLayout w:type="fixed"/>
        <w:tblLook w:val="0000" w:firstRow="0" w:lastRow="0" w:firstColumn="0" w:lastColumn="0" w:noHBand="0" w:noVBand="0"/>
      </w:tblPr>
      <w:tblGrid>
        <w:gridCol w:w="647"/>
        <w:gridCol w:w="1798"/>
        <w:gridCol w:w="2883"/>
        <w:gridCol w:w="20"/>
        <w:gridCol w:w="709"/>
        <w:gridCol w:w="710"/>
        <w:gridCol w:w="543"/>
        <w:gridCol w:w="1926"/>
        <w:gridCol w:w="9"/>
      </w:tblGrid>
      <w:tr w:rsidR="007601F6" w:rsidRPr="00E86FB4" w:rsidTr="00AB4651">
        <w:trPr>
          <w:cantSplit/>
        </w:trPr>
        <w:tc>
          <w:tcPr>
            <w:tcW w:w="9245" w:type="dxa"/>
            <w:gridSpan w:val="9"/>
          </w:tcPr>
          <w:p w:rsidR="007601F6" w:rsidRPr="00E86FB4" w:rsidRDefault="007601F6" w:rsidP="007467D7">
            <w:pPr>
              <w:pStyle w:val="131Subitemheading"/>
            </w:pPr>
            <w:r w:rsidRPr="00E86FB4">
              <w:t>1</w:t>
            </w:r>
            <w:r>
              <w:t>3</w:t>
            </w:r>
            <w:r w:rsidRPr="00E86FB4">
              <w:t>.</w:t>
            </w:r>
            <w:r>
              <w:t>5</w:t>
            </w:r>
            <w:r w:rsidRPr="00E86FB4">
              <w:tab/>
            </w:r>
            <w:r>
              <w:t>E</w:t>
            </w:r>
            <w:r w:rsidRPr="007B5F1B">
              <w:t>lectrolyte drink and electrolyte drink base</w:t>
            </w:r>
            <w:r>
              <w:t>*</w:t>
            </w: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w:t>
            </w:r>
          </w:p>
        </w:tc>
        <w:tc>
          <w:tcPr>
            <w:tcW w:w="2883" w:type="dxa"/>
          </w:tcPr>
          <w:p w:rsidR="007601F6" w:rsidRPr="00E86FB4" w:rsidRDefault="007601F6" w:rsidP="00EC184B">
            <w:pPr>
              <w:pStyle w:val="Table2"/>
            </w:pPr>
            <w:r w:rsidRPr="00E86FB4">
              <w:t>Quinine</w:t>
            </w:r>
          </w:p>
          <w:p w:rsidR="007601F6" w:rsidRPr="00E86FB4" w:rsidRDefault="007601F6" w:rsidP="00EC184B">
            <w:pPr>
              <w:pStyle w:val="Table2"/>
            </w:pPr>
          </w:p>
        </w:tc>
        <w:tc>
          <w:tcPr>
            <w:tcW w:w="729" w:type="dxa"/>
            <w:gridSpan w:val="2"/>
          </w:tcPr>
          <w:p w:rsidR="007601F6" w:rsidRPr="00E86FB4" w:rsidRDefault="007601F6" w:rsidP="00EC184B">
            <w:pPr>
              <w:pStyle w:val="Table2"/>
            </w:pPr>
            <w:r w:rsidRPr="00E86FB4">
              <w:t>100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EC184B">
            <w:pPr>
              <w:pStyle w:val="Table2"/>
            </w:pPr>
            <w:r w:rsidRPr="00E86FB4">
              <w:t>tonic drinks, bitter drinks and quinine drinks only</w:t>
            </w: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123</w:t>
            </w:r>
          </w:p>
        </w:tc>
        <w:tc>
          <w:tcPr>
            <w:tcW w:w="2883" w:type="dxa"/>
          </w:tcPr>
          <w:p w:rsidR="007601F6" w:rsidRPr="00E86FB4" w:rsidRDefault="007601F6" w:rsidP="00EC184B">
            <w:pPr>
              <w:pStyle w:val="Table2"/>
            </w:pPr>
            <w:r w:rsidRPr="00E86FB4">
              <w:t>Amaranth</w:t>
            </w:r>
          </w:p>
        </w:tc>
        <w:tc>
          <w:tcPr>
            <w:tcW w:w="729" w:type="dxa"/>
            <w:gridSpan w:val="2"/>
          </w:tcPr>
          <w:p w:rsidR="007601F6" w:rsidRPr="00E86FB4" w:rsidRDefault="007601F6" w:rsidP="00EC184B">
            <w:pPr>
              <w:pStyle w:val="Table2"/>
            </w:pPr>
            <w:r w:rsidRPr="00E86FB4">
              <w:t>30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200 201 202 203</w:t>
            </w:r>
          </w:p>
        </w:tc>
        <w:tc>
          <w:tcPr>
            <w:tcW w:w="2883" w:type="dxa"/>
          </w:tcPr>
          <w:p w:rsidR="007601F6" w:rsidRPr="00E86FB4" w:rsidRDefault="007601F6" w:rsidP="00EC184B">
            <w:pPr>
              <w:pStyle w:val="Table2"/>
            </w:pPr>
            <w:r w:rsidRPr="00E86FB4">
              <w:t>Sorbic acid and sodium, potassium and calcium sorbates</w:t>
            </w:r>
          </w:p>
        </w:tc>
        <w:tc>
          <w:tcPr>
            <w:tcW w:w="729" w:type="dxa"/>
            <w:gridSpan w:val="2"/>
          </w:tcPr>
          <w:p w:rsidR="007601F6" w:rsidRPr="00E86FB4" w:rsidRDefault="007601F6" w:rsidP="00EC184B">
            <w:pPr>
              <w:pStyle w:val="Table2"/>
            </w:pPr>
            <w:r w:rsidRPr="00E86FB4">
              <w:t>400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210 211 212 213</w:t>
            </w:r>
          </w:p>
        </w:tc>
        <w:tc>
          <w:tcPr>
            <w:tcW w:w="2883" w:type="dxa"/>
          </w:tcPr>
          <w:p w:rsidR="007601F6" w:rsidRPr="00E86FB4" w:rsidRDefault="007601F6" w:rsidP="00EC184B">
            <w:pPr>
              <w:pStyle w:val="Table2"/>
            </w:pPr>
            <w:r w:rsidRPr="00E86FB4">
              <w:t>Benzoic acid and sodium, potassium and calcium benzoates</w:t>
            </w:r>
          </w:p>
        </w:tc>
        <w:tc>
          <w:tcPr>
            <w:tcW w:w="729" w:type="dxa"/>
            <w:gridSpan w:val="2"/>
          </w:tcPr>
          <w:p w:rsidR="007601F6" w:rsidRPr="00E86FB4" w:rsidRDefault="007601F6" w:rsidP="00EC184B">
            <w:pPr>
              <w:pStyle w:val="Table2"/>
            </w:pPr>
            <w:r w:rsidRPr="00E86FB4">
              <w:t>400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220 221 222 223 224 225 228</w:t>
            </w:r>
          </w:p>
        </w:tc>
        <w:tc>
          <w:tcPr>
            <w:tcW w:w="2883" w:type="dxa"/>
          </w:tcPr>
          <w:p w:rsidR="007601F6" w:rsidRPr="00E86FB4" w:rsidRDefault="007601F6" w:rsidP="00EC184B">
            <w:pPr>
              <w:pStyle w:val="Table2"/>
            </w:pPr>
            <w:r w:rsidRPr="00E86FB4">
              <w:t>Sulphur dioxide and sodium and potassium sulphites</w:t>
            </w:r>
          </w:p>
        </w:tc>
        <w:tc>
          <w:tcPr>
            <w:tcW w:w="729" w:type="dxa"/>
            <w:gridSpan w:val="2"/>
          </w:tcPr>
          <w:p w:rsidR="007601F6" w:rsidRPr="00E86FB4" w:rsidRDefault="007601F6" w:rsidP="00EC184B">
            <w:pPr>
              <w:pStyle w:val="Table2"/>
            </w:pPr>
            <w:r w:rsidRPr="00E86FB4">
              <w:t>115</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243</w:t>
            </w:r>
          </w:p>
        </w:tc>
        <w:tc>
          <w:tcPr>
            <w:tcW w:w="2883" w:type="dxa"/>
          </w:tcPr>
          <w:p w:rsidR="007601F6" w:rsidRPr="00E86FB4" w:rsidRDefault="007601F6" w:rsidP="00EC184B">
            <w:pPr>
              <w:pStyle w:val="Table2"/>
            </w:pPr>
            <w:r w:rsidRPr="00E86FB4">
              <w:t>Ethyl lauroyl arginate</w:t>
            </w:r>
          </w:p>
        </w:tc>
        <w:tc>
          <w:tcPr>
            <w:tcW w:w="729" w:type="dxa"/>
            <w:gridSpan w:val="2"/>
          </w:tcPr>
          <w:p w:rsidR="007601F6" w:rsidRPr="00E86FB4" w:rsidRDefault="007601F6" w:rsidP="00EC184B">
            <w:pPr>
              <w:pStyle w:val="Table2"/>
            </w:pPr>
            <w:r w:rsidRPr="00E86FB4">
              <w:t>50</w:t>
            </w:r>
          </w:p>
        </w:tc>
        <w:tc>
          <w:tcPr>
            <w:tcW w:w="710" w:type="dxa"/>
          </w:tcPr>
          <w:p w:rsidR="007601F6" w:rsidRPr="00E86FB4" w:rsidRDefault="007601F6" w:rsidP="00EC184B">
            <w:pPr>
              <w:pStyle w:val="Table2"/>
              <w:rPr>
                <w:szCs w:val="18"/>
              </w:rPr>
            </w:pPr>
            <w:r w:rsidRPr="00E86FB4">
              <w:rPr>
                <w:szCs w:val="18"/>
              </w:rPr>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6"/>
                <w:szCs w:val="16"/>
              </w:rPr>
            </w:pPr>
          </w:p>
        </w:tc>
      </w:tr>
      <w:tr w:rsidR="007601F6" w:rsidRPr="00E86FB4" w:rsidTr="00AB4651">
        <w:trPr>
          <w:cantSplit/>
        </w:trPr>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385</w:t>
            </w:r>
          </w:p>
        </w:tc>
        <w:tc>
          <w:tcPr>
            <w:tcW w:w="2883" w:type="dxa"/>
          </w:tcPr>
          <w:p w:rsidR="007601F6" w:rsidRPr="00E86FB4" w:rsidRDefault="007601F6" w:rsidP="00EC184B">
            <w:pPr>
              <w:pStyle w:val="Table2"/>
            </w:pPr>
            <w:r w:rsidRPr="00E86FB4">
              <w:t>Calcium disodium EDTA</w:t>
            </w:r>
          </w:p>
        </w:tc>
        <w:tc>
          <w:tcPr>
            <w:tcW w:w="729" w:type="dxa"/>
            <w:gridSpan w:val="2"/>
          </w:tcPr>
          <w:p w:rsidR="007601F6" w:rsidRPr="00E86FB4" w:rsidRDefault="007601F6" w:rsidP="00FF7C9C">
            <w:pPr>
              <w:pStyle w:val="Table2"/>
            </w:pPr>
            <w:r w:rsidRPr="00E86FB4">
              <w:t>33</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C184B" w:rsidRDefault="007601F6" w:rsidP="00EC184B">
            <w:pPr>
              <w:pStyle w:val="Table2"/>
              <w:rPr>
                <w:sz w:val="16"/>
              </w:rPr>
            </w:pPr>
            <w:r w:rsidRPr="00EC184B">
              <w:rPr>
                <w:sz w:val="16"/>
              </w:rPr>
              <w:t>products containing fruit flavouring, juice or pulp or orange peel extract only</w:t>
            </w: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444</w:t>
            </w:r>
          </w:p>
        </w:tc>
        <w:tc>
          <w:tcPr>
            <w:tcW w:w="2883" w:type="dxa"/>
          </w:tcPr>
          <w:p w:rsidR="007601F6" w:rsidRPr="00E86FB4" w:rsidRDefault="007601F6" w:rsidP="00EC184B">
            <w:pPr>
              <w:pStyle w:val="Table2"/>
            </w:pPr>
            <w:r w:rsidRPr="00E86FB4">
              <w:t>Sucrose acetate isobutyrate</w:t>
            </w:r>
          </w:p>
        </w:tc>
        <w:tc>
          <w:tcPr>
            <w:tcW w:w="729" w:type="dxa"/>
            <w:gridSpan w:val="2"/>
          </w:tcPr>
          <w:p w:rsidR="007601F6" w:rsidRPr="00E86FB4" w:rsidRDefault="007601F6" w:rsidP="00FF7C9C">
            <w:pPr>
              <w:pStyle w:val="Table2"/>
            </w:pPr>
            <w:r w:rsidRPr="00E86FB4">
              <w:t>200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445</w:t>
            </w:r>
          </w:p>
        </w:tc>
        <w:tc>
          <w:tcPr>
            <w:tcW w:w="2883" w:type="dxa"/>
          </w:tcPr>
          <w:p w:rsidR="007601F6" w:rsidRPr="00E86FB4" w:rsidRDefault="007601F6" w:rsidP="00EC184B">
            <w:pPr>
              <w:pStyle w:val="Table2"/>
            </w:pPr>
            <w:r w:rsidRPr="00E86FB4">
              <w:t>Glycerol esters of wood rosins</w:t>
            </w:r>
          </w:p>
        </w:tc>
        <w:tc>
          <w:tcPr>
            <w:tcW w:w="729" w:type="dxa"/>
            <w:gridSpan w:val="2"/>
          </w:tcPr>
          <w:p w:rsidR="007601F6" w:rsidRPr="00E86FB4" w:rsidRDefault="007601F6" w:rsidP="00FF7C9C">
            <w:pPr>
              <w:pStyle w:val="Table2"/>
            </w:pPr>
            <w:r w:rsidRPr="00E86FB4">
              <w:t>100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480</w:t>
            </w:r>
          </w:p>
        </w:tc>
        <w:tc>
          <w:tcPr>
            <w:tcW w:w="2883" w:type="dxa"/>
          </w:tcPr>
          <w:p w:rsidR="007601F6" w:rsidRPr="00E86FB4" w:rsidRDefault="007601F6" w:rsidP="00EC184B">
            <w:pPr>
              <w:pStyle w:val="Table2"/>
            </w:pPr>
            <w:r w:rsidRPr="00E86FB4">
              <w:t>Dioctyl sodium sulphosuccinate</w:t>
            </w:r>
          </w:p>
        </w:tc>
        <w:tc>
          <w:tcPr>
            <w:tcW w:w="729" w:type="dxa"/>
            <w:gridSpan w:val="2"/>
          </w:tcPr>
          <w:p w:rsidR="007601F6" w:rsidRPr="00E86FB4" w:rsidRDefault="007601F6" w:rsidP="00FF7C9C">
            <w:pPr>
              <w:pStyle w:val="Table2"/>
            </w:pPr>
            <w:r w:rsidRPr="00E86FB4">
              <w:t>10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7B5F1B" w:rsidRDefault="007601F6" w:rsidP="00EC184B">
            <w:pPr>
              <w:pStyle w:val="Table2"/>
            </w:pPr>
            <w:r w:rsidRPr="007B5F1B">
              <w:t>950</w:t>
            </w:r>
          </w:p>
        </w:tc>
        <w:tc>
          <w:tcPr>
            <w:tcW w:w="2883" w:type="dxa"/>
          </w:tcPr>
          <w:p w:rsidR="007601F6" w:rsidRPr="007B5F1B" w:rsidRDefault="007601F6" w:rsidP="00EC184B">
            <w:pPr>
              <w:pStyle w:val="Table2"/>
            </w:pPr>
            <w:r w:rsidRPr="007B5F1B">
              <w:t>Acesulphame potassium</w:t>
            </w:r>
          </w:p>
        </w:tc>
        <w:tc>
          <w:tcPr>
            <w:tcW w:w="729" w:type="dxa"/>
            <w:gridSpan w:val="2"/>
          </w:tcPr>
          <w:p w:rsidR="007601F6" w:rsidRPr="007B5F1B" w:rsidRDefault="007601F6" w:rsidP="00FF7C9C">
            <w:pPr>
              <w:pStyle w:val="Table2"/>
            </w:pPr>
            <w:r w:rsidRPr="007B5F1B">
              <w:t>150</w:t>
            </w:r>
          </w:p>
        </w:tc>
        <w:tc>
          <w:tcPr>
            <w:tcW w:w="710" w:type="dxa"/>
          </w:tcPr>
          <w:p w:rsidR="007601F6" w:rsidRPr="007B5F1B" w:rsidRDefault="007601F6" w:rsidP="00EC184B">
            <w:pPr>
              <w:pStyle w:val="Table2"/>
            </w:pPr>
            <w:r w:rsidRPr="007B5F1B">
              <w:t>mg/kg</w:t>
            </w:r>
          </w:p>
        </w:tc>
        <w:tc>
          <w:tcPr>
            <w:tcW w:w="543" w:type="dxa"/>
          </w:tcPr>
          <w:p w:rsidR="007601F6" w:rsidRPr="007B5F1B" w:rsidRDefault="007601F6" w:rsidP="00EC184B">
            <w:pPr>
              <w:pStyle w:val="Table2"/>
              <w:rPr>
                <w:b/>
              </w:rPr>
            </w:pPr>
          </w:p>
        </w:tc>
        <w:tc>
          <w:tcPr>
            <w:tcW w:w="1935" w:type="dxa"/>
            <w:gridSpan w:val="2"/>
          </w:tcPr>
          <w:p w:rsidR="007601F6" w:rsidRPr="007B5F1B" w:rsidRDefault="007601F6" w:rsidP="007467D7">
            <w:pPr>
              <w:widowControl/>
              <w:ind w:left="142" w:hanging="142"/>
              <w:rPr>
                <w:bCs/>
                <w:sz w:val="18"/>
              </w:rPr>
            </w:pPr>
          </w:p>
        </w:tc>
      </w:tr>
      <w:tr w:rsidR="007601F6" w:rsidRPr="00E86FB4" w:rsidTr="00AB4651">
        <w:trPr>
          <w:cantSplit/>
        </w:trPr>
        <w:tc>
          <w:tcPr>
            <w:tcW w:w="647" w:type="dxa"/>
            <w:shd w:val="clear" w:color="auto" w:fill="auto"/>
          </w:tcPr>
          <w:p w:rsidR="007601F6" w:rsidRPr="00E86FB4" w:rsidRDefault="007601F6" w:rsidP="007467D7">
            <w:pPr>
              <w:widowControl/>
              <w:ind w:left="142" w:hanging="142"/>
              <w:rPr>
                <w:bCs/>
                <w:sz w:val="18"/>
              </w:rPr>
            </w:pPr>
          </w:p>
        </w:tc>
        <w:tc>
          <w:tcPr>
            <w:tcW w:w="1798" w:type="dxa"/>
            <w:shd w:val="clear" w:color="auto" w:fill="auto"/>
          </w:tcPr>
          <w:p w:rsidR="007601F6" w:rsidRPr="007B5F1B" w:rsidRDefault="007601F6" w:rsidP="00EC184B">
            <w:pPr>
              <w:pStyle w:val="Table2"/>
            </w:pPr>
            <w:r>
              <w:t>951</w:t>
            </w:r>
          </w:p>
        </w:tc>
        <w:tc>
          <w:tcPr>
            <w:tcW w:w="2883" w:type="dxa"/>
            <w:shd w:val="clear" w:color="auto" w:fill="auto"/>
          </w:tcPr>
          <w:p w:rsidR="007601F6" w:rsidRPr="007B5F1B" w:rsidRDefault="007601F6" w:rsidP="00EC184B">
            <w:pPr>
              <w:pStyle w:val="Table2"/>
            </w:pPr>
            <w:r w:rsidRPr="007B5F1B">
              <w:t>Aspartame</w:t>
            </w:r>
          </w:p>
        </w:tc>
        <w:tc>
          <w:tcPr>
            <w:tcW w:w="729" w:type="dxa"/>
            <w:gridSpan w:val="2"/>
            <w:shd w:val="clear" w:color="auto" w:fill="auto"/>
          </w:tcPr>
          <w:p w:rsidR="007601F6" w:rsidRPr="007B5F1B" w:rsidRDefault="007601F6" w:rsidP="00FF7C9C">
            <w:pPr>
              <w:pStyle w:val="Table2"/>
            </w:pPr>
            <w:r w:rsidRPr="007B5F1B">
              <w:t>150</w:t>
            </w:r>
          </w:p>
        </w:tc>
        <w:tc>
          <w:tcPr>
            <w:tcW w:w="710" w:type="dxa"/>
            <w:shd w:val="clear" w:color="auto" w:fill="auto"/>
          </w:tcPr>
          <w:p w:rsidR="007601F6" w:rsidRPr="007B5F1B" w:rsidRDefault="007601F6" w:rsidP="00EC184B">
            <w:pPr>
              <w:pStyle w:val="Table2"/>
            </w:pPr>
            <w:r w:rsidRPr="007B5F1B">
              <w:t>mg/kg</w:t>
            </w:r>
          </w:p>
        </w:tc>
        <w:tc>
          <w:tcPr>
            <w:tcW w:w="543" w:type="dxa"/>
            <w:shd w:val="clear" w:color="auto" w:fill="auto"/>
          </w:tcPr>
          <w:p w:rsidR="007601F6" w:rsidRPr="007B5F1B" w:rsidRDefault="007601F6" w:rsidP="00EC184B">
            <w:pPr>
              <w:pStyle w:val="Table2"/>
            </w:pPr>
          </w:p>
        </w:tc>
        <w:tc>
          <w:tcPr>
            <w:tcW w:w="1935" w:type="dxa"/>
            <w:gridSpan w:val="2"/>
            <w:shd w:val="clear" w:color="auto" w:fill="auto"/>
          </w:tcPr>
          <w:p w:rsidR="007601F6" w:rsidRPr="007B5F1B" w:rsidRDefault="007601F6" w:rsidP="007467D7">
            <w:pPr>
              <w:widowControl/>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954</w:t>
            </w:r>
          </w:p>
        </w:tc>
        <w:tc>
          <w:tcPr>
            <w:tcW w:w="2883" w:type="dxa"/>
          </w:tcPr>
          <w:p w:rsidR="007601F6" w:rsidRPr="00E86FB4" w:rsidRDefault="007601F6" w:rsidP="00EC184B">
            <w:pPr>
              <w:pStyle w:val="Table2"/>
            </w:pPr>
            <w:r w:rsidRPr="00E86FB4">
              <w:t>Saccharin</w:t>
            </w:r>
          </w:p>
        </w:tc>
        <w:tc>
          <w:tcPr>
            <w:tcW w:w="729" w:type="dxa"/>
            <w:gridSpan w:val="2"/>
          </w:tcPr>
          <w:p w:rsidR="007601F6" w:rsidRPr="00E86FB4" w:rsidRDefault="007601F6" w:rsidP="00FF7C9C">
            <w:pPr>
              <w:pStyle w:val="Table2"/>
            </w:pPr>
            <w:r w:rsidRPr="00E86FB4">
              <w:t>150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956</w:t>
            </w:r>
          </w:p>
        </w:tc>
        <w:tc>
          <w:tcPr>
            <w:tcW w:w="2883" w:type="dxa"/>
          </w:tcPr>
          <w:p w:rsidR="007601F6" w:rsidRPr="00E86FB4" w:rsidRDefault="007601F6" w:rsidP="00EC184B">
            <w:pPr>
              <w:pStyle w:val="Table2"/>
            </w:pPr>
            <w:r w:rsidRPr="00E86FB4">
              <w:t>Alitame</w:t>
            </w:r>
          </w:p>
        </w:tc>
        <w:tc>
          <w:tcPr>
            <w:tcW w:w="729" w:type="dxa"/>
            <w:gridSpan w:val="2"/>
          </w:tcPr>
          <w:p w:rsidR="007601F6" w:rsidRPr="00E86FB4" w:rsidRDefault="007601F6" w:rsidP="00FF7C9C">
            <w:pPr>
              <w:pStyle w:val="Table2"/>
            </w:pPr>
            <w:r w:rsidRPr="00E86FB4">
              <w:t>40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tabs>
                <w:tab w:val="left" w:pos="177"/>
              </w:tabs>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960</w:t>
            </w:r>
          </w:p>
        </w:tc>
        <w:tc>
          <w:tcPr>
            <w:tcW w:w="2883" w:type="dxa"/>
          </w:tcPr>
          <w:p w:rsidR="007601F6" w:rsidRPr="00E86FB4" w:rsidRDefault="007601F6" w:rsidP="00EC184B">
            <w:pPr>
              <w:pStyle w:val="Table2"/>
            </w:pPr>
            <w:r w:rsidRPr="00E86FB4">
              <w:t>Steviol glycosides</w:t>
            </w:r>
          </w:p>
        </w:tc>
        <w:tc>
          <w:tcPr>
            <w:tcW w:w="729" w:type="dxa"/>
            <w:gridSpan w:val="2"/>
          </w:tcPr>
          <w:p w:rsidR="007601F6" w:rsidRPr="00E86FB4" w:rsidRDefault="007601F6" w:rsidP="00FF7C9C">
            <w:pPr>
              <w:pStyle w:val="Table2"/>
            </w:pPr>
            <w:r w:rsidRPr="00E86FB4">
              <w:t>200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35" w:type="dxa"/>
            <w:gridSpan w:val="2"/>
          </w:tcPr>
          <w:p w:rsidR="007601F6" w:rsidRPr="00E86FB4" w:rsidRDefault="007601F6" w:rsidP="007467D7">
            <w:pPr>
              <w:widowControl/>
              <w:ind w:left="142" w:hanging="142"/>
              <w:rPr>
                <w:bCs/>
                <w:sz w:val="18"/>
              </w:rPr>
            </w:pPr>
          </w:p>
        </w:tc>
      </w:tr>
      <w:tr w:rsidR="007601F6" w:rsidRPr="00E86FB4" w:rsidTr="00AB4651">
        <w:tc>
          <w:tcPr>
            <w:tcW w:w="647" w:type="dxa"/>
          </w:tcPr>
          <w:p w:rsidR="007601F6" w:rsidRPr="00E86FB4" w:rsidRDefault="007601F6" w:rsidP="007467D7">
            <w:pPr>
              <w:widowControl/>
              <w:ind w:left="142" w:hanging="142"/>
              <w:rPr>
                <w:bCs/>
                <w:sz w:val="18"/>
              </w:rPr>
            </w:pPr>
          </w:p>
        </w:tc>
        <w:tc>
          <w:tcPr>
            <w:tcW w:w="1798" w:type="dxa"/>
          </w:tcPr>
          <w:p w:rsidR="007601F6" w:rsidRPr="007B5F1B" w:rsidRDefault="007601F6" w:rsidP="00EC184B">
            <w:pPr>
              <w:pStyle w:val="Table2"/>
            </w:pPr>
            <w:r w:rsidRPr="007B5F1B">
              <w:t>962</w:t>
            </w:r>
          </w:p>
        </w:tc>
        <w:tc>
          <w:tcPr>
            <w:tcW w:w="2883" w:type="dxa"/>
          </w:tcPr>
          <w:p w:rsidR="007601F6" w:rsidRPr="007B5F1B" w:rsidRDefault="007601F6" w:rsidP="00EC184B">
            <w:pPr>
              <w:pStyle w:val="Table2"/>
            </w:pPr>
            <w:r w:rsidRPr="007B5F1B">
              <w:t>Aspartame-acesulphame salt</w:t>
            </w:r>
          </w:p>
        </w:tc>
        <w:tc>
          <w:tcPr>
            <w:tcW w:w="729" w:type="dxa"/>
            <w:gridSpan w:val="2"/>
          </w:tcPr>
          <w:p w:rsidR="007601F6" w:rsidRPr="007B5F1B" w:rsidRDefault="007601F6" w:rsidP="00FF7C9C">
            <w:pPr>
              <w:pStyle w:val="Table2"/>
            </w:pPr>
            <w:r w:rsidRPr="007B5F1B">
              <w:t>230</w:t>
            </w:r>
          </w:p>
        </w:tc>
        <w:tc>
          <w:tcPr>
            <w:tcW w:w="710" w:type="dxa"/>
          </w:tcPr>
          <w:p w:rsidR="007601F6" w:rsidRPr="007B5F1B" w:rsidRDefault="007601F6" w:rsidP="00EC184B">
            <w:pPr>
              <w:pStyle w:val="Table2"/>
            </w:pPr>
            <w:r w:rsidRPr="007B5F1B">
              <w:t>mg/kg</w:t>
            </w:r>
          </w:p>
        </w:tc>
        <w:tc>
          <w:tcPr>
            <w:tcW w:w="543" w:type="dxa"/>
          </w:tcPr>
          <w:p w:rsidR="007601F6" w:rsidRPr="007B5F1B" w:rsidRDefault="007601F6" w:rsidP="00EC184B">
            <w:pPr>
              <w:pStyle w:val="Table2"/>
              <w:rPr>
                <w:b/>
              </w:rPr>
            </w:pPr>
          </w:p>
        </w:tc>
        <w:tc>
          <w:tcPr>
            <w:tcW w:w="1935" w:type="dxa"/>
            <w:gridSpan w:val="2"/>
          </w:tcPr>
          <w:p w:rsidR="007601F6" w:rsidRPr="007B5F1B" w:rsidRDefault="007601F6" w:rsidP="007467D7">
            <w:pPr>
              <w:widowControl/>
              <w:ind w:left="142" w:hanging="142"/>
              <w:rPr>
                <w:bCs/>
                <w:sz w:val="18"/>
              </w:rPr>
            </w:pPr>
          </w:p>
        </w:tc>
      </w:tr>
      <w:tr w:rsidR="007601F6" w:rsidRPr="00E86FB4" w:rsidTr="00AB4651">
        <w:trPr>
          <w:gridAfter w:val="1"/>
          <w:wAfter w:w="9" w:type="dxa"/>
          <w:cantSplit/>
        </w:trPr>
        <w:tc>
          <w:tcPr>
            <w:tcW w:w="647" w:type="dxa"/>
          </w:tcPr>
          <w:p w:rsidR="007601F6" w:rsidRPr="00E86FB4" w:rsidRDefault="007601F6" w:rsidP="007467D7">
            <w:pPr>
              <w:widowControl/>
              <w:ind w:left="142" w:hanging="142"/>
              <w:rPr>
                <w:bCs/>
                <w:sz w:val="18"/>
              </w:rPr>
            </w:pPr>
          </w:p>
        </w:tc>
        <w:tc>
          <w:tcPr>
            <w:tcW w:w="1798" w:type="dxa"/>
          </w:tcPr>
          <w:p w:rsidR="007601F6" w:rsidRPr="00E86FB4" w:rsidRDefault="007601F6" w:rsidP="00EC184B">
            <w:pPr>
              <w:pStyle w:val="Table2"/>
            </w:pPr>
            <w:r w:rsidRPr="00E86FB4">
              <w:t>999(i) and (ii)</w:t>
            </w:r>
          </w:p>
        </w:tc>
        <w:tc>
          <w:tcPr>
            <w:tcW w:w="2903" w:type="dxa"/>
            <w:gridSpan w:val="2"/>
          </w:tcPr>
          <w:p w:rsidR="007601F6" w:rsidRPr="00E86FB4" w:rsidRDefault="007601F6" w:rsidP="00EC184B">
            <w:pPr>
              <w:pStyle w:val="Table2"/>
              <w:rPr>
                <w:szCs w:val="18"/>
              </w:rPr>
            </w:pPr>
            <w:r w:rsidRPr="00E86FB4">
              <w:rPr>
                <w:szCs w:val="18"/>
              </w:rPr>
              <w:t>Quillaia saponins (from Quillaia extract type 1 and type 2)</w:t>
            </w:r>
          </w:p>
        </w:tc>
        <w:tc>
          <w:tcPr>
            <w:tcW w:w="709" w:type="dxa"/>
          </w:tcPr>
          <w:p w:rsidR="007601F6" w:rsidRPr="00E86FB4" w:rsidRDefault="007601F6" w:rsidP="007467D7">
            <w:pPr>
              <w:widowControl/>
              <w:ind w:left="142" w:hanging="142"/>
              <w:rPr>
                <w:bCs/>
                <w:sz w:val="18"/>
              </w:rPr>
            </w:pPr>
            <w:r w:rsidRPr="00E86FB4">
              <w:rPr>
                <w:bCs/>
                <w:sz w:val="18"/>
              </w:rPr>
              <w:t>40</w:t>
            </w:r>
          </w:p>
        </w:tc>
        <w:tc>
          <w:tcPr>
            <w:tcW w:w="710" w:type="dxa"/>
          </w:tcPr>
          <w:p w:rsidR="007601F6" w:rsidRPr="00E86FB4" w:rsidRDefault="007601F6" w:rsidP="00EC184B">
            <w:pPr>
              <w:pStyle w:val="Table2"/>
            </w:pPr>
            <w:r w:rsidRPr="00E86FB4">
              <w:t>mg/kg</w:t>
            </w:r>
          </w:p>
        </w:tc>
        <w:tc>
          <w:tcPr>
            <w:tcW w:w="543" w:type="dxa"/>
          </w:tcPr>
          <w:p w:rsidR="007601F6" w:rsidRPr="00E86FB4" w:rsidRDefault="007601F6" w:rsidP="00EC184B">
            <w:pPr>
              <w:pStyle w:val="Table2"/>
            </w:pPr>
          </w:p>
        </w:tc>
        <w:tc>
          <w:tcPr>
            <w:tcW w:w="1926" w:type="dxa"/>
          </w:tcPr>
          <w:p w:rsidR="007601F6" w:rsidRPr="00E86FB4" w:rsidRDefault="007601F6" w:rsidP="007467D7">
            <w:pPr>
              <w:widowControl/>
              <w:ind w:left="142" w:hanging="142"/>
              <w:rPr>
                <w:bCs/>
                <w:sz w:val="18"/>
              </w:rPr>
            </w:pPr>
          </w:p>
        </w:tc>
      </w:tr>
    </w:tbl>
    <w:p w:rsidR="007601F6" w:rsidRPr="00A870AD" w:rsidRDefault="007601F6" w:rsidP="007467D7">
      <w:pPr>
        <w:pStyle w:val="Subclause"/>
        <w:widowControl/>
        <w:jc w:val="right"/>
      </w:pPr>
      <w:r w:rsidRPr="00A870AD">
        <w:t>”</w:t>
      </w:r>
    </w:p>
    <w:p w:rsidR="007601F6" w:rsidRDefault="007601F6" w:rsidP="007467D7">
      <w:pPr>
        <w:pStyle w:val="Subclause"/>
        <w:widowControl/>
        <w:rPr>
          <w:b/>
        </w:rPr>
      </w:pPr>
    </w:p>
    <w:p w:rsidR="007601F6" w:rsidRPr="00220986" w:rsidRDefault="007601F6" w:rsidP="007467D7">
      <w:pPr>
        <w:pStyle w:val="Subclause"/>
        <w:widowControl/>
      </w:pPr>
      <w:r w:rsidRPr="00220986">
        <w:t>[</w:t>
      </w:r>
      <w:r>
        <w:t>2</w:t>
      </w:r>
      <w:r w:rsidRPr="00220986">
        <w:t>.3]</w:t>
      </w:r>
      <w:r w:rsidRPr="00220986">
        <w:tab/>
        <w:t xml:space="preserve">omitting the heading “13.5 Food for special medical purposes*” in Schedule 1 and substituting “13.6 Food for special medical purposes*”   </w:t>
      </w:r>
    </w:p>
    <w:p w:rsidR="007601F6" w:rsidRPr="00220986" w:rsidRDefault="007601F6" w:rsidP="007467D7">
      <w:pPr>
        <w:pStyle w:val="Clause"/>
        <w:widowControl/>
      </w:pPr>
    </w:p>
    <w:p w:rsidR="007601F6" w:rsidRPr="00220986" w:rsidRDefault="007601F6" w:rsidP="007467D7">
      <w:pPr>
        <w:pStyle w:val="Subclause"/>
        <w:widowControl/>
      </w:pPr>
      <w:r w:rsidRPr="00220986">
        <w:t>[</w:t>
      </w:r>
      <w:r>
        <w:t>2</w:t>
      </w:r>
      <w:r w:rsidRPr="00220986">
        <w:t>.4]</w:t>
      </w:r>
      <w:r w:rsidRPr="00220986">
        <w:tab/>
        <w:t>omitting the heading “13.5.1 Liquid food for special medical purposes*” in Schedule 1 and substituting “13.6.1 Liquid food for special medical purposes*”</w:t>
      </w:r>
    </w:p>
    <w:p w:rsidR="007601F6" w:rsidRPr="00220986" w:rsidRDefault="007601F6" w:rsidP="007467D7">
      <w:pPr>
        <w:pStyle w:val="Clause"/>
        <w:widowControl/>
      </w:pPr>
    </w:p>
    <w:p w:rsidR="007601F6" w:rsidRPr="00220986" w:rsidRDefault="007601F6" w:rsidP="007467D7">
      <w:pPr>
        <w:pStyle w:val="Subclause"/>
        <w:widowControl/>
      </w:pPr>
      <w:r w:rsidRPr="00220986">
        <w:t>[</w:t>
      </w:r>
      <w:r>
        <w:t>2</w:t>
      </w:r>
      <w:r w:rsidRPr="00220986">
        <w:t>.5]</w:t>
      </w:r>
      <w:r w:rsidRPr="00220986">
        <w:tab/>
        <w:t>omitting the heading “13.5.2 Food for special medical purposes other than liquids*” in Schedule 1 and substituting “13.6.2 Food for special medical purposes other than liquids*”</w:t>
      </w:r>
    </w:p>
    <w:p w:rsidR="007601F6" w:rsidRPr="0097646E" w:rsidRDefault="007601F6" w:rsidP="007467D7">
      <w:pPr>
        <w:pStyle w:val="Clause"/>
        <w:widowControl/>
      </w:pPr>
    </w:p>
    <w:p w:rsidR="007601F6" w:rsidRDefault="007601F6" w:rsidP="007467D7">
      <w:pPr>
        <w:pStyle w:val="Subclause"/>
        <w:widowControl/>
      </w:pPr>
      <w:r w:rsidRPr="002301A1">
        <w:rPr>
          <w:b/>
        </w:rPr>
        <w:t>[3]</w:t>
      </w:r>
      <w:r w:rsidRPr="002301A1">
        <w:rPr>
          <w:b/>
        </w:rPr>
        <w:tab/>
        <w:t xml:space="preserve">Standard 2.6.2 </w:t>
      </w:r>
      <w:r w:rsidRPr="00BC3497">
        <w:t>is varied by</w:t>
      </w:r>
    </w:p>
    <w:p w:rsidR="007601F6" w:rsidRDefault="007601F6" w:rsidP="007467D7">
      <w:pPr>
        <w:pStyle w:val="Clause"/>
        <w:widowControl/>
      </w:pPr>
    </w:p>
    <w:p w:rsidR="007601F6" w:rsidRDefault="007601F6" w:rsidP="007467D7">
      <w:pPr>
        <w:pStyle w:val="Subclause"/>
        <w:widowControl/>
      </w:pPr>
      <w:r>
        <w:t>[3.1]</w:t>
      </w:r>
      <w:r>
        <w:tab/>
        <w:t>omitting the Purpose and substituting</w:t>
      </w:r>
    </w:p>
    <w:p w:rsidR="007601F6" w:rsidRDefault="007601F6" w:rsidP="007467D7">
      <w:pPr>
        <w:pStyle w:val="Clause"/>
        <w:widowControl/>
      </w:pPr>
    </w:p>
    <w:p w:rsidR="007601F6" w:rsidRPr="00C70875" w:rsidRDefault="007601F6" w:rsidP="007467D7">
      <w:pPr>
        <w:pStyle w:val="Clauseheading"/>
        <w:widowControl/>
      </w:pPr>
      <w:r w:rsidRPr="00951979">
        <w:rPr>
          <w:b w:val="0"/>
        </w:rPr>
        <w:t>“</w:t>
      </w:r>
      <w:r w:rsidRPr="00C70875">
        <w:t>Purpose</w:t>
      </w:r>
    </w:p>
    <w:p w:rsidR="007601F6" w:rsidRPr="00C70875" w:rsidRDefault="007601F6" w:rsidP="007467D7">
      <w:pPr>
        <w:pStyle w:val="Subclause"/>
        <w:widowControl/>
      </w:pPr>
    </w:p>
    <w:p w:rsidR="007601F6" w:rsidRPr="00C70875" w:rsidRDefault="007601F6" w:rsidP="007467D7">
      <w:pPr>
        <w:pStyle w:val="Clause"/>
        <w:widowControl/>
      </w:pPr>
      <w:r w:rsidRPr="00C70875">
        <w:t>This Standard deals with packaged waters and water-based beverages which contain food additives and in certain cases, nutritive substances.  The Standard defines a number of products and sets certain compositional requirements for packaged water, brewed soft drinks and formulated beverages.  The Standard also permits the voluntary addition of fluoride to water presented in packaged form.</w:t>
      </w:r>
    </w:p>
    <w:p w:rsidR="007601F6" w:rsidRPr="00C70875" w:rsidRDefault="007601F6" w:rsidP="007467D7">
      <w:pPr>
        <w:pStyle w:val="Clause"/>
        <w:widowControl/>
      </w:pPr>
    </w:p>
    <w:p w:rsidR="007601F6" w:rsidRPr="00C70875" w:rsidRDefault="007601F6" w:rsidP="007467D7">
      <w:pPr>
        <w:pStyle w:val="Clause"/>
        <w:widowControl/>
      </w:pPr>
      <w:r w:rsidRPr="00C70875">
        <w:t>Labelling requirements specific to water presented in packaged form are included in this Standard.  This Standard also prohibits the labelling or presentation of non-alcoholic beverages in such a way as to suggest the product is an alcoholic beverage.”</w:t>
      </w:r>
    </w:p>
    <w:p w:rsidR="007601F6" w:rsidRDefault="007601F6" w:rsidP="007467D7">
      <w:pPr>
        <w:pStyle w:val="Clause"/>
        <w:widowControl/>
      </w:pPr>
    </w:p>
    <w:p w:rsidR="007601F6" w:rsidRDefault="007601F6" w:rsidP="007467D7">
      <w:pPr>
        <w:pStyle w:val="Subclause"/>
        <w:widowControl/>
      </w:pPr>
      <w:r>
        <w:t>[3.2]</w:t>
      </w:r>
      <w:r>
        <w:tab/>
        <w:t xml:space="preserve">omitting the definitions of </w:t>
      </w:r>
      <w:r>
        <w:rPr>
          <w:b/>
        </w:rPr>
        <w:t>electrolyte drink</w:t>
      </w:r>
      <w:r>
        <w:t xml:space="preserve"> and </w:t>
      </w:r>
      <w:r>
        <w:rPr>
          <w:b/>
        </w:rPr>
        <w:t>electrolyte drink base</w:t>
      </w:r>
      <w:r>
        <w:t xml:space="preserve"> in clause 1</w:t>
      </w:r>
    </w:p>
    <w:p w:rsidR="007601F6" w:rsidRDefault="007601F6" w:rsidP="007467D7">
      <w:pPr>
        <w:pStyle w:val="Subclause"/>
        <w:widowControl/>
      </w:pPr>
    </w:p>
    <w:p w:rsidR="007601F6" w:rsidRDefault="007601F6" w:rsidP="007467D7">
      <w:pPr>
        <w:pStyle w:val="Subclause"/>
        <w:widowControl/>
      </w:pPr>
      <w:r>
        <w:t>[3.3]</w:t>
      </w:r>
      <w:r>
        <w:tab/>
        <w:t xml:space="preserve">omitting the definition of </w:t>
      </w:r>
      <w:r>
        <w:rPr>
          <w:b/>
        </w:rPr>
        <w:t>non-alcoholic beverage</w:t>
      </w:r>
      <w:r>
        <w:t xml:space="preserve"> in clause 1 and substituting</w:t>
      </w:r>
    </w:p>
    <w:p w:rsidR="007601F6" w:rsidRDefault="007601F6" w:rsidP="007467D7">
      <w:pPr>
        <w:pStyle w:val="Subclause"/>
        <w:widowControl/>
      </w:pPr>
    </w:p>
    <w:p w:rsidR="007601F6" w:rsidRPr="003F761E" w:rsidRDefault="007601F6" w:rsidP="007467D7">
      <w:pPr>
        <w:pStyle w:val="Definition"/>
        <w:widowControl/>
      </w:pPr>
      <w:r>
        <w:t>“</w:t>
      </w:r>
      <w:proofErr w:type="gramStart"/>
      <w:r w:rsidRPr="003F761E">
        <w:rPr>
          <w:b/>
        </w:rPr>
        <w:t>non-alcoholic</w:t>
      </w:r>
      <w:proofErr w:type="gramEnd"/>
      <w:r w:rsidRPr="003F761E">
        <w:rPr>
          <w:b/>
        </w:rPr>
        <w:t xml:space="preserve"> beverage</w:t>
      </w:r>
      <w:r w:rsidRPr="003F761E">
        <w:t xml:space="preserve"> means –</w:t>
      </w:r>
    </w:p>
    <w:p w:rsidR="007601F6" w:rsidRPr="003F761E" w:rsidRDefault="007601F6" w:rsidP="007467D7">
      <w:pPr>
        <w:pStyle w:val="Definition"/>
        <w:widowControl/>
      </w:pPr>
    </w:p>
    <w:p w:rsidR="007601F6" w:rsidRDefault="007601F6" w:rsidP="007467D7">
      <w:pPr>
        <w:pStyle w:val="Subparagraph"/>
        <w:widowControl/>
      </w:pPr>
      <w:r>
        <w:t>(a)</w:t>
      </w:r>
      <w:r>
        <w:tab/>
      </w:r>
      <w:proofErr w:type="gramStart"/>
      <w:r>
        <w:t>packaged</w:t>
      </w:r>
      <w:proofErr w:type="gramEnd"/>
      <w:r>
        <w:t xml:space="preserve"> water; or</w:t>
      </w:r>
    </w:p>
    <w:p w:rsidR="007601F6" w:rsidRPr="00041CA2" w:rsidRDefault="007601F6" w:rsidP="007467D7">
      <w:pPr>
        <w:pStyle w:val="Subparagraph"/>
        <w:widowControl/>
      </w:pPr>
      <w:r>
        <w:t>(b)</w:t>
      </w:r>
      <w:r>
        <w:tab/>
      </w:r>
      <w:proofErr w:type="gramStart"/>
      <w:r>
        <w:t>a</w:t>
      </w:r>
      <w:proofErr w:type="gramEnd"/>
      <w:r>
        <w:t xml:space="preserve"> water-based beverage which may or may not contain other foods, except for alcoholic beverages.”</w:t>
      </w:r>
    </w:p>
    <w:p w:rsidR="007601F6" w:rsidRDefault="007601F6" w:rsidP="007467D7">
      <w:pPr>
        <w:widowControl/>
        <w:rPr>
          <w:sz w:val="20"/>
        </w:rPr>
      </w:pPr>
    </w:p>
    <w:p w:rsidR="007601F6" w:rsidRDefault="007601F6" w:rsidP="007467D7">
      <w:pPr>
        <w:pStyle w:val="Subclause"/>
        <w:widowControl/>
      </w:pPr>
      <w:r>
        <w:t>[3.4]</w:t>
      </w:r>
      <w:r>
        <w:tab/>
        <w:t>omitting clauses 6 to 8</w:t>
      </w:r>
    </w:p>
    <w:p w:rsidR="007601F6" w:rsidRDefault="007601F6" w:rsidP="007467D7">
      <w:pPr>
        <w:pStyle w:val="Subclause"/>
        <w:widowControl/>
      </w:pPr>
    </w:p>
    <w:p w:rsidR="007601F6" w:rsidRDefault="007601F6" w:rsidP="007467D7">
      <w:pPr>
        <w:pStyle w:val="Subclause"/>
        <w:widowControl/>
      </w:pPr>
      <w:r>
        <w:t>[3.5]</w:t>
      </w:r>
      <w:r>
        <w:tab/>
        <w:t xml:space="preserve">omitting the heading to clause 9 and substituting “6 </w:t>
      </w:r>
      <w:r w:rsidRPr="00C45D1C">
        <w:t>Composition of formulated beverages</w:t>
      </w:r>
      <w:r>
        <w:t>”</w:t>
      </w:r>
    </w:p>
    <w:p w:rsidR="007601F6" w:rsidRDefault="007601F6" w:rsidP="007467D7">
      <w:pPr>
        <w:pStyle w:val="Clause"/>
        <w:widowControl/>
      </w:pPr>
    </w:p>
    <w:p w:rsidR="007601F6" w:rsidRPr="00252C52" w:rsidRDefault="007601F6" w:rsidP="007467D7">
      <w:pPr>
        <w:pStyle w:val="Subclause"/>
        <w:widowControl/>
      </w:pPr>
      <w:r>
        <w:t>[3.6]</w:t>
      </w:r>
      <w:r>
        <w:tab/>
      </w:r>
      <w:r w:rsidRPr="00654331">
        <w:t>updating the Table of Provisions</w:t>
      </w:r>
      <w:r w:rsidRPr="00654331">
        <w:rPr>
          <w:iCs/>
        </w:rPr>
        <w:t xml:space="preserve"> to reflect these variations</w:t>
      </w:r>
    </w:p>
    <w:p w:rsidR="007601F6" w:rsidRDefault="007601F6" w:rsidP="007467D7">
      <w:pPr>
        <w:pStyle w:val="Clause"/>
        <w:widowControl/>
      </w:pPr>
    </w:p>
    <w:p w:rsidR="007601F6" w:rsidRPr="000C2A8D" w:rsidRDefault="007601F6" w:rsidP="007467D7">
      <w:pPr>
        <w:pStyle w:val="Clause"/>
        <w:widowControl/>
        <w:rPr>
          <w:b/>
          <w:bCs/>
        </w:rPr>
      </w:pPr>
      <w:r w:rsidRPr="000C2A8D">
        <w:rPr>
          <w:b/>
          <w:bCs/>
        </w:rPr>
        <w:t>[</w:t>
      </w:r>
      <w:r>
        <w:rPr>
          <w:b/>
          <w:bCs/>
        </w:rPr>
        <w:t>4</w:t>
      </w:r>
      <w:r w:rsidRPr="000C2A8D">
        <w:rPr>
          <w:b/>
          <w:bCs/>
        </w:rPr>
        <w:t>]</w:t>
      </w:r>
      <w:r w:rsidRPr="000C2A8D">
        <w:rPr>
          <w:b/>
          <w:bCs/>
        </w:rPr>
        <w:tab/>
        <w:t xml:space="preserve">Standard 2.9.4 </w:t>
      </w:r>
      <w:r w:rsidRPr="000C2A8D">
        <w:rPr>
          <w:bCs/>
        </w:rPr>
        <w:t>is varied by</w:t>
      </w:r>
    </w:p>
    <w:p w:rsidR="007601F6" w:rsidRPr="00BC3497" w:rsidRDefault="007601F6" w:rsidP="007467D7">
      <w:pPr>
        <w:pStyle w:val="Clause"/>
        <w:widowControl/>
      </w:pPr>
    </w:p>
    <w:p w:rsidR="007601F6" w:rsidRDefault="007601F6" w:rsidP="007467D7">
      <w:pPr>
        <w:pStyle w:val="Subclause"/>
        <w:widowControl/>
      </w:pPr>
      <w:r w:rsidRPr="00B67CEA">
        <w:t>[</w:t>
      </w:r>
      <w:r>
        <w:t>4</w:t>
      </w:r>
      <w:r w:rsidRPr="00B67CEA">
        <w:t>.1]</w:t>
      </w:r>
      <w:r w:rsidRPr="00B67CEA">
        <w:tab/>
      </w:r>
      <w:r w:rsidRPr="00420D10">
        <w:t>omitting the heading of the Standard and substituting “Formulated Supplementary Sports Foods and Electrolyte Drinks”</w:t>
      </w:r>
    </w:p>
    <w:p w:rsidR="00947D34" w:rsidRDefault="00947D34" w:rsidP="007467D7">
      <w:pPr>
        <w:pStyle w:val="Subclause"/>
        <w:widowControl/>
      </w:pPr>
      <w:r>
        <w:br w:type="page"/>
      </w:r>
    </w:p>
    <w:p w:rsidR="007601F6" w:rsidRDefault="007601F6" w:rsidP="007467D7">
      <w:pPr>
        <w:pStyle w:val="Subclause"/>
        <w:widowControl/>
      </w:pPr>
      <w:r>
        <w:lastRenderedPageBreak/>
        <w:t>[4.2]</w:t>
      </w:r>
      <w:r>
        <w:tab/>
      </w:r>
      <w:r w:rsidRPr="0006757C">
        <w:t>omitting the Purpose and substituting</w:t>
      </w:r>
    </w:p>
    <w:p w:rsidR="007601F6" w:rsidRDefault="007601F6" w:rsidP="007467D7">
      <w:pPr>
        <w:pStyle w:val="Subclause"/>
        <w:widowControl/>
      </w:pPr>
    </w:p>
    <w:p w:rsidR="007601F6" w:rsidRDefault="007601F6" w:rsidP="007467D7">
      <w:pPr>
        <w:pStyle w:val="Clauseheading"/>
        <w:widowControl/>
      </w:pPr>
      <w:r w:rsidRPr="00951979">
        <w:rPr>
          <w:b w:val="0"/>
        </w:rPr>
        <w:t>“</w:t>
      </w:r>
      <w:r w:rsidRPr="00C70875">
        <w:t>Purpose</w:t>
      </w:r>
    </w:p>
    <w:p w:rsidR="007601F6" w:rsidRPr="00F46E09" w:rsidRDefault="007601F6" w:rsidP="007467D7">
      <w:pPr>
        <w:pStyle w:val="Subclause"/>
        <w:widowControl/>
      </w:pPr>
    </w:p>
    <w:p w:rsidR="007601F6" w:rsidRDefault="007601F6" w:rsidP="007467D7">
      <w:pPr>
        <w:pStyle w:val="Clause"/>
        <w:widowControl/>
        <w:rPr>
          <w:lang w:val="en-AU" w:eastAsia="en-GB"/>
        </w:rPr>
      </w:pPr>
      <w:r w:rsidRPr="00C93C27">
        <w:t xml:space="preserve">This Standard </w:t>
      </w:r>
      <w:r w:rsidRPr="00C93C27">
        <w:rPr>
          <w:lang w:val="en-AU" w:eastAsia="en-GB"/>
        </w:rPr>
        <w:t xml:space="preserve">defines and regulates the composition and labelling of foods specially formulated to assist sports people in achieving specific nutritional or performance goals, </w:t>
      </w:r>
      <w:r w:rsidR="00521C91">
        <w:rPr>
          <w:lang w:val="en-AU" w:eastAsia="en-GB"/>
        </w:rPr>
        <w:t>and</w:t>
      </w:r>
      <w:r w:rsidR="00521C91" w:rsidRPr="00C93C27">
        <w:rPr>
          <w:lang w:val="en-AU" w:eastAsia="en-GB"/>
        </w:rPr>
        <w:t xml:space="preserve"> </w:t>
      </w:r>
      <w:r w:rsidRPr="00C93C27">
        <w:rPr>
          <w:lang w:val="en-AU" w:eastAsia="en-GB"/>
        </w:rPr>
        <w:t>electrolyte drinks.  Such foods are intended as supplements to a diet rather than for use as the sole or principal source of nutrition</w:t>
      </w:r>
      <w:r>
        <w:rPr>
          <w:lang w:val="en-AU" w:eastAsia="en-GB"/>
        </w:rPr>
        <w:t>.</w:t>
      </w:r>
    </w:p>
    <w:p w:rsidR="007601F6" w:rsidRPr="00F46E09" w:rsidRDefault="007601F6" w:rsidP="007467D7">
      <w:pPr>
        <w:widowControl/>
        <w:rPr>
          <w:lang w:val="en-AU" w:eastAsia="en-GB"/>
        </w:rPr>
      </w:pPr>
    </w:p>
    <w:p w:rsidR="007601F6" w:rsidRPr="00C93C27" w:rsidRDefault="007601F6" w:rsidP="007467D7">
      <w:pPr>
        <w:pStyle w:val="Subclause"/>
        <w:widowControl/>
        <w:rPr>
          <w:rFonts w:cs="Arial"/>
        </w:rPr>
      </w:pPr>
      <w:r w:rsidRPr="00C93C27">
        <w:rPr>
          <w:rFonts w:cs="Arial"/>
          <w:lang w:val="en-AU" w:eastAsia="en-GB"/>
        </w:rPr>
        <w:t>Due to the particular physiological demands of sports people, this Standard provides for the addition to formulated supplementary sports foods of certain micronutrients and other ingredients which are not permitted to be added to other foods.  This means that such products are not suitable for consumption by children.</w:t>
      </w:r>
      <w:r>
        <w:rPr>
          <w:rFonts w:cs="Arial"/>
          <w:lang w:val="en-AU" w:eastAsia="en-GB"/>
        </w:rPr>
        <w:t>”</w:t>
      </w:r>
    </w:p>
    <w:p w:rsidR="007601F6" w:rsidRDefault="007601F6" w:rsidP="007467D7">
      <w:pPr>
        <w:pStyle w:val="Subclause"/>
        <w:widowControl/>
      </w:pPr>
    </w:p>
    <w:p w:rsidR="007601F6" w:rsidRDefault="007601F6" w:rsidP="007467D7">
      <w:pPr>
        <w:pStyle w:val="Subclause"/>
        <w:widowControl/>
      </w:pPr>
      <w:r>
        <w:t>[4.3]</w:t>
      </w:r>
      <w:r>
        <w:tab/>
        <w:t xml:space="preserve">omitting the heading of Division 1 and substituting </w:t>
      </w:r>
      <w:r w:rsidRPr="003F6B92">
        <w:rPr>
          <w:rFonts w:cs="Arial"/>
        </w:rPr>
        <w:t>“</w:t>
      </w:r>
      <w:r>
        <w:t>Division 1 – Introduction</w:t>
      </w:r>
      <w:r w:rsidRPr="003F6B92">
        <w:rPr>
          <w:rFonts w:cs="Arial"/>
        </w:rPr>
        <w:t>”</w:t>
      </w:r>
    </w:p>
    <w:p w:rsidR="007601F6" w:rsidRDefault="007601F6" w:rsidP="007467D7">
      <w:pPr>
        <w:pStyle w:val="Subclause"/>
        <w:widowControl/>
      </w:pPr>
    </w:p>
    <w:p w:rsidR="007601F6" w:rsidRDefault="007601F6" w:rsidP="007467D7">
      <w:pPr>
        <w:pStyle w:val="Subclause"/>
        <w:widowControl/>
      </w:pPr>
      <w:r>
        <w:t>[4.4]</w:t>
      </w:r>
      <w:r>
        <w:tab/>
      </w:r>
      <w:r w:rsidR="00075C5B">
        <w:t xml:space="preserve">omitting clause 1 and substituting </w:t>
      </w:r>
    </w:p>
    <w:p w:rsidR="00075C5B" w:rsidRDefault="00075C5B" w:rsidP="007467D7">
      <w:pPr>
        <w:pStyle w:val="Subclause"/>
        <w:widowControl/>
      </w:pPr>
    </w:p>
    <w:p w:rsidR="00CC118F" w:rsidRDefault="00075C5B" w:rsidP="007467D7">
      <w:pPr>
        <w:pStyle w:val="Clauseheading"/>
        <w:widowControl/>
      </w:pPr>
      <w:r w:rsidRPr="006A3D8A">
        <w:rPr>
          <w:b w:val="0"/>
        </w:rPr>
        <w:t>“</w:t>
      </w:r>
      <w:r w:rsidR="00CC118F">
        <w:t>1</w:t>
      </w:r>
      <w:r w:rsidR="00CC118F">
        <w:tab/>
        <w:t>Interpretation</w:t>
      </w:r>
    </w:p>
    <w:p w:rsidR="00CC118F" w:rsidRDefault="00CC118F" w:rsidP="007467D7">
      <w:pPr>
        <w:pStyle w:val="Subclause"/>
        <w:widowControl/>
      </w:pPr>
    </w:p>
    <w:p w:rsidR="00075C5B" w:rsidRPr="00075C5B" w:rsidRDefault="00075C5B" w:rsidP="007467D7">
      <w:pPr>
        <w:pStyle w:val="Subclause"/>
        <w:widowControl/>
      </w:pPr>
      <w:r>
        <w:t>(1)</w:t>
      </w:r>
      <w:r>
        <w:tab/>
        <w:t xml:space="preserve">In this Code </w:t>
      </w:r>
      <w:r w:rsidRPr="003F761E">
        <w:t>–</w:t>
      </w:r>
    </w:p>
    <w:p w:rsidR="007601F6" w:rsidRDefault="007601F6" w:rsidP="007467D7">
      <w:pPr>
        <w:pStyle w:val="Subclause"/>
        <w:widowControl/>
      </w:pPr>
    </w:p>
    <w:p w:rsidR="007601F6" w:rsidRDefault="007601F6" w:rsidP="007467D7">
      <w:pPr>
        <w:pStyle w:val="Definition"/>
        <w:widowControl/>
      </w:pPr>
      <w:proofErr w:type="gramStart"/>
      <w:r w:rsidRPr="003F761E">
        <w:rPr>
          <w:b/>
        </w:rPr>
        <w:t>electrolyte</w:t>
      </w:r>
      <w:proofErr w:type="gramEnd"/>
      <w:r w:rsidRPr="003F761E">
        <w:t xml:space="preserve"> </w:t>
      </w:r>
      <w:r w:rsidRPr="00CA0B68">
        <w:rPr>
          <w:b/>
        </w:rPr>
        <w:t>drink</w:t>
      </w:r>
      <w:r w:rsidRPr="003F761E">
        <w:t xml:space="preserve"> </w:t>
      </w:r>
      <w:r>
        <w:t>means a drink formulated for the rapid replacement of fluid, carbohydrates and electrolytes lost as a result of sustain</w:t>
      </w:r>
      <w:r w:rsidR="006B2580">
        <w:t>ed strenuous physical activity.</w:t>
      </w:r>
    </w:p>
    <w:p w:rsidR="007601F6" w:rsidRDefault="007601F6" w:rsidP="00EC184B">
      <w:pPr>
        <w:pStyle w:val="Subclause"/>
      </w:pPr>
    </w:p>
    <w:p w:rsidR="007601F6" w:rsidRDefault="007601F6" w:rsidP="007467D7">
      <w:pPr>
        <w:pStyle w:val="Definition"/>
        <w:widowControl/>
      </w:pPr>
      <w:proofErr w:type="gramStart"/>
      <w:r w:rsidRPr="00CA0B68">
        <w:rPr>
          <w:b/>
        </w:rPr>
        <w:t>electrolyte</w:t>
      </w:r>
      <w:proofErr w:type="gramEnd"/>
      <w:r w:rsidRPr="00CA0B68">
        <w:rPr>
          <w:b/>
        </w:rPr>
        <w:t xml:space="preserve"> drink base</w:t>
      </w:r>
      <w:r w:rsidRPr="00CA0B68">
        <w:t xml:space="preserve"> means a solid or liquid which when made up, makes an electrolyte drink.</w:t>
      </w:r>
    </w:p>
    <w:p w:rsidR="007601F6" w:rsidRDefault="007601F6" w:rsidP="00EC184B">
      <w:pPr>
        <w:pStyle w:val="Subclause"/>
      </w:pPr>
    </w:p>
    <w:p w:rsidR="006B2580" w:rsidRDefault="007601F6" w:rsidP="007467D7">
      <w:pPr>
        <w:pStyle w:val="Definition"/>
        <w:widowControl/>
      </w:pPr>
      <w:proofErr w:type="gramStart"/>
      <w:r w:rsidRPr="006B4B3C">
        <w:rPr>
          <w:b/>
        </w:rPr>
        <w:t>formulated</w:t>
      </w:r>
      <w:proofErr w:type="gramEnd"/>
      <w:r w:rsidRPr="006B4B3C">
        <w:rPr>
          <w:b/>
        </w:rPr>
        <w:t xml:space="preserve"> supplementary sports</w:t>
      </w:r>
      <w:r>
        <w:rPr>
          <w:b/>
        </w:rPr>
        <w:t xml:space="preserve"> </w:t>
      </w:r>
      <w:r w:rsidRPr="006B4B3C">
        <w:rPr>
          <w:b/>
        </w:rPr>
        <w:t>food</w:t>
      </w:r>
      <w:r w:rsidRPr="006B4B3C">
        <w:t xml:space="preserve"> means a food or mixture of foods specifically formulated to assist sports people in achieving specific nutritional or performance goals, and does not include electrolyte drinks and electrolyte drink bases.</w:t>
      </w:r>
    </w:p>
    <w:p w:rsidR="006B2580" w:rsidRDefault="006B2580" w:rsidP="00EC184B">
      <w:pPr>
        <w:pStyle w:val="Subclause"/>
      </w:pPr>
    </w:p>
    <w:p w:rsidR="007601F6" w:rsidRPr="006B4B3C" w:rsidRDefault="002E44F2" w:rsidP="007467D7">
      <w:pPr>
        <w:pStyle w:val="Definition"/>
        <w:widowControl/>
      </w:pPr>
      <w:proofErr w:type="gramStart"/>
      <w:r>
        <w:rPr>
          <w:b/>
        </w:rPr>
        <w:t>one-day</w:t>
      </w:r>
      <w:proofErr w:type="gramEnd"/>
      <w:r>
        <w:rPr>
          <w:b/>
        </w:rPr>
        <w:t xml:space="preserve"> quantity</w:t>
      </w:r>
      <w:r>
        <w:t xml:space="preserve"> in relation to formulated supplementary sports food, means the amount of that food which is to be consumed in one day in accordance with directions specified in the label.</w:t>
      </w:r>
      <w:r w:rsidR="007601F6" w:rsidRPr="006B4B3C">
        <w:t xml:space="preserve"> </w:t>
      </w:r>
    </w:p>
    <w:p w:rsidR="007601F6" w:rsidRDefault="007601F6" w:rsidP="007467D7">
      <w:pPr>
        <w:pStyle w:val="Subclause"/>
        <w:widowControl/>
      </w:pPr>
    </w:p>
    <w:p w:rsidR="00EB1353" w:rsidRDefault="002E44F2" w:rsidP="007467D7">
      <w:pPr>
        <w:pStyle w:val="Subclause"/>
        <w:widowControl/>
      </w:pPr>
      <w:r>
        <w:t>(2)</w:t>
      </w:r>
      <w:r>
        <w:tab/>
      </w:r>
      <w:r w:rsidR="00EB1353">
        <w:t>In Division 4</w:t>
      </w:r>
      <w:r w:rsidR="00DF0D03">
        <w:t xml:space="preserve"> of this Standard</w:t>
      </w:r>
      <w:r w:rsidR="0085645A">
        <w:t xml:space="preserve"> </w:t>
      </w:r>
      <w:r w:rsidR="0085645A" w:rsidRPr="003F761E">
        <w:t>–</w:t>
      </w:r>
    </w:p>
    <w:p w:rsidR="00EB1353" w:rsidRDefault="00EB1353" w:rsidP="007467D7">
      <w:pPr>
        <w:pStyle w:val="Clause"/>
        <w:widowControl/>
      </w:pPr>
    </w:p>
    <w:p w:rsidR="00EB1353" w:rsidRDefault="00EB1353" w:rsidP="007467D7">
      <w:pPr>
        <w:pStyle w:val="Definition"/>
        <w:widowControl/>
      </w:pPr>
      <w:proofErr w:type="gramStart"/>
      <w:r w:rsidRPr="00145CB9">
        <w:rPr>
          <w:b/>
        </w:rPr>
        <w:t>the</w:t>
      </w:r>
      <w:proofErr w:type="gramEnd"/>
      <w:r>
        <w:t xml:space="preserve"> </w:t>
      </w:r>
      <w:r w:rsidRPr="00145CB9">
        <w:rPr>
          <w:b/>
        </w:rPr>
        <w:t>Variation</w:t>
      </w:r>
      <w:r w:rsidRPr="00145CB9">
        <w:t xml:space="preserve"> means the </w:t>
      </w:r>
      <w:r w:rsidRPr="00ED41BD">
        <w:rPr>
          <w:i/>
        </w:rPr>
        <w:t xml:space="preserve">Food Standards (Proposal P1030 – Health Claims </w:t>
      </w:r>
      <w:r w:rsidR="00791A39">
        <w:rPr>
          <w:i/>
        </w:rPr>
        <w:t xml:space="preserve">– </w:t>
      </w:r>
      <w:r w:rsidRPr="00ED41BD">
        <w:rPr>
          <w:i/>
        </w:rPr>
        <w:t>For</w:t>
      </w:r>
      <w:r w:rsidR="00791A39">
        <w:rPr>
          <w:i/>
        </w:rPr>
        <w:t>mulated Supplementary</w:t>
      </w:r>
      <w:r w:rsidRPr="00ED41BD">
        <w:rPr>
          <w:i/>
        </w:rPr>
        <w:t xml:space="preserve"> Sports Foods </w:t>
      </w:r>
      <w:r w:rsidR="00662919" w:rsidRPr="00ED41BD">
        <w:rPr>
          <w:i/>
        </w:rPr>
        <w:t>&amp;</w:t>
      </w:r>
      <w:r w:rsidRPr="00ED41BD">
        <w:rPr>
          <w:i/>
        </w:rPr>
        <w:t xml:space="preserve"> Electrolyte Drinks) Variation</w:t>
      </w:r>
      <w:r>
        <w:t>.”</w:t>
      </w:r>
    </w:p>
    <w:p w:rsidR="009D694B" w:rsidRDefault="009D694B" w:rsidP="007467D7">
      <w:pPr>
        <w:pStyle w:val="Definition"/>
        <w:widowControl/>
      </w:pPr>
    </w:p>
    <w:p w:rsidR="006A421D" w:rsidRDefault="006A421D" w:rsidP="007467D7">
      <w:pPr>
        <w:pStyle w:val="Subclause"/>
        <w:widowControl/>
      </w:pPr>
      <w:r>
        <w:t>[4.</w:t>
      </w:r>
      <w:r w:rsidR="00EB51DF">
        <w:t>5</w:t>
      </w:r>
      <w:r>
        <w:t>]</w:t>
      </w:r>
      <w:r>
        <w:tab/>
        <w:t>inserting after clause 1</w:t>
      </w:r>
    </w:p>
    <w:p w:rsidR="007601F6" w:rsidRDefault="007601F6" w:rsidP="007467D7">
      <w:pPr>
        <w:pStyle w:val="Subclause"/>
        <w:widowControl/>
      </w:pPr>
    </w:p>
    <w:p w:rsidR="007601F6" w:rsidRDefault="006A421D" w:rsidP="007467D7">
      <w:pPr>
        <w:pStyle w:val="DivisionHeading"/>
        <w:widowControl/>
      </w:pPr>
      <w:r w:rsidRPr="006A421D">
        <w:rPr>
          <w:rFonts w:cs="Arial"/>
          <w:b w:val="0"/>
          <w:sz w:val="20"/>
        </w:rPr>
        <w:t>“</w:t>
      </w:r>
      <w:r w:rsidR="007601F6">
        <w:t>Division 2 – Formulated Supplementary Sports Foods Generally</w:t>
      </w:r>
      <w:r w:rsidR="007601F6" w:rsidRPr="002301A1">
        <w:rPr>
          <w:rFonts w:cs="Arial"/>
          <w:b w:val="0"/>
          <w:sz w:val="20"/>
          <w:szCs w:val="22"/>
        </w:rPr>
        <w:t>”</w:t>
      </w:r>
    </w:p>
    <w:p w:rsidR="007601F6" w:rsidRDefault="007601F6" w:rsidP="007467D7">
      <w:pPr>
        <w:pStyle w:val="Subclause"/>
        <w:widowControl/>
      </w:pPr>
    </w:p>
    <w:p w:rsidR="007601F6" w:rsidRDefault="007601F6" w:rsidP="007467D7">
      <w:pPr>
        <w:pStyle w:val="Subclause"/>
        <w:widowControl/>
      </w:pPr>
      <w:r>
        <w:t>[4.</w:t>
      </w:r>
      <w:r w:rsidR="00EB51DF">
        <w:t>6</w:t>
      </w:r>
      <w:r>
        <w:t>]</w:t>
      </w:r>
      <w:r>
        <w:tab/>
        <w:t>omitting clause 6 and substituting</w:t>
      </w:r>
    </w:p>
    <w:p w:rsidR="007601F6" w:rsidRDefault="007601F6" w:rsidP="007467D7">
      <w:pPr>
        <w:pStyle w:val="Subclause"/>
        <w:widowControl/>
      </w:pPr>
    </w:p>
    <w:p w:rsidR="007601F6" w:rsidRPr="00C25200" w:rsidRDefault="007601F6" w:rsidP="007467D7">
      <w:pPr>
        <w:pStyle w:val="Clauseheading"/>
        <w:widowControl/>
      </w:pPr>
      <w:r w:rsidRPr="00BB4143">
        <w:rPr>
          <w:b w:val="0"/>
        </w:rPr>
        <w:t>“</w:t>
      </w:r>
      <w:r>
        <w:t>6</w:t>
      </w:r>
      <w:r>
        <w:tab/>
        <w:t>Health claims</w:t>
      </w:r>
    </w:p>
    <w:p w:rsidR="007601F6" w:rsidRDefault="007601F6" w:rsidP="007467D7">
      <w:pPr>
        <w:pStyle w:val="Subclause"/>
        <w:widowControl/>
      </w:pPr>
    </w:p>
    <w:p w:rsidR="007601F6" w:rsidRDefault="007601F6" w:rsidP="007467D7">
      <w:pPr>
        <w:pStyle w:val="Subclause"/>
        <w:widowControl/>
      </w:pPr>
      <w:r>
        <w:t xml:space="preserve">(1) </w:t>
      </w:r>
      <w:r>
        <w:tab/>
        <w:t>This c</w:t>
      </w:r>
      <w:r w:rsidRPr="00B47191">
        <w:t xml:space="preserve">lause does not apply to </w:t>
      </w:r>
      <w:r>
        <w:t>a statement that is permitted by Division 3.</w:t>
      </w:r>
      <w:r w:rsidRPr="00B47191">
        <w:t xml:space="preserve"> </w:t>
      </w:r>
    </w:p>
    <w:p w:rsidR="007601F6" w:rsidRDefault="007601F6" w:rsidP="007467D7">
      <w:pPr>
        <w:pStyle w:val="Subclause"/>
        <w:widowControl/>
      </w:pPr>
    </w:p>
    <w:p w:rsidR="007601F6" w:rsidRDefault="007601F6" w:rsidP="007467D7">
      <w:pPr>
        <w:pStyle w:val="Subclause"/>
        <w:widowControl/>
      </w:pPr>
      <w:r>
        <w:t xml:space="preserve">(2) </w:t>
      </w:r>
      <w:r>
        <w:tab/>
        <w:t xml:space="preserve">A health claim made about a formulated supplementary sports food must </w:t>
      </w:r>
      <w:r w:rsidRPr="003F761E">
        <w:t>–</w:t>
      </w:r>
    </w:p>
    <w:p w:rsidR="007601F6" w:rsidRDefault="007601F6" w:rsidP="007467D7">
      <w:pPr>
        <w:pStyle w:val="Subclause"/>
        <w:widowControl/>
      </w:pPr>
    </w:p>
    <w:p w:rsidR="007601F6" w:rsidRDefault="00BB4143" w:rsidP="007467D7">
      <w:pPr>
        <w:pStyle w:val="Paragraph"/>
        <w:widowControl/>
      </w:pPr>
      <w:r>
        <w:t>(a)</w:t>
      </w:r>
      <w:r>
        <w:tab/>
      </w:r>
      <w:proofErr w:type="gramStart"/>
      <w:r w:rsidR="007601F6">
        <w:t>be</w:t>
      </w:r>
      <w:proofErr w:type="gramEnd"/>
      <w:r w:rsidR="007601F6">
        <w:t xml:space="preserve"> made in accordance with Standard 1.2.7; and</w:t>
      </w:r>
    </w:p>
    <w:p w:rsidR="007601F6" w:rsidRPr="0041578D" w:rsidRDefault="007601F6" w:rsidP="007467D7">
      <w:pPr>
        <w:pStyle w:val="Paragraph"/>
        <w:widowControl/>
        <w:rPr>
          <w:highlight w:val="yellow"/>
        </w:rPr>
      </w:pPr>
      <w:r>
        <w:t>(b)</w:t>
      </w:r>
      <w:r>
        <w:tab/>
      </w:r>
      <w:proofErr w:type="gramStart"/>
      <w:r w:rsidR="00991FB8" w:rsidRPr="00C8186E">
        <w:rPr>
          <w:lang w:val="en-AU"/>
        </w:rPr>
        <w:t>relate</w:t>
      </w:r>
      <w:proofErr w:type="gramEnd"/>
      <w:r w:rsidR="00991FB8" w:rsidRPr="00C8186E">
        <w:rPr>
          <w:lang w:val="en-AU"/>
        </w:rPr>
        <w:t xml:space="preserve"> only to </w:t>
      </w:r>
      <w:r w:rsidR="00991FB8" w:rsidRPr="00C8186E">
        <w:t>the specific nutritional or performance goal or goals for sports people that the food was formulated to achieve</w:t>
      </w:r>
      <w:r w:rsidRPr="007565E0">
        <w:t>.”</w:t>
      </w:r>
    </w:p>
    <w:p w:rsidR="007601F6" w:rsidRDefault="007601F6" w:rsidP="007467D7">
      <w:pPr>
        <w:pStyle w:val="ListParagraph"/>
      </w:pPr>
    </w:p>
    <w:p w:rsidR="007601F6" w:rsidRDefault="007601F6" w:rsidP="007467D7">
      <w:pPr>
        <w:pStyle w:val="Subclause"/>
        <w:widowControl/>
      </w:pPr>
      <w:r>
        <w:t>[4.</w:t>
      </w:r>
      <w:r w:rsidR="00EB51DF">
        <w:t>7</w:t>
      </w:r>
      <w:r>
        <w:t>]</w:t>
      </w:r>
      <w:r>
        <w:tab/>
        <w:t xml:space="preserve">omitting the heading of Division 2 and substituting </w:t>
      </w:r>
      <w:r w:rsidRPr="003F6B92">
        <w:rPr>
          <w:rFonts w:cs="Arial"/>
        </w:rPr>
        <w:t>“</w:t>
      </w:r>
      <w:r>
        <w:t>Division 3 – Particular Formulated Supplementary Sports Foods</w:t>
      </w:r>
      <w:r w:rsidRPr="002301A1">
        <w:t>”</w:t>
      </w:r>
    </w:p>
    <w:p w:rsidR="00947D34" w:rsidRDefault="00947D34" w:rsidP="007467D7">
      <w:pPr>
        <w:pStyle w:val="Subclause"/>
        <w:widowControl/>
      </w:pPr>
      <w:r>
        <w:br w:type="page"/>
      </w:r>
    </w:p>
    <w:p w:rsidR="007601F6" w:rsidRDefault="007601F6" w:rsidP="007467D7">
      <w:pPr>
        <w:pStyle w:val="Subclause"/>
        <w:widowControl/>
      </w:pPr>
      <w:r>
        <w:lastRenderedPageBreak/>
        <w:t>[4.</w:t>
      </w:r>
      <w:r w:rsidR="00EB51DF">
        <w:t>8</w:t>
      </w:r>
      <w:r>
        <w:t>]</w:t>
      </w:r>
      <w:r>
        <w:tab/>
        <w:t xml:space="preserve">inserting after </w:t>
      </w:r>
      <w:r w:rsidR="00FF7C9C">
        <w:t>clause</w:t>
      </w:r>
      <w:r>
        <w:t xml:space="preserve"> 9</w:t>
      </w:r>
    </w:p>
    <w:p w:rsidR="007601F6" w:rsidRDefault="007601F6" w:rsidP="007467D7">
      <w:pPr>
        <w:pStyle w:val="Subclause"/>
        <w:widowControl/>
      </w:pPr>
    </w:p>
    <w:p w:rsidR="007601F6" w:rsidRDefault="007601F6" w:rsidP="007467D7">
      <w:pPr>
        <w:pStyle w:val="DivisionHeading"/>
        <w:widowControl/>
      </w:pPr>
      <w:r w:rsidRPr="002301A1">
        <w:rPr>
          <w:rFonts w:cs="Arial"/>
          <w:b w:val="0"/>
          <w:sz w:val="20"/>
          <w:szCs w:val="22"/>
        </w:rPr>
        <w:t>“</w:t>
      </w:r>
      <w:r>
        <w:t>Division 4 – Electrolyte Drinks and Electrolyte Drink Bases</w:t>
      </w:r>
    </w:p>
    <w:p w:rsidR="007601F6" w:rsidRDefault="007601F6" w:rsidP="007467D7">
      <w:pPr>
        <w:pStyle w:val="Clauseheading"/>
        <w:widowControl/>
      </w:pPr>
    </w:p>
    <w:p w:rsidR="007601F6" w:rsidRDefault="007601F6" w:rsidP="007467D7">
      <w:pPr>
        <w:pStyle w:val="Clauseheading"/>
        <w:widowControl/>
      </w:pPr>
      <w:r>
        <w:t>10</w:t>
      </w:r>
      <w:r>
        <w:tab/>
        <w:t>Application of Divisions 2 and 3 to electrolyte drinks and electrolyte drink bases</w:t>
      </w:r>
    </w:p>
    <w:p w:rsidR="007601F6" w:rsidRDefault="007601F6" w:rsidP="007467D7">
      <w:pPr>
        <w:pStyle w:val="Subclause"/>
        <w:widowControl/>
        <w:rPr>
          <w:b/>
        </w:rPr>
      </w:pPr>
    </w:p>
    <w:p w:rsidR="007601F6" w:rsidRDefault="007601F6" w:rsidP="007467D7">
      <w:pPr>
        <w:pStyle w:val="Clause"/>
        <w:widowControl/>
      </w:pPr>
      <w:r>
        <w:t>Divisions 2 and 3 do not apply to electrolyte drinks and electrolyte drink bases.</w:t>
      </w:r>
    </w:p>
    <w:p w:rsidR="007601F6" w:rsidRDefault="007601F6" w:rsidP="007467D7">
      <w:pPr>
        <w:pStyle w:val="Clauseheading"/>
        <w:widowControl/>
      </w:pPr>
    </w:p>
    <w:p w:rsidR="007601F6" w:rsidRPr="007565E0" w:rsidRDefault="007601F6" w:rsidP="007467D7">
      <w:pPr>
        <w:pStyle w:val="Clauseheading"/>
        <w:widowControl/>
      </w:pPr>
      <w:r w:rsidRPr="007565E0">
        <w:t>1</w:t>
      </w:r>
      <w:r>
        <w:t>1</w:t>
      </w:r>
      <w:r w:rsidRPr="007565E0">
        <w:tab/>
        <w:t>Application of stock-in-trade provision</w:t>
      </w:r>
    </w:p>
    <w:p w:rsidR="007601F6" w:rsidRPr="007565E0" w:rsidRDefault="007601F6" w:rsidP="007467D7">
      <w:pPr>
        <w:widowControl/>
      </w:pPr>
    </w:p>
    <w:p w:rsidR="007601F6" w:rsidRPr="007565E0" w:rsidRDefault="007601F6" w:rsidP="007467D7">
      <w:pPr>
        <w:pStyle w:val="Clause"/>
        <w:widowControl/>
      </w:pPr>
      <w:r w:rsidRPr="007565E0">
        <w:t xml:space="preserve">Subclause 1(2) of Standard 1.1.1 does not apply to </w:t>
      </w:r>
      <w:r>
        <w:t xml:space="preserve">the </w:t>
      </w:r>
      <w:r w:rsidRPr="007565E0">
        <w:t>amendments made by the Variation in relation to electrolyte drinks and electrolyte drink bases.</w:t>
      </w:r>
    </w:p>
    <w:p w:rsidR="007601F6" w:rsidRPr="007565E0" w:rsidRDefault="007601F6" w:rsidP="007467D7">
      <w:pPr>
        <w:pStyle w:val="Clauseheading"/>
        <w:widowControl/>
      </w:pPr>
    </w:p>
    <w:p w:rsidR="007601F6" w:rsidRPr="007565E0" w:rsidRDefault="007601F6" w:rsidP="007467D7">
      <w:pPr>
        <w:pStyle w:val="Clauseheading"/>
        <w:widowControl/>
      </w:pPr>
      <w:r w:rsidRPr="007565E0">
        <w:t>1</w:t>
      </w:r>
      <w:r>
        <w:t>2</w:t>
      </w:r>
      <w:r w:rsidRPr="007565E0">
        <w:tab/>
        <w:t xml:space="preserve">Transitional </w:t>
      </w:r>
      <w:r>
        <w:t>arrangement to</w:t>
      </w:r>
      <w:r w:rsidRPr="007565E0">
        <w:t xml:space="preserve"> 18 January 2016</w:t>
      </w:r>
    </w:p>
    <w:p w:rsidR="007601F6" w:rsidRPr="007565E0" w:rsidRDefault="007601F6" w:rsidP="007467D7">
      <w:pPr>
        <w:widowControl/>
      </w:pPr>
    </w:p>
    <w:p w:rsidR="007601F6" w:rsidRPr="007565E0" w:rsidRDefault="00BB4143" w:rsidP="007467D7">
      <w:pPr>
        <w:pStyle w:val="Subclause"/>
        <w:widowControl/>
      </w:pPr>
      <w:r>
        <w:t>(1)</w:t>
      </w:r>
      <w:r>
        <w:tab/>
      </w:r>
      <w:r w:rsidR="007601F6" w:rsidRPr="007565E0">
        <w:t>Notwithstanding clauses 1</w:t>
      </w:r>
      <w:r w:rsidR="007601F6">
        <w:t>4</w:t>
      </w:r>
      <w:r w:rsidR="007601F6" w:rsidRPr="007565E0">
        <w:t xml:space="preserve"> to 1</w:t>
      </w:r>
      <w:r w:rsidR="007601F6">
        <w:t>7</w:t>
      </w:r>
      <w:r w:rsidR="007601F6" w:rsidRPr="007565E0">
        <w:t xml:space="preserve">, during the transitional period, an electrolyte drink or electrolyte drink base may comply with either – </w:t>
      </w:r>
    </w:p>
    <w:p w:rsidR="007601F6" w:rsidRPr="007565E0" w:rsidRDefault="007601F6" w:rsidP="007467D7">
      <w:pPr>
        <w:pStyle w:val="Subclause"/>
        <w:widowControl/>
      </w:pPr>
    </w:p>
    <w:p w:rsidR="007601F6" w:rsidRPr="007565E0" w:rsidRDefault="00BB4143" w:rsidP="007467D7">
      <w:pPr>
        <w:pStyle w:val="Paragraph"/>
        <w:widowControl/>
      </w:pPr>
      <w:r>
        <w:t>(a)</w:t>
      </w:r>
      <w:r>
        <w:tab/>
      </w:r>
      <w:proofErr w:type="gramStart"/>
      <w:r w:rsidR="007601F6" w:rsidRPr="007565E0">
        <w:t>the</w:t>
      </w:r>
      <w:proofErr w:type="gramEnd"/>
      <w:r w:rsidR="007601F6" w:rsidRPr="007565E0">
        <w:t xml:space="preserve"> Code; or</w:t>
      </w:r>
    </w:p>
    <w:p w:rsidR="007601F6" w:rsidRPr="007565E0" w:rsidRDefault="00BB4143" w:rsidP="007467D7">
      <w:pPr>
        <w:pStyle w:val="Paragraph"/>
        <w:widowControl/>
      </w:pPr>
      <w:r>
        <w:t>(b)</w:t>
      </w:r>
      <w:r>
        <w:tab/>
      </w:r>
      <w:proofErr w:type="gramStart"/>
      <w:r w:rsidR="007601F6" w:rsidRPr="007565E0">
        <w:t>the</w:t>
      </w:r>
      <w:proofErr w:type="gramEnd"/>
      <w:r w:rsidR="007601F6" w:rsidRPr="007565E0">
        <w:t xml:space="preserve"> Code</w:t>
      </w:r>
      <w:r w:rsidR="007601F6" w:rsidRPr="009B0CE0">
        <w:t xml:space="preserve"> </w:t>
      </w:r>
      <w:r w:rsidR="007601F6" w:rsidRPr="007565E0">
        <w:t xml:space="preserve">as if </w:t>
      </w:r>
      <w:r w:rsidR="007601F6">
        <w:t>the</w:t>
      </w:r>
      <w:r w:rsidR="007601F6" w:rsidRPr="007565E0">
        <w:t xml:space="preserve"> Variation had not commenced,</w:t>
      </w:r>
    </w:p>
    <w:p w:rsidR="007601F6" w:rsidRPr="007565E0" w:rsidRDefault="007601F6" w:rsidP="007467D7">
      <w:pPr>
        <w:widowControl/>
        <w:rPr>
          <w:sz w:val="20"/>
        </w:rPr>
      </w:pPr>
    </w:p>
    <w:p w:rsidR="007601F6" w:rsidRPr="007565E0" w:rsidRDefault="007601F6" w:rsidP="007467D7">
      <w:pPr>
        <w:pStyle w:val="Subclause"/>
        <w:widowControl/>
      </w:pPr>
      <w:proofErr w:type="gramStart"/>
      <w:r w:rsidRPr="007565E0">
        <w:t>but</w:t>
      </w:r>
      <w:proofErr w:type="gramEnd"/>
      <w:r w:rsidRPr="007565E0">
        <w:t xml:space="preserve"> not a combination of both.</w:t>
      </w:r>
    </w:p>
    <w:p w:rsidR="007601F6" w:rsidRPr="00A870AD" w:rsidRDefault="007601F6" w:rsidP="007467D7">
      <w:pPr>
        <w:pStyle w:val="Subclause"/>
        <w:widowControl/>
      </w:pPr>
    </w:p>
    <w:p w:rsidR="007601F6" w:rsidRPr="007565E0" w:rsidRDefault="00BB4143" w:rsidP="007467D7">
      <w:pPr>
        <w:pStyle w:val="Subclause"/>
        <w:widowControl/>
      </w:pPr>
      <w:r>
        <w:t>(2)</w:t>
      </w:r>
      <w:r>
        <w:tab/>
      </w:r>
      <w:r w:rsidR="007601F6" w:rsidRPr="007565E0">
        <w:t xml:space="preserve">For the purposes of </w:t>
      </w:r>
      <w:r w:rsidR="007601F6">
        <w:t xml:space="preserve">this </w:t>
      </w:r>
      <w:r w:rsidR="007601F6" w:rsidRPr="007565E0">
        <w:t xml:space="preserve">clause, </w:t>
      </w:r>
      <w:r w:rsidR="007601F6" w:rsidRPr="007565E0">
        <w:rPr>
          <w:b/>
        </w:rPr>
        <w:t>transitional period</w:t>
      </w:r>
      <w:r w:rsidR="007601F6" w:rsidRPr="007565E0">
        <w:t xml:space="preserve"> means the period of time that commences on the commencement date of </w:t>
      </w:r>
      <w:r w:rsidR="007601F6">
        <w:t>the</w:t>
      </w:r>
      <w:r w:rsidR="007601F6" w:rsidRPr="007565E0">
        <w:t xml:space="preserve"> Variation and ends on 18 January 2016.</w:t>
      </w:r>
    </w:p>
    <w:p w:rsidR="007601F6" w:rsidRPr="007565E0" w:rsidRDefault="007601F6" w:rsidP="007467D7">
      <w:pPr>
        <w:pStyle w:val="Subclause"/>
        <w:widowControl/>
      </w:pPr>
    </w:p>
    <w:p w:rsidR="007601F6" w:rsidRPr="007565E0" w:rsidRDefault="00A870AD" w:rsidP="007467D7">
      <w:pPr>
        <w:pStyle w:val="Clauseheading"/>
        <w:widowControl/>
      </w:pPr>
      <w:r>
        <w:t>13</w:t>
      </w:r>
      <w:r>
        <w:tab/>
      </w:r>
      <w:r w:rsidR="007601F6">
        <w:t>Stock</w:t>
      </w:r>
      <w:r w:rsidR="00BB4143">
        <w:t>-</w:t>
      </w:r>
      <w:r w:rsidR="007601F6">
        <w:t>in</w:t>
      </w:r>
      <w:r w:rsidR="00BB4143">
        <w:t>-</w:t>
      </w:r>
      <w:r w:rsidR="007601F6">
        <w:t>trade period</w:t>
      </w:r>
      <w:r w:rsidR="007601F6" w:rsidRPr="007565E0">
        <w:t xml:space="preserve"> (19 January 2016 </w:t>
      </w:r>
      <w:r w:rsidR="00C96385" w:rsidRPr="00FF7C9C">
        <w:t>–</w:t>
      </w:r>
      <w:r w:rsidR="007601F6" w:rsidRPr="007565E0">
        <w:t>18 January 2017)</w:t>
      </w:r>
    </w:p>
    <w:p w:rsidR="007601F6" w:rsidRPr="007565E0" w:rsidRDefault="007601F6" w:rsidP="007467D7">
      <w:pPr>
        <w:pStyle w:val="Subclause"/>
        <w:widowControl/>
      </w:pPr>
    </w:p>
    <w:p w:rsidR="007601F6" w:rsidRPr="007565E0" w:rsidRDefault="00BB4143" w:rsidP="007467D7">
      <w:pPr>
        <w:pStyle w:val="Subclause"/>
        <w:widowControl/>
      </w:pPr>
      <w:r>
        <w:t>(1)</w:t>
      </w:r>
      <w:r>
        <w:tab/>
      </w:r>
      <w:r w:rsidR="007601F6" w:rsidRPr="007565E0">
        <w:t>Notwithstanding clauses 1</w:t>
      </w:r>
      <w:r w:rsidR="007601F6">
        <w:t>4</w:t>
      </w:r>
      <w:r w:rsidR="007601F6" w:rsidRPr="007565E0">
        <w:t xml:space="preserve"> to 1</w:t>
      </w:r>
      <w:r w:rsidR="007601F6">
        <w:t>7</w:t>
      </w:r>
      <w:r w:rsidR="007601F6" w:rsidRPr="007565E0">
        <w:t xml:space="preserve">, during the </w:t>
      </w:r>
      <w:r w:rsidR="007601F6">
        <w:t>stock</w:t>
      </w:r>
      <w:r>
        <w:t>-</w:t>
      </w:r>
      <w:r w:rsidR="007601F6">
        <w:t>in</w:t>
      </w:r>
      <w:r>
        <w:t>-</w:t>
      </w:r>
      <w:r w:rsidR="007601F6">
        <w:t>trade</w:t>
      </w:r>
      <w:r w:rsidR="007601F6" w:rsidRPr="007565E0">
        <w:t xml:space="preserve"> period, an electrolyte drink or electrolyte drink base may comply with either – </w:t>
      </w:r>
    </w:p>
    <w:p w:rsidR="007601F6" w:rsidRPr="007565E0" w:rsidRDefault="007601F6" w:rsidP="007467D7">
      <w:pPr>
        <w:pStyle w:val="Subclause"/>
        <w:widowControl/>
      </w:pPr>
    </w:p>
    <w:p w:rsidR="007601F6" w:rsidRPr="007565E0" w:rsidRDefault="00BB4143" w:rsidP="007467D7">
      <w:pPr>
        <w:pStyle w:val="Paragraph"/>
        <w:widowControl/>
      </w:pPr>
      <w:r>
        <w:t>(a)</w:t>
      </w:r>
      <w:r>
        <w:tab/>
      </w:r>
      <w:proofErr w:type="gramStart"/>
      <w:r w:rsidR="007601F6" w:rsidRPr="007565E0">
        <w:t>the</w:t>
      </w:r>
      <w:proofErr w:type="gramEnd"/>
      <w:r w:rsidR="007601F6" w:rsidRPr="007565E0">
        <w:t xml:space="preserve"> Code; or</w:t>
      </w:r>
    </w:p>
    <w:p w:rsidR="007601F6" w:rsidRPr="007565E0" w:rsidRDefault="00BB4143" w:rsidP="007467D7">
      <w:pPr>
        <w:pStyle w:val="Paragraph"/>
        <w:widowControl/>
      </w:pPr>
      <w:r>
        <w:t>(b)</w:t>
      </w:r>
      <w:r>
        <w:tab/>
      </w:r>
      <w:proofErr w:type="gramStart"/>
      <w:r w:rsidR="007601F6" w:rsidRPr="007565E0">
        <w:t>the</w:t>
      </w:r>
      <w:proofErr w:type="gramEnd"/>
      <w:r w:rsidR="007601F6">
        <w:t xml:space="preserve"> Code</w:t>
      </w:r>
      <w:r w:rsidR="007601F6" w:rsidRPr="00DF28CB">
        <w:t xml:space="preserve"> </w:t>
      </w:r>
      <w:r w:rsidR="007601F6" w:rsidRPr="007565E0">
        <w:t xml:space="preserve">as if </w:t>
      </w:r>
      <w:r w:rsidR="007601F6">
        <w:t>the</w:t>
      </w:r>
      <w:r w:rsidR="007601F6" w:rsidRPr="007565E0">
        <w:t xml:space="preserve"> Variation had not commenced</w:t>
      </w:r>
      <w:r w:rsidR="007601F6">
        <w:t xml:space="preserve">, provided that </w:t>
      </w:r>
      <w:r w:rsidR="007601F6" w:rsidRPr="007565E0">
        <w:t xml:space="preserve">the food product </w:t>
      </w:r>
      <w:r w:rsidR="007601F6">
        <w:t>complied</w:t>
      </w:r>
      <w:r w:rsidR="007601F6" w:rsidRPr="007565E0">
        <w:t xml:space="preserve"> with </w:t>
      </w:r>
      <w:r w:rsidR="007601F6">
        <w:t>that</w:t>
      </w:r>
      <w:r w:rsidR="007601F6" w:rsidRPr="007565E0">
        <w:t xml:space="preserve"> version of the Code during the transitional period,</w:t>
      </w:r>
    </w:p>
    <w:p w:rsidR="007601F6" w:rsidRPr="007565E0" w:rsidRDefault="007601F6" w:rsidP="007467D7">
      <w:pPr>
        <w:widowControl/>
        <w:rPr>
          <w:sz w:val="20"/>
        </w:rPr>
      </w:pPr>
    </w:p>
    <w:p w:rsidR="007601F6" w:rsidRPr="007565E0" w:rsidRDefault="007601F6" w:rsidP="007467D7">
      <w:pPr>
        <w:pStyle w:val="Subclause"/>
        <w:widowControl/>
      </w:pPr>
      <w:proofErr w:type="gramStart"/>
      <w:r w:rsidRPr="007565E0">
        <w:t>but</w:t>
      </w:r>
      <w:proofErr w:type="gramEnd"/>
      <w:r w:rsidRPr="007565E0">
        <w:t xml:space="preserve"> not a combination of both.</w:t>
      </w:r>
    </w:p>
    <w:p w:rsidR="007601F6" w:rsidRPr="007565E0" w:rsidRDefault="007601F6" w:rsidP="007467D7">
      <w:pPr>
        <w:pStyle w:val="Subclause"/>
        <w:widowControl/>
      </w:pPr>
    </w:p>
    <w:p w:rsidR="007601F6" w:rsidRPr="007565E0" w:rsidRDefault="00BB4143" w:rsidP="007467D7">
      <w:pPr>
        <w:pStyle w:val="Subclause"/>
        <w:widowControl/>
      </w:pPr>
      <w:r>
        <w:t>(2)</w:t>
      </w:r>
      <w:r>
        <w:tab/>
      </w:r>
      <w:r w:rsidR="007601F6" w:rsidRPr="007565E0">
        <w:t xml:space="preserve">For the purposes of </w:t>
      </w:r>
      <w:r w:rsidR="007601F6">
        <w:t xml:space="preserve">this </w:t>
      </w:r>
      <w:r w:rsidR="007601F6" w:rsidRPr="007565E0">
        <w:t xml:space="preserve">clause, </w:t>
      </w:r>
      <w:r w:rsidR="007601F6">
        <w:rPr>
          <w:b/>
        </w:rPr>
        <w:t>the stock</w:t>
      </w:r>
      <w:r>
        <w:rPr>
          <w:b/>
        </w:rPr>
        <w:t>-</w:t>
      </w:r>
      <w:r w:rsidR="007601F6">
        <w:rPr>
          <w:b/>
        </w:rPr>
        <w:t>in</w:t>
      </w:r>
      <w:r>
        <w:rPr>
          <w:b/>
        </w:rPr>
        <w:t>-</w:t>
      </w:r>
      <w:r w:rsidR="007601F6">
        <w:rPr>
          <w:b/>
        </w:rPr>
        <w:t xml:space="preserve">trade </w:t>
      </w:r>
      <w:r w:rsidR="007601F6" w:rsidRPr="007565E0">
        <w:rPr>
          <w:b/>
        </w:rPr>
        <w:t>period</w:t>
      </w:r>
      <w:r w:rsidR="007601F6" w:rsidRPr="007565E0">
        <w:t xml:space="preserve"> means the period of time that commences on 19 January 2016 and ends on 18 January 2017.</w:t>
      </w:r>
    </w:p>
    <w:p w:rsidR="007601F6" w:rsidRDefault="007601F6" w:rsidP="007467D7">
      <w:pPr>
        <w:widowControl/>
      </w:pPr>
    </w:p>
    <w:p w:rsidR="007601F6" w:rsidRDefault="007601F6" w:rsidP="007467D7">
      <w:pPr>
        <w:pStyle w:val="Clauseheading"/>
        <w:widowControl/>
      </w:pPr>
      <w:r>
        <w:t>14</w:t>
      </w:r>
      <w:r>
        <w:tab/>
        <w:t>Composition of electrolyte drinks and electrolyte drink bases</w:t>
      </w:r>
    </w:p>
    <w:p w:rsidR="007601F6" w:rsidRPr="004000C9" w:rsidRDefault="007601F6" w:rsidP="007467D7">
      <w:pPr>
        <w:widowControl/>
      </w:pPr>
    </w:p>
    <w:p w:rsidR="007601F6" w:rsidRDefault="007601F6" w:rsidP="007467D7">
      <w:pPr>
        <w:pStyle w:val="Subclause"/>
        <w:widowControl/>
      </w:pPr>
      <w:r>
        <w:t>(1)</w:t>
      </w:r>
      <w:r>
        <w:tab/>
        <w:t>An electrolyte drink, or an electrolyte drink base when made up</w:t>
      </w:r>
      <w:r w:rsidRPr="001D5B18">
        <w:t xml:space="preserve"> </w:t>
      </w:r>
      <w:r>
        <w:t>according to directions, must contain no less than 10 mmol/L of sodium.</w:t>
      </w:r>
    </w:p>
    <w:p w:rsidR="007601F6" w:rsidRDefault="007601F6" w:rsidP="007467D7">
      <w:pPr>
        <w:pStyle w:val="Subclause"/>
        <w:widowControl/>
      </w:pPr>
    </w:p>
    <w:p w:rsidR="007601F6" w:rsidRDefault="007601F6" w:rsidP="007467D7">
      <w:pPr>
        <w:pStyle w:val="Subclause"/>
        <w:widowControl/>
      </w:pPr>
      <w:r>
        <w:t>(2)</w:t>
      </w:r>
      <w:r>
        <w:tab/>
        <w:t>An electrolyte drink, or an electrolyte drink base when made up according to directions, must contain –</w:t>
      </w:r>
    </w:p>
    <w:p w:rsidR="007601F6" w:rsidRDefault="007601F6" w:rsidP="007467D7">
      <w:pPr>
        <w:widowControl/>
      </w:pPr>
    </w:p>
    <w:p w:rsidR="007601F6" w:rsidRDefault="007601F6" w:rsidP="007467D7">
      <w:pPr>
        <w:pStyle w:val="Paragraph"/>
        <w:widowControl/>
      </w:pPr>
      <w:r>
        <w:t>(a)</w:t>
      </w:r>
      <w:r>
        <w:tab/>
      </w:r>
      <w:proofErr w:type="gramStart"/>
      <w:r>
        <w:t>no</w:t>
      </w:r>
      <w:proofErr w:type="gramEnd"/>
      <w:r>
        <w:t xml:space="preserve"> less than 50 g/L and no more than 100 g/L total –</w:t>
      </w:r>
    </w:p>
    <w:p w:rsidR="007601F6" w:rsidRDefault="007601F6" w:rsidP="007467D7">
      <w:pPr>
        <w:widowControl/>
      </w:pPr>
    </w:p>
    <w:p w:rsidR="007601F6" w:rsidRDefault="007601F6" w:rsidP="007467D7">
      <w:pPr>
        <w:pStyle w:val="Subparagraph"/>
        <w:widowControl/>
      </w:pPr>
      <w:r>
        <w:t>(i)</w:t>
      </w:r>
      <w:r>
        <w:tab/>
      </w:r>
      <w:proofErr w:type="gramStart"/>
      <w:r>
        <w:t>dextrose</w:t>
      </w:r>
      <w:proofErr w:type="gramEnd"/>
      <w:r>
        <w:t>; and</w:t>
      </w:r>
    </w:p>
    <w:p w:rsidR="007601F6" w:rsidRDefault="007601F6" w:rsidP="007467D7">
      <w:pPr>
        <w:pStyle w:val="Subparagraph"/>
        <w:widowControl/>
      </w:pPr>
      <w:r>
        <w:t>(ii)</w:t>
      </w:r>
      <w:r>
        <w:tab/>
      </w:r>
      <w:proofErr w:type="gramStart"/>
      <w:r>
        <w:t>fructose</w:t>
      </w:r>
      <w:proofErr w:type="gramEnd"/>
      <w:r>
        <w:t>; and</w:t>
      </w:r>
    </w:p>
    <w:p w:rsidR="007601F6" w:rsidRDefault="007601F6" w:rsidP="007467D7">
      <w:pPr>
        <w:pStyle w:val="Subparagraph"/>
        <w:widowControl/>
      </w:pPr>
      <w:r>
        <w:t>(iii)</w:t>
      </w:r>
      <w:r>
        <w:tab/>
      </w:r>
      <w:proofErr w:type="gramStart"/>
      <w:r>
        <w:t>glucose</w:t>
      </w:r>
      <w:proofErr w:type="gramEnd"/>
      <w:r>
        <w:t xml:space="preserve"> syrup; and</w:t>
      </w:r>
    </w:p>
    <w:p w:rsidR="007601F6" w:rsidRDefault="007601F6" w:rsidP="007467D7">
      <w:pPr>
        <w:pStyle w:val="Subparagraph"/>
        <w:widowControl/>
      </w:pPr>
      <w:r>
        <w:t>(iv)</w:t>
      </w:r>
      <w:r>
        <w:tab/>
      </w:r>
      <w:proofErr w:type="gramStart"/>
      <w:r>
        <w:t>maltodextrin</w:t>
      </w:r>
      <w:proofErr w:type="gramEnd"/>
      <w:r>
        <w:t>; and</w:t>
      </w:r>
    </w:p>
    <w:p w:rsidR="007601F6" w:rsidRDefault="007601F6" w:rsidP="007467D7">
      <w:pPr>
        <w:pStyle w:val="Subparagraph"/>
        <w:widowControl/>
      </w:pPr>
      <w:r>
        <w:t>(v)</w:t>
      </w:r>
      <w:r>
        <w:tab/>
      </w:r>
      <w:proofErr w:type="gramStart"/>
      <w:r>
        <w:t>sucrose</w:t>
      </w:r>
      <w:proofErr w:type="gramEnd"/>
      <w:r>
        <w:t>; and</w:t>
      </w:r>
    </w:p>
    <w:p w:rsidR="007601F6" w:rsidRDefault="007601F6" w:rsidP="007467D7">
      <w:pPr>
        <w:widowControl/>
      </w:pPr>
    </w:p>
    <w:p w:rsidR="007601F6" w:rsidRDefault="007601F6" w:rsidP="007467D7">
      <w:pPr>
        <w:pStyle w:val="Paragraph"/>
        <w:widowControl/>
      </w:pPr>
      <w:r>
        <w:t>(b)</w:t>
      </w:r>
      <w:r>
        <w:tab/>
      </w:r>
      <w:proofErr w:type="gramStart"/>
      <w:r>
        <w:t>no</w:t>
      </w:r>
      <w:proofErr w:type="gramEnd"/>
      <w:r>
        <w:t xml:space="preserve"> more than 50 g/L fructose.</w:t>
      </w:r>
    </w:p>
    <w:p w:rsidR="00947D34" w:rsidRDefault="00947D34" w:rsidP="007467D7">
      <w:pPr>
        <w:widowControl/>
      </w:pPr>
      <w:r>
        <w:br w:type="page"/>
      </w:r>
    </w:p>
    <w:p w:rsidR="007601F6" w:rsidRDefault="007601F6" w:rsidP="007467D7">
      <w:pPr>
        <w:pStyle w:val="Subclause"/>
        <w:widowControl/>
      </w:pPr>
      <w:r>
        <w:lastRenderedPageBreak/>
        <w:t>(3)</w:t>
      </w:r>
      <w:r>
        <w:tab/>
        <w:t>An electrolyte drink, or an electrolyte drink base when made up</w:t>
      </w:r>
      <w:r w:rsidRPr="001D5B18">
        <w:t xml:space="preserve"> </w:t>
      </w:r>
      <w:r>
        <w:t>according to directions, may contain –</w:t>
      </w:r>
    </w:p>
    <w:p w:rsidR="007601F6" w:rsidRDefault="007601F6" w:rsidP="007467D7">
      <w:pPr>
        <w:widowControl/>
      </w:pPr>
    </w:p>
    <w:p w:rsidR="007601F6" w:rsidRDefault="007601F6" w:rsidP="007467D7">
      <w:pPr>
        <w:pStyle w:val="Paragraph"/>
        <w:widowControl/>
      </w:pPr>
      <w:r>
        <w:t>(a)</w:t>
      </w:r>
      <w:r>
        <w:tab/>
      </w:r>
      <w:proofErr w:type="gramStart"/>
      <w:r>
        <w:t>calcium</w:t>
      </w:r>
      <w:proofErr w:type="gramEnd"/>
      <w:r>
        <w:t xml:space="preserve"> phosphates; and</w:t>
      </w:r>
    </w:p>
    <w:p w:rsidR="007601F6" w:rsidRDefault="007601F6" w:rsidP="007467D7">
      <w:pPr>
        <w:pStyle w:val="Paragraph"/>
        <w:widowControl/>
      </w:pPr>
      <w:r>
        <w:t>(b)</w:t>
      </w:r>
      <w:r>
        <w:tab/>
      </w:r>
      <w:proofErr w:type="gramStart"/>
      <w:r>
        <w:t>potassium</w:t>
      </w:r>
      <w:proofErr w:type="gramEnd"/>
      <w:r>
        <w:t xml:space="preserve"> phosphates; and</w:t>
      </w:r>
    </w:p>
    <w:p w:rsidR="007601F6" w:rsidRDefault="007601F6" w:rsidP="007467D7">
      <w:pPr>
        <w:pStyle w:val="Paragraph"/>
        <w:widowControl/>
      </w:pPr>
      <w:r>
        <w:t>(c)</w:t>
      </w:r>
      <w:r>
        <w:tab/>
      </w:r>
      <w:proofErr w:type="gramStart"/>
      <w:r>
        <w:t>calcium</w:t>
      </w:r>
      <w:proofErr w:type="gramEnd"/>
      <w:r>
        <w:t xml:space="preserve"> citrates; and</w:t>
      </w:r>
    </w:p>
    <w:p w:rsidR="007601F6" w:rsidRDefault="007601F6" w:rsidP="007467D7">
      <w:pPr>
        <w:pStyle w:val="Paragraph"/>
        <w:widowControl/>
      </w:pPr>
      <w:r>
        <w:t>(d)</w:t>
      </w:r>
      <w:r>
        <w:tab/>
      </w:r>
      <w:proofErr w:type="gramStart"/>
      <w:r>
        <w:t>potassium</w:t>
      </w:r>
      <w:proofErr w:type="gramEnd"/>
      <w:r>
        <w:t xml:space="preserve"> citrates; and</w:t>
      </w:r>
    </w:p>
    <w:p w:rsidR="007601F6" w:rsidRDefault="007601F6" w:rsidP="007467D7">
      <w:pPr>
        <w:pStyle w:val="Paragraph"/>
        <w:widowControl/>
      </w:pPr>
      <w:r>
        <w:t>(e)</w:t>
      </w:r>
      <w:r>
        <w:tab/>
      </w:r>
      <w:proofErr w:type="gramStart"/>
      <w:r>
        <w:t>sodium</w:t>
      </w:r>
      <w:proofErr w:type="gramEnd"/>
      <w:r>
        <w:t xml:space="preserve"> citrates; and</w:t>
      </w:r>
    </w:p>
    <w:p w:rsidR="007601F6" w:rsidRDefault="007601F6" w:rsidP="007467D7">
      <w:pPr>
        <w:pStyle w:val="Paragraph"/>
        <w:widowControl/>
      </w:pPr>
      <w:r>
        <w:t>(f)</w:t>
      </w:r>
      <w:r>
        <w:tab/>
      </w:r>
      <w:proofErr w:type="gramStart"/>
      <w:r>
        <w:t>potassium</w:t>
      </w:r>
      <w:proofErr w:type="gramEnd"/>
      <w:r>
        <w:t xml:space="preserve"> carbonates, including potassium bicarbonate; and</w:t>
      </w:r>
    </w:p>
    <w:p w:rsidR="007601F6" w:rsidRDefault="007601F6" w:rsidP="007467D7">
      <w:pPr>
        <w:pStyle w:val="Paragraph"/>
        <w:widowControl/>
      </w:pPr>
      <w:r>
        <w:t>(g)</w:t>
      </w:r>
      <w:r>
        <w:tab/>
      </w:r>
      <w:proofErr w:type="gramStart"/>
      <w:r>
        <w:t>potassium</w:t>
      </w:r>
      <w:proofErr w:type="gramEnd"/>
      <w:r>
        <w:t xml:space="preserve"> chloride; and</w:t>
      </w:r>
    </w:p>
    <w:p w:rsidR="007601F6" w:rsidRDefault="007601F6" w:rsidP="007467D7">
      <w:pPr>
        <w:pStyle w:val="Paragraph"/>
        <w:widowControl/>
      </w:pPr>
      <w:r>
        <w:t>(h)</w:t>
      </w:r>
      <w:r>
        <w:tab/>
      </w:r>
      <w:proofErr w:type="gramStart"/>
      <w:r>
        <w:t>calcium</w:t>
      </w:r>
      <w:proofErr w:type="gramEnd"/>
      <w:r>
        <w:t xml:space="preserve"> chloride; and</w:t>
      </w:r>
    </w:p>
    <w:p w:rsidR="007601F6" w:rsidRDefault="007601F6" w:rsidP="007467D7">
      <w:pPr>
        <w:pStyle w:val="Paragraph"/>
        <w:widowControl/>
      </w:pPr>
      <w:r>
        <w:t>(i)</w:t>
      </w:r>
      <w:r>
        <w:tab/>
      </w:r>
      <w:proofErr w:type="gramStart"/>
      <w:r>
        <w:t>sodium</w:t>
      </w:r>
      <w:proofErr w:type="gramEnd"/>
      <w:r>
        <w:t xml:space="preserve"> chloride; and</w:t>
      </w:r>
    </w:p>
    <w:p w:rsidR="007601F6" w:rsidRDefault="007601F6" w:rsidP="007467D7">
      <w:pPr>
        <w:pStyle w:val="Paragraph"/>
        <w:widowControl/>
      </w:pPr>
      <w:r>
        <w:t>(j)</w:t>
      </w:r>
      <w:r>
        <w:tab/>
      </w:r>
      <w:proofErr w:type="gramStart"/>
      <w:r>
        <w:t>calcium</w:t>
      </w:r>
      <w:proofErr w:type="gramEnd"/>
      <w:r>
        <w:t xml:space="preserve"> lactate; and</w:t>
      </w:r>
    </w:p>
    <w:p w:rsidR="007601F6" w:rsidRDefault="007601F6" w:rsidP="007467D7">
      <w:pPr>
        <w:pStyle w:val="Paragraph"/>
        <w:widowControl/>
      </w:pPr>
      <w:r>
        <w:t>(k)</w:t>
      </w:r>
      <w:r>
        <w:tab/>
      </w:r>
      <w:proofErr w:type="gramStart"/>
      <w:r>
        <w:t>magnesium</w:t>
      </w:r>
      <w:proofErr w:type="gramEnd"/>
      <w:r>
        <w:t xml:space="preserve"> lactate; and</w:t>
      </w:r>
    </w:p>
    <w:p w:rsidR="007601F6" w:rsidRPr="009F24E0" w:rsidRDefault="007601F6" w:rsidP="007467D7">
      <w:pPr>
        <w:pStyle w:val="Paragraph"/>
        <w:widowControl/>
      </w:pPr>
      <w:r w:rsidRPr="009F24E0">
        <w:t>(l)</w:t>
      </w:r>
      <w:r w:rsidRPr="009F24E0">
        <w:tab/>
      </w:r>
      <w:proofErr w:type="gramStart"/>
      <w:r w:rsidRPr="009F24E0">
        <w:t>magnesium</w:t>
      </w:r>
      <w:proofErr w:type="gramEnd"/>
      <w:r w:rsidRPr="009F24E0">
        <w:t xml:space="preserve"> sulphate.</w:t>
      </w:r>
    </w:p>
    <w:p w:rsidR="007601F6" w:rsidRDefault="007601F6" w:rsidP="007467D7">
      <w:pPr>
        <w:widowControl/>
      </w:pPr>
    </w:p>
    <w:p w:rsidR="007601F6" w:rsidRDefault="007601F6" w:rsidP="007467D7">
      <w:pPr>
        <w:pStyle w:val="Clauseheading"/>
        <w:widowControl/>
      </w:pPr>
      <w:r>
        <w:t>15</w:t>
      </w:r>
      <w:r>
        <w:tab/>
        <w:t>Labelling of electrolyte drinks and electrolyte drink bases</w:t>
      </w:r>
    </w:p>
    <w:p w:rsidR="007601F6" w:rsidRDefault="007601F6" w:rsidP="007467D7">
      <w:pPr>
        <w:widowControl/>
      </w:pPr>
    </w:p>
    <w:p w:rsidR="007601F6" w:rsidRDefault="00BB4143" w:rsidP="007467D7">
      <w:pPr>
        <w:pStyle w:val="Subclause"/>
        <w:widowControl/>
      </w:pPr>
      <w:r>
        <w:t>(1)</w:t>
      </w:r>
      <w:r>
        <w:tab/>
      </w:r>
      <w:r w:rsidR="007601F6">
        <w:t>The label on a package of electrolyte drink or electrolyte drink base must include a nutrition information panel.</w:t>
      </w:r>
    </w:p>
    <w:p w:rsidR="007601F6" w:rsidRPr="00710849" w:rsidRDefault="007601F6" w:rsidP="007467D7">
      <w:pPr>
        <w:widowControl/>
      </w:pPr>
    </w:p>
    <w:p w:rsidR="007601F6" w:rsidRDefault="00BB4143" w:rsidP="007467D7">
      <w:pPr>
        <w:pStyle w:val="Subclause"/>
        <w:widowControl/>
      </w:pPr>
      <w:r>
        <w:t>(2)</w:t>
      </w:r>
      <w:r>
        <w:tab/>
      </w:r>
      <w:r w:rsidR="007601F6">
        <w:t>The nutrition information panel</w:t>
      </w:r>
      <w:r w:rsidR="007601F6">
        <w:rPr>
          <w:b/>
        </w:rPr>
        <w:t xml:space="preserve"> </w:t>
      </w:r>
      <w:r w:rsidR="007601F6">
        <w:t>referred to in subclause (1) must include a declaration of the average quantity per serving and per unit quantity, as ready to drink, of –</w:t>
      </w:r>
    </w:p>
    <w:p w:rsidR="007601F6" w:rsidRDefault="007601F6" w:rsidP="007467D7">
      <w:pPr>
        <w:widowControl/>
      </w:pPr>
    </w:p>
    <w:p w:rsidR="007601F6" w:rsidRDefault="00BB4143" w:rsidP="007467D7">
      <w:pPr>
        <w:pStyle w:val="Paragraph"/>
        <w:widowControl/>
      </w:pPr>
      <w:r>
        <w:t>(a)</w:t>
      </w:r>
      <w:r>
        <w:tab/>
      </w:r>
      <w:proofErr w:type="gramStart"/>
      <w:r w:rsidR="007601F6">
        <w:t>each</w:t>
      </w:r>
      <w:proofErr w:type="gramEnd"/>
      <w:r w:rsidR="007601F6">
        <w:t xml:space="preserve"> type of monosaccharide and disaccharide present; and</w:t>
      </w:r>
    </w:p>
    <w:p w:rsidR="007601F6" w:rsidRDefault="00BB4143" w:rsidP="007467D7">
      <w:pPr>
        <w:pStyle w:val="Paragraph"/>
        <w:widowControl/>
      </w:pPr>
      <w:r>
        <w:t>(b)</w:t>
      </w:r>
      <w:r>
        <w:tab/>
      </w:r>
      <w:proofErr w:type="gramStart"/>
      <w:r w:rsidR="007601F6">
        <w:t>milligrams</w:t>
      </w:r>
      <w:proofErr w:type="gramEnd"/>
      <w:r w:rsidR="007601F6">
        <w:t xml:space="preserve"> and millimoles of the added minerals and electrolytes.</w:t>
      </w:r>
    </w:p>
    <w:p w:rsidR="007601F6" w:rsidRDefault="007601F6" w:rsidP="007467D7">
      <w:pPr>
        <w:widowControl/>
      </w:pPr>
    </w:p>
    <w:p w:rsidR="007601F6" w:rsidRDefault="00BB4143" w:rsidP="007467D7">
      <w:pPr>
        <w:pStyle w:val="Subclause"/>
        <w:widowControl/>
      </w:pPr>
      <w:r>
        <w:t>(3)</w:t>
      </w:r>
      <w:r>
        <w:tab/>
      </w:r>
      <w:r w:rsidR="007601F6">
        <w:t>The information prescribed in subclause (2) must be provided in accordance with clause 4 of Standard 1.2.8 if –</w:t>
      </w:r>
    </w:p>
    <w:p w:rsidR="007601F6" w:rsidRDefault="007601F6" w:rsidP="007467D7">
      <w:pPr>
        <w:pStyle w:val="Clause"/>
        <w:widowControl/>
      </w:pPr>
    </w:p>
    <w:p w:rsidR="007601F6" w:rsidRDefault="00BB4143" w:rsidP="007467D7">
      <w:pPr>
        <w:pStyle w:val="Paragraph"/>
        <w:widowControl/>
      </w:pPr>
      <w:r>
        <w:t>(a)</w:t>
      </w:r>
      <w:r>
        <w:tab/>
      </w:r>
      <w:proofErr w:type="gramStart"/>
      <w:r w:rsidR="007601F6" w:rsidRPr="00700F8C">
        <w:t>a</w:t>
      </w:r>
      <w:proofErr w:type="gramEnd"/>
      <w:r w:rsidR="007601F6" w:rsidRPr="00700F8C">
        <w:t xml:space="preserve"> claim requiring nutrition information is made </w:t>
      </w:r>
      <w:r w:rsidR="007601F6">
        <w:t>about an electrolyte drink or electrolyte drink base; and</w:t>
      </w:r>
    </w:p>
    <w:p w:rsidR="007601F6" w:rsidRDefault="00BB4143" w:rsidP="007467D7">
      <w:pPr>
        <w:pStyle w:val="Paragraph"/>
        <w:widowControl/>
      </w:pPr>
      <w:r>
        <w:t>(</w:t>
      </w:r>
      <w:r w:rsidR="00C96385">
        <w:t>b</w:t>
      </w:r>
      <w:r>
        <w:t>)</w:t>
      </w:r>
      <w:r>
        <w:tab/>
      </w:r>
      <w:proofErr w:type="gramStart"/>
      <w:r w:rsidR="007601F6">
        <w:t>the</w:t>
      </w:r>
      <w:proofErr w:type="gramEnd"/>
      <w:r w:rsidR="007601F6">
        <w:t xml:space="preserve"> electrolyte drink or electrolyte drink base is not required to bear a label pursuant to clause 2 of Standard 1.2.1.  </w:t>
      </w:r>
    </w:p>
    <w:p w:rsidR="007601F6" w:rsidRDefault="007601F6" w:rsidP="007467D7">
      <w:pPr>
        <w:widowControl/>
      </w:pPr>
    </w:p>
    <w:p w:rsidR="007601F6" w:rsidRDefault="00BB4143" w:rsidP="007467D7">
      <w:pPr>
        <w:pStyle w:val="Subclause"/>
        <w:widowControl/>
      </w:pPr>
      <w:r>
        <w:t>(4)</w:t>
      </w:r>
      <w:r>
        <w:tab/>
      </w:r>
      <w:r w:rsidR="007601F6" w:rsidRPr="00211455">
        <w:t>Electrolyte drink is a prescribed name for electrolyte drinks and electrolyte drink bases.</w:t>
      </w:r>
    </w:p>
    <w:p w:rsidR="007601F6" w:rsidRDefault="007601F6" w:rsidP="007467D7">
      <w:pPr>
        <w:widowControl/>
      </w:pPr>
    </w:p>
    <w:p w:rsidR="007601F6" w:rsidRDefault="00BB4143" w:rsidP="007467D7">
      <w:pPr>
        <w:pStyle w:val="Subclause"/>
        <w:widowControl/>
      </w:pPr>
      <w:r>
        <w:t>(5)</w:t>
      </w:r>
      <w:r>
        <w:tab/>
      </w:r>
      <w:r w:rsidR="007601F6">
        <w:t xml:space="preserve">For the purposes of this clause, </w:t>
      </w:r>
      <w:r w:rsidR="007601F6">
        <w:rPr>
          <w:b/>
        </w:rPr>
        <w:t>unit quantity</w:t>
      </w:r>
      <w:r w:rsidR="007601F6">
        <w:t xml:space="preserve"> has the meaning given by Standard 1.2.8.</w:t>
      </w:r>
    </w:p>
    <w:p w:rsidR="007601F6" w:rsidRDefault="007601F6" w:rsidP="007467D7">
      <w:pPr>
        <w:widowControl/>
      </w:pPr>
    </w:p>
    <w:p w:rsidR="007601F6" w:rsidRDefault="00BB4143" w:rsidP="007467D7">
      <w:pPr>
        <w:pStyle w:val="Subclause"/>
        <w:widowControl/>
      </w:pPr>
      <w:r>
        <w:t>(6)</w:t>
      </w:r>
      <w:r>
        <w:tab/>
      </w:r>
      <w:r w:rsidR="007601F6">
        <w:t xml:space="preserve">For the purposes of this clause, </w:t>
      </w:r>
      <w:r w:rsidR="007601F6" w:rsidRPr="0038153C">
        <w:rPr>
          <w:b/>
        </w:rPr>
        <w:t>a</w:t>
      </w:r>
      <w:r w:rsidR="007601F6" w:rsidRPr="007C7925">
        <w:rPr>
          <w:b/>
        </w:rPr>
        <w:t xml:space="preserve"> claim requiring nutrition information</w:t>
      </w:r>
      <w:r w:rsidR="007601F6">
        <w:t xml:space="preserve"> has the meaning given by Standard 1.2.8.</w:t>
      </w:r>
    </w:p>
    <w:p w:rsidR="007601F6" w:rsidRDefault="007601F6" w:rsidP="007467D7">
      <w:pPr>
        <w:pStyle w:val="Clauseheading"/>
        <w:widowControl/>
      </w:pPr>
    </w:p>
    <w:p w:rsidR="007601F6" w:rsidRDefault="007601F6" w:rsidP="007467D7">
      <w:pPr>
        <w:pStyle w:val="Clauseheading"/>
        <w:widowControl/>
      </w:pPr>
      <w:r>
        <w:t>16</w:t>
      </w:r>
      <w:r>
        <w:tab/>
        <w:t>H</w:t>
      </w:r>
      <w:r w:rsidRPr="000C3610">
        <w:t>ealth claims</w:t>
      </w:r>
      <w:r>
        <w:t xml:space="preserve"> about e</w:t>
      </w:r>
      <w:r w:rsidRPr="000C3610">
        <w:t>lectrolyte drinks and electrolyte drink bases</w:t>
      </w:r>
      <w:r>
        <w:tab/>
      </w:r>
    </w:p>
    <w:p w:rsidR="007601F6" w:rsidRDefault="007601F6" w:rsidP="007467D7">
      <w:pPr>
        <w:pStyle w:val="Clause"/>
        <w:widowControl/>
      </w:pPr>
    </w:p>
    <w:p w:rsidR="007601F6" w:rsidRDefault="007601F6" w:rsidP="007467D7">
      <w:pPr>
        <w:pStyle w:val="Clause"/>
        <w:widowControl/>
      </w:pPr>
      <w:r>
        <w:t>A health claim made about an electrolyte drink or an electrolyte drink base must –</w:t>
      </w:r>
    </w:p>
    <w:p w:rsidR="007601F6" w:rsidRPr="00A870AD" w:rsidRDefault="007601F6" w:rsidP="007467D7">
      <w:pPr>
        <w:pStyle w:val="Subclause"/>
        <w:widowControl/>
      </w:pPr>
    </w:p>
    <w:p w:rsidR="007601F6" w:rsidRDefault="00BB4143" w:rsidP="007467D7">
      <w:pPr>
        <w:pStyle w:val="Paragraph"/>
        <w:widowControl/>
      </w:pPr>
      <w:r>
        <w:t>(a)</w:t>
      </w:r>
      <w:r>
        <w:tab/>
      </w:r>
      <w:proofErr w:type="gramStart"/>
      <w:r w:rsidR="007601F6">
        <w:t>be</w:t>
      </w:r>
      <w:proofErr w:type="gramEnd"/>
      <w:r w:rsidR="007601F6">
        <w:t xml:space="preserve"> made in accordance with Standard 1.2.7; and</w:t>
      </w:r>
    </w:p>
    <w:p w:rsidR="007601F6" w:rsidRPr="0041578D" w:rsidRDefault="007601F6" w:rsidP="007467D7">
      <w:pPr>
        <w:pStyle w:val="Paragraph"/>
        <w:widowControl/>
        <w:rPr>
          <w:highlight w:val="yellow"/>
        </w:rPr>
      </w:pPr>
      <w:r>
        <w:t>(b)</w:t>
      </w:r>
      <w:r>
        <w:tab/>
      </w:r>
      <w:proofErr w:type="gramStart"/>
      <w:r w:rsidRPr="007565E0">
        <w:t>relate</w:t>
      </w:r>
      <w:proofErr w:type="gramEnd"/>
      <w:r w:rsidRPr="007565E0">
        <w:t xml:space="preserve"> only </w:t>
      </w:r>
      <w:r>
        <w:t>to the rapid replacement of fluid, carbohydrates and electrolytes lost as a result of sustained strenuous physical activity</w:t>
      </w:r>
      <w:r w:rsidRPr="007565E0">
        <w:t>.</w:t>
      </w:r>
    </w:p>
    <w:p w:rsidR="007601F6" w:rsidRDefault="007601F6" w:rsidP="007467D7">
      <w:pPr>
        <w:pStyle w:val="Clause"/>
        <w:widowControl/>
      </w:pPr>
    </w:p>
    <w:p w:rsidR="007601F6" w:rsidRDefault="007601F6" w:rsidP="007467D7">
      <w:pPr>
        <w:pStyle w:val="Clauseheading"/>
        <w:widowControl/>
      </w:pPr>
      <w:r>
        <w:t>17</w:t>
      </w:r>
      <w:r>
        <w:tab/>
        <w:t>Claims in relation to the tonicity of electrolyte drinks</w:t>
      </w:r>
    </w:p>
    <w:p w:rsidR="007601F6" w:rsidRDefault="007601F6" w:rsidP="007467D7">
      <w:pPr>
        <w:widowControl/>
      </w:pPr>
    </w:p>
    <w:p w:rsidR="007601F6" w:rsidRPr="00BB4143" w:rsidRDefault="007601F6" w:rsidP="007467D7">
      <w:pPr>
        <w:pStyle w:val="Subclause"/>
        <w:widowControl/>
      </w:pPr>
      <w:r w:rsidRPr="00BB4143">
        <w:t>(1)</w:t>
      </w:r>
      <w:r w:rsidRPr="00BB4143">
        <w:tab/>
        <w:t>A claim that an electrolyte drink is isotonic may only be made if the electrolyte drink has an average osmolality of 250</w:t>
      </w:r>
      <w:r w:rsidR="00C96385">
        <w:t>–</w:t>
      </w:r>
      <w:r w:rsidRPr="00BB4143">
        <w:t>340 milliOsmol/L.</w:t>
      </w:r>
    </w:p>
    <w:p w:rsidR="007601F6" w:rsidRPr="00BB4143" w:rsidRDefault="007601F6" w:rsidP="007467D7">
      <w:pPr>
        <w:pStyle w:val="Subclause"/>
        <w:widowControl/>
      </w:pPr>
    </w:p>
    <w:p w:rsidR="007601F6" w:rsidRPr="00BB4143" w:rsidRDefault="007601F6" w:rsidP="007467D7">
      <w:pPr>
        <w:pStyle w:val="Subclause"/>
        <w:widowControl/>
      </w:pPr>
      <w:r w:rsidRPr="00BB4143">
        <w:t>(2)</w:t>
      </w:r>
      <w:r w:rsidRPr="00BB4143">
        <w:tab/>
        <w:t>Where a claim is made that an electrolyte drink is isotonic, hypertonic or hypotonic, the osmolality of the electrolyte drink as measured in milliOsmol/L must be declared on the label of the package.</w:t>
      </w:r>
    </w:p>
    <w:p w:rsidR="00947D34" w:rsidRDefault="00947D34" w:rsidP="007467D7">
      <w:pPr>
        <w:pStyle w:val="Subclause"/>
        <w:widowControl/>
      </w:pPr>
      <w:r>
        <w:br w:type="page"/>
      </w:r>
    </w:p>
    <w:p w:rsidR="007601F6" w:rsidRPr="00BB4143" w:rsidRDefault="00BB4143" w:rsidP="007467D7">
      <w:pPr>
        <w:pStyle w:val="Subclause"/>
        <w:widowControl/>
      </w:pPr>
      <w:r>
        <w:lastRenderedPageBreak/>
        <w:t>(3)</w:t>
      </w:r>
      <w:r>
        <w:tab/>
      </w:r>
      <w:r w:rsidR="007601F6" w:rsidRPr="00BB4143">
        <w:t xml:space="preserve">The label on a package of isotonic electrolyte drink may include words to the effect that the product is designed to promote the availability of energy and to prevent or treat mild dehydration that may occur as a result of sustained strenuous exercise.” </w:t>
      </w:r>
    </w:p>
    <w:p w:rsidR="007601F6" w:rsidRPr="00EC184B" w:rsidRDefault="007601F6" w:rsidP="00EC184B">
      <w:pPr>
        <w:pStyle w:val="Subclause"/>
      </w:pPr>
    </w:p>
    <w:p w:rsidR="00947D34" w:rsidRDefault="007601F6" w:rsidP="007467D7">
      <w:pPr>
        <w:pStyle w:val="Subclause"/>
        <w:widowControl/>
        <w:rPr>
          <w:iCs/>
        </w:rPr>
      </w:pPr>
      <w:r>
        <w:t>[4.</w:t>
      </w:r>
      <w:r w:rsidR="00EB51DF">
        <w:t>9</w:t>
      </w:r>
      <w:r>
        <w:t>]</w:t>
      </w:r>
      <w:r>
        <w:tab/>
      </w:r>
      <w:r w:rsidRPr="00654331">
        <w:t>updating the Table of Provisions</w:t>
      </w:r>
      <w:r w:rsidRPr="00654331">
        <w:rPr>
          <w:iCs/>
        </w:rPr>
        <w:t xml:space="preserve"> to reflect these variations</w:t>
      </w:r>
    </w:p>
    <w:p w:rsidR="00AF06FC" w:rsidRDefault="00AF06FC" w:rsidP="007467D7">
      <w:pPr>
        <w:pStyle w:val="Subclause"/>
        <w:widowControl/>
      </w:pPr>
      <w:r>
        <w:br w:type="page"/>
      </w:r>
    </w:p>
    <w:p w:rsidR="00AF06FC" w:rsidRDefault="00AF06FC" w:rsidP="007467D7">
      <w:pPr>
        <w:pStyle w:val="Heading2"/>
        <w:widowControl/>
      </w:pPr>
      <w:bookmarkStart w:id="97" w:name="_Toc300933454"/>
      <w:bookmarkStart w:id="98" w:name="_Toc395775028"/>
      <w:r w:rsidRPr="00932F14">
        <w:lastRenderedPageBreak/>
        <w:t xml:space="preserve">Attachment </w:t>
      </w:r>
      <w:r>
        <w:t>B – Draft Explanatory Statement</w:t>
      </w:r>
      <w:bookmarkEnd w:id="97"/>
      <w:bookmarkEnd w:id="98"/>
    </w:p>
    <w:p w:rsidR="007601F6" w:rsidRPr="000576EB" w:rsidRDefault="007601F6" w:rsidP="007467D7">
      <w:pPr>
        <w:widowControl/>
        <w:rPr>
          <w:b/>
          <w:lang w:val="en-AU" w:eastAsia="en-GB" w:bidi="ar-SA"/>
        </w:rPr>
      </w:pPr>
      <w:r w:rsidRPr="000576EB">
        <w:rPr>
          <w:b/>
          <w:lang w:val="en-AU" w:eastAsia="en-GB" w:bidi="ar-SA"/>
        </w:rPr>
        <w:t>Authority</w:t>
      </w:r>
    </w:p>
    <w:p w:rsidR="007601F6" w:rsidRDefault="007601F6" w:rsidP="007467D7">
      <w:pPr>
        <w:widowControl/>
        <w:rPr>
          <w:lang w:val="en-AU" w:eastAsia="en-GB" w:bidi="ar-SA"/>
        </w:rPr>
      </w:pPr>
    </w:p>
    <w:p w:rsidR="007601F6" w:rsidRPr="00D13E34" w:rsidRDefault="007601F6" w:rsidP="007467D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7601F6" w:rsidRPr="00D13E34" w:rsidRDefault="007601F6" w:rsidP="007467D7">
      <w:pPr>
        <w:widowControl/>
        <w:autoSpaceDE w:val="0"/>
        <w:autoSpaceDN w:val="0"/>
        <w:adjustRightInd w:val="0"/>
        <w:rPr>
          <w:rFonts w:eastAsia="Calibri" w:cs="Arial"/>
          <w:bCs/>
          <w:szCs w:val="22"/>
          <w:lang w:val="en-AU" w:bidi="ar-SA"/>
        </w:rPr>
      </w:pPr>
    </w:p>
    <w:p w:rsidR="007601F6" w:rsidRPr="0010364B" w:rsidRDefault="007601F6" w:rsidP="007467D7">
      <w:pPr>
        <w:widowControl/>
        <w:autoSpaceDE w:val="0"/>
        <w:autoSpaceDN w:val="0"/>
        <w:adjustRightInd w:val="0"/>
        <w:rPr>
          <w:rFonts w:eastAsia="Calibri" w:cs="Arial"/>
          <w:bCs/>
          <w:szCs w:val="22"/>
          <w:lang w:val="en-AU" w:bidi="ar-SA"/>
        </w:rPr>
      </w:pPr>
      <w:r w:rsidRPr="0010364B">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7601F6" w:rsidRPr="00A01877" w:rsidRDefault="007601F6" w:rsidP="007467D7">
      <w:pPr>
        <w:widowControl/>
        <w:autoSpaceDE w:val="0"/>
        <w:autoSpaceDN w:val="0"/>
        <w:adjustRightInd w:val="0"/>
        <w:rPr>
          <w:rFonts w:eastAsia="Calibri" w:cs="Arial"/>
          <w:bCs/>
          <w:szCs w:val="22"/>
          <w:lang w:val="en-AU" w:bidi="ar-SA"/>
        </w:rPr>
      </w:pPr>
    </w:p>
    <w:p w:rsidR="007601F6" w:rsidRPr="00A01877" w:rsidRDefault="007601F6" w:rsidP="007467D7">
      <w:pPr>
        <w:widowControl/>
        <w:autoSpaceDE w:val="0"/>
        <w:autoSpaceDN w:val="0"/>
        <w:adjustRightInd w:val="0"/>
        <w:rPr>
          <w:rFonts w:eastAsia="Calibri" w:cs="Arial"/>
          <w:bCs/>
          <w:szCs w:val="22"/>
          <w:lang w:val="en-AU" w:bidi="ar-SA"/>
        </w:rPr>
      </w:pPr>
      <w:r w:rsidRPr="00A01877">
        <w:rPr>
          <w:rFonts w:eastAsia="Calibri" w:cs="Arial"/>
          <w:bCs/>
          <w:szCs w:val="22"/>
          <w:lang w:val="en-AU" w:bidi="ar-SA"/>
        </w:rPr>
        <w:t xml:space="preserve">FSANZ prepared Proposal P1030 to permit </w:t>
      </w:r>
      <w:r w:rsidR="00F10DE8" w:rsidRPr="00A01877">
        <w:rPr>
          <w:rFonts w:eastAsia="Calibri" w:cs="Arial"/>
          <w:bCs/>
          <w:szCs w:val="22"/>
          <w:lang w:val="en-AU" w:bidi="ar-SA"/>
        </w:rPr>
        <w:t xml:space="preserve">formulated supplementary sports foods and </w:t>
      </w:r>
      <w:r w:rsidRPr="00A01877">
        <w:rPr>
          <w:rFonts w:eastAsia="Calibri" w:cs="Arial"/>
          <w:bCs/>
          <w:szCs w:val="22"/>
          <w:lang w:val="en-AU" w:bidi="ar-SA"/>
        </w:rPr>
        <w:t xml:space="preserve">electrolyte drinks, electrolyte drink bases to </w:t>
      </w:r>
      <w:r w:rsidR="00FD185E">
        <w:rPr>
          <w:rFonts w:eastAsia="Calibri" w:cs="Arial"/>
          <w:bCs/>
          <w:szCs w:val="22"/>
          <w:lang w:val="en-AU" w:bidi="ar-SA"/>
        </w:rPr>
        <w:t>carry</w:t>
      </w:r>
      <w:r w:rsidR="00FD185E" w:rsidRPr="00A01877">
        <w:rPr>
          <w:rFonts w:eastAsia="Calibri" w:cs="Arial"/>
          <w:bCs/>
          <w:szCs w:val="22"/>
          <w:lang w:val="en-AU" w:bidi="ar-SA"/>
        </w:rPr>
        <w:t xml:space="preserve"> </w:t>
      </w:r>
      <w:r w:rsidRPr="00A01877">
        <w:rPr>
          <w:rFonts w:eastAsia="Calibri" w:cs="Arial"/>
          <w:bCs/>
          <w:szCs w:val="22"/>
          <w:lang w:val="en-AU" w:bidi="ar-SA"/>
        </w:rPr>
        <w:t xml:space="preserve">health claims on their labels and in advertising and to transfer the regulation of electrolyte drinks and electrolyte drink bases </w:t>
      </w:r>
      <w:r w:rsidR="00C9507B">
        <w:rPr>
          <w:rFonts w:eastAsia="Calibri" w:cs="Arial"/>
          <w:bCs/>
          <w:szCs w:val="22"/>
          <w:lang w:val="en-AU" w:bidi="ar-SA"/>
        </w:rPr>
        <w:t xml:space="preserve">from Part 2.6 </w:t>
      </w:r>
      <w:r w:rsidRPr="00A01877">
        <w:rPr>
          <w:rFonts w:eastAsia="Calibri" w:cs="Arial"/>
          <w:bCs/>
          <w:szCs w:val="22"/>
          <w:lang w:val="en-AU" w:bidi="ar-SA"/>
        </w:rPr>
        <w:t xml:space="preserve">to Part 2.9 of the Code. The Authority considered the Proposal in accordance with Division 2 of Part 3 and has approved a draft </w:t>
      </w:r>
      <w:r w:rsidR="0098651F">
        <w:rPr>
          <w:rFonts w:eastAsia="Calibri" w:cs="Arial"/>
          <w:bCs/>
          <w:szCs w:val="22"/>
          <w:lang w:val="en-AU" w:bidi="ar-SA"/>
        </w:rPr>
        <w:t>variation</w:t>
      </w:r>
      <w:r w:rsidRPr="00A01877">
        <w:rPr>
          <w:rFonts w:eastAsia="Calibri" w:cs="Arial"/>
          <w:bCs/>
          <w:szCs w:val="22"/>
          <w:lang w:val="en-AU" w:bidi="ar-SA"/>
        </w:rPr>
        <w:t xml:space="preserve">. </w:t>
      </w:r>
    </w:p>
    <w:p w:rsidR="007601F6" w:rsidRPr="00A01877" w:rsidRDefault="007601F6" w:rsidP="007467D7">
      <w:pPr>
        <w:widowControl/>
        <w:autoSpaceDE w:val="0"/>
        <w:autoSpaceDN w:val="0"/>
        <w:adjustRightInd w:val="0"/>
        <w:rPr>
          <w:rFonts w:eastAsia="Calibri" w:cs="Arial"/>
          <w:bCs/>
          <w:szCs w:val="22"/>
          <w:lang w:val="en-AU" w:bidi="ar-SA"/>
        </w:rPr>
      </w:pPr>
    </w:p>
    <w:p w:rsidR="00C646F4" w:rsidRPr="00A01877" w:rsidRDefault="00C646F4" w:rsidP="007467D7">
      <w:pPr>
        <w:widowControl/>
        <w:jc w:val="both"/>
        <w:rPr>
          <w:b/>
          <w:lang w:val="en-AU" w:eastAsia="en-GB" w:bidi="ar-SA"/>
        </w:rPr>
      </w:pPr>
      <w:r w:rsidRPr="00A01877">
        <w:rPr>
          <w:b/>
          <w:lang w:val="en-AU" w:eastAsia="en-GB" w:bidi="ar-SA"/>
        </w:rPr>
        <w:t>2.</w:t>
      </w:r>
      <w:r w:rsidRPr="00A01877">
        <w:rPr>
          <w:b/>
          <w:lang w:val="en-AU" w:eastAsia="en-GB" w:bidi="ar-SA"/>
        </w:rPr>
        <w:tab/>
        <w:t xml:space="preserve">Purpose </w:t>
      </w:r>
    </w:p>
    <w:p w:rsidR="00C646F4" w:rsidRPr="00A01877" w:rsidRDefault="00C646F4" w:rsidP="00C96385">
      <w:pPr>
        <w:rPr>
          <w:lang w:val="en-AU" w:eastAsia="en-GB" w:bidi="ar-SA"/>
        </w:rPr>
      </w:pPr>
    </w:p>
    <w:p w:rsidR="00C646F4" w:rsidRPr="00A01877" w:rsidRDefault="00C646F4" w:rsidP="00F10DE8">
      <w:pPr>
        <w:widowControl/>
        <w:rPr>
          <w:lang w:val="en-AU" w:eastAsia="en-GB" w:bidi="ar-SA"/>
        </w:rPr>
      </w:pPr>
      <w:r w:rsidRPr="00A01877">
        <w:rPr>
          <w:lang w:val="en-AU" w:eastAsia="en-GB" w:bidi="ar-SA"/>
        </w:rPr>
        <w:t xml:space="preserve">The Authority has approved a draft variation that permits </w:t>
      </w:r>
      <w:r w:rsidR="00F10DE8" w:rsidRPr="00A01877">
        <w:rPr>
          <w:lang w:val="en-AU" w:eastAsia="en-GB" w:bidi="ar-SA"/>
        </w:rPr>
        <w:t xml:space="preserve">formulated supplementary sports foods and </w:t>
      </w:r>
      <w:r w:rsidRPr="00A01877">
        <w:rPr>
          <w:lang w:val="en-AU" w:eastAsia="en-GB" w:bidi="ar-SA"/>
        </w:rPr>
        <w:t xml:space="preserve">electrolyte drinks, electrolyte drink bases to </w:t>
      </w:r>
      <w:r>
        <w:rPr>
          <w:lang w:val="en-AU" w:eastAsia="en-GB" w:bidi="ar-SA"/>
        </w:rPr>
        <w:t>carry</w:t>
      </w:r>
      <w:r w:rsidRPr="00A01877">
        <w:rPr>
          <w:lang w:val="en-AU" w:eastAsia="en-GB" w:bidi="ar-SA"/>
        </w:rPr>
        <w:t xml:space="preserve"> health claims related to their purpose</w:t>
      </w:r>
      <w:r>
        <w:rPr>
          <w:lang w:val="en-AU" w:eastAsia="en-GB" w:bidi="ar-SA"/>
        </w:rPr>
        <w:t xml:space="preserve">. These claims must be made </w:t>
      </w:r>
      <w:r w:rsidRPr="00A01877">
        <w:rPr>
          <w:lang w:val="en-AU" w:eastAsia="en-GB" w:bidi="ar-SA"/>
        </w:rPr>
        <w:t>in accordance with the requirements of Standard 1.2.7 – Nutrition, Health and Related Claims. The draft variation do</w:t>
      </w:r>
      <w:r>
        <w:rPr>
          <w:lang w:val="en-AU" w:eastAsia="en-GB" w:bidi="ar-SA"/>
        </w:rPr>
        <w:t>es</w:t>
      </w:r>
      <w:r w:rsidRPr="00A01877">
        <w:rPr>
          <w:lang w:val="en-AU" w:eastAsia="en-GB" w:bidi="ar-SA"/>
        </w:rPr>
        <w:t xml:space="preserve"> not change the compositional permissions for formulated supplementary sports foods, electrolyte drinks and electrolyte drink bases</w:t>
      </w:r>
      <w:r>
        <w:rPr>
          <w:lang w:val="en-AU" w:eastAsia="en-GB" w:bidi="ar-SA"/>
        </w:rPr>
        <w:t>;</w:t>
      </w:r>
      <w:r w:rsidRPr="00A01877">
        <w:rPr>
          <w:lang w:val="en-AU" w:eastAsia="en-GB" w:bidi="ar-SA"/>
        </w:rPr>
        <w:t xml:space="preserve"> or the permissions for nutrition content claims. </w:t>
      </w:r>
    </w:p>
    <w:p w:rsidR="00C646F4" w:rsidRPr="00A01877" w:rsidRDefault="00C646F4" w:rsidP="00F10DE8">
      <w:pPr>
        <w:widowControl/>
        <w:rPr>
          <w:lang w:val="en-AU" w:eastAsia="en-GB" w:bidi="ar-SA"/>
        </w:rPr>
      </w:pPr>
    </w:p>
    <w:p w:rsidR="00C646F4" w:rsidRDefault="00C646F4" w:rsidP="00F10DE8">
      <w:pPr>
        <w:widowControl/>
        <w:rPr>
          <w:lang w:val="en-AU" w:eastAsia="en-GB" w:bidi="ar-SA"/>
        </w:rPr>
      </w:pPr>
      <w:r>
        <w:rPr>
          <w:lang w:val="en-AU" w:eastAsia="en-GB" w:bidi="ar-SA"/>
        </w:rPr>
        <w:t>In addition, t</w:t>
      </w:r>
      <w:r w:rsidRPr="00A01877">
        <w:rPr>
          <w:lang w:val="en-AU" w:eastAsia="en-GB" w:bidi="ar-SA"/>
        </w:rPr>
        <w:t>he draft variation transfers the regulation of electrolyte drinks and electrolyte drink bases from Standard 2.6.2 – Non-Alcoholic Beverages and Brewed Soft Drinks to Standard 2.9.4 – Formulated Supplementary Sports Foods. This recognises that electrolyte drinks and electrolyte drink</w:t>
      </w:r>
      <w:r>
        <w:rPr>
          <w:lang w:val="en-AU" w:eastAsia="en-GB" w:bidi="ar-SA"/>
        </w:rPr>
        <w:t xml:space="preserve"> </w:t>
      </w:r>
      <w:r w:rsidRPr="00A01877">
        <w:rPr>
          <w:lang w:val="en-AU" w:eastAsia="en-GB" w:bidi="ar-SA"/>
        </w:rPr>
        <w:t>bases are formulated for a specific purpose</w:t>
      </w:r>
      <w:r>
        <w:rPr>
          <w:lang w:val="en-AU" w:eastAsia="en-GB" w:bidi="ar-SA"/>
        </w:rPr>
        <w:t>,</w:t>
      </w:r>
      <w:r w:rsidRPr="00A01877">
        <w:rPr>
          <w:lang w:val="en-AU" w:eastAsia="en-GB" w:bidi="ar-SA"/>
        </w:rPr>
        <w:t xml:space="preserve"> have prescribed composition to </w:t>
      </w:r>
      <w:r>
        <w:rPr>
          <w:lang w:val="en-AU" w:eastAsia="en-GB" w:bidi="ar-SA"/>
        </w:rPr>
        <w:t>achieve</w:t>
      </w:r>
      <w:r w:rsidRPr="00A01877">
        <w:rPr>
          <w:lang w:val="en-AU" w:eastAsia="en-GB" w:bidi="ar-SA"/>
        </w:rPr>
        <w:t xml:space="preserve"> </w:t>
      </w:r>
      <w:r>
        <w:rPr>
          <w:lang w:val="en-AU" w:eastAsia="en-GB" w:bidi="ar-SA"/>
        </w:rPr>
        <w:t>that</w:t>
      </w:r>
      <w:r w:rsidRPr="00A01877">
        <w:rPr>
          <w:lang w:val="en-AU" w:eastAsia="en-GB" w:bidi="ar-SA"/>
        </w:rPr>
        <w:t xml:space="preserve"> purpose</w:t>
      </w:r>
      <w:r>
        <w:rPr>
          <w:lang w:val="en-AU" w:eastAsia="en-GB" w:bidi="ar-SA"/>
        </w:rPr>
        <w:t>,</w:t>
      </w:r>
      <w:r w:rsidRPr="00A01877">
        <w:rPr>
          <w:lang w:val="en-AU" w:eastAsia="en-GB" w:bidi="ar-SA"/>
        </w:rPr>
        <w:t xml:space="preserve"> and as such</w:t>
      </w:r>
      <w:r>
        <w:rPr>
          <w:lang w:val="en-AU" w:eastAsia="en-GB" w:bidi="ar-SA"/>
        </w:rPr>
        <w:t>,</w:t>
      </w:r>
      <w:r w:rsidRPr="00A01877">
        <w:rPr>
          <w:lang w:val="en-AU" w:eastAsia="en-GB" w:bidi="ar-SA"/>
        </w:rPr>
        <w:t xml:space="preserve"> are better regulated in the section of the Code</w:t>
      </w:r>
      <w:r>
        <w:rPr>
          <w:lang w:val="en-AU" w:eastAsia="en-GB" w:bidi="ar-SA"/>
        </w:rPr>
        <w:t xml:space="preserve"> that relates to </w:t>
      </w:r>
      <w:r w:rsidRPr="00A01877">
        <w:rPr>
          <w:lang w:val="en-AU" w:eastAsia="en-GB" w:bidi="ar-SA"/>
        </w:rPr>
        <w:t>special purpose</w:t>
      </w:r>
      <w:r>
        <w:rPr>
          <w:lang w:val="en-AU" w:eastAsia="en-GB" w:bidi="ar-SA"/>
        </w:rPr>
        <w:t xml:space="preserve"> foods</w:t>
      </w:r>
      <w:r w:rsidRPr="00A01877">
        <w:rPr>
          <w:lang w:val="en-AU" w:eastAsia="en-GB" w:bidi="ar-SA"/>
        </w:rPr>
        <w:t xml:space="preserve">. </w:t>
      </w:r>
    </w:p>
    <w:p w:rsidR="00C646F4" w:rsidRDefault="00C646F4" w:rsidP="00C96385">
      <w:pPr>
        <w:rPr>
          <w:lang w:val="en-AU" w:eastAsia="en-GB" w:bidi="ar-SA"/>
        </w:rPr>
      </w:pPr>
    </w:p>
    <w:p w:rsidR="007601F6" w:rsidRPr="00A01877" w:rsidRDefault="007601F6" w:rsidP="007467D7">
      <w:pPr>
        <w:widowControl/>
        <w:rPr>
          <w:b/>
          <w:lang w:val="en-AU" w:eastAsia="en-GB" w:bidi="ar-SA"/>
        </w:rPr>
      </w:pPr>
      <w:r w:rsidRPr="00A01877">
        <w:rPr>
          <w:b/>
          <w:lang w:val="en-AU" w:eastAsia="en-GB" w:bidi="ar-SA"/>
        </w:rPr>
        <w:t>3.</w:t>
      </w:r>
      <w:r w:rsidRPr="00A01877">
        <w:rPr>
          <w:b/>
          <w:lang w:val="en-AU" w:eastAsia="en-GB" w:bidi="ar-SA"/>
        </w:rPr>
        <w:tab/>
        <w:t>Documents incorporated by reference</w:t>
      </w:r>
    </w:p>
    <w:p w:rsidR="007601F6" w:rsidRPr="00A01877" w:rsidRDefault="007601F6" w:rsidP="007467D7">
      <w:pPr>
        <w:widowControl/>
        <w:rPr>
          <w:lang w:val="en-AU" w:eastAsia="en-GB" w:bidi="ar-SA"/>
        </w:rPr>
      </w:pPr>
    </w:p>
    <w:p w:rsidR="007601F6" w:rsidRPr="00A01877" w:rsidRDefault="007601F6" w:rsidP="007467D7">
      <w:pPr>
        <w:widowControl/>
        <w:autoSpaceDE w:val="0"/>
        <w:autoSpaceDN w:val="0"/>
        <w:adjustRightInd w:val="0"/>
        <w:rPr>
          <w:rFonts w:eastAsia="Calibri" w:cs="Arial"/>
          <w:bCs/>
          <w:szCs w:val="22"/>
          <w:lang w:val="en-AU" w:bidi="ar-SA"/>
        </w:rPr>
      </w:pPr>
      <w:r w:rsidRPr="00A01877">
        <w:rPr>
          <w:rFonts w:eastAsia="Calibri" w:cs="Arial"/>
          <w:bCs/>
          <w:szCs w:val="22"/>
          <w:lang w:val="en-AU" w:bidi="ar-SA"/>
        </w:rPr>
        <w:t>The variations to food regulatory measures do not incorporate any documents by reference.</w:t>
      </w:r>
    </w:p>
    <w:p w:rsidR="007601F6" w:rsidRPr="00A01877" w:rsidRDefault="007601F6" w:rsidP="007467D7">
      <w:pPr>
        <w:widowControl/>
        <w:rPr>
          <w:lang w:val="en-AU" w:eastAsia="en-GB" w:bidi="ar-SA"/>
        </w:rPr>
      </w:pPr>
    </w:p>
    <w:p w:rsidR="007601F6" w:rsidRPr="00A01877" w:rsidRDefault="007601F6" w:rsidP="007467D7">
      <w:pPr>
        <w:widowControl/>
        <w:rPr>
          <w:b/>
          <w:lang w:val="en-AU" w:eastAsia="en-GB" w:bidi="ar-SA"/>
        </w:rPr>
      </w:pPr>
      <w:r w:rsidRPr="00A01877">
        <w:rPr>
          <w:b/>
          <w:lang w:val="en-AU" w:eastAsia="en-GB" w:bidi="ar-SA"/>
        </w:rPr>
        <w:t>4.</w:t>
      </w:r>
      <w:r w:rsidRPr="00A01877">
        <w:rPr>
          <w:b/>
          <w:lang w:val="en-AU" w:eastAsia="en-GB" w:bidi="ar-SA"/>
        </w:rPr>
        <w:tab/>
        <w:t>Consultation</w:t>
      </w:r>
    </w:p>
    <w:p w:rsidR="007601F6" w:rsidRPr="00A01877" w:rsidRDefault="007601F6" w:rsidP="007467D7">
      <w:pPr>
        <w:widowControl/>
        <w:rPr>
          <w:lang w:val="en-AU" w:eastAsia="en-GB" w:bidi="ar-SA"/>
        </w:rPr>
      </w:pPr>
    </w:p>
    <w:p w:rsidR="007601F6" w:rsidRPr="0010364B" w:rsidRDefault="007601F6" w:rsidP="007467D7">
      <w:pPr>
        <w:widowControl/>
        <w:rPr>
          <w:lang w:val="en-AU"/>
        </w:rPr>
      </w:pPr>
      <w:r w:rsidRPr="00A01877">
        <w:rPr>
          <w:szCs w:val="22"/>
        </w:rPr>
        <w:t xml:space="preserve">In accordance with the procedure in Division 2 of Part 3 of the FSANZ Act, </w:t>
      </w:r>
      <w:r w:rsidRPr="00A01877">
        <w:rPr>
          <w:rFonts w:eastAsia="Calibri" w:cs="Arial"/>
          <w:bCs/>
          <w:szCs w:val="22"/>
          <w:lang w:val="en-AU" w:bidi="ar-SA"/>
        </w:rPr>
        <w:t>the Authority</w:t>
      </w:r>
      <w:r w:rsidRPr="00A01877">
        <w:rPr>
          <w:szCs w:val="22"/>
        </w:rPr>
        <w:t xml:space="preserve">’s consideration of Proposal P1030 will include one round of </w:t>
      </w:r>
      <w:r w:rsidRPr="0010364B">
        <w:rPr>
          <w:szCs w:val="22"/>
        </w:rPr>
        <w:t xml:space="preserve">public consultation following an assessment and the preparation of a draft </w:t>
      </w:r>
      <w:r w:rsidR="008D6788">
        <w:rPr>
          <w:szCs w:val="22"/>
        </w:rPr>
        <w:t>variation</w:t>
      </w:r>
      <w:r w:rsidR="008D6788" w:rsidRPr="0010364B">
        <w:rPr>
          <w:szCs w:val="22"/>
        </w:rPr>
        <w:t xml:space="preserve"> </w:t>
      </w:r>
      <w:r w:rsidRPr="0010364B">
        <w:rPr>
          <w:szCs w:val="22"/>
        </w:rPr>
        <w:t xml:space="preserve">and associated report. </w:t>
      </w:r>
    </w:p>
    <w:p w:rsidR="007601F6" w:rsidRPr="0010364B" w:rsidRDefault="007601F6" w:rsidP="007467D7">
      <w:pPr>
        <w:widowControl/>
      </w:pPr>
    </w:p>
    <w:p w:rsidR="007601F6" w:rsidRPr="0010364B" w:rsidRDefault="007601F6" w:rsidP="007467D7">
      <w:pPr>
        <w:widowControl/>
        <w:autoSpaceDE w:val="0"/>
        <w:autoSpaceDN w:val="0"/>
        <w:adjustRightInd w:val="0"/>
        <w:rPr>
          <w:rFonts w:cs="Arial"/>
          <w:szCs w:val="22"/>
        </w:rPr>
      </w:pPr>
      <w:r w:rsidRPr="0010364B">
        <w:rPr>
          <w:rFonts w:eastAsia="Calibri" w:cs="Arial"/>
          <w:bCs/>
          <w:szCs w:val="22"/>
          <w:lang w:val="en-AU" w:bidi="ar-SA"/>
        </w:rPr>
        <w:t>A Regulation Impact Statement was not required because the proposed variations to Standard</w:t>
      </w:r>
      <w:r w:rsidR="00500EAA">
        <w:rPr>
          <w:rFonts w:eastAsia="Calibri" w:cs="Arial"/>
          <w:bCs/>
          <w:szCs w:val="22"/>
          <w:lang w:val="en-AU" w:bidi="ar-SA"/>
        </w:rPr>
        <w:t>s 1.2.7, 1.3.1,</w:t>
      </w:r>
      <w:r w:rsidRPr="0010364B">
        <w:rPr>
          <w:rFonts w:eastAsia="Calibri" w:cs="Arial"/>
          <w:bCs/>
          <w:szCs w:val="22"/>
          <w:lang w:val="en-AU" w:bidi="ar-SA"/>
        </w:rPr>
        <w:t xml:space="preserve"> 2.6.2 and 2.9.4 </w:t>
      </w:r>
      <w:r w:rsidRPr="0010364B">
        <w:t xml:space="preserve">are likely to have a minor impact on business and individuals. </w:t>
      </w:r>
    </w:p>
    <w:p w:rsidR="007601F6" w:rsidRDefault="007601F6" w:rsidP="007467D7">
      <w:pPr>
        <w:widowControl/>
        <w:rPr>
          <w:rFonts w:eastAsiaTheme="minorHAnsi" w:cs="Arial"/>
          <w:b/>
          <w:bCs/>
          <w:szCs w:val="22"/>
          <w:lang w:val="en-AU" w:bidi="ar-SA"/>
        </w:rPr>
      </w:pPr>
    </w:p>
    <w:p w:rsidR="007601F6" w:rsidRDefault="007601F6" w:rsidP="007467D7">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7601F6" w:rsidRDefault="007601F6" w:rsidP="007467D7">
      <w:pPr>
        <w:widowControl/>
        <w:rPr>
          <w:rFonts w:eastAsiaTheme="minorHAnsi"/>
          <w:lang w:val="en-AU" w:bidi="ar-SA"/>
        </w:rPr>
      </w:pPr>
    </w:p>
    <w:p w:rsidR="007601F6" w:rsidRDefault="007601F6" w:rsidP="007467D7">
      <w:pPr>
        <w:widowControl/>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BB4143" w:rsidRDefault="00BB4143" w:rsidP="007467D7">
      <w:pPr>
        <w:widowControl/>
        <w:rPr>
          <w:b/>
        </w:rPr>
      </w:pPr>
      <w:r>
        <w:rPr>
          <w:b/>
        </w:rPr>
        <w:br w:type="page"/>
      </w:r>
    </w:p>
    <w:p w:rsidR="00C646F4" w:rsidRDefault="00C646F4" w:rsidP="007467D7">
      <w:pPr>
        <w:widowControl/>
        <w:jc w:val="both"/>
        <w:rPr>
          <w:b/>
          <w:lang w:val="en-AU" w:eastAsia="en-GB" w:bidi="ar-SA"/>
        </w:rPr>
      </w:pPr>
      <w:r>
        <w:rPr>
          <w:b/>
        </w:rPr>
        <w:lastRenderedPageBreak/>
        <w:t>6.</w:t>
      </w:r>
      <w:r>
        <w:rPr>
          <w:b/>
        </w:rPr>
        <w:tab/>
      </w:r>
      <w:r>
        <w:rPr>
          <w:b/>
          <w:lang w:val="en-AU" w:eastAsia="en-GB" w:bidi="ar-SA"/>
        </w:rPr>
        <w:t>Variation</w:t>
      </w:r>
    </w:p>
    <w:p w:rsidR="00C646F4" w:rsidRDefault="00C646F4" w:rsidP="007467D7">
      <w:pPr>
        <w:widowControl/>
        <w:jc w:val="both"/>
        <w:rPr>
          <w:b/>
        </w:rPr>
      </w:pPr>
    </w:p>
    <w:p w:rsidR="00C646F4" w:rsidRDefault="00C646F4" w:rsidP="007467D7">
      <w:pPr>
        <w:widowControl/>
        <w:jc w:val="both"/>
        <w:rPr>
          <w:b/>
          <w:i/>
        </w:rPr>
      </w:pPr>
      <w:r>
        <w:rPr>
          <w:b/>
          <w:i/>
        </w:rPr>
        <w:t>Standard 1.2.7 – Nutrition, Health and Related claims</w:t>
      </w:r>
    </w:p>
    <w:p w:rsidR="00C646F4" w:rsidRDefault="00C646F4" w:rsidP="00C96385"/>
    <w:p w:rsidR="00C646F4" w:rsidRDefault="00C646F4" w:rsidP="00F10DE8">
      <w:pPr>
        <w:widowControl/>
      </w:pPr>
      <w:r>
        <w:t xml:space="preserve">Item [1] amends Schedule 1 – Conditions for Nutrition Content Claims of Standard 1.2.7. It inserts a new condition in the entry in the Schedule for ‘Vitamin or mineral (not including potassium or sodium)’. The amendment requires that the conditions listed in </w:t>
      </w:r>
      <w:r w:rsidRPr="004E6389">
        <w:t>subclause 5(2) of Standard 2.</w:t>
      </w:r>
      <w:r w:rsidRPr="00F10DE8">
        <w:rPr>
          <w:rStyle w:val="142tabletext1Char"/>
          <w:sz w:val="22"/>
          <w:szCs w:val="22"/>
        </w:rPr>
        <w:t xml:space="preserve">9.4 </w:t>
      </w:r>
      <w:r>
        <w:t xml:space="preserve">for making a claim about the presence of a vitamin or mineral </w:t>
      </w:r>
      <w:r w:rsidRPr="004E6389">
        <w:t>in</w:t>
      </w:r>
      <w:r>
        <w:t xml:space="preserve"> a formulated supplementary sports food must be met when making a nutrition content claim listed in Schedule 1 or health claim</w:t>
      </w:r>
      <w:r w:rsidR="00BD3B4F">
        <w:t>s</w:t>
      </w:r>
      <w:r>
        <w:t xml:space="preserve"> listed in either Schedule 2 or 3 of Standard 1.2.7, under the Standard, in relation to a vitamin or mineral in a formulated supplementary sports food.</w:t>
      </w:r>
    </w:p>
    <w:p w:rsidR="00C646F4" w:rsidRDefault="00C646F4" w:rsidP="00C96385"/>
    <w:p w:rsidR="00C646F4" w:rsidRDefault="00C646F4" w:rsidP="007467D7">
      <w:pPr>
        <w:widowControl/>
        <w:jc w:val="both"/>
        <w:rPr>
          <w:b/>
          <w:i/>
        </w:rPr>
      </w:pPr>
      <w:r>
        <w:rPr>
          <w:b/>
          <w:i/>
        </w:rPr>
        <w:t>Standard 1.3.1 – Food Additives</w:t>
      </w:r>
    </w:p>
    <w:p w:rsidR="00C646F4" w:rsidRPr="00C96385" w:rsidRDefault="00C646F4" w:rsidP="00C96385">
      <w:pPr>
        <w:widowControl/>
      </w:pPr>
    </w:p>
    <w:p w:rsidR="00C646F4" w:rsidRDefault="00C646F4" w:rsidP="00F10DE8">
      <w:pPr>
        <w:widowControl/>
      </w:pPr>
      <w:r>
        <w:t xml:space="preserve">Item [2] amends Schedule 1 in Standard 1.3.1. It transfers the food additive permissions specific to electrolyte drinks and electrolyte drink bases from subitem 14.1.3 in Schedule 1 of Standard 1.3.1 to a new subitem under item 13 of that Schedule. The new subitem is headed ‘13.5 Electrolyte drink and electrolyte drink base*’. </w:t>
      </w:r>
    </w:p>
    <w:p w:rsidR="00C646F4" w:rsidRDefault="00C646F4" w:rsidP="00F10DE8">
      <w:pPr>
        <w:widowControl/>
      </w:pPr>
    </w:p>
    <w:p w:rsidR="00C646F4" w:rsidRDefault="00C646F4" w:rsidP="00F10DE8">
      <w:pPr>
        <w:widowControl/>
      </w:pPr>
      <w:r>
        <w:t>The food additive permissions listed under the new subitem also include the permissions listed under subitem 14.1.3 which have applied generally to electrolyte drinks and electrolyte drink bases as water</w:t>
      </w:r>
      <w:r w:rsidR="00F10DE8">
        <w:t>-</w:t>
      </w:r>
      <w:r>
        <w:t>based flavoured drinks. The more restrictive maximum permitted levels set by the food additive permissions specific to electrolyte drinks and electrolyte drink bases in subitem 14.1.3 have been retained in the new subitem. The general permissions listed in subitem 14.1.3 for water</w:t>
      </w:r>
      <w:r w:rsidR="00F10DE8">
        <w:t>-</w:t>
      </w:r>
      <w:r>
        <w:t>based flavoured drinks remain unchanged.</w:t>
      </w:r>
    </w:p>
    <w:p w:rsidR="00C646F4" w:rsidRDefault="00C646F4" w:rsidP="00F10DE8">
      <w:pPr>
        <w:widowControl/>
      </w:pPr>
    </w:p>
    <w:p w:rsidR="00C646F4" w:rsidRDefault="00C646F4" w:rsidP="00F10DE8">
      <w:pPr>
        <w:widowControl/>
      </w:pPr>
      <w:r>
        <w:t xml:space="preserve">Current subitems 13.5, 13.5.1 and 13.5.2 in Schedule 1 have been renumbered. </w:t>
      </w:r>
    </w:p>
    <w:p w:rsidR="00C646F4" w:rsidRDefault="00C646F4" w:rsidP="00C96385"/>
    <w:p w:rsidR="00C646F4" w:rsidRDefault="00C646F4" w:rsidP="007467D7">
      <w:pPr>
        <w:widowControl/>
        <w:jc w:val="both"/>
        <w:rPr>
          <w:b/>
          <w:i/>
        </w:rPr>
      </w:pPr>
      <w:r>
        <w:rPr>
          <w:b/>
          <w:i/>
        </w:rPr>
        <w:t>Standard 2.6.2 – Non-alcoholic Beverages and Brewed Soft Drinks</w:t>
      </w:r>
    </w:p>
    <w:p w:rsidR="00C646F4" w:rsidRPr="00C96385" w:rsidRDefault="00C646F4" w:rsidP="00C96385">
      <w:pPr>
        <w:widowControl/>
      </w:pPr>
    </w:p>
    <w:p w:rsidR="00C646F4" w:rsidRDefault="00C646F4" w:rsidP="00F10DE8">
      <w:pPr>
        <w:widowControl/>
      </w:pPr>
      <w:r>
        <w:t xml:space="preserve">Item [3] amends Standard 2.6.2 to remove references to electrolyte drinks and electrolyte drink bases, as well as the requirements specifically relating to electrolyte drinks and electrolyte drink bases. The amendments are as follows. </w:t>
      </w:r>
    </w:p>
    <w:p w:rsidR="00C646F4" w:rsidRDefault="00C646F4" w:rsidP="00F10DE8">
      <w:pPr>
        <w:widowControl/>
      </w:pPr>
    </w:p>
    <w:p w:rsidR="00C646F4" w:rsidRDefault="00C646F4" w:rsidP="00F10DE8">
      <w:pPr>
        <w:widowControl/>
      </w:pPr>
      <w:r>
        <w:t>Subitem [3.1] substitutes the Purpose statement for Standard 2.6.2 to reflect that electrolyte drinks and electrolyte drink bases are no longer covered by that Standard.</w:t>
      </w:r>
    </w:p>
    <w:p w:rsidR="00C646F4" w:rsidRDefault="00C646F4" w:rsidP="00F10DE8">
      <w:pPr>
        <w:widowControl/>
      </w:pPr>
    </w:p>
    <w:p w:rsidR="00C646F4" w:rsidRDefault="00C646F4" w:rsidP="00F10DE8">
      <w:pPr>
        <w:widowControl/>
      </w:pPr>
      <w:r>
        <w:t>Subitem [3.2] omits the definitions of ‘electrolyte drink’ and ‘electrolyte drink base’ in clause 1.</w:t>
      </w:r>
    </w:p>
    <w:p w:rsidR="00C646F4" w:rsidRDefault="00C646F4" w:rsidP="00F10DE8">
      <w:pPr>
        <w:widowControl/>
      </w:pPr>
      <w:r>
        <w:t>Subitem [3.3] substitutes the definition of ‘non-alcoholic beverage’ in clause 1 to remove the reference in that definition to electrolyte drinks.</w:t>
      </w:r>
    </w:p>
    <w:p w:rsidR="00C646F4" w:rsidRDefault="00C646F4" w:rsidP="00F10DE8">
      <w:pPr>
        <w:widowControl/>
      </w:pPr>
    </w:p>
    <w:p w:rsidR="00C646F4" w:rsidRDefault="00C646F4" w:rsidP="00F10DE8">
      <w:pPr>
        <w:widowControl/>
      </w:pPr>
      <w:r>
        <w:t>Subitem [3.4] omits clauses 6 to 8. They are provisions that specifically relate to electrolyte drinks and electrolyte drink bases.</w:t>
      </w:r>
    </w:p>
    <w:p w:rsidR="00C646F4" w:rsidRDefault="00C646F4" w:rsidP="00F10DE8">
      <w:pPr>
        <w:widowControl/>
      </w:pPr>
    </w:p>
    <w:p w:rsidR="00C646F4" w:rsidRDefault="00C646F4" w:rsidP="00F10DE8">
      <w:pPr>
        <w:widowControl/>
      </w:pPr>
      <w:r>
        <w:t>Subitem [3.5] renumbers clause 9 to reflect the new structure of Standard 2.6.2.</w:t>
      </w:r>
    </w:p>
    <w:p w:rsidR="00C646F4" w:rsidRDefault="00C646F4" w:rsidP="00F10DE8">
      <w:pPr>
        <w:widowControl/>
      </w:pPr>
    </w:p>
    <w:p w:rsidR="00C646F4" w:rsidRDefault="00C646F4" w:rsidP="00F10DE8">
      <w:pPr>
        <w:widowControl/>
      </w:pPr>
      <w:r>
        <w:t>Subitem [3.6] updates the Table of Provisions in Standard 2.6.2 to reflect the amendments made to that Standard.</w:t>
      </w:r>
    </w:p>
    <w:p w:rsidR="00C646F4" w:rsidRDefault="00C646F4" w:rsidP="00C96385"/>
    <w:p w:rsidR="00C646F4" w:rsidRDefault="00C646F4" w:rsidP="007467D7">
      <w:pPr>
        <w:widowControl/>
        <w:jc w:val="both"/>
        <w:rPr>
          <w:b/>
          <w:i/>
        </w:rPr>
      </w:pPr>
      <w:r>
        <w:rPr>
          <w:b/>
          <w:i/>
        </w:rPr>
        <w:t>Standard 2.9.4 – Formulated Supplementary Sports Foods</w:t>
      </w:r>
    </w:p>
    <w:p w:rsidR="00C646F4" w:rsidRPr="00C96385" w:rsidRDefault="00C646F4" w:rsidP="00C96385">
      <w:pPr>
        <w:widowControl/>
      </w:pPr>
    </w:p>
    <w:p w:rsidR="00C646F4" w:rsidRDefault="00C646F4" w:rsidP="00F10DE8">
      <w:pPr>
        <w:widowControl/>
      </w:pPr>
      <w:r>
        <w:t>Item 4 amends Standard 2.9.4 as follows.</w:t>
      </w:r>
    </w:p>
    <w:p w:rsidR="00C646F4" w:rsidRDefault="00C646F4" w:rsidP="00F10DE8">
      <w:pPr>
        <w:widowControl/>
      </w:pPr>
    </w:p>
    <w:p w:rsidR="00947D34" w:rsidRDefault="00C646F4" w:rsidP="00F10DE8">
      <w:pPr>
        <w:widowControl/>
      </w:pPr>
      <w:r>
        <w:t>Subitem [4.1] substitutes the heading of Standard 2.9.4 to include electrolyte drinks.</w:t>
      </w:r>
      <w:r w:rsidR="00947D34">
        <w:br w:type="page"/>
      </w:r>
    </w:p>
    <w:p w:rsidR="00C646F4" w:rsidRDefault="00C646F4" w:rsidP="00F10DE8">
      <w:pPr>
        <w:widowControl/>
      </w:pPr>
      <w:r>
        <w:lastRenderedPageBreak/>
        <w:t>Subitem [4.2] substitutes the Purpose statement of Standard 2.9.4 to reflect that the Standard now relates to electrolyte drinks and electrolyte drink bases</w:t>
      </w:r>
      <w:r w:rsidR="00F10DE8">
        <w:t>,</w:t>
      </w:r>
      <w:r w:rsidR="00F10DE8" w:rsidRPr="00F10DE8">
        <w:t xml:space="preserve"> </w:t>
      </w:r>
      <w:r w:rsidR="00F10DE8">
        <w:t>as well as formulated supplementary sports foods</w:t>
      </w:r>
      <w:r>
        <w:t>.</w:t>
      </w:r>
    </w:p>
    <w:p w:rsidR="00C646F4" w:rsidRDefault="00C646F4" w:rsidP="00F10DE8">
      <w:pPr>
        <w:widowControl/>
      </w:pPr>
    </w:p>
    <w:p w:rsidR="00C646F4" w:rsidRDefault="00C646F4" w:rsidP="00F10DE8">
      <w:pPr>
        <w:widowControl/>
      </w:pPr>
      <w:r>
        <w:t>Subitems [4.3] and [4.7] amend existing headings in Standard 2.9.4 as a consequence of re</w:t>
      </w:r>
      <w:r>
        <w:noBreakHyphen/>
        <w:t>structuring the Standard.</w:t>
      </w:r>
    </w:p>
    <w:p w:rsidR="00C646F4" w:rsidRDefault="00C646F4" w:rsidP="00F10DE8">
      <w:pPr>
        <w:widowControl/>
      </w:pPr>
    </w:p>
    <w:p w:rsidR="00C646F4" w:rsidRDefault="00C646F4" w:rsidP="00F10DE8">
      <w:pPr>
        <w:widowControl/>
      </w:pPr>
      <w:r>
        <w:t xml:space="preserve">Subitem [4.4] substitutes clause 1 with two new subclauses. This is to include new and amended definitions and to differentiate between definitions that apply to the Code and the new definition of ‘the Variation’, which applies only to Division 4 of Standard 2.9.4. </w:t>
      </w:r>
    </w:p>
    <w:p w:rsidR="00C646F4" w:rsidRDefault="00C646F4" w:rsidP="00F10DE8">
      <w:pPr>
        <w:widowControl/>
      </w:pPr>
    </w:p>
    <w:p w:rsidR="00C646F4" w:rsidRDefault="00C646F4" w:rsidP="00F10DE8">
      <w:pPr>
        <w:widowControl/>
      </w:pPr>
      <w:r>
        <w:t xml:space="preserve">Definitions of ‘electrolyte drink’ and ‘electrolyte drink base’, previously located in Standard 2.6.2, are inserted in clause 1. The definition of ‘electrolyte drink’ has been changed to mean a drink formulated for the rapid replacement of fluid, carbohydrates and electrolytes lost as a result of sustained strenuous physical activity.  </w:t>
      </w:r>
    </w:p>
    <w:p w:rsidR="00C646F4" w:rsidRDefault="00C646F4" w:rsidP="00F10DE8">
      <w:pPr>
        <w:widowControl/>
      </w:pPr>
    </w:p>
    <w:p w:rsidR="00C646F4" w:rsidRDefault="00C646F4" w:rsidP="00F10DE8">
      <w:pPr>
        <w:widowControl/>
      </w:pPr>
      <w:r>
        <w:t>The pre-existing definition of ‘formulated supplementary sports food’ in clause 1, has been changed to mean food or a mixture of foods specifically formulated to assist sports people in achieving specific nutritional or performance goals, and which does not include electrolyte drinks and electrolyte drink bases.</w:t>
      </w:r>
    </w:p>
    <w:p w:rsidR="00C646F4" w:rsidRDefault="00C646F4" w:rsidP="00F10DE8">
      <w:pPr>
        <w:widowControl/>
      </w:pPr>
    </w:p>
    <w:p w:rsidR="00C646F4" w:rsidRDefault="00C646F4" w:rsidP="00F10DE8">
      <w:pPr>
        <w:widowControl/>
      </w:pPr>
      <w:r>
        <w:t>The pre-existing definition of ‘one-day quantity’ in clause 1 remains unchanged.</w:t>
      </w:r>
    </w:p>
    <w:p w:rsidR="00C646F4" w:rsidRDefault="00C646F4" w:rsidP="00F10DE8">
      <w:pPr>
        <w:widowControl/>
      </w:pPr>
    </w:p>
    <w:p w:rsidR="00C646F4" w:rsidRDefault="00C646F4" w:rsidP="00F10DE8">
      <w:pPr>
        <w:widowControl/>
      </w:pPr>
      <w:r>
        <w:t>The above definitions apply throughout the Code.</w:t>
      </w:r>
    </w:p>
    <w:p w:rsidR="00C646F4" w:rsidRDefault="00C646F4" w:rsidP="00F10DE8">
      <w:pPr>
        <w:widowControl/>
      </w:pPr>
    </w:p>
    <w:p w:rsidR="00C646F4" w:rsidRDefault="00C646F4" w:rsidP="00F10DE8">
      <w:pPr>
        <w:widowControl/>
      </w:pPr>
      <w:r>
        <w:t>The new definition of ‘the Variation’ in subclause 1(2) applies only to Division 4 in clause 1.</w:t>
      </w:r>
    </w:p>
    <w:p w:rsidR="00C646F4" w:rsidRDefault="00C646F4" w:rsidP="00F10DE8">
      <w:pPr>
        <w:widowControl/>
      </w:pPr>
    </w:p>
    <w:p w:rsidR="00C646F4" w:rsidRDefault="00C646F4" w:rsidP="00F10DE8">
      <w:pPr>
        <w:widowControl/>
      </w:pPr>
      <w:r>
        <w:t>Subitem [4.5] inserts a new Division 2 heading after clause 1 as another consequence of re</w:t>
      </w:r>
      <w:r>
        <w:noBreakHyphen/>
        <w:t>structuring Standard 2.9.4.</w:t>
      </w:r>
    </w:p>
    <w:p w:rsidR="00C646F4" w:rsidRDefault="00C646F4" w:rsidP="00F10DE8">
      <w:pPr>
        <w:widowControl/>
      </w:pPr>
    </w:p>
    <w:p w:rsidR="00C646F4" w:rsidRDefault="00C646F4" w:rsidP="00F10DE8">
      <w:pPr>
        <w:widowControl/>
      </w:pPr>
      <w:r>
        <w:t xml:space="preserve">Subitem [4.6] amends clause 6. It replaces the current prohibition on making certain representations in relation to formulated supplementary sports foods with a provision permitting health claims to be made in relation to such foods. Such a health claim must be made in accordance with Standard 1.2.7; and relate </w:t>
      </w:r>
      <w:r w:rsidRPr="009B4EEB">
        <w:rPr>
          <w:lang w:val="en-AU"/>
        </w:rPr>
        <w:t xml:space="preserve">only to </w:t>
      </w:r>
      <w:r w:rsidRPr="009B4EEB">
        <w:t xml:space="preserve">the specific nutritional or performance goal or goals for sports people that the food was formulated to achieve. </w:t>
      </w:r>
      <w:r>
        <w:t>The new clause 6 will not apply to the particular formulated supplementary sports foods covered by clause 7 to 9 of Standard 2.9.4. Existing permissions to make certain specific claims will remain.</w:t>
      </w:r>
    </w:p>
    <w:p w:rsidR="00C646F4" w:rsidRDefault="00C646F4" w:rsidP="00F10DE8">
      <w:pPr>
        <w:widowControl/>
      </w:pPr>
    </w:p>
    <w:p w:rsidR="00C646F4" w:rsidRDefault="00C646F4" w:rsidP="00F10DE8">
      <w:pPr>
        <w:widowControl/>
      </w:pPr>
      <w:r>
        <w:t>Subitem [4.8] inserts a new Division 4 – Electrolyte drinks and Electrolyte Drink Bases into Standard 2.9.4 (clauses 10 to 17).</w:t>
      </w:r>
    </w:p>
    <w:p w:rsidR="00C646F4" w:rsidRDefault="00C646F4" w:rsidP="00F10DE8">
      <w:pPr>
        <w:widowControl/>
      </w:pPr>
    </w:p>
    <w:p w:rsidR="00C646F4" w:rsidRDefault="00C646F4" w:rsidP="00F10DE8">
      <w:pPr>
        <w:widowControl/>
      </w:pPr>
      <w:r>
        <w:t>Clause 10 provides that new Divisions 2 and 3, which relate to formulated supplementary sports foods, do not apply to electrolyte drinks and electrolyte drink bases.</w:t>
      </w:r>
    </w:p>
    <w:p w:rsidR="00C646F4" w:rsidRDefault="00C646F4" w:rsidP="00F10DE8">
      <w:pPr>
        <w:widowControl/>
      </w:pPr>
    </w:p>
    <w:p w:rsidR="00C646F4" w:rsidRDefault="00C646F4" w:rsidP="00F10DE8">
      <w:pPr>
        <w:pStyle w:val="Clause"/>
        <w:widowControl/>
        <w:rPr>
          <w:sz w:val="22"/>
          <w:szCs w:val="22"/>
        </w:rPr>
      </w:pPr>
      <w:r>
        <w:rPr>
          <w:sz w:val="22"/>
          <w:szCs w:val="22"/>
        </w:rPr>
        <w:t xml:space="preserve">Clause 11 provides that the usual stock-in-trade provision in Standard 1.1.1 does not apply to the amendments made by the </w:t>
      </w:r>
      <w:r>
        <w:rPr>
          <w:i/>
          <w:sz w:val="22"/>
          <w:szCs w:val="22"/>
        </w:rPr>
        <w:t xml:space="preserve">Food Standards (Proposal P1030 </w:t>
      </w:r>
      <w:r w:rsidRPr="00A06134">
        <w:rPr>
          <w:i/>
          <w:sz w:val="22"/>
          <w:szCs w:val="22"/>
        </w:rPr>
        <w:t xml:space="preserve">– Health Claims </w:t>
      </w:r>
      <w:r w:rsidR="00A06134" w:rsidRPr="00A06134">
        <w:rPr>
          <w:i/>
          <w:sz w:val="22"/>
          <w:szCs w:val="22"/>
        </w:rPr>
        <w:t xml:space="preserve">– </w:t>
      </w:r>
      <w:r w:rsidRPr="00A06134">
        <w:rPr>
          <w:i/>
          <w:sz w:val="22"/>
          <w:szCs w:val="22"/>
        </w:rPr>
        <w:t>For</w:t>
      </w:r>
      <w:r w:rsidR="00A06134" w:rsidRPr="00A06134">
        <w:rPr>
          <w:i/>
          <w:sz w:val="22"/>
          <w:szCs w:val="22"/>
        </w:rPr>
        <w:t xml:space="preserve">mulated Supplementary </w:t>
      </w:r>
      <w:r w:rsidRPr="00A06134">
        <w:rPr>
          <w:i/>
          <w:sz w:val="22"/>
          <w:szCs w:val="22"/>
        </w:rPr>
        <w:t>Sports Foods &amp; Electrolyte Drinks) Variation</w:t>
      </w:r>
      <w:r w:rsidRPr="00A06134">
        <w:rPr>
          <w:sz w:val="22"/>
          <w:szCs w:val="22"/>
        </w:rPr>
        <w:t xml:space="preserve"> (</w:t>
      </w:r>
      <w:r>
        <w:rPr>
          <w:sz w:val="22"/>
          <w:szCs w:val="22"/>
        </w:rPr>
        <w:t>the Variation) in relation to electrolyte drinks and electrolyte drink bases.</w:t>
      </w:r>
    </w:p>
    <w:p w:rsidR="00C646F4" w:rsidRDefault="00C646F4" w:rsidP="00F10DE8">
      <w:pPr>
        <w:widowControl/>
      </w:pPr>
    </w:p>
    <w:p w:rsidR="00947D34" w:rsidRDefault="00C646F4" w:rsidP="00F10DE8">
      <w:pPr>
        <w:widowControl/>
        <w:rPr>
          <w:szCs w:val="22"/>
        </w:rPr>
      </w:pPr>
      <w:r>
        <w:rPr>
          <w:szCs w:val="22"/>
        </w:rPr>
        <w:t xml:space="preserve">Clause 12 provides for transitional arrangements during a transition period commencing </w:t>
      </w:r>
      <w:r>
        <w:t>on the commencement date of the Variation and ending on 18 January 2016</w:t>
      </w:r>
      <w:r>
        <w:rPr>
          <w:szCs w:val="22"/>
        </w:rPr>
        <w:t xml:space="preserve">. This will allow </w:t>
      </w:r>
      <w:r>
        <w:t xml:space="preserve">electrolyte drinks and electrolyte drink bases, during the transition period, to comply with the composition and labelling requirements either in the Code, which includes amendments by the Variation; or </w:t>
      </w:r>
      <w:r>
        <w:rPr>
          <w:szCs w:val="22"/>
        </w:rPr>
        <w:t xml:space="preserve">the Code as if the Variation had not commenced (but not with both). </w:t>
      </w:r>
      <w:r w:rsidR="00947D34">
        <w:rPr>
          <w:szCs w:val="22"/>
        </w:rPr>
        <w:br w:type="page"/>
      </w:r>
    </w:p>
    <w:p w:rsidR="00C646F4" w:rsidRDefault="00C646F4" w:rsidP="00F10DE8">
      <w:pPr>
        <w:widowControl/>
      </w:pPr>
      <w:r>
        <w:rPr>
          <w:szCs w:val="22"/>
        </w:rPr>
        <w:lastRenderedPageBreak/>
        <w:t xml:space="preserve">Clause 13 provides for a stock-in-trade period, which commences on 19 </w:t>
      </w:r>
      <w:r>
        <w:t xml:space="preserve">January 2016 and ends on 18 January 2017. </w:t>
      </w:r>
      <w:r>
        <w:rPr>
          <w:szCs w:val="22"/>
        </w:rPr>
        <w:t xml:space="preserve">This will allow </w:t>
      </w:r>
      <w:r>
        <w:t xml:space="preserve">electrolyte drinks and electrolyte drink bases, during the </w:t>
      </w:r>
      <w:r>
        <w:rPr>
          <w:szCs w:val="22"/>
        </w:rPr>
        <w:t>stock-in-trade</w:t>
      </w:r>
      <w:r>
        <w:t xml:space="preserve"> period, to comply with the composition and labelling requirements either in the Code, which includes amendments by the Variation; or </w:t>
      </w:r>
      <w:r>
        <w:rPr>
          <w:szCs w:val="22"/>
        </w:rPr>
        <w:t xml:space="preserve">the Code as if the Variation had not commenced. </w:t>
      </w:r>
      <w:r>
        <w:t xml:space="preserve">During the </w:t>
      </w:r>
      <w:r>
        <w:rPr>
          <w:szCs w:val="22"/>
        </w:rPr>
        <w:t>stock-in-trade</w:t>
      </w:r>
      <w:r>
        <w:t xml:space="preserve"> period, electrolyte drinks and electrolyte drink bases</w:t>
      </w:r>
      <w:r>
        <w:rPr>
          <w:szCs w:val="22"/>
        </w:rPr>
        <w:t xml:space="preserve"> may only </w:t>
      </w:r>
      <w:r>
        <w:t>comply with the composition and labelling requirements</w:t>
      </w:r>
      <w:r>
        <w:rPr>
          <w:szCs w:val="22"/>
        </w:rPr>
        <w:t xml:space="preserve"> in the Code as if the Variation had not commenced if the </w:t>
      </w:r>
      <w:r>
        <w:t>food had complied with that version of the Code during the transitional perio</w:t>
      </w:r>
      <w:r w:rsidRPr="00403D71">
        <w:t>d</w:t>
      </w:r>
      <w:r>
        <w:t xml:space="preserve"> provided by clause 12</w:t>
      </w:r>
      <w:r w:rsidRPr="00403D71">
        <w:t>.</w:t>
      </w:r>
      <w:r>
        <w:t xml:space="preserve"> This has the effect </w:t>
      </w:r>
      <w:r>
        <w:rPr>
          <w:szCs w:val="22"/>
        </w:rPr>
        <w:t xml:space="preserve">that </w:t>
      </w:r>
      <w:r>
        <w:t>electrolyte drinks and electrolyte drink bases manufactured or imported during the stock-in-trade period must comply with the amended version of the Code.</w:t>
      </w:r>
    </w:p>
    <w:p w:rsidR="00C646F4" w:rsidRDefault="00C646F4" w:rsidP="00F10DE8">
      <w:pPr>
        <w:widowControl/>
      </w:pPr>
    </w:p>
    <w:p w:rsidR="00C646F4" w:rsidRDefault="00C646F4" w:rsidP="00F10DE8">
      <w:pPr>
        <w:widowControl/>
        <w:rPr>
          <w:szCs w:val="22"/>
        </w:rPr>
      </w:pPr>
      <w:r>
        <w:rPr>
          <w:szCs w:val="22"/>
        </w:rPr>
        <w:t>Clause 14 sets out the composition requirements of electrolyte drinks and electrolyte drink bases when made up according to directions.</w:t>
      </w:r>
    </w:p>
    <w:p w:rsidR="00C646F4" w:rsidRDefault="00C646F4" w:rsidP="00F10DE8">
      <w:pPr>
        <w:widowControl/>
        <w:rPr>
          <w:szCs w:val="22"/>
        </w:rPr>
      </w:pPr>
    </w:p>
    <w:p w:rsidR="00C646F4" w:rsidRDefault="00C646F4" w:rsidP="00F10DE8">
      <w:pPr>
        <w:widowControl/>
        <w:rPr>
          <w:szCs w:val="22"/>
        </w:rPr>
      </w:pPr>
      <w:r>
        <w:rPr>
          <w:szCs w:val="22"/>
        </w:rPr>
        <w:t>Subclause 14(1) requires that an electrolyte drink or electrolyte drink base, when made up according to directions, must contain no less than 10 mmol/L of sodium (according to clause 8 of Standard 1.1.1, mmol/L refers to millimole per litre).</w:t>
      </w:r>
    </w:p>
    <w:p w:rsidR="00C646F4" w:rsidRDefault="00C646F4" w:rsidP="00F10DE8">
      <w:pPr>
        <w:widowControl/>
        <w:rPr>
          <w:szCs w:val="22"/>
        </w:rPr>
      </w:pPr>
    </w:p>
    <w:p w:rsidR="00C646F4" w:rsidRDefault="00C646F4" w:rsidP="00F10DE8">
      <w:pPr>
        <w:widowControl/>
        <w:rPr>
          <w:szCs w:val="22"/>
        </w:rPr>
      </w:pPr>
      <w:r>
        <w:rPr>
          <w:szCs w:val="22"/>
        </w:rPr>
        <w:t xml:space="preserve">Paragraph 14(2)(a) requires that an electrolyte drink or electrolyte drink base, when made up according to directions, must contain no less than 50 g/L and no more than 100 g/L, in total, of all of the following sugars – </w:t>
      </w:r>
    </w:p>
    <w:p w:rsidR="00C646F4" w:rsidRDefault="00C646F4" w:rsidP="00F10DE8">
      <w:pPr>
        <w:widowControl/>
        <w:rPr>
          <w:szCs w:val="22"/>
        </w:rPr>
      </w:pPr>
    </w:p>
    <w:p w:rsidR="00C646F4" w:rsidRDefault="00EC184B" w:rsidP="00EC184B">
      <w:r>
        <w:t>(i)</w:t>
      </w:r>
      <w:r>
        <w:tab/>
      </w:r>
      <w:proofErr w:type="gramStart"/>
      <w:r w:rsidR="00C646F4">
        <w:t>dextrose</w:t>
      </w:r>
      <w:proofErr w:type="gramEnd"/>
      <w:r w:rsidR="00C646F4">
        <w:t>;</w:t>
      </w:r>
    </w:p>
    <w:p w:rsidR="00C646F4" w:rsidRDefault="00EC184B" w:rsidP="00EC184B">
      <w:r>
        <w:t>(ii)</w:t>
      </w:r>
      <w:r>
        <w:tab/>
      </w:r>
      <w:proofErr w:type="gramStart"/>
      <w:r w:rsidR="00C646F4">
        <w:t>fructose</w:t>
      </w:r>
      <w:proofErr w:type="gramEnd"/>
      <w:r w:rsidR="00C646F4">
        <w:t>;</w:t>
      </w:r>
    </w:p>
    <w:p w:rsidR="00C646F4" w:rsidRPr="00FD2B3C" w:rsidRDefault="00EC184B" w:rsidP="00EC184B">
      <w:r>
        <w:t>(iii)</w:t>
      </w:r>
      <w:r>
        <w:tab/>
      </w:r>
      <w:proofErr w:type="gramStart"/>
      <w:r w:rsidR="00C646F4" w:rsidRPr="00FD2B3C">
        <w:t>glucose</w:t>
      </w:r>
      <w:proofErr w:type="gramEnd"/>
      <w:r w:rsidR="00C646F4" w:rsidRPr="00FD2B3C">
        <w:t xml:space="preserve"> syrup;</w:t>
      </w:r>
    </w:p>
    <w:p w:rsidR="00C646F4" w:rsidRDefault="00EC184B" w:rsidP="00EC184B">
      <w:r>
        <w:t>(iv)</w:t>
      </w:r>
      <w:r>
        <w:tab/>
      </w:r>
      <w:proofErr w:type="gramStart"/>
      <w:r w:rsidR="00C646F4">
        <w:t>maltodextrin</w:t>
      </w:r>
      <w:proofErr w:type="gramEnd"/>
      <w:r w:rsidR="00C646F4">
        <w:t>; and</w:t>
      </w:r>
    </w:p>
    <w:p w:rsidR="00C646F4" w:rsidRDefault="00EC184B" w:rsidP="00EC184B">
      <w:r>
        <w:t>(v)</w:t>
      </w:r>
      <w:r>
        <w:tab/>
      </w:r>
      <w:proofErr w:type="gramStart"/>
      <w:r w:rsidR="00C646F4">
        <w:t>sucrose</w:t>
      </w:r>
      <w:proofErr w:type="gramEnd"/>
      <w:r w:rsidR="00C646F4">
        <w:t>.</w:t>
      </w:r>
    </w:p>
    <w:p w:rsidR="00C646F4" w:rsidRDefault="00C646F4" w:rsidP="00F10DE8">
      <w:pPr>
        <w:widowControl/>
        <w:rPr>
          <w:szCs w:val="22"/>
        </w:rPr>
      </w:pPr>
    </w:p>
    <w:p w:rsidR="00C646F4" w:rsidRDefault="00C646F4" w:rsidP="00F10DE8">
      <w:pPr>
        <w:widowControl/>
        <w:rPr>
          <w:szCs w:val="22"/>
        </w:rPr>
      </w:pPr>
      <w:r>
        <w:rPr>
          <w:szCs w:val="22"/>
        </w:rPr>
        <w:t>Paragraph 14(2)(b) requires that an electrolyte drink or electrolyte drink base, when made up according to directions, must not contain more than 50 g/L of fructose out of the total amount of sugars listed in paragraph 14(2)(a).</w:t>
      </w:r>
    </w:p>
    <w:p w:rsidR="00C646F4" w:rsidRDefault="00C646F4" w:rsidP="00F10DE8">
      <w:pPr>
        <w:widowControl/>
        <w:rPr>
          <w:szCs w:val="22"/>
        </w:rPr>
      </w:pPr>
    </w:p>
    <w:p w:rsidR="00C646F4" w:rsidRDefault="00C646F4" w:rsidP="00F10DE8">
      <w:pPr>
        <w:widowControl/>
        <w:rPr>
          <w:szCs w:val="22"/>
        </w:rPr>
      </w:pPr>
      <w:r>
        <w:rPr>
          <w:szCs w:val="22"/>
        </w:rPr>
        <w:t>Paragraph 14(3) allows an electrolyte drink or electrolyte drink base, when made up according to directions, to contain certain minerals and salts as listed.</w:t>
      </w:r>
    </w:p>
    <w:p w:rsidR="00C646F4" w:rsidRDefault="00C646F4" w:rsidP="00F10DE8">
      <w:pPr>
        <w:widowControl/>
        <w:rPr>
          <w:szCs w:val="22"/>
        </w:rPr>
      </w:pPr>
    </w:p>
    <w:p w:rsidR="00C646F4" w:rsidRDefault="00C646F4" w:rsidP="00F10DE8">
      <w:pPr>
        <w:widowControl/>
        <w:rPr>
          <w:szCs w:val="22"/>
        </w:rPr>
      </w:pPr>
      <w:r>
        <w:rPr>
          <w:szCs w:val="22"/>
        </w:rPr>
        <w:t>These requirements were previously located in clause 6 of Standard 2.6.4 and although worded slightly differently, the actual requirements remain unchanged.</w:t>
      </w:r>
    </w:p>
    <w:p w:rsidR="00C646F4" w:rsidRDefault="00C646F4" w:rsidP="00F10DE8">
      <w:pPr>
        <w:widowControl/>
        <w:rPr>
          <w:szCs w:val="22"/>
        </w:rPr>
      </w:pPr>
    </w:p>
    <w:p w:rsidR="00C646F4" w:rsidRDefault="00C646F4" w:rsidP="00F10DE8">
      <w:pPr>
        <w:widowControl/>
        <w:rPr>
          <w:lang w:val="en-NZ"/>
        </w:rPr>
      </w:pPr>
      <w:r>
        <w:rPr>
          <w:szCs w:val="22"/>
        </w:rPr>
        <w:t>Clause 15 sets out the labelling requirements of electrolyte drinks and electrolyte drink bases particularly in relation to nutrition information. S</w:t>
      </w:r>
      <w:r>
        <w:t xml:space="preserve">ubclause 15(4) requires ‘Electrolyte </w:t>
      </w:r>
      <w:proofErr w:type="gramStart"/>
      <w:r>
        <w:t>drink</w:t>
      </w:r>
      <w:proofErr w:type="gramEnd"/>
      <w:r>
        <w:t xml:space="preserve">’ to be used as the prescribed name for both electrolyte drinks and electrolyte drink bases. Other labelling requirements of </w:t>
      </w:r>
      <w:r>
        <w:rPr>
          <w:szCs w:val="22"/>
        </w:rPr>
        <w:t xml:space="preserve">electrolyte drinks and electrolyte drink bases were previously in clause 7 of Standard 2.6.4. However, those requirements have been amended so as to </w:t>
      </w:r>
      <w:r>
        <w:t xml:space="preserve">ensure that the nutrition information requirements in Standard 1.2.8 apply to </w:t>
      </w:r>
      <w:r>
        <w:rPr>
          <w:lang w:val="en-NZ"/>
        </w:rPr>
        <w:t>the additional nutrition information requirements that are specific to electrolyte drinks and electrolyte drink bases. As requirements to declare the ‘average quantity’ of carbohydrate and the ‘average energy content’ are already set out in Standard 1.2.8</w:t>
      </w:r>
      <w:r w:rsidR="00371BE0">
        <w:rPr>
          <w:lang w:val="en-NZ"/>
        </w:rPr>
        <w:t>;</w:t>
      </w:r>
      <w:r>
        <w:rPr>
          <w:lang w:val="en-NZ"/>
        </w:rPr>
        <w:t xml:space="preserve"> the requirement to declare ‘total carbohydrate’ and ‘average energy value’ ha</w:t>
      </w:r>
      <w:r w:rsidR="00371BE0">
        <w:rPr>
          <w:lang w:val="en-NZ"/>
        </w:rPr>
        <w:t>s</w:t>
      </w:r>
      <w:r>
        <w:rPr>
          <w:lang w:val="en-NZ"/>
        </w:rPr>
        <w:t xml:space="preserve"> not been included in clause 15 of Standard 2.9.4.</w:t>
      </w:r>
    </w:p>
    <w:p w:rsidR="00C646F4" w:rsidRDefault="00C646F4" w:rsidP="00F10DE8">
      <w:pPr>
        <w:widowControl/>
      </w:pPr>
    </w:p>
    <w:p w:rsidR="00C646F4" w:rsidRDefault="00C646F4" w:rsidP="00EC184B">
      <w:pPr>
        <w:rPr>
          <w:highlight w:val="yellow"/>
        </w:rPr>
      </w:pPr>
      <w:r>
        <w:t>Clause 16 provides for health claims to be made about electrolyte drinks and electrolyte drink bases. Such a health claim must be made in accordance with Standard 1.2.7; and only relate to the rapid replacement of fluid, carbohydrates and electrolytes lost as a result of sustained strenuous physical activity. Existing permissions to make certain specific claims remain.</w:t>
      </w:r>
    </w:p>
    <w:p w:rsidR="00947D34" w:rsidRDefault="00947D34" w:rsidP="00F10DE8">
      <w:pPr>
        <w:widowControl/>
        <w:rPr>
          <w:szCs w:val="22"/>
        </w:rPr>
      </w:pPr>
      <w:r>
        <w:rPr>
          <w:szCs w:val="22"/>
        </w:rPr>
        <w:br w:type="page"/>
      </w:r>
    </w:p>
    <w:p w:rsidR="00C646F4" w:rsidRDefault="00C646F4" w:rsidP="00F10DE8">
      <w:pPr>
        <w:widowControl/>
        <w:rPr>
          <w:szCs w:val="22"/>
        </w:rPr>
      </w:pPr>
      <w:r>
        <w:rPr>
          <w:szCs w:val="22"/>
        </w:rPr>
        <w:lastRenderedPageBreak/>
        <w:t>Clause 17 provides for claims made in relation to the tonicity of electrolyte drinks and electrolyte drink bases. These requirements were previously in clause 8 of Standard 2.6.4 and remain unchanged.</w:t>
      </w:r>
    </w:p>
    <w:p w:rsidR="00C646F4" w:rsidRDefault="00C646F4" w:rsidP="00F10DE8">
      <w:pPr>
        <w:widowControl/>
      </w:pPr>
    </w:p>
    <w:p w:rsidR="00C646F4" w:rsidRDefault="00C646F4" w:rsidP="00F10DE8">
      <w:pPr>
        <w:widowControl/>
      </w:pPr>
      <w:r>
        <w:t xml:space="preserve">Subitem [4.9] updates the Table of Provisions in Standard 2.9.4 to reflect the amendments made to that Standard. </w:t>
      </w:r>
    </w:p>
    <w:p w:rsidR="00C646F4" w:rsidRDefault="00C646F4" w:rsidP="00C96385"/>
    <w:sectPr w:rsidR="00C646F4" w:rsidSect="00386947">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47" w:rsidRDefault="00386947">
      <w:r>
        <w:separator/>
      </w:r>
    </w:p>
  </w:endnote>
  <w:endnote w:type="continuationSeparator" w:id="0">
    <w:p w:rsidR="00386947" w:rsidRDefault="0038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47" w:rsidRDefault="0038694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6947" w:rsidRDefault="00386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47" w:rsidRDefault="0038694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6BCF">
      <w:rPr>
        <w:rStyle w:val="PageNumber"/>
        <w:noProof/>
      </w:rPr>
      <w:t>1</w:t>
    </w:r>
    <w:r>
      <w:rPr>
        <w:rStyle w:val="PageNumber"/>
      </w:rPr>
      <w:fldChar w:fldCharType="end"/>
    </w:r>
  </w:p>
  <w:p w:rsidR="00386947" w:rsidRDefault="0038694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B5" w:rsidRDefault="00992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47" w:rsidRDefault="00386947">
      <w:r>
        <w:separator/>
      </w:r>
    </w:p>
  </w:footnote>
  <w:footnote w:type="continuationSeparator" w:id="0">
    <w:p w:rsidR="00386947" w:rsidRDefault="00386947">
      <w:r>
        <w:continuationSeparator/>
      </w:r>
    </w:p>
  </w:footnote>
  <w:footnote w:id="1">
    <w:p w:rsidR="00386947" w:rsidRPr="000B6A4E" w:rsidRDefault="00386947" w:rsidP="0046166F">
      <w:pPr>
        <w:pStyle w:val="FootnoteText"/>
        <w:rPr>
          <w:sz w:val="18"/>
          <w:szCs w:val="18"/>
          <w:lang w:val="en-AU"/>
        </w:rPr>
      </w:pPr>
      <w:r w:rsidRPr="000B6A4E">
        <w:rPr>
          <w:rStyle w:val="FootnoteReference"/>
          <w:sz w:val="18"/>
          <w:szCs w:val="18"/>
        </w:rPr>
        <w:footnoteRef/>
      </w:r>
      <w:r w:rsidRPr="000B6A4E">
        <w:rPr>
          <w:sz w:val="18"/>
          <w:szCs w:val="18"/>
        </w:rPr>
        <w:t xml:space="preserve"> </w:t>
      </w:r>
      <w:hyperlink r:id="rId1" w:history="1">
        <w:r w:rsidRPr="000B6A4E">
          <w:rPr>
            <w:rStyle w:val="Hyperlink"/>
            <w:sz w:val="18"/>
            <w:szCs w:val="18"/>
          </w:rPr>
          <w:t>http://www.foodstandards.gov.au/publications/Pages/Sports-Foods-Consumption-in-Australia-and-New-Zealand.aspx</w:t>
        </w:r>
      </w:hyperlink>
      <w:r w:rsidRPr="000B6A4E">
        <w:rPr>
          <w:sz w:val="18"/>
          <w:szCs w:val="18"/>
        </w:rPr>
        <w:t xml:space="preserve"> </w:t>
      </w:r>
    </w:p>
  </w:footnote>
  <w:footnote w:id="2">
    <w:p w:rsidR="00947D34" w:rsidRPr="0010778D" w:rsidRDefault="00947D34" w:rsidP="00947D34">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3">
    <w:p w:rsidR="00386947" w:rsidRPr="00A01EB4" w:rsidRDefault="00386947">
      <w:pPr>
        <w:pStyle w:val="FootnoteText"/>
      </w:pPr>
      <w:r>
        <w:rPr>
          <w:rStyle w:val="FootnoteReference"/>
        </w:rPr>
        <w:footnoteRef/>
      </w:r>
      <w:r>
        <w:t xml:space="preserve"> </w:t>
      </w:r>
      <w:hyperlink r:id="rId2" w:history="1">
        <w:r w:rsidRPr="00064625">
          <w:rPr>
            <w:rStyle w:val="Hyperlink"/>
          </w:rPr>
          <w:t>http://www.foodstandards.gov.au/code/fofr/fofrpolicy/pages/default.aspx</w:t>
        </w:r>
      </w:hyperlink>
      <w:r>
        <w:t xml:space="preserve"> </w:t>
      </w:r>
    </w:p>
  </w:footnote>
  <w:footnote w:id="4">
    <w:p w:rsidR="00947D34" w:rsidRPr="008828D9" w:rsidRDefault="00947D34" w:rsidP="00947D34">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5">
    <w:p w:rsidR="00947D34" w:rsidRPr="004D4ED7" w:rsidRDefault="00947D34" w:rsidP="00947D34">
      <w:pPr>
        <w:pStyle w:val="FootnoteText"/>
        <w:rPr>
          <w:lang w:val="en-AU"/>
        </w:rPr>
      </w:pPr>
      <w:r>
        <w:rPr>
          <w:rStyle w:val="FootnoteReference"/>
        </w:rPr>
        <w:footnoteRef/>
      </w:r>
      <w:r>
        <w:t xml:space="preserve"> </w:t>
      </w:r>
      <w:hyperlink r:id="rId3" w:history="1">
        <w:r w:rsidRPr="00064625">
          <w:rPr>
            <w:rStyle w:val="Hyperlink"/>
          </w:rPr>
          <w:t>http://www.foodstandards.gov.au/code/fofr/fofrpolicy/pages/default.aspx</w:t>
        </w:r>
      </w:hyperlink>
    </w:p>
  </w:footnote>
  <w:footnote w:id="6">
    <w:p w:rsidR="00386947" w:rsidRPr="00E24DE8" w:rsidRDefault="00386947" w:rsidP="00F67394">
      <w:pPr>
        <w:pStyle w:val="FootnoteText"/>
        <w:rPr>
          <w:lang w:val="en-AU"/>
        </w:rPr>
      </w:pPr>
      <w:r>
        <w:rPr>
          <w:rStyle w:val="FootnoteReference"/>
        </w:rPr>
        <w:footnoteRef/>
      </w:r>
      <w:r>
        <w:t xml:space="preserve"> </w:t>
      </w:r>
      <w:hyperlink r:id="rId4" w:history="1">
        <w:r w:rsidRPr="00337233">
          <w:rPr>
            <w:rStyle w:val="Hyperlink"/>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B5" w:rsidRDefault="00992F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B5" w:rsidRDefault="00992F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47" w:rsidRDefault="0038694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128F"/>
    <w:multiLevelType w:val="hybridMultilevel"/>
    <w:tmpl w:val="E7902F76"/>
    <w:lvl w:ilvl="0" w:tplc="61C2C284">
      <w:start w:val="1"/>
      <w:numFmt w:val="lowerLetter"/>
      <w:lvlText w:val="(%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393D87"/>
    <w:multiLevelType w:val="hybridMultilevel"/>
    <w:tmpl w:val="6E96D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4DC0895"/>
    <w:multiLevelType w:val="hybridMultilevel"/>
    <w:tmpl w:val="FA540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DA2B7B"/>
    <w:multiLevelType w:val="hybridMultilevel"/>
    <w:tmpl w:val="4A3429A8"/>
    <w:lvl w:ilvl="0" w:tplc="D4262F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E90970"/>
    <w:multiLevelType w:val="hybridMultilevel"/>
    <w:tmpl w:val="C722FDA4"/>
    <w:lvl w:ilvl="0" w:tplc="3E10438C">
      <w:start w:val="1"/>
      <w:numFmt w:val="bullet"/>
      <w:lvlText w:val=""/>
      <w:lvlJc w:val="center"/>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F32768"/>
    <w:multiLevelType w:val="hybridMultilevel"/>
    <w:tmpl w:val="E024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CE0DAB"/>
    <w:multiLevelType w:val="hybridMultilevel"/>
    <w:tmpl w:val="A5BA6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52070D5"/>
    <w:multiLevelType w:val="hybridMultilevel"/>
    <w:tmpl w:val="E3F84C12"/>
    <w:lvl w:ilvl="0" w:tplc="43FA43B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4862B7"/>
    <w:multiLevelType w:val="hybridMultilevel"/>
    <w:tmpl w:val="9084A3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25A4325E"/>
    <w:multiLevelType w:val="hybridMultilevel"/>
    <w:tmpl w:val="D1289988"/>
    <w:lvl w:ilvl="0" w:tplc="6C265A12">
      <w:start w:val="1"/>
      <w:numFmt w:val="lowerRoman"/>
      <w:lvlText w:val="(%1)"/>
      <w:lvlJc w:val="left"/>
      <w:pPr>
        <w:ind w:left="1080" w:hanging="72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FA0076"/>
    <w:multiLevelType w:val="hybridMultilevel"/>
    <w:tmpl w:val="324A9908"/>
    <w:lvl w:ilvl="0" w:tplc="89F02148">
      <w:start w:val="1"/>
      <w:numFmt w:val="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0459BE"/>
    <w:multiLevelType w:val="hybridMultilevel"/>
    <w:tmpl w:val="F0EE5F18"/>
    <w:lvl w:ilvl="0" w:tplc="432C6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AB12E3"/>
    <w:multiLevelType w:val="hybridMultilevel"/>
    <w:tmpl w:val="053ADFC8"/>
    <w:lvl w:ilvl="0" w:tplc="35D0B49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E629F9"/>
    <w:multiLevelType w:val="hybridMultilevel"/>
    <w:tmpl w:val="F94A29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F0290E"/>
    <w:multiLevelType w:val="hybridMultilevel"/>
    <w:tmpl w:val="FA2298D8"/>
    <w:lvl w:ilvl="0" w:tplc="ACE2F0EA">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0">
    <w:nsid w:val="51266B07"/>
    <w:multiLevelType w:val="hybridMultilevel"/>
    <w:tmpl w:val="A698AB8E"/>
    <w:lvl w:ilvl="0" w:tplc="286C292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5FD0ADD"/>
    <w:multiLevelType w:val="hybridMultilevel"/>
    <w:tmpl w:val="72047A6E"/>
    <w:lvl w:ilvl="0" w:tplc="40DECE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710E67"/>
    <w:multiLevelType w:val="hybridMultilevel"/>
    <w:tmpl w:val="1F648D18"/>
    <w:lvl w:ilvl="0" w:tplc="9AE4A3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nsid w:val="5D9E4D19"/>
    <w:multiLevelType w:val="hybridMultilevel"/>
    <w:tmpl w:val="F1E2FBD4"/>
    <w:lvl w:ilvl="0" w:tplc="1E92087C">
      <w:start w:val="13"/>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4">
    <w:nsid w:val="5E966F7E"/>
    <w:multiLevelType w:val="hybridMultilevel"/>
    <w:tmpl w:val="B680C9D6"/>
    <w:lvl w:ilvl="0" w:tplc="5D3C3F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731559"/>
    <w:multiLevelType w:val="hybridMultilevel"/>
    <w:tmpl w:val="36884694"/>
    <w:lvl w:ilvl="0" w:tplc="43FA43BE">
      <w:start w:val="1"/>
      <w:numFmt w:val="bullet"/>
      <w:lvlText w:val=""/>
      <w:lvlJc w:val="center"/>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nsid w:val="650F3462"/>
    <w:multiLevelType w:val="hybridMultilevel"/>
    <w:tmpl w:val="9A9A7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8D87276"/>
    <w:multiLevelType w:val="multilevel"/>
    <w:tmpl w:val="CC8C9536"/>
    <w:lvl w:ilvl="0">
      <w:start w:val="1"/>
      <w:numFmt w:val="bullet"/>
      <w:lvlText w:val=""/>
      <w:lvlJc w:val="left"/>
      <w:pPr>
        <w:tabs>
          <w:tab w:val="num" w:pos="577"/>
        </w:tabs>
        <w:ind w:left="577" w:hanging="510"/>
      </w:pPr>
      <w:rPr>
        <w:rFonts w:ascii="Symbol" w:hAnsi="Symbol" w:hint="default"/>
        <w:color w:val="auto"/>
      </w:rPr>
    </w:lvl>
    <w:lvl w:ilvl="1">
      <w:start w:val="1"/>
      <w:numFmt w:val="bullet"/>
      <w:lvlText w:val=""/>
      <w:lvlJc w:val="left"/>
      <w:pPr>
        <w:tabs>
          <w:tab w:val="num" w:pos="927"/>
        </w:tabs>
        <w:ind w:left="927" w:hanging="360"/>
      </w:pPr>
      <w:rPr>
        <w:rFonts w:ascii="Symbol" w:hAnsi="Symbol" w:hint="default"/>
      </w:rPr>
    </w:lvl>
    <w:lvl w:ilvl="2">
      <w:start w:val="1"/>
      <w:numFmt w:val="none"/>
      <w:lvlText w:val="..."/>
      <w:lvlJc w:val="left"/>
      <w:pPr>
        <w:tabs>
          <w:tab w:val="num" w:pos="1191"/>
        </w:tabs>
        <w:ind w:left="1080" w:hanging="28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6CFC5E91"/>
    <w:multiLevelType w:val="hybridMultilevel"/>
    <w:tmpl w:val="673AA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1">
    <w:nsid w:val="7774650A"/>
    <w:multiLevelType w:val="hybridMultilevel"/>
    <w:tmpl w:val="8A86E292"/>
    <w:lvl w:ilvl="0" w:tplc="3D1818EC">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B68265F"/>
    <w:multiLevelType w:val="hybridMultilevel"/>
    <w:tmpl w:val="4A1C98A6"/>
    <w:lvl w:ilvl="0" w:tplc="3F3094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B7469A8"/>
    <w:multiLevelType w:val="hybridMultilevel"/>
    <w:tmpl w:val="AA4A45D0"/>
    <w:lvl w:ilvl="0" w:tplc="8B445A3A">
      <w:start w:val="1"/>
      <w:numFmt w:val="bullet"/>
      <w:lvlText w:val=""/>
      <w:lvlJc w:val="left"/>
      <w:pPr>
        <w:tabs>
          <w:tab w:val="num" w:pos="577"/>
        </w:tabs>
        <w:ind w:left="577" w:hanging="510"/>
      </w:pPr>
      <w:rPr>
        <w:rFonts w:ascii="Symbol" w:hAnsi="Symbol" w:hint="default"/>
      </w:rPr>
    </w:lvl>
    <w:lvl w:ilvl="1" w:tplc="C3E23B06">
      <w:start w:val="1"/>
      <w:numFmt w:val="lowerRoman"/>
      <w:lvlText w:val="(%2)"/>
      <w:lvlJc w:val="right"/>
      <w:pPr>
        <w:tabs>
          <w:tab w:val="num" w:pos="1507"/>
        </w:tabs>
        <w:ind w:left="1507" w:hanging="360"/>
      </w:pPr>
      <w:rPr>
        <w:rFont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nsid w:val="7D9102BD"/>
    <w:multiLevelType w:val="hybridMultilevel"/>
    <w:tmpl w:val="71CC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B56032"/>
    <w:multiLevelType w:val="hybridMultilevel"/>
    <w:tmpl w:val="16E4B022"/>
    <w:lvl w:ilvl="0" w:tplc="87286E32">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1"/>
  </w:num>
  <w:num w:numId="4">
    <w:abstractNumId w:val="26"/>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0"/>
  </w:num>
  <w:num w:numId="8">
    <w:abstractNumId w:val="12"/>
  </w:num>
  <w:num w:numId="9">
    <w:abstractNumId w:val="29"/>
  </w:num>
  <w:num w:numId="10">
    <w:abstractNumId w:val="33"/>
  </w:num>
  <w:num w:numId="11">
    <w:abstractNumId w:val="28"/>
  </w:num>
  <w:num w:numId="12">
    <w:abstractNumId w:val="27"/>
  </w:num>
  <w:num w:numId="13">
    <w:abstractNumId w:val="8"/>
  </w:num>
  <w:num w:numId="14">
    <w:abstractNumId w:val="7"/>
  </w:num>
  <w:num w:numId="15">
    <w:abstractNumId w:val="3"/>
  </w:num>
  <w:num w:numId="16">
    <w:abstractNumId w:val="4"/>
  </w:num>
  <w:num w:numId="17">
    <w:abstractNumId w:val="17"/>
  </w:num>
  <w:num w:numId="18">
    <w:abstractNumId w:val="16"/>
  </w:num>
  <w:num w:numId="19">
    <w:abstractNumId w:val="21"/>
  </w:num>
  <w:num w:numId="20">
    <w:abstractNumId w:val="22"/>
  </w:num>
  <w:num w:numId="21">
    <w:abstractNumId w:val="35"/>
  </w:num>
  <w:num w:numId="22">
    <w:abstractNumId w:val="32"/>
  </w:num>
  <w:num w:numId="23">
    <w:abstractNumId w:val="0"/>
  </w:num>
  <w:num w:numId="24">
    <w:abstractNumId w:val="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4"/>
  </w:num>
  <w:num w:numId="30">
    <w:abstractNumId w:val="19"/>
  </w:num>
  <w:num w:numId="31">
    <w:abstractNumId w:val="6"/>
  </w:num>
  <w:num w:numId="32">
    <w:abstractNumId w:val="25"/>
  </w:num>
  <w:num w:numId="33">
    <w:abstractNumId w:val="9"/>
  </w:num>
  <w:num w:numId="34">
    <w:abstractNumId w:val="11"/>
  </w:num>
  <w:num w:numId="35">
    <w:abstractNumId w:val="31"/>
  </w:num>
  <w:num w:numId="36">
    <w:abstractNumId w:val="1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24E"/>
    <w:rsid w:val="00001CF2"/>
    <w:rsid w:val="0000247B"/>
    <w:rsid w:val="000031EC"/>
    <w:rsid w:val="0000469B"/>
    <w:rsid w:val="00007F59"/>
    <w:rsid w:val="00012EFC"/>
    <w:rsid w:val="00016CB6"/>
    <w:rsid w:val="000175E7"/>
    <w:rsid w:val="000175FD"/>
    <w:rsid w:val="000212AE"/>
    <w:rsid w:val="00021980"/>
    <w:rsid w:val="00022DBC"/>
    <w:rsid w:val="00027A74"/>
    <w:rsid w:val="00034F87"/>
    <w:rsid w:val="00035FF3"/>
    <w:rsid w:val="000408E6"/>
    <w:rsid w:val="000416EF"/>
    <w:rsid w:val="000427B2"/>
    <w:rsid w:val="00042946"/>
    <w:rsid w:val="00043A85"/>
    <w:rsid w:val="00046B7F"/>
    <w:rsid w:val="00047C8F"/>
    <w:rsid w:val="00050659"/>
    <w:rsid w:val="00051021"/>
    <w:rsid w:val="00051ED9"/>
    <w:rsid w:val="0005582B"/>
    <w:rsid w:val="0005689E"/>
    <w:rsid w:val="00057181"/>
    <w:rsid w:val="00060343"/>
    <w:rsid w:val="00061C50"/>
    <w:rsid w:val="00061E25"/>
    <w:rsid w:val="00061F8A"/>
    <w:rsid w:val="00064B2D"/>
    <w:rsid w:val="00064D42"/>
    <w:rsid w:val="00064DD6"/>
    <w:rsid w:val="00064E05"/>
    <w:rsid w:val="00065F1F"/>
    <w:rsid w:val="0006644A"/>
    <w:rsid w:val="0007466A"/>
    <w:rsid w:val="00075C5B"/>
    <w:rsid w:val="00076D33"/>
    <w:rsid w:val="00076E21"/>
    <w:rsid w:val="00077260"/>
    <w:rsid w:val="000775B2"/>
    <w:rsid w:val="000778D6"/>
    <w:rsid w:val="000837C4"/>
    <w:rsid w:val="00084F3D"/>
    <w:rsid w:val="00086F07"/>
    <w:rsid w:val="00087DE0"/>
    <w:rsid w:val="00087FE0"/>
    <w:rsid w:val="00090568"/>
    <w:rsid w:val="00090856"/>
    <w:rsid w:val="00091CC2"/>
    <w:rsid w:val="0009262E"/>
    <w:rsid w:val="00095836"/>
    <w:rsid w:val="000A09EE"/>
    <w:rsid w:val="000A0AB3"/>
    <w:rsid w:val="000A27E9"/>
    <w:rsid w:val="000A27ED"/>
    <w:rsid w:val="000A3D8B"/>
    <w:rsid w:val="000A5408"/>
    <w:rsid w:val="000A5DF8"/>
    <w:rsid w:val="000B2DF6"/>
    <w:rsid w:val="000B53E3"/>
    <w:rsid w:val="000B6A4E"/>
    <w:rsid w:val="000B6AF2"/>
    <w:rsid w:val="000B74B8"/>
    <w:rsid w:val="000C0775"/>
    <w:rsid w:val="000C3521"/>
    <w:rsid w:val="000C43C5"/>
    <w:rsid w:val="000C76FB"/>
    <w:rsid w:val="000C7DAA"/>
    <w:rsid w:val="000D17DC"/>
    <w:rsid w:val="000D295F"/>
    <w:rsid w:val="000D4785"/>
    <w:rsid w:val="000D504F"/>
    <w:rsid w:val="000D6E9A"/>
    <w:rsid w:val="000D6FD4"/>
    <w:rsid w:val="000D7392"/>
    <w:rsid w:val="000D77BC"/>
    <w:rsid w:val="000E0651"/>
    <w:rsid w:val="000E0AE4"/>
    <w:rsid w:val="000E1FC8"/>
    <w:rsid w:val="000E3DBC"/>
    <w:rsid w:val="000E7E98"/>
    <w:rsid w:val="000F4454"/>
    <w:rsid w:val="000F566B"/>
    <w:rsid w:val="00102AE7"/>
    <w:rsid w:val="0010364B"/>
    <w:rsid w:val="001058CF"/>
    <w:rsid w:val="00106359"/>
    <w:rsid w:val="00106A1E"/>
    <w:rsid w:val="001077BF"/>
    <w:rsid w:val="00110615"/>
    <w:rsid w:val="00113CE3"/>
    <w:rsid w:val="001154FE"/>
    <w:rsid w:val="00115F6B"/>
    <w:rsid w:val="00116370"/>
    <w:rsid w:val="00117522"/>
    <w:rsid w:val="00120A60"/>
    <w:rsid w:val="00121CF1"/>
    <w:rsid w:val="0012529A"/>
    <w:rsid w:val="001307D0"/>
    <w:rsid w:val="00132EC2"/>
    <w:rsid w:val="00134508"/>
    <w:rsid w:val="001416EC"/>
    <w:rsid w:val="00143DFE"/>
    <w:rsid w:val="00143E18"/>
    <w:rsid w:val="00144120"/>
    <w:rsid w:val="0014578F"/>
    <w:rsid w:val="00146934"/>
    <w:rsid w:val="00154257"/>
    <w:rsid w:val="001542D8"/>
    <w:rsid w:val="0016048B"/>
    <w:rsid w:val="00164533"/>
    <w:rsid w:val="00164A43"/>
    <w:rsid w:val="00165089"/>
    <w:rsid w:val="0017025A"/>
    <w:rsid w:val="00171959"/>
    <w:rsid w:val="00172119"/>
    <w:rsid w:val="00176DDF"/>
    <w:rsid w:val="00177093"/>
    <w:rsid w:val="00177EF7"/>
    <w:rsid w:val="00180C41"/>
    <w:rsid w:val="00182C4C"/>
    <w:rsid w:val="00184E79"/>
    <w:rsid w:val="00185120"/>
    <w:rsid w:val="00185928"/>
    <w:rsid w:val="00187A1B"/>
    <w:rsid w:val="00195435"/>
    <w:rsid w:val="00197D8D"/>
    <w:rsid w:val="001A1A75"/>
    <w:rsid w:val="001A1F56"/>
    <w:rsid w:val="001A696C"/>
    <w:rsid w:val="001A7E9A"/>
    <w:rsid w:val="001B6F55"/>
    <w:rsid w:val="001C1F4E"/>
    <w:rsid w:val="001C27A3"/>
    <w:rsid w:val="001C282C"/>
    <w:rsid w:val="001C3853"/>
    <w:rsid w:val="001C3D2F"/>
    <w:rsid w:val="001C5295"/>
    <w:rsid w:val="001E027E"/>
    <w:rsid w:val="001E09FA"/>
    <w:rsid w:val="001E6A3D"/>
    <w:rsid w:val="001E6DE2"/>
    <w:rsid w:val="001F5B9C"/>
    <w:rsid w:val="001F74B2"/>
    <w:rsid w:val="001F7711"/>
    <w:rsid w:val="0020330C"/>
    <w:rsid w:val="00203540"/>
    <w:rsid w:val="00203592"/>
    <w:rsid w:val="00203CBC"/>
    <w:rsid w:val="0021087F"/>
    <w:rsid w:val="0021282A"/>
    <w:rsid w:val="002132CC"/>
    <w:rsid w:val="00213511"/>
    <w:rsid w:val="00216C14"/>
    <w:rsid w:val="0021716F"/>
    <w:rsid w:val="0021780E"/>
    <w:rsid w:val="00221BA8"/>
    <w:rsid w:val="00221C41"/>
    <w:rsid w:val="00221D07"/>
    <w:rsid w:val="00222D8A"/>
    <w:rsid w:val="00227E4A"/>
    <w:rsid w:val="002301A1"/>
    <w:rsid w:val="00231C95"/>
    <w:rsid w:val="00232075"/>
    <w:rsid w:val="002325EF"/>
    <w:rsid w:val="00233110"/>
    <w:rsid w:val="00234CFD"/>
    <w:rsid w:val="002432EE"/>
    <w:rsid w:val="0024582E"/>
    <w:rsid w:val="00247BA0"/>
    <w:rsid w:val="002547EF"/>
    <w:rsid w:val="002568CD"/>
    <w:rsid w:val="00256D65"/>
    <w:rsid w:val="00256FE3"/>
    <w:rsid w:val="00270138"/>
    <w:rsid w:val="00271F00"/>
    <w:rsid w:val="00272101"/>
    <w:rsid w:val="002727EE"/>
    <w:rsid w:val="00273A80"/>
    <w:rsid w:val="00274C87"/>
    <w:rsid w:val="0027513D"/>
    <w:rsid w:val="00276026"/>
    <w:rsid w:val="002802FB"/>
    <w:rsid w:val="002851C8"/>
    <w:rsid w:val="0029204E"/>
    <w:rsid w:val="00292F7C"/>
    <w:rsid w:val="00294BAD"/>
    <w:rsid w:val="002961CB"/>
    <w:rsid w:val="0029631C"/>
    <w:rsid w:val="002A0194"/>
    <w:rsid w:val="002A07FB"/>
    <w:rsid w:val="002A10A1"/>
    <w:rsid w:val="002A4265"/>
    <w:rsid w:val="002A5CA5"/>
    <w:rsid w:val="002A5F8B"/>
    <w:rsid w:val="002A65C0"/>
    <w:rsid w:val="002A7F6C"/>
    <w:rsid w:val="002B0D8E"/>
    <w:rsid w:val="002B2109"/>
    <w:rsid w:val="002B2D4A"/>
    <w:rsid w:val="002B4A1F"/>
    <w:rsid w:val="002B66D3"/>
    <w:rsid w:val="002B6C2D"/>
    <w:rsid w:val="002B79A4"/>
    <w:rsid w:val="002C0C42"/>
    <w:rsid w:val="002C20B8"/>
    <w:rsid w:val="002C295B"/>
    <w:rsid w:val="002C3B98"/>
    <w:rsid w:val="002D3BF1"/>
    <w:rsid w:val="002D41AA"/>
    <w:rsid w:val="002D5086"/>
    <w:rsid w:val="002D6697"/>
    <w:rsid w:val="002D6809"/>
    <w:rsid w:val="002D6EA0"/>
    <w:rsid w:val="002E086A"/>
    <w:rsid w:val="002E39F6"/>
    <w:rsid w:val="002E44F2"/>
    <w:rsid w:val="002E56C2"/>
    <w:rsid w:val="002E5712"/>
    <w:rsid w:val="002E6ED9"/>
    <w:rsid w:val="002E7B02"/>
    <w:rsid w:val="002F0AA8"/>
    <w:rsid w:val="002F16BF"/>
    <w:rsid w:val="002F2C38"/>
    <w:rsid w:val="002F6488"/>
    <w:rsid w:val="003010F3"/>
    <w:rsid w:val="00306BCF"/>
    <w:rsid w:val="00310E84"/>
    <w:rsid w:val="00315A71"/>
    <w:rsid w:val="003171BF"/>
    <w:rsid w:val="00317DEE"/>
    <w:rsid w:val="003213F9"/>
    <w:rsid w:val="00321636"/>
    <w:rsid w:val="003226EB"/>
    <w:rsid w:val="00323C40"/>
    <w:rsid w:val="00323DBF"/>
    <w:rsid w:val="003247C9"/>
    <w:rsid w:val="00326D57"/>
    <w:rsid w:val="003309A8"/>
    <w:rsid w:val="003320C0"/>
    <w:rsid w:val="00332B12"/>
    <w:rsid w:val="003345B5"/>
    <w:rsid w:val="00336711"/>
    <w:rsid w:val="00345E52"/>
    <w:rsid w:val="00347935"/>
    <w:rsid w:val="00350B57"/>
    <w:rsid w:val="00350DBD"/>
    <w:rsid w:val="0035132C"/>
    <w:rsid w:val="00351927"/>
    <w:rsid w:val="00351B07"/>
    <w:rsid w:val="0035277F"/>
    <w:rsid w:val="003535D8"/>
    <w:rsid w:val="003543B9"/>
    <w:rsid w:val="00355473"/>
    <w:rsid w:val="00355D7F"/>
    <w:rsid w:val="00355ED5"/>
    <w:rsid w:val="003561A9"/>
    <w:rsid w:val="00361BB6"/>
    <w:rsid w:val="0036268A"/>
    <w:rsid w:val="00364841"/>
    <w:rsid w:val="00364DD0"/>
    <w:rsid w:val="00366C5C"/>
    <w:rsid w:val="00370E8F"/>
    <w:rsid w:val="00371B29"/>
    <w:rsid w:val="00371BE0"/>
    <w:rsid w:val="00372182"/>
    <w:rsid w:val="00373FC1"/>
    <w:rsid w:val="00374CF3"/>
    <w:rsid w:val="0037520F"/>
    <w:rsid w:val="00376BB8"/>
    <w:rsid w:val="00377800"/>
    <w:rsid w:val="00383E79"/>
    <w:rsid w:val="00385484"/>
    <w:rsid w:val="00385CA0"/>
    <w:rsid w:val="00386890"/>
    <w:rsid w:val="00386947"/>
    <w:rsid w:val="00391769"/>
    <w:rsid w:val="00393229"/>
    <w:rsid w:val="003944E5"/>
    <w:rsid w:val="003953E1"/>
    <w:rsid w:val="003956B3"/>
    <w:rsid w:val="003959B2"/>
    <w:rsid w:val="00396D3B"/>
    <w:rsid w:val="00396E2E"/>
    <w:rsid w:val="003A057C"/>
    <w:rsid w:val="003A188C"/>
    <w:rsid w:val="003A2C3D"/>
    <w:rsid w:val="003A56D4"/>
    <w:rsid w:val="003A647B"/>
    <w:rsid w:val="003A68BE"/>
    <w:rsid w:val="003A7725"/>
    <w:rsid w:val="003B09A0"/>
    <w:rsid w:val="003B3C9D"/>
    <w:rsid w:val="003B3E65"/>
    <w:rsid w:val="003B4C26"/>
    <w:rsid w:val="003B537E"/>
    <w:rsid w:val="003B7250"/>
    <w:rsid w:val="003B78E0"/>
    <w:rsid w:val="003C4969"/>
    <w:rsid w:val="003D095B"/>
    <w:rsid w:val="003D38DE"/>
    <w:rsid w:val="003D399F"/>
    <w:rsid w:val="003E0219"/>
    <w:rsid w:val="003E41D5"/>
    <w:rsid w:val="003E46BA"/>
    <w:rsid w:val="003E545E"/>
    <w:rsid w:val="003E5943"/>
    <w:rsid w:val="003E5D99"/>
    <w:rsid w:val="003E777E"/>
    <w:rsid w:val="003E7D22"/>
    <w:rsid w:val="003F401F"/>
    <w:rsid w:val="003F74C1"/>
    <w:rsid w:val="004012B3"/>
    <w:rsid w:val="0040147A"/>
    <w:rsid w:val="00402380"/>
    <w:rsid w:val="0040339A"/>
    <w:rsid w:val="00405B1A"/>
    <w:rsid w:val="00405DA7"/>
    <w:rsid w:val="00407241"/>
    <w:rsid w:val="0040761E"/>
    <w:rsid w:val="00407C88"/>
    <w:rsid w:val="00410C76"/>
    <w:rsid w:val="00411907"/>
    <w:rsid w:val="00413CA8"/>
    <w:rsid w:val="00414088"/>
    <w:rsid w:val="0041505D"/>
    <w:rsid w:val="00415A98"/>
    <w:rsid w:val="004170E2"/>
    <w:rsid w:val="00417EE3"/>
    <w:rsid w:val="004207EB"/>
    <w:rsid w:val="0042247D"/>
    <w:rsid w:val="004262E7"/>
    <w:rsid w:val="00434AEF"/>
    <w:rsid w:val="00435FA5"/>
    <w:rsid w:val="00436B8D"/>
    <w:rsid w:val="00437276"/>
    <w:rsid w:val="00437B0C"/>
    <w:rsid w:val="00440199"/>
    <w:rsid w:val="004417C8"/>
    <w:rsid w:val="00443D85"/>
    <w:rsid w:val="00444B6C"/>
    <w:rsid w:val="00444CE5"/>
    <w:rsid w:val="00447E67"/>
    <w:rsid w:val="00450819"/>
    <w:rsid w:val="00450982"/>
    <w:rsid w:val="00451AC7"/>
    <w:rsid w:val="00454A7F"/>
    <w:rsid w:val="0045556F"/>
    <w:rsid w:val="00456B54"/>
    <w:rsid w:val="00456BC2"/>
    <w:rsid w:val="004602EC"/>
    <w:rsid w:val="0046103D"/>
    <w:rsid w:val="0046166F"/>
    <w:rsid w:val="004642A1"/>
    <w:rsid w:val="00464643"/>
    <w:rsid w:val="004646F8"/>
    <w:rsid w:val="004649EB"/>
    <w:rsid w:val="00466436"/>
    <w:rsid w:val="004714F2"/>
    <w:rsid w:val="00477043"/>
    <w:rsid w:val="004812B2"/>
    <w:rsid w:val="00482FAB"/>
    <w:rsid w:val="004854E7"/>
    <w:rsid w:val="00486793"/>
    <w:rsid w:val="0048787A"/>
    <w:rsid w:val="004924D6"/>
    <w:rsid w:val="00494ABA"/>
    <w:rsid w:val="004963AB"/>
    <w:rsid w:val="00497618"/>
    <w:rsid w:val="004A080E"/>
    <w:rsid w:val="004A0F09"/>
    <w:rsid w:val="004A169D"/>
    <w:rsid w:val="004A2037"/>
    <w:rsid w:val="004A3685"/>
    <w:rsid w:val="004A5F43"/>
    <w:rsid w:val="004A62F4"/>
    <w:rsid w:val="004B1721"/>
    <w:rsid w:val="004C1B40"/>
    <w:rsid w:val="004C2CE7"/>
    <w:rsid w:val="004C2DC2"/>
    <w:rsid w:val="004C5C61"/>
    <w:rsid w:val="004D30A6"/>
    <w:rsid w:val="004D4ED7"/>
    <w:rsid w:val="004D59CE"/>
    <w:rsid w:val="004D7392"/>
    <w:rsid w:val="004D7C9E"/>
    <w:rsid w:val="004E0ACB"/>
    <w:rsid w:val="004E7B35"/>
    <w:rsid w:val="004F0930"/>
    <w:rsid w:val="004F0A69"/>
    <w:rsid w:val="004F1F58"/>
    <w:rsid w:val="004F4F98"/>
    <w:rsid w:val="004F69F6"/>
    <w:rsid w:val="004F7104"/>
    <w:rsid w:val="004F79AC"/>
    <w:rsid w:val="00500EAA"/>
    <w:rsid w:val="005017CF"/>
    <w:rsid w:val="00501D44"/>
    <w:rsid w:val="00502E9A"/>
    <w:rsid w:val="005030DF"/>
    <w:rsid w:val="0050311A"/>
    <w:rsid w:val="00506521"/>
    <w:rsid w:val="00512290"/>
    <w:rsid w:val="0051337F"/>
    <w:rsid w:val="005146C7"/>
    <w:rsid w:val="005207D8"/>
    <w:rsid w:val="00520ABC"/>
    <w:rsid w:val="00521C91"/>
    <w:rsid w:val="00521F70"/>
    <w:rsid w:val="00531778"/>
    <w:rsid w:val="0053464E"/>
    <w:rsid w:val="00552D72"/>
    <w:rsid w:val="00552F5E"/>
    <w:rsid w:val="00553969"/>
    <w:rsid w:val="00553C8B"/>
    <w:rsid w:val="005563B3"/>
    <w:rsid w:val="00560601"/>
    <w:rsid w:val="005616F7"/>
    <w:rsid w:val="00562917"/>
    <w:rsid w:val="00563BAD"/>
    <w:rsid w:val="00563D3A"/>
    <w:rsid w:val="005647D9"/>
    <w:rsid w:val="00564ABE"/>
    <w:rsid w:val="0056502C"/>
    <w:rsid w:val="00570166"/>
    <w:rsid w:val="0057025B"/>
    <w:rsid w:val="005708C5"/>
    <w:rsid w:val="00586228"/>
    <w:rsid w:val="00592407"/>
    <w:rsid w:val="0059498B"/>
    <w:rsid w:val="005965B7"/>
    <w:rsid w:val="005A1BB9"/>
    <w:rsid w:val="005A1EEA"/>
    <w:rsid w:val="005A3A03"/>
    <w:rsid w:val="005A515D"/>
    <w:rsid w:val="005A58C1"/>
    <w:rsid w:val="005B0094"/>
    <w:rsid w:val="005B0BC3"/>
    <w:rsid w:val="005B615C"/>
    <w:rsid w:val="005B6AF4"/>
    <w:rsid w:val="005C0244"/>
    <w:rsid w:val="005C04CB"/>
    <w:rsid w:val="005C2758"/>
    <w:rsid w:val="005C34AE"/>
    <w:rsid w:val="005C5541"/>
    <w:rsid w:val="005C69E5"/>
    <w:rsid w:val="005C71BA"/>
    <w:rsid w:val="005C7419"/>
    <w:rsid w:val="005C7ED7"/>
    <w:rsid w:val="005D04F9"/>
    <w:rsid w:val="005D16AD"/>
    <w:rsid w:val="005D2B8A"/>
    <w:rsid w:val="005D46CF"/>
    <w:rsid w:val="005D72E1"/>
    <w:rsid w:val="005E2043"/>
    <w:rsid w:val="005E2B6C"/>
    <w:rsid w:val="005E3DBC"/>
    <w:rsid w:val="005E6E16"/>
    <w:rsid w:val="005E6FD8"/>
    <w:rsid w:val="005F2A66"/>
    <w:rsid w:val="005F3F5F"/>
    <w:rsid w:val="005F400E"/>
    <w:rsid w:val="005F7342"/>
    <w:rsid w:val="005F7794"/>
    <w:rsid w:val="00601E8E"/>
    <w:rsid w:val="00603A08"/>
    <w:rsid w:val="0060551E"/>
    <w:rsid w:val="00606C88"/>
    <w:rsid w:val="006101AA"/>
    <w:rsid w:val="00610A3C"/>
    <w:rsid w:val="0061224C"/>
    <w:rsid w:val="006140E9"/>
    <w:rsid w:val="00614609"/>
    <w:rsid w:val="00614D03"/>
    <w:rsid w:val="00616746"/>
    <w:rsid w:val="00621F33"/>
    <w:rsid w:val="006264B2"/>
    <w:rsid w:val="00626792"/>
    <w:rsid w:val="006270D6"/>
    <w:rsid w:val="00627F48"/>
    <w:rsid w:val="00633ACA"/>
    <w:rsid w:val="006342E0"/>
    <w:rsid w:val="0063436F"/>
    <w:rsid w:val="00634955"/>
    <w:rsid w:val="00635B7F"/>
    <w:rsid w:val="00642A47"/>
    <w:rsid w:val="00646611"/>
    <w:rsid w:val="00646FDD"/>
    <w:rsid w:val="006501D7"/>
    <w:rsid w:val="00652E3D"/>
    <w:rsid w:val="00660AAF"/>
    <w:rsid w:val="00662919"/>
    <w:rsid w:val="0066378D"/>
    <w:rsid w:val="00663FCF"/>
    <w:rsid w:val="006652A2"/>
    <w:rsid w:val="00665456"/>
    <w:rsid w:val="0066587E"/>
    <w:rsid w:val="006713CD"/>
    <w:rsid w:val="00672A95"/>
    <w:rsid w:val="006734A3"/>
    <w:rsid w:val="006777D0"/>
    <w:rsid w:val="00681754"/>
    <w:rsid w:val="0068498D"/>
    <w:rsid w:val="00685713"/>
    <w:rsid w:val="00690532"/>
    <w:rsid w:val="006937FF"/>
    <w:rsid w:val="006965BF"/>
    <w:rsid w:val="006A0B67"/>
    <w:rsid w:val="006A3D8A"/>
    <w:rsid w:val="006A421D"/>
    <w:rsid w:val="006A48A7"/>
    <w:rsid w:val="006B03BD"/>
    <w:rsid w:val="006B090B"/>
    <w:rsid w:val="006B1CDA"/>
    <w:rsid w:val="006B2580"/>
    <w:rsid w:val="006B4BA1"/>
    <w:rsid w:val="006B526E"/>
    <w:rsid w:val="006C28E2"/>
    <w:rsid w:val="006C2F2B"/>
    <w:rsid w:val="006C58D8"/>
    <w:rsid w:val="006C5CF5"/>
    <w:rsid w:val="006D4FCB"/>
    <w:rsid w:val="006D7DFA"/>
    <w:rsid w:val="006E4095"/>
    <w:rsid w:val="006E71A9"/>
    <w:rsid w:val="006F1AE7"/>
    <w:rsid w:val="006F1DE9"/>
    <w:rsid w:val="006F2732"/>
    <w:rsid w:val="006F2ED3"/>
    <w:rsid w:val="006F3005"/>
    <w:rsid w:val="006F471D"/>
    <w:rsid w:val="006F49F3"/>
    <w:rsid w:val="006F4A82"/>
    <w:rsid w:val="006F4C60"/>
    <w:rsid w:val="00700239"/>
    <w:rsid w:val="00701768"/>
    <w:rsid w:val="0070255B"/>
    <w:rsid w:val="007032BE"/>
    <w:rsid w:val="0070373B"/>
    <w:rsid w:val="0070559A"/>
    <w:rsid w:val="00707E72"/>
    <w:rsid w:val="007113EB"/>
    <w:rsid w:val="00714767"/>
    <w:rsid w:val="007154A8"/>
    <w:rsid w:val="0072150F"/>
    <w:rsid w:val="00722213"/>
    <w:rsid w:val="0072249A"/>
    <w:rsid w:val="00724D96"/>
    <w:rsid w:val="00724FA4"/>
    <w:rsid w:val="00725157"/>
    <w:rsid w:val="007255B7"/>
    <w:rsid w:val="00726C2F"/>
    <w:rsid w:val="00730800"/>
    <w:rsid w:val="00732C13"/>
    <w:rsid w:val="00734ED4"/>
    <w:rsid w:val="007361BB"/>
    <w:rsid w:val="007372F5"/>
    <w:rsid w:val="00737902"/>
    <w:rsid w:val="00741EFE"/>
    <w:rsid w:val="007422C4"/>
    <w:rsid w:val="00745FC0"/>
    <w:rsid w:val="007467D7"/>
    <w:rsid w:val="00747F49"/>
    <w:rsid w:val="00752B25"/>
    <w:rsid w:val="007601F6"/>
    <w:rsid w:val="007602AA"/>
    <w:rsid w:val="00762C5E"/>
    <w:rsid w:val="007652EF"/>
    <w:rsid w:val="00765F58"/>
    <w:rsid w:val="007706CF"/>
    <w:rsid w:val="007718D3"/>
    <w:rsid w:val="00771905"/>
    <w:rsid w:val="0077256B"/>
    <w:rsid w:val="00772BDC"/>
    <w:rsid w:val="00780792"/>
    <w:rsid w:val="007822D2"/>
    <w:rsid w:val="00782BA9"/>
    <w:rsid w:val="007859CB"/>
    <w:rsid w:val="007861E7"/>
    <w:rsid w:val="0079101F"/>
    <w:rsid w:val="00791A39"/>
    <w:rsid w:val="00792853"/>
    <w:rsid w:val="00796F20"/>
    <w:rsid w:val="007A18FA"/>
    <w:rsid w:val="007A314E"/>
    <w:rsid w:val="007A44B4"/>
    <w:rsid w:val="007A6E72"/>
    <w:rsid w:val="007A7D3D"/>
    <w:rsid w:val="007B225D"/>
    <w:rsid w:val="007B4157"/>
    <w:rsid w:val="007B417E"/>
    <w:rsid w:val="007B7BD4"/>
    <w:rsid w:val="007C1522"/>
    <w:rsid w:val="007C174F"/>
    <w:rsid w:val="007C19C1"/>
    <w:rsid w:val="007C1C64"/>
    <w:rsid w:val="007C6318"/>
    <w:rsid w:val="007C6EB3"/>
    <w:rsid w:val="007D016B"/>
    <w:rsid w:val="007D1350"/>
    <w:rsid w:val="007D40A1"/>
    <w:rsid w:val="007E016E"/>
    <w:rsid w:val="007E0D66"/>
    <w:rsid w:val="007E3C42"/>
    <w:rsid w:val="007E48BC"/>
    <w:rsid w:val="007E70D3"/>
    <w:rsid w:val="007E79F7"/>
    <w:rsid w:val="007F0DAA"/>
    <w:rsid w:val="007F1489"/>
    <w:rsid w:val="007F14DF"/>
    <w:rsid w:val="007F3630"/>
    <w:rsid w:val="00800356"/>
    <w:rsid w:val="00800756"/>
    <w:rsid w:val="00800ED4"/>
    <w:rsid w:val="008011CA"/>
    <w:rsid w:val="00807559"/>
    <w:rsid w:val="0081184D"/>
    <w:rsid w:val="008122E3"/>
    <w:rsid w:val="0081440D"/>
    <w:rsid w:val="0081589B"/>
    <w:rsid w:val="008164AF"/>
    <w:rsid w:val="008169FA"/>
    <w:rsid w:val="0081704A"/>
    <w:rsid w:val="00826E7B"/>
    <w:rsid w:val="008302E9"/>
    <w:rsid w:val="00840ECB"/>
    <w:rsid w:val="008450BC"/>
    <w:rsid w:val="00845BC2"/>
    <w:rsid w:val="0085051F"/>
    <w:rsid w:val="00850766"/>
    <w:rsid w:val="00851A60"/>
    <w:rsid w:val="00851A8B"/>
    <w:rsid w:val="0085334B"/>
    <w:rsid w:val="00853455"/>
    <w:rsid w:val="00853E0D"/>
    <w:rsid w:val="00853ECD"/>
    <w:rsid w:val="0085645A"/>
    <w:rsid w:val="0085666D"/>
    <w:rsid w:val="00856C9E"/>
    <w:rsid w:val="00856FE3"/>
    <w:rsid w:val="008616E6"/>
    <w:rsid w:val="00861FBD"/>
    <w:rsid w:val="0086294E"/>
    <w:rsid w:val="00864AEE"/>
    <w:rsid w:val="00866B9D"/>
    <w:rsid w:val="00867B23"/>
    <w:rsid w:val="00870214"/>
    <w:rsid w:val="0087039E"/>
    <w:rsid w:val="0087142F"/>
    <w:rsid w:val="00876515"/>
    <w:rsid w:val="008810AB"/>
    <w:rsid w:val="008811C6"/>
    <w:rsid w:val="008828D9"/>
    <w:rsid w:val="008836EC"/>
    <w:rsid w:val="00883E2F"/>
    <w:rsid w:val="00885C51"/>
    <w:rsid w:val="00885EB0"/>
    <w:rsid w:val="008871D8"/>
    <w:rsid w:val="008925F4"/>
    <w:rsid w:val="0089264A"/>
    <w:rsid w:val="00894EA8"/>
    <w:rsid w:val="00896B85"/>
    <w:rsid w:val="008A1A78"/>
    <w:rsid w:val="008A22BE"/>
    <w:rsid w:val="008A3036"/>
    <w:rsid w:val="008A31FA"/>
    <w:rsid w:val="008A3221"/>
    <w:rsid w:val="008A35FB"/>
    <w:rsid w:val="008B0075"/>
    <w:rsid w:val="008B5DB1"/>
    <w:rsid w:val="008B750B"/>
    <w:rsid w:val="008B7632"/>
    <w:rsid w:val="008C140F"/>
    <w:rsid w:val="008C1B36"/>
    <w:rsid w:val="008C2D40"/>
    <w:rsid w:val="008C51FF"/>
    <w:rsid w:val="008C6922"/>
    <w:rsid w:val="008C7D60"/>
    <w:rsid w:val="008C7DB8"/>
    <w:rsid w:val="008D0438"/>
    <w:rsid w:val="008D06C6"/>
    <w:rsid w:val="008D144F"/>
    <w:rsid w:val="008D3F78"/>
    <w:rsid w:val="008D4AD2"/>
    <w:rsid w:val="008D53FA"/>
    <w:rsid w:val="008D6788"/>
    <w:rsid w:val="008E237C"/>
    <w:rsid w:val="008E6250"/>
    <w:rsid w:val="008E6F42"/>
    <w:rsid w:val="008E6FFB"/>
    <w:rsid w:val="008E7041"/>
    <w:rsid w:val="008F07B5"/>
    <w:rsid w:val="008F1BE2"/>
    <w:rsid w:val="008F327F"/>
    <w:rsid w:val="008F49D3"/>
    <w:rsid w:val="008F6149"/>
    <w:rsid w:val="008F6478"/>
    <w:rsid w:val="00902AF6"/>
    <w:rsid w:val="009129C4"/>
    <w:rsid w:val="00914030"/>
    <w:rsid w:val="00920249"/>
    <w:rsid w:val="00923B65"/>
    <w:rsid w:val="00924C80"/>
    <w:rsid w:val="00927994"/>
    <w:rsid w:val="0093078D"/>
    <w:rsid w:val="0093196F"/>
    <w:rsid w:val="00931BAB"/>
    <w:rsid w:val="00932F14"/>
    <w:rsid w:val="009341EF"/>
    <w:rsid w:val="00935752"/>
    <w:rsid w:val="009377D5"/>
    <w:rsid w:val="00940E9B"/>
    <w:rsid w:val="0094247F"/>
    <w:rsid w:val="00942840"/>
    <w:rsid w:val="00942D60"/>
    <w:rsid w:val="00943AF7"/>
    <w:rsid w:val="00944BA4"/>
    <w:rsid w:val="0094607F"/>
    <w:rsid w:val="00947D34"/>
    <w:rsid w:val="00951979"/>
    <w:rsid w:val="00957607"/>
    <w:rsid w:val="00957692"/>
    <w:rsid w:val="0096050C"/>
    <w:rsid w:val="00960BCF"/>
    <w:rsid w:val="0096523B"/>
    <w:rsid w:val="009656D1"/>
    <w:rsid w:val="00966EE3"/>
    <w:rsid w:val="00970FDF"/>
    <w:rsid w:val="0097107D"/>
    <w:rsid w:val="00972D06"/>
    <w:rsid w:val="00974006"/>
    <w:rsid w:val="00975C4D"/>
    <w:rsid w:val="00977D46"/>
    <w:rsid w:val="009809D1"/>
    <w:rsid w:val="0098180E"/>
    <w:rsid w:val="00981B69"/>
    <w:rsid w:val="00985159"/>
    <w:rsid w:val="0098651F"/>
    <w:rsid w:val="00990666"/>
    <w:rsid w:val="00991FB8"/>
    <w:rsid w:val="009925D7"/>
    <w:rsid w:val="009925DC"/>
    <w:rsid w:val="00992FB5"/>
    <w:rsid w:val="00994EAA"/>
    <w:rsid w:val="00996A62"/>
    <w:rsid w:val="009A192B"/>
    <w:rsid w:val="009A2004"/>
    <w:rsid w:val="009A391C"/>
    <w:rsid w:val="009A50F2"/>
    <w:rsid w:val="009A555C"/>
    <w:rsid w:val="009A5DF0"/>
    <w:rsid w:val="009B4E62"/>
    <w:rsid w:val="009B74A2"/>
    <w:rsid w:val="009B7DA3"/>
    <w:rsid w:val="009C0D27"/>
    <w:rsid w:val="009C4322"/>
    <w:rsid w:val="009D1A5A"/>
    <w:rsid w:val="009D23FB"/>
    <w:rsid w:val="009D2973"/>
    <w:rsid w:val="009D2EE0"/>
    <w:rsid w:val="009D3D9F"/>
    <w:rsid w:val="009D694B"/>
    <w:rsid w:val="009D790B"/>
    <w:rsid w:val="009E0A61"/>
    <w:rsid w:val="009E3010"/>
    <w:rsid w:val="009F007E"/>
    <w:rsid w:val="009F1B32"/>
    <w:rsid w:val="009F7065"/>
    <w:rsid w:val="00A01EB4"/>
    <w:rsid w:val="00A053FB"/>
    <w:rsid w:val="00A06026"/>
    <w:rsid w:val="00A06134"/>
    <w:rsid w:val="00A1113F"/>
    <w:rsid w:val="00A12B44"/>
    <w:rsid w:val="00A14E1B"/>
    <w:rsid w:val="00A1521E"/>
    <w:rsid w:val="00A20235"/>
    <w:rsid w:val="00A21EAE"/>
    <w:rsid w:val="00A2505D"/>
    <w:rsid w:val="00A26233"/>
    <w:rsid w:val="00A2754F"/>
    <w:rsid w:val="00A300BB"/>
    <w:rsid w:val="00A31C6F"/>
    <w:rsid w:val="00A33BB0"/>
    <w:rsid w:val="00A35392"/>
    <w:rsid w:val="00A36AB2"/>
    <w:rsid w:val="00A36C3F"/>
    <w:rsid w:val="00A40193"/>
    <w:rsid w:val="00A406A9"/>
    <w:rsid w:val="00A40C33"/>
    <w:rsid w:val="00A4175D"/>
    <w:rsid w:val="00A42EB2"/>
    <w:rsid w:val="00A43A9E"/>
    <w:rsid w:val="00A43AA5"/>
    <w:rsid w:val="00A513F7"/>
    <w:rsid w:val="00A51FFE"/>
    <w:rsid w:val="00A52210"/>
    <w:rsid w:val="00A5417D"/>
    <w:rsid w:val="00A54934"/>
    <w:rsid w:val="00A54FA4"/>
    <w:rsid w:val="00A5532E"/>
    <w:rsid w:val="00A56DC7"/>
    <w:rsid w:val="00A56E34"/>
    <w:rsid w:val="00A6042D"/>
    <w:rsid w:val="00A6253B"/>
    <w:rsid w:val="00A62D43"/>
    <w:rsid w:val="00A70BB2"/>
    <w:rsid w:val="00A729A7"/>
    <w:rsid w:val="00A74FD1"/>
    <w:rsid w:val="00A75FF7"/>
    <w:rsid w:val="00A77E35"/>
    <w:rsid w:val="00A80BC9"/>
    <w:rsid w:val="00A81FC8"/>
    <w:rsid w:val="00A84A58"/>
    <w:rsid w:val="00A859A0"/>
    <w:rsid w:val="00A85C2C"/>
    <w:rsid w:val="00A866FF"/>
    <w:rsid w:val="00A86C9C"/>
    <w:rsid w:val="00A8703F"/>
    <w:rsid w:val="00A870AD"/>
    <w:rsid w:val="00A87232"/>
    <w:rsid w:val="00A879C3"/>
    <w:rsid w:val="00A90DAA"/>
    <w:rsid w:val="00A91DF1"/>
    <w:rsid w:val="00A93002"/>
    <w:rsid w:val="00A94D02"/>
    <w:rsid w:val="00AA2A9A"/>
    <w:rsid w:val="00AA4971"/>
    <w:rsid w:val="00AA5E08"/>
    <w:rsid w:val="00AA65EE"/>
    <w:rsid w:val="00AB4651"/>
    <w:rsid w:val="00AB59B1"/>
    <w:rsid w:val="00AB7E97"/>
    <w:rsid w:val="00AC2044"/>
    <w:rsid w:val="00AD22F9"/>
    <w:rsid w:val="00AD2384"/>
    <w:rsid w:val="00AD3B5D"/>
    <w:rsid w:val="00AD3E69"/>
    <w:rsid w:val="00AD4DC3"/>
    <w:rsid w:val="00AD7A3D"/>
    <w:rsid w:val="00AE12A0"/>
    <w:rsid w:val="00AE2699"/>
    <w:rsid w:val="00AE4E6E"/>
    <w:rsid w:val="00AE766D"/>
    <w:rsid w:val="00AF06FC"/>
    <w:rsid w:val="00AF1BA5"/>
    <w:rsid w:val="00AF3391"/>
    <w:rsid w:val="00AF387F"/>
    <w:rsid w:val="00AF3B1B"/>
    <w:rsid w:val="00AF6302"/>
    <w:rsid w:val="00B00E7F"/>
    <w:rsid w:val="00B01207"/>
    <w:rsid w:val="00B02E23"/>
    <w:rsid w:val="00B03A60"/>
    <w:rsid w:val="00B0474E"/>
    <w:rsid w:val="00B04DF5"/>
    <w:rsid w:val="00B04EFB"/>
    <w:rsid w:val="00B05414"/>
    <w:rsid w:val="00B05CD2"/>
    <w:rsid w:val="00B155BB"/>
    <w:rsid w:val="00B173DA"/>
    <w:rsid w:val="00B21AC5"/>
    <w:rsid w:val="00B21DCC"/>
    <w:rsid w:val="00B2212E"/>
    <w:rsid w:val="00B221FA"/>
    <w:rsid w:val="00B25F37"/>
    <w:rsid w:val="00B27D16"/>
    <w:rsid w:val="00B35622"/>
    <w:rsid w:val="00B4027E"/>
    <w:rsid w:val="00B41C75"/>
    <w:rsid w:val="00B4332F"/>
    <w:rsid w:val="00B439AA"/>
    <w:rsid w:val="00B44422"/>
    <w:rsid w:val="00B44845"/>
    <w:rsid w:val="00B46EA0"/>
    <w:rsid w:val="00B51E03"/>
    <w:rsid w:val="00B52236"/>
    <w:rsid w:val="00B52730"/>
    <w:rsid w:val="00B5625B"/>
    <w:rsid w:val="00B56340"/>
    <w:rsid w:val="00B620B9"/>
    <w:rsid w:val="00B650A0"/>
    <w:rsid w:val="00B678B8"/>
    <w:rsid w:val="00B71C60"/>
    <w:rsid w:val="00B71F51"/>
    <w:rsid w:val="00B728BB"/>
    <w:rsid w:val="00B7290A"/>
    <w:rsid w:val="00B731D3"/>
    <w:rsid w:val="00B73467"/>
    <w:rsid w:val="00B73C00"/>
    <w:rsid w:val="00B75889"/>
    <w:rsid w:val="00B758DE"/>
    <w:rsid w:val="00B75E1C"/>
    <w:rsid w:val="00B80273"/>
    <w:rsid w:val="00B810B1"/>
    <w:rsid w:val="00B839A3"/>
    <w:rsid w:val="00B853D2"/>
    <w:rsid w:val="00B902BD"/>
    <w:rsid w:val="00B93B9B"/>
    <w:rsid w:val="00B94543"/>
    <w:rsid w:val="00B9694C"/>
    <w:rsid w:val="00BA1AF8"/>
    <w:rsid w:val="00BA1EFD"/>
    <w:rsid w:val="00BA24E2"/>
    <w:rsid w:val="00BA316A"/>
    <w:rsid w:val="00BA6651"/>
    <w:rsid w:val="00BB1D9A"/>
    <w:rsid w:val="00BB4143"/>
    <w:rsid w:val="00BC06F3"/>
    <w:rsid w:val="00BC5262"/>
    <w:rsid w:val="00BD020C"/>
    <w:rsid w:val="00BD235A"/>
    <w:rsid w:val="00BD2A39"/>
    <w:rsid w:val="00BD2E80"/>
    <w:rsid w:val="00BD3B4F"/>
    <w:rsid w:val="00BD4D34"/>
    <w:rsid w:val="00BD5007"/>
    <w:rsid w:val="00BE11B8"/>
    <w:rsid w:val="00BE3818"/>
    <w:rsid w:val="00BE59C9"/>
    <w:rsid w:val="00BF25D2"/>
    <w:rsid w:val="00BF73F8"/>
    <w:rsid w:val="00BF7FF0"/>
    <w:rsid w:val="00C01690"/>
    <w:rsid w:val="00C0363F"/>
    <w:rsid w:val="00C044BB"/>
    <w:rsid w:val="00C05B84"/>
    <w:rsid w:val="00C10E97"/>
    <w:rsid w:val="00C12502"/>
    <w:rsid w:val="00C1266C"/>
    <w:rsid w:val="00C12CC1"/>
    <w:rsid w:val="00C13913"/>
    <w:rsid w:val="00C14D3B"/>
    <w:rsid w:val="00C14FD2"/>
    <w:rsid w:val="00C164A9"/>
    <w:rsid w:val="00C24E9F"/>
    <w:rsid w:val="00C25770"/>
    <w:rsid w:val="00C274F1"/>
    <w:rsid w:val="00C31ACE"/>
    <w:rsid w:val="00C31DA3"/>
    <w:rsid w:val="00C32E28"/>
    <w:rsid w:val="00C357A2"/>
    <w:rsid w:val="00C36578"/>
    <w:rsid w:val="00C36781"/>
    <w:rsid w:val="00C36AFC"/>
    <w:rsid w:val="00C3734A"/>
    <w:rsid w:val="00C401E3"/>
    <w:rsid w:val="00C40AA5"/>
    <w:rsid w:val="00C40EF7"/>
    <w:rsid w:val="00C4154C"/>
    <w:rsid w:val="00C4218E"/>
    <w:rsid w:val="00C46614"/>
    <w:rsid w:val="00C46F70"/>
    <w:rsid w:val="00C476D0"/>
    <w:rsid w:val="00C50BDB"/>
    <w:rsid w:val="00C526FA"/>
    <w:rsid w:val="00C55A34"/>
    <w:rsid w:val="00C55E63"/>
    <w:rsid w:val="00C56C26"/>
    <w:rsid w:val="00C56F71"/>
    <w:rsid w:val="00C57EA8"/>
    <w:rsid w:val="00C616A8"/>
    <w:rsid w:val="00C631A8"/>
    <w:rsid w:val="00C63CA8"/>
    <w:rsid w:val="00C646F4"/>
    <w:rsid w:val="00C64BD4"/>
    <w:rsid w:val="00C66D79"/>
    <w:rsid w:val="00C67053"/>
    <w:rsid w:val="00C716A6"/>
    <w:rsid w:val="00C72185"/>
    <w:rsid w:val="00C73DF0"/>
    <w:rsid w:val="00C74C8A"/>
    <w:rsid w:val="00C7518F"/>
    <w:rsid w:val="00C7545E"/>
    <w:rsid w:val="00C81BF6"/>
    <w:rsid w:val="00C83335"/>
    <w:rsid w:val="00C836E3"/>
    <w:rsid w:val="00C83FB6"/>
    <w:rsid w:val="00C84E1D"/>
    <w:rsid w:val="00C86577"/>
    <w:rsid w:val="00C87854"/>
    <w:rsid w:val="00C90A3B"/>
    <w:rsid w:val="00C91B1D"/>
    <w:rsid w:val="00C92E07"/>
    <w:rsid w:val="00C93865"/>
    <w:rsid w:val="00C93EB7"/>
    <w:rsid w:val="00C94513"/>
    <w:rsid w:val="00C94942"/>
    <w:rsid w:val="00C9507B"/>
    <w:rsid w:val="00C96385"/>
    <w:rsid w:val="00C96868"/>
    <w:rsid w:val="00C96A50"/>
    <w:rsid w:val="00C977D8"/>
    <w:rsid w:val="00CA0416"/>
    <w:rsid w:val="00CA5C90"/>
    <w:rsid w:val="00CB1375"/>
    <w:rsid w:val="00CB1942"/>
    <w:rsid w:val="00CB3ADB"/>
    <w:rsid w:val="00CB5C53"/>
    <w:rsid w:val="00CC118F"/>
    <w:rsid w:val="00CC36E7"/>
    <w:rsid w:val="00CC3AD8"/>
    <w:rsid w:val="00CC560B"/>
    <w:rsid w:val="00CC6D2F"/>
    <w:rsid w:val="00CC75E2"/>
    <w:rsid w:val="00CC7EC5"/>
    <w:rsid w:val="00CD1D9F"/>
    <w:rsid w:val="00CD238F"/>
    <w:rsid w:val="00CD2494"/>
    <w:rsid w:val="00CD33AE"/>
    <w:rsid w:val="00CD39E3"/>
    <w:rsid w:val="00CD46EB"/>
    <w:rsid w:val="00CD7EBF"/>
    <w:rsid w:val="00CE25C8"/>
    <w:rsid w:val="00CE4034"/>
    <w:rsid w:val="00CE44B2"/>
    <w:rsid w:val="00CE4925"/>
    <w:rsid w:val="00CE5BE8"/>
    <w:rsid w:val="00CE6CD6"/>
    <w:rsid w:val="00CF2327"/>
    <w:rsid w:val="00CF3038"/>
    <w:rsid w:val="00CF4A39"/>
    <w:rsid w:val="00CF6514"/>
    <w:rsid w:val="00D01647"/>
    <w:rsid w:val="00D02B85"/>
    <w:rsid w:val="00D03209"/>
    <w:rsid w:val="00D056F1"/>
    <w:rsid w:val="00D05AA3"/>
    <w:rsid w:val="00D062E4"/>
    <w:rsid w:val="00D11171"/>
    <w:rsid w:val="00D119ED"/>
    <w:rsid w:val="00D12337"/>
    <w:rsid w:val="00D14405"/>
    <w:rsid w:val="00D149E8"/>
    <w:rsid w:val="00D1723E"/>
    <w:rsid w:val="00D22652"/>
    <w:rsid w:val="00D2268B"/>
    <w:rsid w:val="00D22F3C"/>
    <w:rsid w:val="00D23DB6"/>
    <w:rsid w:val="00D26183"/>
    <w:rsid w:val="00D26814"/>
    <w:rsid w:val="00D30B1A"/>
    <w:rsid w:val="00D3171B"/>
    <w:rsid w:val="00D31FB6"/>
    <w:rsid w:val="00D331FF"/>
    <w:rsid w:val="00D3641E"/>
    <w:rsid w:val="00D3646E"/>
    <w:rsid w:val="00D41FB4"/>
    <w:rsid w:val="00D43FE6"/>
    <w:rsid w:val="00D45341"/>
    <w:rsid w:val="00D45629"/>
    <w:rsid w:val="00D4581A"/>
    <w:rsid w:val="00D46FBE"/>
    <w:rsid w:val="00D51A95"/>
    <w:rsid w:val="00D52C4A"/>
    <w:rsid w:val="00D5380D"/>
    <w:rsid w:val="00D53FB0"/>
    <w:rsid w:val="00D55DC1"/>
    <w:rsid w:val="00D56891"/>
    <w:rsid w:val="00D5766E"/>
    <w:rsid w:val="00D60568"/>
    <w:rsid w:val="00D62531"/>
    <w:rsid w:val="00D63697"/>
    <w:rsid w:val="00D64E1F"/>
    <w:rsid w:val="00D70C7A"/>
    <w:rsid w:val="00D71EFE"/>
    <w:rsid w:val="00D73931"/>
    <w:rsid w:val="00D73E81"/>
    <w:rsid w:val="00D764D7"/>
    <w:rsid w:val="00D76BA2"/>
    <w:rsid w:val="00D77136"/>
    <w:rsid w:val="00D772C8"/>
    <w:rsid w:val="00D81D38"/>
    <w:rsid w:val="00D8470F"/>
    <w:rsid w:val="00D8471A"/>
    <w:rsid w:val="00D8559D"/>
    <w:rsid w:val="00D85FCE"/>
    <w:rsid w:val="00D90AC4"/>
    <w:rsid w:val="00D91D0D"/>
    <w:rsid w:val="00D95BE4"/>
    <w:rsid w:val="00D967AA"/>
    <w:rsid w:val="00DA0B30"/>
    <w:rsid w:val="00DA10A8"/>
    <w:rsid w:val="00DA1300"/>
    <w:rsid w:val="00DA60D7"/>
    <w:rsid w:val="00DB01AF"/>
    <w:rsid w:val="00DB099F"/>
    <w:rsid w:val="00DB1E08"/>
    <w:rsid w:val="00DB2973"/>
    <w:rsid w:val="00DB2BA0"/>
    <w:rsid w:val="00DB324A"/>
    <w:rsid w:val="00DB326D"/>
    <w:rsid w:val="00DB7933"/>
    <w:rsid w:val="00DB7A08"/>
    <w:rsid w:val="00DC1643"/>
    <w:rsid w:val="00DC1A97"/>
    <w:rsid w:val="00DC1B56"/>
    <w:rsid w:val="00DC2129"/>
    <w:rsid w:val="00DC3A4C"/>
    <w:rsid w:val="00DC3C72"/>
    <w:rsid w:val="00DC6570"/>
    <w:rsid w:val="00DC6F96"/>
    <w:rsid w:val="00DD31DB"/>
    <w:rsid w:val="00DD3C5E"/>
    <w:rsid w:val="00DE0231"/>
    <w:rsid w:val="00DE0649"/>
    <w:rsid w:val="00DE0DDE"/>
    <w:rsid w:val="00DE79D9"/>
    <w:rsid w:val="00DF0D03"/>
    <w:rsid w:val="00DF16F5"/>
    <w:rsid w:val="00DF25C3"/>
    <w:rsid w:val="00DF41D2"/>
    <w:rsid w:val="00DF4206"/>
    <w:rsid w:val="00E014F3"/>
    <w:rsid w:val="00E02C45"/>
    <w:rsid w:val="00E04062"/>
    <w:rsid w:val="00E063C6"/>
    <w:rsid w:val="00E07853"/>
    <w:rsid w:val="00E11599"/>
    <w:rsid w:val="00E1294F"/>
    <w:rsid w:val="00E132D0"/>
    <w:rsid w:val="00E13793"/>
    <w:rsid w:val="00E1402B"/>
    <w:rsid w:val="00E14870"/>
    <w:rsid w:val="00E2003B"/>
    <w:rsid w:val="00E203C2"/>
    <w:rsid w:val="00E23242"/>
    <w:rsid w:val="00E2622B"/>
    <w:rsid w:val="00E26E33"/>
    <w:rsid w:val="00E279D8"/>
    <w:rsid w:val="00E30B6E"/>
    <w:rsid w:val="00E319B1"/>
    <w:rsid w:val="00E344A9"/>
    <w:rsid w:val="00E360EC"/>
    <w:rsid w:val="00E40ED4"/>
    <w:rsid w:val="00E416BD"/>
    <w:rsid w:val="00E42514"/>
    <w:rsid w:val="00E43255"/>
    <w:rsid w:val="00E44E0D"/>
    <w:rsid w:val="00E45C5E"/>
    <w:rsid w:val="00E515B9"/>
    <w:rsid w:val="00E520FE"/>
    <w:rsid w:val="00E53E6E"/>
    <w:rsid w:val="00E5492F"/>
    <w:rsid w:val="00E554AA"/>
    <w:rsid w:val="00E56148"/>
    <w:rsid w:val="00E57882"/>
    <w:rsid w:val="00E62DEF"/>
    <w:rsid w:val="00E639FE"/>
    <w:rsid w:val="00E63B64"/>
    <w:rsid w:val="00E663BF"/>
    <w:rsid w:val="00E6790C"/>
    <w:rsid w:val="00E67A1A"/>
    <w:rsid w:val="00E70A86"/>
    <w:rsid w:val="00E7411B"/>
    <w:rsid w:val="00E75054"/>
    <w:rsid w:val="00E751D6"/>
    <w:rsid w:val="00E7560E"/>
    <w:rsid w:val="00E75C16"/>
    <w:rsid w:val="00E777EC"/>
    <w:rsid w:val="00E80FCD"/>
    <w:rsid w:val="00E81CF8"/>
    <w:rsid w:val="00E81F6E"/>
    <w:rsid w:val="00E829DE"/>
    <w:rsid w:val="00E83BD5"/>
    <w:rsid w:val="00E8450B"/>
    <w:rsid w:val="00E857BA"/>
    <w:rsid w:val="00E857E5"/>
    <w:rsid w:val="00E85E89"/>
    <w:rsid w:val="00E912F3"/>
    <w:rsid w:val="00E91E8C"/>
    <w:rsid w:val="00E940F0"/>
    <w:rsid w:val="00E94E62"/>
    <w:rsid w:val="00E96CC9"/>
    <w:rsid w:val="00E97667"/>
    <w:rsid w:val="00EA5706"/>
    <w:rsid w:val="00EA69F8"/>
    <w:rsid w:val="00EA6AD1"/>
    <w:rsid w:val="00EA7F2F"/>
    <w:rsid w:val="00EB1353"/>
    <w:rsid w:val="00EB1E4D"/>
    <w:rsid w:val="00EB4667"/>
    <w:rsid w:val="00EB51DF"/>
    <w:rsid w:val="00EB56E6"/>
    <w:rsid w:val="00EB5F30"/>
    <w:rsid w:val="00EC00DE"/>
    <w:rsid w:val="00EC184B"/>
    <w:rsid w:val="00EC30E1"/>
    <w:rsid w:val="00EC3755"/>
    <w:rsid w:val="00EC5B66"/>
    <w:rsid w:val="00EC63F4"/>
    <w:rsid w:val="00EC7FF6"/>
    <w:rsid w:val="00ED172A"/>
    <w:rsid w:val="00ED2C39"/>
    <w:rsid w:val="00ED40BF"/>
    <w:rsid w:val="00ED41BD"/>
    <w:rsid w:val="00ED5FA8"/>
    <w:rsid w:val="00ED6194"/>
    <w:rsid w:val="00EE0A23"/>
    <w:rsid w:val="00EE111A"/>
    <w:rsid w:val="00EE3306"/>
    <w:rsid w:val="00EE66AB"/>
    <w:rsid w:val="00EF0981"/>
    <w:rsid w:val="00EF0DBF"/>
    <w:rsid w:val="00EF301A"/>
    <w:rsid w:val="00EF31A5"/>
    <w:rsid w:val="00EF4916"/>
    <w:rsid w:val="00EF59DD"/>
    <w:rsid w:val="00EF6193"/>
    <w:rsid w:val="00EF675D"/>
    <w:rsid w:val="00EF69ED"/>
    <w:rsid w:val="00EF7272"/>
    <w:rsid w:val="00EF761C"/>
    <w:rsid w:val="00EF776A"/>
    <w:rsid w:val="00F02619"/>
    <w:rsid w:val="00F05A94"/>
    <w:rsid w:val="00F0750B"/>
    <w:rsid w:val="00F10DE8"/>
    <w:rsid w:val="00F11FC2"/>
    <w:rsid w:val="00F14692"/>
    <w:rsid w:val="00F14BEC"/>
    <w:rsid w:val="00F163D8"/>
    <w:rsid w:val="00F17795"/>
    <w:rsid w:val="00F20854"/>
    <w:rsid w:val="00F225C5"/>
    <w:rsid w:val="00F22718"/>
    <w:rsid w:val="00F2424D"/>
    <w:rsid w:val="00F25083"/>
    <w:rsid w:val="00F2587A"/>
    <w:rsid w:val="00F30AFB"/>
    <w:rsid w:val="00F326E1"/>
    <w:rsid w:val="00F33BB8"/>
    <w:rsid w:val="00F3715D"/>
    <w:rsid w:val="00F378CE"/>
    <w:rsid w:val="00F37C41"/>
    <w:rsid w:val="00F420C8"/>
    <w:rsid w:val="00F42A4C"/>
    <w:rsid w:val="00F446D1"/>
    <w:rsid w:val="00F45E5A"/>
    <w:rsid w:val="00F53B04"/>
    <w:rsid w:val="00F541F3"/>
    <w:rsid w:val="00F54ADC"/>
    <w:rsid w:val="00F562F3"/>
    <w:rsid w:val="00F604DE"/>
    <w:rsid w:val="00F60F18"/>
    <w:rsid w:val="00F61C9F"/>
    <w:rsid w:val="00F626B5"/>
    <w:rsid w:val="00F641FD"/>
    <w:rsid w:val="00F64653"/>
    <w:rsid w:val="00F648AD"/>
    <w:rsid w:val="00F64DBB"/>
    <w:rsid w:val="00F67394"/>
    <w:rsid w:val="00F71111"/>
    <w:rsid w:val="00F716B7"/>
    <w:rsid w:val="00F73180"/>
    <w:rsid w:val="00F73D44"/>
    <w:rsid w:val="00F74A1A"/>
    <w:rsid w:val="00F81C40"/>
    <w:rsid w:val="00F82CC9"/>
    <w:rsid w:val="00F8389C"/>
    <w:rsid w:val="00F930C0"/>
    <w:rsid w:val="00F9418C"/>
    <w:rsid w:val="00F95DE4"/>
    <w:rsid w:val="00F96722"/>
    <w:rsid w:val="00F96C8F"/>
    <w:rsid w:val="00FA7B8A"/>
    <w:rsid w:val="00FB1533"/>
    <w:rsid w:val="00FB1FA5"/>
    <w:rsid w:val="00FB1FEF"/>
    <w:rsid w:val="00FB3AE0"/>
    <w:rsid w:val="00FB7512"/>
    <w:rsid w:val="00FC1F55"/>
    <w:rsid w:val="00FD185E"/>
    <w:rsid w:val="00FD2FBE"/>
    <w:rsid w:val="00FD6875"/>
    <w:rsid w:val="00FD7547"/>
    <w:rsid w:val="00FE2C7D"/>
    <w:rsid w:val="00FE5641"/>
    <w:rsid w:val="00FE7763"/>
    <w:rsid w:val="00FE7B7A"/>
    <w:rsid w:val="00FF5F5C"/>
    <w:rsid w:val="00FF666B"/>
    <w:rsid w:val="00FF7C9C"/>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qFormat/>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link w:val="DefinitionChar"/>
    <w:rsid w:val="00E40ED4"/>
    <w:pPr>
      <w:ind w:left="1701" w:hanging="851"/>
    </w:pPr>
    <w:rPr>
      <w:sz w:val="20"/>
      <w:szCs w:val="20"/>
    </w:rPr>
  </w:style>
  <w:style w:type="paragraph" w:customStyle="1" w:styleId="DivisionHeading">
    <w:name w:val="Division Heading"/>
    <w:basedOn w:val="Normal"/>
    <w:next w:val="Normal"/>
    <w:rsid w:val="00BB4143"/>
    <w:pPr>
      <w:tabs>
        <w:tab w:val="left" w:pos="851"/>
      </w:tabs>
      <w:jc w:val="center"/>
    </w:pPr>
    <w:rPr>
      <w:b/>
      <w:sz w:val="26"/>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link w:val="ParagraphChar"/>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qFormat/>
    <w:pPr>
      <w:ind w:hanging="11"/>
    </w:pPr>
  </w:style>
  <w:style w:type="paragraph" w:customStyle="1" w:styleId="Subparagraph">
    <w:name w:val="Subparagraph"/>
    <w:basedOn w:val="Paragraph"/>
    <w:next w:val="Normal"/>
    <w:link w:val="SubparagraphChar"/>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E42514"/>
    <w:rPr>
      <w:rFonts w:ascii="Arial" w:hAnsi="Arial"/>
      <w:lang w:eastAsia="en-US" w:bidi="en-US"/>
    </w:rPr>
  </w:style>
  <w:style w:type="paragraph" w:styleId="ListParagraph">
    <w:name w:val="List Paragraph"/>
    <w:basedOn w:val="Normal"/>
    <w:uiPriority w:val="34"/>
    <w:qFormat/>
    <w:rsid w:val="009B7DA3"/>
    <w:pPr>
      <w:widowControl/>
      <w:ind w:left="720"/>
      <w:contextualSpacing/>
    </w:pPr>
    <w:rPr>
      <w:rFonts w:eastAsiaTheme="minorHAnsi" w:cstheme="minorBidi"/>
      <w:szCs w:val="22"/>
      <w:lang w:bidi="ar-SA"/>
    </w:rPr>
  </w:style>
  <w:style w:type="character" w:customStyle="1" w:styleId="DefinitionChar">
    <w:name w:val="Definition Char"/>
    <w:basedOn w:val="DefaultParagraphFont"/>
    <w:link w:val="Definition"/>
    <w:rsid w:val="001C3853"/>
    <w:rPr>
      <w:rFonts w:ascii="Arial" w:hAnsi="Arial"/>
      <w:lang w:eastAsia="en-US" w:bidi="en-US"/>
    </w:rPr>
  </w:style>
  <w:style w:type="character" w:customStyle="1" w:styleId="ClauseChar">
    <w:name w:val="Clause Char"/>
    <w:basedOn w:val="DefaultParagraphFont"/>
    <w:link w:val="Clause"/>
    <w:rsid w:val="005C7ED7"/>
    <w:rPr>
      <w:rFonts w:ascii="Arial" w:hAnsi="Arial"/>
      <w:lang w:eastAsia="en-US" w:bidi="en-US"/>
    </w:rPr>
  </w:style>
  <w:style w:type="paragraph" w:styleId="Title">
    <w:name w:val="Title"/>
    <w:basedOn w:val="Normal"/>
    <w:link w:val="TitleChar"/>
    <w:uiPriority w:val="10"/>
    <w:qFormat/>
    <w:rsid w:val="005C7ED7"/>
    <w:pPr>
      <w:tabs>
        <w:tab w:val="left" w:pos="851"/>
      </w:tabs>
      <w:jc w:val="center"/>
    </w:pPr>
    <w:rPr>
      <w:b/>
      <w:bCs/>
      <w:sz w:val="20"/>
      <w:lang w:val="en-AU" w:bidi="ar-SA"/>
    </w:rPr>
  </w:style>
  <w:style w:type="character" w:customStyle="1" w:styleId="TitleChar">
    <w:name w:val="Title Char"/>
    <w:basedOn w:val="DefaultParagraphFont"/>
    <w:link w:val="Title"/>
    <w:uiPriority w:val="10"/>
    <w:rsid w:val="005C7ED7"/>
    <w:rPr>
      <w:rFonts w:ascii="Arial" w:hAnsi="Arial"/>
      <w:b/>
      <w:bCs/>
      <w:szCs w:val="24"/>
      <w:lang w:val="en-AU" w:eastAsia="en-US"/>
    </w:rPr>
  </w:style>
  <w:style w:type="character" w:customStyle="1" w:styleId="SubparagraphChar">
    <w:name w:val="Subparagraph Char"/>
    <w:basedOn w:val="DefaultParagraphFont"/>
    <w:link w:val="Subparagraph"/>
    <w:rsid w:val="005C7ED7"/>
    <w:rPr>
      <w:rFonts w:ascii="Arial" w:hAnsi="Arial"/>
      <w:lang w:eastAsia="en-US" w:bidi="en-US"/>
    </w:rPr>
  </w:style>
  <w:style w:type="character" w:customStyle="1" w:styleId="ParagraphChar">
    <w:name w:val="Paragraph Char"/>
    <w:basedOn w:val="ClauseChar"/>
    <w:link w:val="Paragraph"/>
    <w:rsid w:val="005C7ED7"/>
    <w:rPr>
      <w:rFonts w:ascii="Arial" w:hAnsi="Arial"/>
      <w:lang w:eastAsia="en-US" w:bidi="en-US"/>
    </w:rPr>
  </w:style>
  <w:style w:type="character" w:customStyle="1" w:styleId="SubclauseChar">
    <w:name w:val="Subclause Char"/>
    <w:basedOn w:val="ClauseChar"/>
    <w:link w:val="Subclause"/>
    <w:rsid w:val="005C7ED7"/>
    <w:rPr>
      <w:rFonts w:ascii="Arial" w:hAnsi="Arial"/>
      <w:lang w:eastAsia="en-US" w:bidi="en-US"/>
    </w:rPr>
  </w:style>
  <w:style w:type="paragraph" w:customStyle="1" w:styleId="131ItemHeading">
    <w:name w:val="1.3.1 Item Heading"/>
    <w:basedOn w:val="Table2"/>
    <w:next w:val="Table2"/>
    <w:uiPriority w:val="22"/>
    <w:qFormat/>
    <w:rsid w:val="00F67394"/>
    <w:pPr>
      <w:keepNext/>
      <w:widowControl/>
      <w:tabs>
        <w:tab w:val="left" w:pos="851"/>
      </w:tabs>
      <w:spacing w:after="200"/>
      <w:ind w:left="0" w:firstLine="0"/>
    </w:pPr>
    <w:rPr>
      <w:b/>
      <w:bCs w:val="0"/>
      <w:caps/>
      <w:sz w:val="20"/>
      <w:lang w:bidi="ar-SA"/>
    </w:rPr>
  </w:style>
  <w:style w:type="paragraph" w:customStyle="1" w:styleId="131Subitemheading">
    <w:name w:val="1.3.1 Subitem heading"/>
    <w:basedOn w:val="131ItemHeading"/>
    <w:next w:val="Table2"/>
    <w:qFormat/>
    <w:rsid w:val="00F67394"/>
    <w:pPr>
      <w:spacing w:after="120"/>
    </w:pPr>
    <w:rPr>
      <w:caps w:val="0"/>
      <w:sz w:val="18"/>
    </w:rPr>
  </w:style>
  <w:style w:type="paragraph" w:customStyle="1" w:styleId="Centeredheadings">
    <w:name w:val="Centered headings"/>
    <w:basedOn w:val="Normal"/>
    <w:rsid w:val="00951979"/>
    <w:pPr>
      <w:tabs>
        <w:tab w:val="left" w:pos="680"/>
        <w:tab w:val="left" w:pos="851"/>
        <w:tab w:val="left" w:pos="1240"/>
        <w:tab w:val="left" w:pos="1880"/>
        <w:tab w:val="left" w:pos="7776"/>
      </w:tabs>
      <w:spacing w:line="240" w:lineRule="atLeast"/>
      <w:jc w:val="center"/>
    </w:pPr>
    <w:rPr>
      <w:b/>
      <w:sz w:val="20"/>
      <w:szCs w:val="20"/>
      <w:lang w:bidi="ar-SA"/>
    </w:rPr>
  </w:style>
  <w:style w:type="paragraph" w:customStyle="1" w:styleId="142tabletext1">
    <w:name w:val="1.4.2 table text1"/>
    <w:basedOn w:val="Normal"/>
    <w:link w:val="142tabletext1Char"/>
    <w:rsid w:val="00C646F4"/>
    <w:pPr>
      <w:ind w:left="142" w:hanging="142"/>
    </w:pPr>
    <w:rPr>
      <w:sz w:val="18"/>
      <w:szCs w:val="20"/>
      <w:lang w:bidi="ar-SA"/>
    </w:rPr>
  </w:style>
  <w:style w:type="character" w:customStyle="1" w:styleId="142tabletext1Char">
    <w:name w:val="1.4.2 table text1 Char"/>
    <w:basedOn w:val="DefaultParagraphFont"/>
    <w:link w:val="142tabletext1"/>
    <w:rsid w:val="00C646F4"/>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qFormat/>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link w:val="DefinitionChar"/>
    <w:rsid w:val="00E40ED4"/>
    <w:pPr>
      <w:ind w:left="1701" w:hanging="851"/>
    </w:pPr>
    <w:rPr>
      <w:sz w:val="20"/>
      <w:szCs w:val="20"/>
    </w:rPr>
  </w:style>
  <w:style w:type="paragraph" w:customStyle="1" w:styleId="DivisionHeading">
    <w:name w:val="Division Heading"/>
    <w:basedOn w:val="Normal"/>
    <w:next w:val="Normal"/>
    <w:rsid w:val="00BB4143"/>
    <w:pPr>
      <w:tabs>
        <w:tab w:val="left" w:pos="851"/>
      </w:tabs>
      <w:jc w:val="center"/>
    </w:pPr>
    <w:rPr>
      <w:b/>
      <w:sz w:val="26"/>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link w:val="ParagraphChar"/>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qFormat/>
    <w:pPr>
      <w:ind w:hanging="11"/>
    </w:pPr>
  </w:style>
  <w:style w:type="paragraph" w:customStyle="1" w:styleId="Subparagraph">
    <w:name w:val="Subparagraph"/>
    <w:basedOn w:val="Paragraph"/>
    <w:next w:val="Normal"/>
    <w:link w:val="SubparagraphChar"/>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E42514"/>
    <w:rPr>
      <w:rFonts w:ascii="Arial" w:hAnsi="Arial"/>
      <w:lang w:eastAsia="en-US" w:bidi="en-US"/>
    </w:rPr>
  </w:style>
  <w:style w:type="paragraph" w:styleId="ListParagraph">
    <w:name w:val="List Paragraph"/>
    <w:basedOn w:val="Normal"/>
    <w:uiPriority w:val="34"/>
    <w:qFormat/>
    <w:rsid w:val="009B7DA3"/>
    <w:pPr>
      <w:widowControl/>
      <w:ind w:left="720"/>
      <w:contextualSpacing/>
    </w:pPr>
    <w:rPr>
      <w:rFonts w:eastAsiaTheme="minorHAnsi" w:cstheme="minorBidi"/>
      <w:szCs w:val="22"/>
      <w:lang w:bidi="ar-SA"/>
    </w:rPr>
  </w:style>
  <w:style w:type="character" w:customStyle="1" w:styleId="DefinitionChar">
    <w:name w:val="Definition Char"/>
    <w:basedOn w:val="DefaultParagraphFont"/>
    <w:link w:val="Definition"/>
    <w:rsid w:val="001C3853"/>
    <w:rPr>
      <w:rFonts w:ascii="Arial" w:hAnsi="Arial"/>
      <w:lang w:eastAsia="en-US" w:bidi="en-US"/>
    </w:rPr>
  </w:style>
  <w:style w:type="character" w:customStyle="1" w:styleId="ClauseChar">
    <w:name w:val="Clause Char"/>
    <w:basedOn w:val="DefaultParagraphFont"/>
    <w:link w:val="Clause"/>
    <w:rsid w:val="005C7ED7"/>
    <w:rPr>
      <w:rFonts w:ascii="Arial" w:hAnsi="Arial"/>
      <w:lang w:eastAsia="en-US" w:bidi="en-US"/>
    </w:rPr>
  </w:style>
  <w:style w:type="paragraph" w:styleId="Title">
    <w:name w:val="Title"/>
    <w:basedOn w:val="Normal"/>
    <w:link w:val="TitleChar"/>
    <w:uiPriority w:val="10"/>
    <w:qFormat/>
    <w:rsid w:val="005C7ED7"/>
    <w:pPr>
      <w:tabs>
        <w:tab w:val="left" w:pos="851"/>
      </w:tabs>
      <w:jc w:val="center"/>
    </w:pPr>
    <w:rPr>
      <w:b/>
      <w:bCs/>
      <w:sz w:val="20"/>
      <w:lang w:val="en-AU" w:bidi="ar-SA"/>
    </w:rPr>
  </w:style>
  <w:style w:type="character" w:customStyle="1" w:styleId="TitleChar">
    <w:name w:val="Title Char"/>
    <w:basedOn w:val="DefaultParagraphFont"/>
    <w:link w:val="Title"/>
    <w:uiPriority w:val="10"/>
    <w:rsid w:val="005C7ED7"/>
    <w:rPr>
      <w:rFonts w:ascii="Arial" w:hAnsi="Arial"/>
      <w:b/>
      <w:bCs/>
      <w:szCs w:val="24"/>
      <w:lang w:val="en-AU" w:eastAsia="en-US"/>
    </w:rPr>
  </w:style>
  <w:style w:type="character" w:customStyle="1" w:styleId="SubparagraphChar">
    <w:name w:val="Subparagraph Char"/>
    <w:basedOn w:val="DefaultParagraphFont"/>
    <w:link w:val="Subparagraph"/>
    <w:rsid w:val="005C7ED7"/>
    <w:rPr>
      <w:rFonts w:ascii="Arial" w:hAnsi="Arial"/>
      <w:lang w:eastAsia="en-US" w:bidi="en-US"/>
    </w:rPr>
  </w:style>
  <w:style w:type="character" w:customStyle="1" w:styleId="ParagraphChar">
    <w:name w:val="Paragraph Char"/>
    <w:basedOn w:val="ClauseChar"/>
    <w:link w:val="Paragraph"/>
    <w:rsid w:val="005C7ED7"/>
    <w:rPr>
      <w:rFonts w:ascii="Arial" w:hAnsi="Arial"/>
      <w:lang w:eastAsia="en-US" w:bidi="en-US"/>
    </w:rPr>
  </w:style>
  <w:style w:type="character" w:customStyle="1" w:styleId="SubclauseChar">
    <w:name w:val="Subclause Char"/>
    <w:basedOn w:val="ClauseChar"/>
    <w:link w:val="Subclause"/>
    <w:rsid w:val="005C7ED7"/>
    <w:rPr>
      <w:rFonts w:ascii="Arial" w:hAnsi="Arial"/>
      <w:lang w:eastAsia="en-US" w:bidi="en-US"/>
    </w:rPr>
  </w:style>
  <w:style w:type="paragraph" w:customStyle="1" w:styleId="131ItemHeading">
    <w:name w:val="1.3.1 Item Heading"/>
    <w:basedOn w:val="Table2"/>
    <w:next w:val="Table2"/>
    <w:uiPriority w:val="22"/>
    <w:qFormat/>
    <w:rsid w:val="00F67394"/>
    <w:pPr>
      <w:keepNext/>
      <w:widowControl/>
      <w:tabs>
        <w:tab w:val="left" w:pos="851"/>
      </w:tabs>
      <w:spacing w:after="200"/>
      <w:ind w:left="0" w:firstLine="0"/>
    </w:pPr>
    <w:rPr>
      <w:b/>
      <w:bCs w:val="0"/>
      <w:caps/>
      <w:sz w:val="20"/>
      <w:lang w:bidi="ar-SA"/>
    </w:rPr>
  </w:style>
  <w:style w:type="paragraph" w:customStyle="1" w:styleId="131Subitemheading">
    <w:name w:val="1.3.1 Subitem heading"/>
    <w:basedOn w:val="131ItemHeading"/>
    <w:next w:val="Table2"/>
    <w:qFormat/>
    <w:rsid w:val="00F67394"/>
    <w:pPr>
      <w:spacing w:after="120"/>
    </w:pPr>
    <w:rPr>
      <w:caps w:val="0"/>
      <w:sz w:val="18"/>
    </w:rPr>
  </w:style>
  <w:style w:type="paragraph" w:customStyle="1" w:styleId="Centeredheadings">
    <w:name w:val="Centered headings"/>
    <w:basedOn w:val="Normal"/>
    <w:rsid w:val="00951979"/>
    <w:pPr>
      <w:tabs>
        <w:tab w:val="left" w:pos="680"/>
        <w:tab w:val="left" w:pos="851"/>
        <w:tab w:val="left" w:pos="1240"/>
        <w:tab w:val="left" w:pos="1880"/>
        <w:tab w:val="left" w:pos="7776"/>
      </w:tabs>
      <w:spacing w:line="240" w:lineRule="atLeast"/>
      <w:jc w:val="center"/>
    </w:pPr>
    <w:rPr>
      <w:b/>
      <w:sz w:val="20"/>
      <w:szCs w:val="20"/>
      <w:lang w:bidi="ar-SA"/>
    </w:rPr>
  </w:style>
  <w:style w:type="paragraph" w:customStyle="1" w:styleId="142tabletext1">
    <w:name w:val="1.4.2 table text1"/>
    <w:basedOn w:val="Normal"/>
    <w:link w:val="142tabletext1Char"/>
    <w:rsid w:val="00C646F4"/>
    <w:pPr>
      <w:ind w:left="142" w:hanging="142"/>
    </w:pPr>
    <w:rPr>
      <w:sz w:val="18"/>
      <w:szCs w:val="20"/>
      <w:lang w:bidi="ar-SA"/>
    </w:rPr>
  </w:style>
  <w:style w:type="character" w:customStyle="1" w:styleId="142tabletext1Char">
    <w:name w:val="1.4.2 table text1 Char"/>
    <w:basedOn w:val="DefaultParagraphFont"/>
    <w:link w:val="142tabletext1"/>
    <w:rsid w:val="00C646F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2560">
      <w:bodyDiv w:val="1"/>
      <w:marLeft w:val="0"/>
      <w:marRight w:val="0"/>
      <w:marTop w:val="0"/>
      <w:marBottom w:val="0"/>
      <w:divBdr>
        <w:top w:val="none" w:sz="0" w:space="0" w:color="auto"/>
        <w:left w:val="none" w:sz="0" w:space="0" w:color="auto"/>
        <w:bottom w:val="none" w:sz="0" w:space="0" w:color="auto"/>
        <w:right w:val="none" w:sz="0" w:space="0" w:color="auto"/>
      </w:divBdr>
    </w:div>
    <w:div w:id="38306885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pages/default.aspx" TargetMode="External"/><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publications/Pages/Sports-Foods-Consumption-in-Australia-and-New-Zealand.aspx" TargetMode="External"/><Relationship Id="rId4"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D89711-CDC2-4730-AE9D-7B9B059F2598}"/>
</file>

<file path=customXml/itemProps2.xml><?xml version="1.0" encoding="utf-8"?>
<ds:datastoreItem xmlns:ds="http://schemas.openxmlformats.org/officeDocument/2006/customXml" ds:itemID="{ED732D41-781B-42C1-927B-D9D136921FAA}"/>
</file>

<file path=customXml/itemProps3.xml><?xml version="1.0" encoding="utf-8"?>
<ds:datastoreItem xmlns:ds="http://schemas.openxmlformats.org/officeDocument/2006/customXml" ds:itemID="{DB296363-DB33-4973-8EAE-FE2DEF164D4B}"/>
</file>

<file path=customXml/itemProps4.xml><?xml version="1.0" encoding="utf-8"?>
<ds:datastoreItem xmlns:ds="http://schemas.openxmlformats.org/officeDocument/2006/customXml" ds:itemID="{CD8C5ADA-AC5D-4752-9ECE-7E5282167A82}"/>
</file>

<file path=docProps/app.xml><?xml version="1.0" encoding="utf-8"?>
<Properties xmlns="http://schemas.openxmlformats.org/officeDocument/2006/extended-properties" xmlns:vt="http://schemas.openxmlformats.org/officeDocument/2006/docPropsVTypes">
  <Template>Normal</Template>
  <TotalTime>0</TotalTime>
  <Pages>26</Pages>
  <Words>8780</Words>
  <Characters>51236</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59897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P1030-HC-Sfoods-CFS</dc:title>
  <dc:creator/>
  <cp:lastModifiedBy/>
  <cp:revision>1</cp:revision>
  <dcterms:created xsi:type="dcterms:W3CDTF">2014-08-14T23:43:00Z</dcterms:created>
  <dcterms:modified xsi:type="dcterms:W3CDTF">2014-08-14T23:44:00Z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