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5A67EB">
      <w:r>
        <w:rPr>
          <w:noProof/>
          <w:lang w:eastAsia="en-GB" w:bidi="ar-SA"/>
        </w:rPr>
        <w:drawing>
          <wp:inline distT="0" distB="0" distL="0" distR="0" wp14:anchorId="561A8095" wp14:editId="51C3C9D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Pr="00401876" w:rsidRDefault="00E203C2" w:rsidP="00E203C2">
      <w:pPr>
        <w:rPr>
          <w:sz w:val="18"/>
        </w:rPr>
      </w:pPr>
    </w:p>
    <w:p w:rsidR="00403D49" w:rsidRPr="00403D49" w:rsidRDefault="00403D49" w:rsidP="00403D49">
      <w:pPr>
        <w:widowControl/>
        <w:rPr>
          <w:b/>
          <w:sz w:val="28"/>
          <w:szCs w:val="28"/>
          <w:lang w:bidi="ar-SA"/>
        </w:rPr>
      </w:pPr>
      <w:r w:rsidRPr="00403D49">
        <w:rPr>
          <w:b/>
          <w:sz w:val="28"/>
          <w:szCs w:val="28"/>
          <w:lang w:bidi="ar-SA"/>
        </w:rPr>
        <w:t>12 November 2014</w:t>
      </w:r>
    </w:p>
    <w:p w:rsidR="00403D49" w:rsidRPr="00403D49" w:rsidRDefault="00403D49" w:rsidP="00403D49">
      <w:pPr>
        <w:widowControl/>
        <w:rPr>
          <w:b/>
          <w:sz w:val="28"/>
          <w:szCs w:val="28"/>
          <w:lang w:bidi="ar-SA"/>
        </w:rPr>
      </w:pPr>
      <w:r w:rsidRPr="00403D49">
        <w:rPr>
          <w:b/>
          <w:sz w:val="28"/>
          <w:szCs w:val="28"/>
          <w:lang w:bidi="ar-SA"/>
        </w:rPr>
        <w:t>[24–14]</w:t>
      </w:r>
    </w:p>
    <w:p w:rsidR="00BA24E2" w:rsidRDefault="00BA24E2" w:rsidP="00E203C2"/>
    <w:p w:rsidR="00BA376D" w:rsidRPr="00BA376D" w:rsidRDefault="00BA376D" w:rsidP="00BA376D">
      <w:pPr>
        <w:pStyle w:val="FSTitle"/>
        <w:rPr>
          <w:b/>
        </w:rPr>
      </w:pPr>
      <w:r w:rsidRPr="00BA376D">
        <w:rPr>
          <w:b/>
        </w:rPr>
        <w:t xml:space="preserve">Consultation Paper – Proposal P1034 </w:t>
      </w:r>
    </w:p>
    <w:p w:rsidR="00BA376D" w:rsidRPr="00E203C2" w:rsidRDefault="00BA376D" w:rsidP="00BA376D"/>
    <w:p w:rsidR="00BA376D" w:rsidRPr="00A91DF1" w:rsidRDefault="00BA376D" w:rsidP="00BA376D">
      <w:pPr>
        <w:pStyle w:val="FSTitle"/>
        <w:rPr>
          <w:color w:val="FF0000"/>
        </w:rPr>
      </w:pPr>
      <w:r w:rsidRPr="00A519A1">
        <w:rPr>
          <w:b/>
          <w:sz w:val="36"/>
          <w:szCs w:val="36"/>
        </w:rPr>
        <w:t>Chemical Migration from Packaging into Food</w:t>
      </w:r>
      <w:r>
        <w:rPr>
          <w:color w:val="FF0000"/>
        </w:rPr>
        <w:t xml:space="preserve"> </w:t>
      </w:r>
    </w:p>
    <w:p w:rsidR="00BA376D" w:rsidRPr="00E81F6E" w:rsidRDefault="00BA376D" w:rsidP="00BA376D">
      <w:pPr>
        <w:pBdr>
          <w:bottom w:val="single" w:sz="12" w:space="1" w:color="auto"/>
        </w:pBdr>
        <w:spacing w:line="280" w:lineRule="exact"/>
        <w:rPr>
          <w:rFonts w:cs="Arial"/>
          <w:bCs/>
        </w:rPr>
      </w:pPr>
    </w:p>
    <w:p w:rsidR="00BA376D" w:rsidRDefault="00BA376D" w:rsidP="00BA376D"/>
    <w:p w:rsidR="00BA376D" w:rsidRPr="00403D49" w:rsidRDefault="00BA376D" w:rsidP="00BA376D">
      <w:pPr>
        <w:widowControl/>
        <w:rPr>
          <w:sz w:val="20"/>
          <w:szCs w:val="22"/>
          <w:lang w:val="en-AU"/>
        </w:rPr>
      </w:pPr>
      <w:r w:rsidRPr="00403D49">
        <w:rPr>
          <w:rFonts w:cs="Arial"/>
          <w:sz w:val="20"/>
          <w:szCs w:val="22"/>
        </w:rPr>
        <w:t xml:space="preserve">Food Standards Australia New Zealand (FSANZ) is undertaking Proposal P1034 to </w:t>
      </w:r>
      <w:r w:rsidRPr="00403D49">
        <w:rPr>
          <w:sz w:val="20"/>
          <w:szCs w:val="22"/>
        </w:rPr>
        <w:t xml:space="preserve">assess whether there are any </w:t>
      </w:r>
      <w:r w:rsidR="002A2007" w:rsidRPr="00403D49">
        <w:rPr>
          <w:sz w:val="20"/>
          <w:szCs w:val="22"/>
        </w:rPr>
        <w:t xml:space="preserve">unmanaged </w:t>
      </w:r>
      <w:r w:rsidRPr="00403D49">
        <w:rPr>
          <w:sz w:val="20"/>
          <w:szCs w:val="22"/>
        </w:rPr>
        <w:t xml:space="preserve">public health and safety </w:t>
      </w:r>
      <w:r w:rsidR="00AE64E3" w:rsidRPr="00403D49">
        <w:rPr>
          <w:sz w:val="20"/>
          <w:szCs w:val="22"/>
        </w:rPr>
        <w:t>risks</w:t>
      </w:r>
      <w:r w:rsidRPr="00403D49">
        <w:rPr>
          <w:sz w:val="20"/>
          <w:szCs w:val="22"/>
        </w:rPr>
        <w:t xml:space="preserve"> relating to </w:t>
      </w:r>
      <w:r w:rsidRPr="00403D49">
        <w:rPr>
          <w:sz w:val="20"/>
          <w:szCs w:val="22"/>
          <w:lang w:val="en-AU" w:bidi="ar-SA"/>
        </w:rPr>
        <w:t>chemical migration from packaging into food (</w:t>
      </w:r>
      <w:r w:rsidRPr="00403D49">
        <w:rPr>
          <w:sz w:val="20"/>
          <w:szCs w:val="22"/>
        </w:rPr>
        <w:t>CMPF). If any issues are identified, FSANZ will determine how they can be managed</w:t>
      </w:r>
      <w:r w:rsidR="00C67D83" w:rsidRPr="00403D49">
        <w:rPr>
          <w:sz w:val="20"/>
          <w:szCs w:val="22"/>
        </w:rPr>
        <w:t xml:space="preserve"> through either regulatory and/or non-regulatory means</w:t>
      </w:r>
      <w:r w:rsidRPr="00403D49">
        <w:rPr>
          <w:sz w:val="20"/>
          <w:szCs w:val="22"/>
          <w:lang w:val="en-AU"/>
        </w:rPr>
        <w:t xml:space="preserve">. </w:t>
      </w:r>
    </w:p>
    <w:p w:rsidR="00BA376D" w:rsidRPr="00403D49" w:rsidRDefault="00BA376D" w:rsidP="00BA376D">
      <w:pPr>
        <w:rPr>
          <w:sz w:val="20"/>
          <w:szCs w:val="22"/>
        </w:rPr>
      </w:pPr>
    </w:p>
    <w:p w:rsidR="00BA376D" w:rsidRPr="00403D49" w:rsidRDefault="00BA376D" w:rsidP="00BA376D">
      <w:pPr>
        <w:rPr>
          <w:sz w:val="20"/>
          <w:szCs w:val="22"/>
        </w:rPr>
      </w:pPr>
      <w:r w:rsidRPr="00403D49">
        <w:rPr>
          <w:sz w:val="20"/>
          <w:szCs w:val="22"/>
        </w:rPr>
        <w:t xml:space="preserve">For information about making a submission, visit the FSANZ website at </w:t>
      </w:r>
      <w:hyperlink r:id="rId13" w:history="1">
        <w:r w:rsidRPr="00403D49">
          <w:rPr>
            <w:rStyle w:val="Hyperlink"/>
            <w:sz w:val="20"/>
            <w:szCs w:val="22"/>
          </w:rPr>
          <w:t>information for submitters.</w:t>
        </w:r>
      </w:hyperlink>
    </w:p>
    <w:p w:rsidR="00BA376D" w:rsidRPr="00403D49" w:rsidRDefault="00BA376D" w:rsidP="00BA376D">
      <w:pPr>
        <w:rPr>
          <w:sz w:val="20"/>
          <w:szCs w:val="22"/>
        </w:rPr>
      </w:pPr>
    </w:p>
    <w:p w:rsidR="00BA376D" w:rsidRPr="00403D49" w:rsidRDefault="00BA376D" w:rsidP="00BA376D">
      <w:pPr>
        <w:rPr>
          <w:sz w:val="20"/>
          <w:szCs w:val="22"/>
        </w:rPr>
      </w:pPr>
      <w:r w:rsidRPr="00403D49">
        <w:rPr>
          <w:sz w:val="20"/>
          <w:szCs w:val="22"/>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403D49">
        <w:rPr>
          <w:i/>
          <w:iCs/>
          <w:sz w:val="20"/>
          <w:szCs w:val="22"/>
        </w:rPr>
        <w:t>Freedom of Information Act 1991</w:t>
      </w:r>
      <w:r w:rsidRPr="00403D49">
        <w:rPr>
          <w:sz w:val="20"/>
          <w:szCs w:val="22"/>
        </w:rPr>
        <w:t>. Submissions will be published as soon as possible after the end of the public comment period. Where large numbers of documents are involved, FSANZ will make these available on CD, rather than on the website.</w:t>
      </w:r>
    </w:p>
    <w:p w:rsidR="00BA376D" w:rsidRPr="00403D49" w:rsidRDefault="00BA376D" w:rsidP="00BA376D">
      <w:pPr>
        <w:rPr>
          <w:color w:val="000000"/>
          <w:sz w:val="20"/>
          <w:szCs w:val="22"/>
          <w:lang w:val="en-AU"/>
        </w:rPr>
      </w:pPr>
    </w:p>
    <w:p w:rsidR="00BA376D" w:rsidRPr="00403D49" w:rsidRDefault="00BA376D" w:rsidP="00BA376D">
      <w:pPr>
        <w:rPr>
          <w:color w:val="000000"/>
          <w:sz w:val="20"/>
          <w:szCs w:val="22"/>
          <w:lang w:val="en-AU"/>
        </w:rPr>
      </w:pPr>
      <w:r w:rsidRPr="00403D49">
        <w:rPr>
          <w:color w:val="000000"/>
          <w:sz w:val="20"/>
          <w:szCs w:val="22"/>
          <w:lang w:val="en-AU"/>
        </w:rPr>
        <w:t xml:space="preserve">Under section 114 of the FSANZ Act, some information provided to FSANZ cannot be disclosed. More information about the disclosure of confidential commercial information is available on the FSANZ website at </w:t>
      </w:r>
      <w:hyperlink r:id="rId14" w:history="1">
        <w:r w:rsidRPr="00403D49">
          <w:rPr>
            <w:rStyle w:val="Hyperlink"/>
            <w:sz w:val="20"/>
            <w:szCs w:val="22"/>
            <w:lang w:val="en-AU"/>
          </w:rPr>
          <w:t>information for submitters</w:t>
        </w:r>
      </w:hyperlink>
      <w:r w:rsidRPr="00403D49">
        <w:rPr>
          <w:color w:val="000000"/>
          <w:sz w:val="20"/>
          <w:szCs w:val="22"/>
          <w:lang w:val="en-AU"/>
        </w:rPr>
        <w:t xml:space="preserve">. </w:t>
      </w:r>
    </w:p>
    <w:p w:rsidR="00BA376D" w:rsidRPr="00403D49" w:rsidRDefault="00BA376D" w:rsidP="00BA376D">
      <w:pPr>
        <w:rPr>
          <w:color w:val="000000"/>
          <w:sz w:val="18"/>
          <w:szCs w:val="22"/>
          <w:lang w:val="en-AU"/>
        </w:rPr>
      </w:pPr>
    </w:p>
    <w:p w:rsidR="00BA376D" w:rsidRPr="00403D49" w:rsidRDefault="00BA376D" w:rsidP="00BA376D">
      <w:pPr>
        <w:rPr>
          <w:color w:val="000000"/>
          <w:sz w:val="20"/>
          <w:szCs w:val="22"/>
          <w:lang w:val="en-AU"/>
        </w:rPr>
      </w:pPr>
      <w:r w:rsidRPr="00403D49">
        <w:rPr>
          <w:color w:val="000000"/>
          <w:sz w:val="20"/>
          <w:szCs w:val="22"/>
          <w:lang w:val="en-AU"/>
        </w:rPr>
        <w:t xml:space="preserve">Submissions should be made in writing; be marked clearly with the word ‘Submission’ and quote the correct project number and name. While FSANZ accepts submissions in hard copy to our offices, it is more convenient and quicker to receive submissions electronically through the FSANZ website via the link on </w:t>
      </w:r>
      <w:hyperlink r:id="rId15" w:history="1">
        <w:r w:rsidRPr="00403D49">
          <w:rPr>
            <w:rStyle w:val="Hyperlink"/>
            <w:sz w:val="20"/>
            <w:szCs w:val="22"/>
            <w:lang w:val="en-AU"/>
          </w:rPr>
          <w:t>documents for public comment</w:t>
        </w:r>
      </w:hyperlink>
      <w:r w:rsidRPr="00403D49">
        <w:rPr>
          <w:color w:val="000000"/>
          <w:sz w:val="20"/>
          <w:szCs w:val="22"/>
          <w:lang w:val="en-AU"/>
        </w:rPr>
        <w:t xml:space="preserve">. You can also email your submission directly to </w:t>
      </w:r>
      <w:hyperlink r:id="rId16" w:history="1">
        <w:r w:rsidRPr="00403D49">
          <w:rPr>
            <w:rStyle w:val="Hyperlink"/>
            <w:rFonts w:cs="Arial"/>
            <w:sz w:val="20"/>
            <w:szCs w:val="22"/>
            <w:lang w:val="en-AU"/>
          </w:rPr>
          <w:t>submissions@foodstandards.gov.au</w:t>
        </w:r>
      </w:hyperlink>
      <w:r w:rsidRPr="00403D49">
        <w:rPr>
          <w:color w:val="000000"/>
          <w:sz w:val="20"/>
          <w:szCs w:val="22"/>
          <w:lang w:val="en-AU"/>
        </w:rPr>
        <w:t xml:space="preserve">. </w:t>
      </w:r>
      <w:r w:rsidR="00BD4DBD" w:rsidRPr="00403D49">
        <w:rPr>
          <w:color w:val="000000"/>
          <w:sz w:val="20"/>
          <w:szCs w:val="22"/>
          <w:lang w:val="en-AU"/>
        </w:rPr>
        <w:t xml:space="preserve">A response template with all questions in this document is available at Attachment </w:t>
      </w:r>
      <w:proofErr w:type="gramStart"/>
      <w:r w:rsidR="00BD4DBD" w:rsidRPr="00403D49">
        <w:rPr>
          <w:color w:val="000000"/>
          <w:sz w:val="20"/>
          <w:szCs w:val="22"/>
          <w:lang w:val="en-AU"/>
        </w:rPr>
        <w:t>A and</w:t>
      </w:r>
      <w:proofErr w:type="gramEnd"/>
      <w:r w:rsidR="00BD4DBD" w:rsidRPr="00403D49">
        <w:rPr>
          <w:color w:val="000000"/>
          <w:sz w:val="20"/>
          <w:szCs w:val="22"/>
          <w:lang w:val="en-AU"/>
        </w:rPr>
        <w:t xml:space="preserve"> a </w:t>
      </w:r>
      <w:r w:rsidR="00383888" w:rsidRPr="00403D49">
        <w:rPr>
          <w:color w:val="000000"/>
          <w:sz w:val="20"/>
          <w:szCs w:val="22"/>
          <w:lang w:val="en-AU"/>
        </w:rPr>
        <w:t xml:space="preserve">writable PDF </w:t>
      </w:r>
      <w:r w:rsidR="00BD4DBD" w:rsidRPr="00403D49">
        <w:rPr>
          <w:color w:val="000000"/>
          <w:sz w:val="20"/>
          <w:szCs w:val="22"/>
          <w:lang w:val="en-AU"/>
        </w:rPr>
        <w:t xml:space="preserve">of the questions is available via the link on </w:t>
      </w:r>
      <w:hyperlink r:id="rId17" w:history="1">
        <w:r w:rsidR="00BD4DBD" w:rsidRPr="00403D49">
          <w:rPr>
            <w:rStyle w:val="Hyperlink"/>
            <w:sz w:val="20"/>
            <w:szCs w:val="22"/>
            <w:lang w:val="en-AU"/>
          </w:rPr>
          <w:t>documents for public comment</w:t>
        </w:r>
      </w:hyperlink>
      <w:r w:rsidR="00BD4DBD" w:rsidRPr="00403D49">
        <w:rPr>
          <w:rStyle w:val="Hyperlink"/>
          <w:sz w:val="20"/>
          <w:szCs w:val="22"/>
          <w:lang w:val="en-AU"/>
        </w:rPr>
        <w:t>.</w:t>
      </w:r>
    </w:p>
    <w:p w:rsidR="00BA376D" w:rsidRPr="00403D49" w:rsidRDefault="00BA376D" w:rsidP="00BA376D">
      <w:pPr>
        <w:rPr>
          <w:color w:val="000000"/>
          <w:sz w:val="20"/>
          <w:szCs w:val="22"/>
          <w:lang w:val="en-AU"/>
        </w:rPr>
      </w:pPr>
    </w:p>
    <w:p w:rsidR="00BA376D" w:rsidRPr="00403D49" w:rsidRDefault="00BA376D" w:rsidP="00BA376D">
      <w:pPr>
        <w:rPr>
          <w:color w:val="000000"/>
          <w:sz w:val="20"/>
          <w:szCs w:val="22"/>
          <w:lang w:val="en-AU"/>
        </w:rPr>
      </w:pPr>
      <w:r w:rsidRPr="00403D49">
        <w:rPr>
          <w:color w:val="000000"/>
          <w:sz w:val="20"/>
          <w:szCs w:val="22"/>
          <w:lang w:val="en-AU"/>
        </w:rPr>
        <w:t>There is no need to send a hard copy of your submission if you have submitted it by email or via the FSANZ website. FSANZ endeavours to formally acknowledge receipt of submissions within 3 business days.</w:t>
      </w:r>
    </w:p>
    <w:p w:rsidR="00BA376D" w:rsidRPr="00403D49" w:rsidRDefault="00BA376D" w:rsidP="00BA376D">
      <w:pPr>
        <w:rPr>
          <w:color w:val="000000"/>
          <w:sz w:val="18"/>
          <w:lang w:val="en-AU"/>
        </w:rPr>
      </w:pPr>
    </w:p>
    <w:p w:rsidR="00BA376D" w:rsidRPr="00403D49" w:rsidRDefault="00BA376D" w:rsidP="00BA376D">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403D49" w:rsidRPr="00403D49">
        <w:rPr>
          <w:rFonts w:cs="Arial"/>
          <w:b/>
          <w:bCs/>
          <w:sz w:val="24"/>
        </w:rPr>
        <w:t>24 December 2014</w:t>
      </w:r>
    </w:p>
    <w:p w:rsidR="00BA376D" w:rsidRPr="00403D49" w:rsidRDefault="00BA376D" w:rsidP="00BA376D">
      <w:pPr>
        <w:rPr>
          <w:sz w:val="18"/>
          <w:szCs w:val="20"/>
          <w:lang w:val="en-AU"/>
        </w:rPr>
      </w:pPr>
    </w:p>
    <w:p w:rsidR="00BA376D" w:rsidRPr="007C174F" w:rsidRDefault="00BA376D" w:rsidP="00BA376D">
      <w:pPr>
        <w:rPr>
          <w:sz w:val="20"/>
          <w:szCs w:val="20"/>
          <w:lang w:val="en-AU"/>
        </w:rPr>
      </w:pPr>
      <w:r w:rsidRPr="007C174F">
        <w:rPr>
          <w:sz w:val="20"/>
          <w:szCs w:val="20"/>
          <w:lang w:val="en-AU"/>
        </w:rPr>
        <w:t xml:space="preserve">Submissions received after this date will not be considered unless an extension had been given </w:t>
      </w:r>
      <w:r>
        <w:rPr>
          <w:sz w:val="20"/>
          <w:szCs w:val="20"/>
          <w:lang w:val="en-AU"/>
        </w:rPr>
        <w:t xml:space="preserve">before </w:t>
      </w:r>
      <w:r w:rsidRPr="007C174F">
        <w:rPr>
          <w:sz w:val="20"/>
          <w:szCs w:val="20"/>
          <w:lang w:val="en-AU"/>
        </w:rPr>
        <w:t>the closing date</w:t>
      </w:r>
      <w:r>
        <w:rPr>
          <w:sz w:val="20"/>
          <w:szCs w:val="20"/>
          <w:lang w:val="en-AU"/>
        </w:rPr>
        <w:t xml:space="preserve">. Extensions will only be granted due to </w:t>
      </w:r>
      <w:r w:rsidRPr="00AD7A3D">
        <w:rPr>
          <w:sz w:val="20"/>
          <w:szCs w:val="20"/>
          <w:lang w:val="en-AU"/>
        </w:rPr>
        <w:t>extraordinary</w:t>
      </w:r>
      <w:r w:rsidRPr="007C174F">
        <w:rPr>
          <w:sz w:val="20"/>
          <w:szCs w:val="20"/>
          <w:lang w:val="en-AU"/>
        </w:rPr>
        <w:t xml:space="preserve"> circumstances </w:t>
      </w:r>
      <w:r>
        <w:rPr>
          <w:sz w:val="20"/>
          <w:szCs w:val="20"/>
          <w:lang w:val="en-AU"/>
        </w:rPr>
        <w:t xml:space="preserve">during the </w:t>
      </w:r>
      <w:r w:rsidRPr="007C174F">
        <w:rPr>
          <w:sz w:val="20"/>
          <w:szCs w:val="20"/>
          <w:lang w:val="en-AU"/>
        </w:rPr>
        <w:t>submission period</w:t>
      </w:r>
      <w:r>
        <w:rPr>
          <w:sz w:val="20"/>
          <w:szCs w:val="20"/>
          <w:lang w:val="en-AU"/>
        </w:rPr>
        <w:t xml:space="preserve">. </w:t>
      </w:r>
      <w:r w:rsidRPr="007C174F">
        <w:rPr>
          <w:sz w:val="20"/>
          <w:szCs w:val="20"/>
          <w:lang w:val="en-AU"/>
        </w:rPr>
        <w:t>Any agreed extension will be notified on the FSANZ website and will apply to all submitters.</w:t>
      </w:r>
    </w:p>
    <w:p w:rsidR="00BA376D" w:rsidRPr="007C174F" w:rsidRDefault="00BA376D" w:rsidP="00BA376D">
      <w:pPr>
        <w:rPr>
          <w:rFonts w:cs="Arial"/>
          <w:color w:val="000000"/>
          <w:sz w:val="20"/>
          <w:szCs w:val="20"/>
          <w:lang w:val="en-AU"/>
        </w:rPr>
      </w:pPr>
      <w:r>
        <w:rPr>
          <w:sz w:val="20"/>
          <w:szCs w:val="20"/>
          <w:lang w:val="en-AU"/>
        </w:rPr>
        <w:t>Questions about</w:t>
      </w:r>
      <w:r w:rsidRPr="007C174F">
        <w:rPr>
          <w:sz w:val="20"/>
          <w:szCs w:val="20"/>
          <w:lang w:val="en-AU"/>
        </w:rPr>
        <w:t xml:space="preserve"> making submissions or the application process can be </w:t>
      </w:r>
      <w:r>
        <w:rPr>
          <w:sz w:val="20"/>
          <w:szCs w:val="20"/>
          <w:lang w:val="en-AU"/>
        </w:rPr>
        <w:t>sent to</w:t>
      </w:r>
      <w:r w:rsidRPr="007C174F">
        <w:rPr>
          <w:sz w:val="20"/>
          <w:szCs w:val="20"/>
          <w:lang w:val="en-AU"/>
        </w:rPr>
        <w:t xml:space="preserve"> </w:t>
      </w:r>
      <w:hyperlink r:id="rId18" w:history="1">
        <w:r w:rsidRPr="007C174F">
          <w:rPr>
            <w:rStyle w:val="Hyperlink"/>
            <w:rFonts w:cs="Arial"/>
            <w:sz w:val="20"/>
            <w:szCs w:val="20"/>
            <w:lang w:val="en-AU"/>
          </w:rPr>
          <w:t>standards.management@foodstandards.gov.au</w:t>
        </w:r>
      </w:hyperlink>
      <w:r w:rsidRPr="007C174F">
        <w:rPr>
          <w:sz w:val="20"/>
          <w:szCs w:val="20"/>
          <w:lang w:val="en-AU"/>
        </w:rPr>
        <w:t xml:space="preserve">. </w:t>
      </w:r>
    </w:p>
    <w:p w:rsidR="00BA376D" w:rsidRPr="007C174F" w:rsidRDefault="00BA376D" w:rsidP="00BA376D">
      <w:pPr>
        <w:rPr>
          <w:sz w:val="20"/>
          <w:szCs w:val="20"/>
          <w:lang w:val="en-AU"/>
        </w:rPr>
      </w:pPr>
      <w:r w:rsidRPr="007C174F">
        <w:rPr>
          <w:sz w:val="20"/>
          <w:szCs w:val="20"/>
          <w:lang w:val="en-AU"/>
        </w:rPr>
        <w:t>Hard copy submissions may be sent to one of the following addresses:</w:t>
      </w:r>
    </w:p>
    <w:p w:rsidR="00BA376D" w:rsidRPr="00403D49" w:rsidRDefault="00BA376D" w:rsidP="00BA376D">
      <w:pPr>
        <w:rPr>
          <w:sz w:val="18"/>
          <w:szCs w:val="20"/>
          <w:lang w:val="en-AU"/>
        </w:rPr>
      </w:pPr>
    </w:p>
    <w:p w:rsidR="00BA376D" w:rsidRPr="007C174F" w:rsidRDefault="00BA376D" w:rsidP="00BA376D">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rsidR="00BA376D" w:rsidRPr="007C174F" w:rsidRDefault="00BA376D" w:rsidP="00BA376D">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BA376D" w:rsidRPr="007C174F" w:rsidRDefault="00BA376D" w:rsidP="00BA376D">
      <w:pPr>
        <w:tabs>
          <w:tab w:val="left" w:pos="4536"/>
        </w:tabs>
        <w:rPr>
          <w:sz w:val="20"/>
          <w:szCs w:val="20"/>
        </w:rPr>
      </w:pPr>
      <w:r>
        <w:rPr>
          <w:sz w:val="20"/>
          <w:szCs w:val="20"/>
        </w:rPr>
        <w:t>CANBERRA</w:t>
      </w:r>
      <w:r w:rsidRPr="007C174F">
        <w:rPr>
          <w:sz w:val="20"/>
          <w:szCs w:val="20"/>
        </w:rPr>
        <w:t xml:space="preserve"> </w:t>
      </w:r>
      <w:proofErr w:type="gramStart"/>
      <w:r w:rsidRPr="007C174F">
        <w:rPr>
          <w:sz w:val="20"/>
          <w:szCs w:val="20"/>
        </w:rPr>
        <w:t xml:space="preserve">BC </w:t>
      </w:r>
      <w:r>
        <w:rPr>
          <w:sz w:val="20"/>
          <w:szCs w:val="20"/>
        </w:rPr>
        <w:t xml:space="preserve"> </w:t>
      </w:r>
      <w:r w:rsidRPr="007C174F">
        <w:rPr>
          <w:sz w:val="20"/>
          <w:szCs w:val="20"/>
        </w:rPr>
        <w:t>ACT</w:t>
      </w:r>
      <w:proofErr w:type="gramEnd"/>
      <w:r>
        <w:rPr>
          <w:sz w:val="20"/>
          <w:szCs w:val="20"/>
        </w:rPr>
        <w:t xml:space="preserve"> </w:t>
      </w:r>
      <w:r w:rsidRPr="007C174F">
        <w:rPr>
          <w:sz w:val="20"/>
          <w:szCs w:val="20"/>
        </w:rPr>
        <w:t xml:space="preserve"> 2610</w:t>
      </w:r>
      <w:r w:rsidRPr="007C174F">
        <w:rPr>
          <w:sz w:val="20"/>
          <w:szCs w:val="20"/>
        </w:rPr>
        <w:tab/>
      </w:r>
      <w:r w:rsidRPr="007C174F">
        <w:rPr>
          <w:sz w:val="20"/>
          <w:szCs w:val="20"/>
        </w:rPr>
        <w:tab/>
        <w:t>The Terrace WELLINGTON 6143</w:t>
      </w:r>
    </w:p>
    <w:p w:rsidR="00BA376D" w:rsidRPr="007C174F" w:rsidRDefault="00BA376D" w:rsidP="00BA376D">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AC077A" w:rsidRPr="00403D49" w:rsidRDefault="00BA376D" w:rsidP="00401876">
      <w:pPr>
        <w:tabs>
          <w:tab w:val="left" w:pos="4536"/>
        </w:tabs>
        <w:rPr>
          <w:sz w:val="20"/>
        </w:rPr>
      </w:pPr>
      <w:r w:rsidRPr="007C174F">
        <w:rPr>
          <w:sz w:val="20"/>
          <w:szCs w:val="20"/>
        </w:rPr>
        <w:t xml:space="preserve">Tel </w:t>
      </w:r>
      <w:r>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Pr>
          <w:sz w:val="20"/>
          <w:szCs w:val="20"/>
        </w:rPr>
        <w:t>+64 4 978 5630</w:t>
      </w:r>
    </w:p>
    <w:p w:rsidR="00CC0A18" w:rsidRDefault="00CC0A18" w:rsidP="00E40ED4">
      <w:pPr>
        <w:jc w:val="center"/>
        <w:rPr>
          <w:b/>
          <w:sz w:val="28"/>
          <w:szCs w:val="28"/>
        </w:rPr>
        <w:sectPr w:rsidR="00CC0A18" w:rsidSect="007F6373">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pgNumType w:fmt="lowerRoman" w:start="1"/>
          <w:cols w:space="708"/>
          <w:docGrid w:linePitch="360"/>
        </w:sectPr>
      </w:pPr>
    </w:p>
    <w:p w:rsidR="00562917" w:rsidRPr="00605B50" w:rsidRDefault="00562917" w:rsidP="00E40ED4">
      <w:pPr>
        <w:jc w:val="center"/>
        <w:rPr>
          <w:b/>
          <w:sz w:val="28"/>
          <w:szCs w:val="28"/>
        </w:rPr>
      </w:pPr>
      <w:r w:rsidRPr="00605B50">
        <w:rPr>
          <w:b/>
          <w:sz w:val="28"/>
          <w:szCs w:val="28"/>
        </w:rPr>
        <w:lastRenderedPageBreak/>
        <w:t xml:space="preserve">Table of </w:t>
      </w:r>
      <w:r w:rsidR="00456B54" w:rsidRPr="00605B50">
        <w:rPr>
          <w:b/>
          <w:sz w:val="28"/>
          <w:szCs w:val="28"/>
        </w:rPr>
        <w:t>C</w:t>
      </w:r>
      <w:r w:rsidRPr="00605B50">
        <w:rPr>
          <w:b/>
          <w:sz w:val="28"/>
          <w:szCs w:val="28"/>
        </w:rPr>
        <w:t>ontents</w:t>
      </w:r>
    </w:p>
    <w:p w:rsidR="00562917" w:rsidRPr="00AE766D" w:rsidRDefault="00562917" w:rsidP="00051ED9">
      <w:pPr>
        <w:rPr>
          <w:rFonts w:cs="Arial"/>
        </w:rPr>
      </w:pPr>
    </w:p>
    <w:bookmarkStart w:id="0" w:name="_Toc286391001"/>
    <w:bookmarkStart w:id="1" w:name="_Toc300933414"/>
    <w:bookmarkStart w:id="2" w:name="_Toc267859686"/>
    <w:bookmarkStart w:id="3" w:name="_Toc11735627"/>
    <w:bookmarkStart w:id="4" w:name="_Toc29883110"/>
    <w:bookmarkStart w:id="5" w:name="_Toc41906797"/>
    <w:bookmarkStart w:id="6" w:name="_Toc41907544"/>
    <w:bookmarkStart w:id="7" w:name="_Toc120358575"/>
    <w:p w:rsidR="00401876" w:rsidRPr="00401876" w:rsidRDefault="00401876">
      <w:pPr>
        <w:pStyle w:val="TOC1"/>
        <w:tabs>
          <w:tab w:val="left" w:pos="440"/>
          <w:tab w:val="right" w:leader="dot" w:pos="9060"/>
        </w:tabs>
        <w:rPr>
          <w:rFonts w:ascii="Arial" w:eastAsiaTheme="minorEastAsia" w:hAnsi="Arial" w:cs="Arial"/>
          <w:b w:val="0"/>
          <w:bCs w:val="0"/>
          <w:caps w:val="0"/>
          <w:noProof/>
          <w:lang w:eastAsia="en-GB" w:bidi="ar-SA"/>
        </w:rPr>
      </w:pPr>
      <w:r w:rsidRPr="00401876">
        <w:rPr>
          <w:rFonts w:ascii="Arial" w:hAnsi="Arial" w:cs="Arial"/>
        </w:rPr>
        <w:fldChar w:fldCharType="begin"/>
      </w:r>
      <w:r w:rsidRPr="00401876">
        <w:rPr>
          <w:rFonts w:ascii="Arial" w:hAnsi="Arial" w:cs="Arial"/>
        </w:rPr>
        <w:instrText xml:space="preserve"> TOC \o "1-3" \h \z \u </w:instrText>
      </w:r>
      <w:r w:rsidRPr="00401876">
        <w:rPr>
          <w:rFonts w:ascii="Arial" w:hAnsi="Arial" w:cs="Arial"/>
        </w:rPr>
        <w:fldChar w:fldCharType="separate"/>
      </w:r>
      <w:hyperlink w:anchor="_Toc403394288" w:history="1">
        <w:r w:rsidRPr="00401876">
          <w:rPr>
            <w:rStyle w:val="Hyperlink"/>
            <w:rFonts w:cs="Arial"/>
            <w:noProof/>
          </w:rPr>
          <w:t>1</w:t>
        </w:r>
        <w:r w:rsidRPr="00401876">
          <w:rPr>
            <w:rFonts w:ascii="Arial" w:eastAsiaTheme="minorEastAsia" w:hAnsi="Arial" w:cs="Arial"/>
            <w:b w:val="0"/>
            <w:bCs w:val="0"/>
            <w:caps w:val="0"/>
            <w:noProof/>
            <w:lang w:eastAsia="en-GB" w:bidi="ar-SA"/>
          </w:rPr>
          <w:tab/>
        </w:r>
        <w:r w:rsidRPr="00401876">
          <w:rPr>
            <w:rStyle w:val="Hyperlink"/>
            <w:rFonts w:cs="Arial"/>
            <w:noProof/>
          </w:rPr>
          <w:t>Introduction</w:t>
        </w:r>
        <w:r w:rsidRPr="00401876">
          <w:rPr>
            <w:rFonts w:ascii="Arial" w:hAnsi="Arial" w:cs="Arial"/>
            <w:noProof/>
            <w:webHidden/>
          </w:rPr>
          <w:tab/>
        </w:r>
        <w:r w:rsidRPr="00401876">
          <w:rPr>
            <w:rFonts w:ascii="Arial" w:hAnsi="Arial" w:cs="Arial"/>
            <w:noProof/>
            <w:webHidden/>
          </w:rPr>
          <w:fldChar w:fldCharType="begin"/>
        </w:r>
        <w:r w:rsidRPr="00401876">
          <w:rPr>
            <w:rFonts w:ascii="Arial" w:hAnsi="Arial" w:cs="Arial"/>
            <w:noProof/>
            <w:webHidden/>
          </w:rPr>
          <w:instrText xml:space="preserve"> PAGEREF _Toc403394288 \h </w:instrText>
        </w:r>
        <w:r w:rsidRPr="00401876">
          <w:rPr>
            <w:rFonts w:ascii="Arial" w:hAnsi="Arial" w:cs="Arial"/>
            <w:noProof/>
            <w:webHidden/>
          </w:rPr>
        </w:r>
        <w:r w:rsidRPr="00401876">
          <w:rPr>
            <w:rFonts w:ascii="Arial" w:hAnsi="Arial" w:cs="Arial"/>
            <w:noProof/>
            <w:webHidden/>
          </w:rPr>
          <w:fldChar w:fldCharType="separate"/>
        </w:r>
        <w:r w:rsidRPr="00401876">
          <w:rPr>
            <w:rFonts w:ascii="Arial" w:hAnsi="Arial" w:cs="Arial"/>
            <w:noProof/>
            <w:webHidden/>
          </w:rPr>
          <w:t>3</w:t>
        </w:r>
        <w:r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289" w:history="1">
        <w:r w:rsidR="00401876" w:rsidRPr="00401876">
          <w:rPr>
            <w:rStyle w:val="Hyperlink"/>
            <w:rFonts w:cs="Arial"/>
            <w:noProof/>
          </w:rPr>
          <w:t>1.1</w:t>
        </w:r>
        <w:r w:rsidR="00401876" w:rsidRPr="00401876">
          <w:rPr>
            <w:rFonts w:ascii="Arial" w:eastAsiaTheme="minorEastAsia" w:hAnsi="Arial" w:cs="Arial"/>
            <w:smallCaps w:val="0"/>
            <w:noProof/>
            <w:lang w:eastAsia="en-GB" w:bidi="ar-SA"/>
          </w:rPr>
          <w:tab/>
        </w:r>
        <w:r w:rsidR="00401876" w:rsidRPr="00401876">
          <w:rPr>
            <w:rStyle w:val="Hyperlink"/>
            <w:rFonts w:cs="Arial"/>
            <w:noProof/>
          </w:rPr>
          <w:t>Overview</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_Toc403394289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3</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294" w:history="1">
        <w:r w:rsidR="00401876" w:rsidRPr="00401876">
          <w:rPr>
            <w:rStyle w:val="Hyperlink"/>
            <w:rFonts w:cs="Arial"/>
            <w:noProof/>
            <w:lang w:val="en-AU"/>
          </w:rPr>
          <w:t>1.2</w:t>
        </w:r>
        <w:r w:rsidR="00401876" w:rsidRPr="00401876">
          <w:rPr>
            <w:rFonts w:ascii="Arial" w:eastAsiaTheme="minorEastAsia" w:hAnsi="Arial" w:cs="Arial"/>
            <w:smallCaps w:val="0"/>
            <w:noProof/>
            <w:lang w:eastAsia="en-GB" w:bidi="ar-SA"/>
          </w:rPr>
          <w:tab/>
        </w:r>
        <w:r w:rsidR="00401876" w:rsidRPr="00401876">
          <w:rPr>
            <w:rStyle w:val="Hyperlink"/>
            <w:rFonts w:cs="Arial"/>
            <w:noProof/>
            <w:lang w:val="en-AU"/>
          </w:rPr>
          <w:t>What is the aim of this Consultation Paper?</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_Toc403394294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3</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295" w:history="1">
        <w:r w:rsidR="00401876" w:rsidRPr="00401876">
          <w:rPr>
            <w:rStyle w:val="Hyperlink"/>
            <w:rFonts w:cs="Arial"/>
            <w:noProof/>
          </w:rPr>
          <w:t>1.3</w:t>
        </w:r>
        <w:r w:rsidR="00401876" w:rsidRPr="00401876">
          <w:rPr>
            <w:rFonts w:ascii="Arial" w:eastAsiaTheme="minorEastAsia" w:hAnsi="Arial" w:cs="Arial"/>
            <w:smallCaps w:val="0"/>
            <w:noProof/>
            <w:lang w:eastAsia="en-GB" w:bidi="ar-SA"/>
          </w:rPr>
          <w:tab/>
        </w:r>
        <w:r w:rsidR="00401876" w:rsidRPr="00401876">
          <w:rPr>
            <w:rStyle w:val="Hyperlink"/>
            <w:rFonts w:cs="Arial"/>
            <w:noProof/>
          </w:rPr>
          <w:t>Preliminary investigation</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_Toc403394295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4</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297" w:history="1">
        <w:r w:rsidR="00401876" w:rsidRPr="00401876">
          <w:rPr>
            <w:rStyle w:val="Hyperlink"/>
            <w:rFonts w:cs="Arial"/>
            <w:noProof/>
            <w:lang w:val="en-AU"/>
          </w:rPr>
          <w:t>1.4</w:t>
        </w:r>
        <w:r w:rsidR="00401876" w:rsidRPr="00401876">
          <w:rPr>
            <w:rFonts w:ascii="Arial" w:eastAsiaTheme="minorEastAsia" w:hAnsi="Arial" w:cs="Arial"/>
            <w:smallCaps w:val="0"/>
            <w:noProof/>
            <w:lang w:eastAsia="en-GB" w:bidi="ar-SA"/>
          </w:rPr>
          <w:tab/>
        </w:r>
        <w:r w:rsidR="00401876" w:rsidRPr="00401876">
          <w:rPr>
            <w:rStyle w:val="Hyperlink"/>
            <w:rFonts w:cs="Arial"/>
            <w:noProof/>
            <w:lang w:val="en-AU"/>
          </w:rPr>
          <w:t>Key findings from FSANZ’s preliminary review</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_Toc403394297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4</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298" w:history="1">
        <w:r w:rsidR="00401876" w:rsidRPr="00401876">
          <w:rPr>
            <w:rStyle w:val="Hyperlink"/>
            <w:rFonts w:cs="Arial"/>
            <w:noProof/>
          </w:rPr>
          <w:t>1.5</w:t>
        </w:r>
        <w:r w:rsidR="00401876" w:rsidRPr="00401876">
          <w:rPr>
            <w:rFonts w:ascii="Arial" w:eastAsiaTheme="minorEastAsia" w:hAnsi="Arial" w:cs="Arial"/>
            <w:smallCaps w:val="0"/>
            <w:noProof/>
            <w:lang w:eastAsia="en-GB" w:bidi="ar-SA"/>
          </w:rPr>
          <w:tab/>
        </w:r>
        <w:r w:rsidR="00401876" w:rsidRPr="00401876">
          <w:rPr>
            <w:rStyle w:val="Hyperlink"/>
            <w:rFonts w:cs="Arial"/>
            <w:noProof/>
          </w:rPr>
          <w:t>Scope</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_Toc403394298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5</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300" w:history="1">
        <w:r w:rsidR="00401876" w:rsidRPr="00401876">
          <w:rPr>
            <w:rStyle w:val="Hyperlink"/>
            <w:rFonts w:cs="Arial"/>
            <w:noProof/>
            <w:lang w:val="en-AU" w:eastAsia="en-AU"/>
          </w:rPr>
          <w:t>1.6</w:t>
        </w:r>
        <w:r w:rsidR="00401876" w:rsidRPr="00401876">
          <w:rPr>
            <w:rFonts w:ascii="Arial" w:eastAsiaTheme="minorEastAsia" w:hAnsi="Arial" w:cs="Arial"/>
            <w:smallCaps w:val="0"/>
            <w:noProof/>
            <w:lang w:eastAsia="en-GB" w:bidi="ar-SA"/>
          </w:rPr>
          <w:tab/>
        </w:r>
        <w:r w:rsidR="00401876" w:rsidRPr="00401876">
          <w:rPr>
            <w:rStyle w:val="Hyperlink"/>
            <w:rFonts w:cs="Arial"/>
            <w:noProof/>
            <w:lang w:val="en-AU" w:eastAsia="en-AU"/>
          </w:rPr>
          <w:t>What is out of scope?</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_Toc403394300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6</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301" w:history="1">
        <w:r w:rsidR="00401876" w:rsidRPr="00401876">
          <w:rPr>
            <w:rStyle w:val="Hyperlink"/>
            <w:rFonts w:cs="Arial"/>
            <w:noProof/>
          </w:rPr>
          <w:t>1.7</w:t>
        </w:r>
        <w:r w:rsidR="00401876" w:rsidRPr="00401876">
          <w:rPr>
            <w:rFonts w:ascii="Arial" w:eastAsiaTheme="minorEastAsia" w:hAnsi="Arial" w:cs="Arial"/>
            <w:smallCaps w:val="0"/>
            <w:noProof/>
            <w:lang w:eastAsia="en-GB" w:bidi="ar-SA"/>
          </w:rPr>
          <w:tab/>
        </w:r>
        <w:r w:rsidR="00401876" w:rsidRPr="00401876">
          <w:rPr>
            <w:rStyle w:val="Hyperlink"/>
            <w:rFonts w:cs="Arial"/>
            <w:noProof/>
          </w:rPr>
          <w:t>What are the objectives of the Proposal?</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_Toc403394301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6</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303" w:history="1">
        <w:r w:rsidR="00401876" w:rsidRPr="00401876">
          <w:rPr>
            <w:rStyle w:val="Hyperlink"/>
            <w:rFonts w:cs="Arial"/>
            <w:noProof/>
          </w:rPr>
          <w:t>1.8</w:t>
        </w:r>
        <w:r w:rsidR="00401876" w:rsidRPr="00401876">
          <w:rPr>
            <w:rFonts w:ascii="Arial" w:eastAsiaTheme="minorEastAsia" w:hAnsi="Arial" w:cs="Arial"/>
            <w:smallCaps w:val="0"/>
            <w:noProof/>
            <w:lang w:eastAsia="en-GB" w:bidi="ar-SA"/>
          </w:rPr>
          <w:tab/>
        </w:r>
        <w:r w:rsidR="00401876" w:rsidRPr="00401876">
          <w:rPr>
            <w:rStyle w:val="Hyperlink"/>
            <w:rFonts w:cs="Arial"/>
            <w:noProof/>
          </w:rPr>
          <w:t>How will these objectives be achieved?</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_Toc403394303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7</w:t>
        </w:r>
        <w:r w:rsidR="00401876" w:rsidRPr="00401876">
          <w:rPr>
            <w:rFonts w:ascii="Arial" w:hAnsi="Arial" w:cs="Arial"/>
            <w:noProof/>
            <w:webHidden/>
          </w:rPr>
          <w:fldChar w:fldCharType="end"/>
        </w:r>
      </w:hyperlink>
    </w:p>
    <w:p w:rsidR="00401876" w:rsidRPr="00401876" w:rsidRDefault="005A60B4">
      <w:pPr>
        <w:pStyle w:val="TOC1"/>
        <w:tabs>
          <w:tab w:val="left" w:pos="440"/>
          <w:tab w:val="right" w:leader="dot" w:pos="9060"/>
        </w:tabs>
        <w:rPr>
          <w:rFonts w:ascii="Arial" w:eastAsiaTheme="minorEastAsia" w:hAnsi="Arial" w:cs="Arial"/>
          <w:b w:val="0"/>
          <w:bCs w:val="0"/>
          <w:caps w:val="0"/>
          <w:noProof/>
          <w:lang w:eastAsia="en-GB" w:bidi="ar-SA"/>
        </w:rPr>
      </w:pPr>
      <w:hyperlink w:anchor="_Toc403394304" w:history="1">
        <w:r w:rsidR="00401876" w:rsidRPr="00401876">
          <w:rPr>
            <w:rStyle w:val="Hyperlink"/>
            <w:rFonts w:cs="Arial"/>
            <w:noProof/>
          </w:rPr>
          <w:t>2</w:t>
        </w:r>
        <w:r w:rsidR="00401876" w:rsidRPr="00401876">
          <w:rPr>
            <w:rFonts w:ascii="Arial" w:eastAsiaTheme="minorEastAsia" w:hAnsi="Arial" w:cs="Arial"/>
            <w:b w:val="0"/>
            <w:bCs w:val="0"/>
            <w:caps w:val="0"/>
            <w:noProof/>
            <w:lang w:eastAsia="en-GB" w:bidi="ar-SA"/>
          </w:rPr>
          <w:tab/>
        </w:r>
        <w:r w:rsidR="00401876" w:rsidRPr="00401876">
          <w:rPr>
            <w:rStyle w:val="Hyperlink"/>
            <w:rFonts w:cs="Arial"/>
            <w:noProof/>
          </w:rPr>
          <w:t>How do chemicals migrate from packaging into food?</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_Toc403394304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7</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305" w:history="1">
        <w:r w:rsidR="00401876" w:rsidRPr="00401876">
          <w:rPr>
            <w:rStyle w:val="Hyperlink"/>
            <w:rFonts w:cs="Arial"/>
            <w:noProof/>
          </w:rPr>
          <w:t>2.1</w:t>
        </w:r>
        <w:r w:rsidR="00401876" w:rsidRPr="00401876">
          <w:rPr>
            <w:rFonts w:ascii="Arial" w:eastAsiaTheme="minorEastAsia" w:hAnsi="Arial" w:cs="Arial"/>
            <w:smallCaps w:val="0"/>
            <w:noProof/>
            <w:lang w:eastAsia="en-GB" w:bidi="ar-SA"/>
          </w:rPr>
          <w:tab/>
        </w:r>
        <w:r w:rsidR="00401876" w:rsidRPr="00401876">
          <w:rPr>
            <w:rStyle w:val="Hyperlink"/>
            <w:rFonts w:cs="Arial"/>
            <w:noProof/>
          </w:rPr>
          <w:t>What factors affect migration?</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_Toc403394305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8</w:t>
        </w:r>
        <w:r w:rsidR="00401876" w:rsidRPr="00401876">
          <w:rPr>
            <w:rFonts w:ascii="Arial" w:hAnsi="Arial" w:cs="Arial"/>
            <w:noProof/>
            <w:webHidden/>
          </w:rPr>
          <w:fldChar w:fldCharType="end"/>
        </w:r>
      </w:hyperlink>
    </w:p>
    <w:p w:rsidR="00401876" w:rsidRPr="00401876" w:rsidRDefault="005A60B4">
      <w:pPr>
        <w:pStyle w:val="TOC1"/>
        <w:tabs>
          <w:tab w:val="left" w:pos="440"/>
          <w:tab w:val="right" w:leader="dot" w:pos="9060"/>
        </w:tabs>
        <w:rPr>
          <w:rFonts w:ascii="Arial" w:eastAsiaTheme="minorEastAsia" w:hAnsi="Arial" w:cs="Arial"/>
          <w:b w:val="0"/>
          <w:bCs w:val="0"/>
          <w:caps w:val="0"/>
          <w:noProof/>
          <w:lang w:eastAsia="en-GB" w:bidi="ar-SA"/>
        </w:rPr>
      </w:pPr>
      <w:hyperlink w:anchor="_Toc403394306" w:history="1">
        <w:r w:rsidR="00401876" w:rsidRPr="00401876">
          <w:rPr>
            <w:rStyle w:val="Hyperlink"/>
            <w:rFonts w:eastAsia="Calibri" w:cs="Arial"/>
            <w:noProof/>
          </w:rPr>
          <w:t>3</w:t>
        </w:r>
        <w:r w:rsidR="00401876" w:rsidRPr="00401876">
          <w:rPr>
            <w:rFonts w:ascii="Arial" w:eastAsiaTheme="minorEastAsia" w:hAnsi="Arial" w:cs="Arial"/>
            <w:b w:val="0"/>
            <w:bCs w:val="0"/>
            <w:caps w:val="0"/>
            <w:noProof/>
            <w:lang w:eastAsia="en-GB" w:bidi="ar-SA"/>
          </w:rPr>
          <w:tab/>
        </w:r>
        <w:r w:rsidR="00401876" w:rsidRPr="00401876">
          <w:rPr>
            <w:rStyle w:val="Hyperlink"/>
            <w:rFonts w:eastAsia="Calibri" w:cs="Arial"/>
            <w:noProof/>
          </w:rPr>
          <w:t>Potential public health risks</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_Toc403394306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8</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307" w:history="1">
        <w:r w:rsidR="00401876" w:rsidRPr="00401876">
          <w:rPr>
            <w:rStyle w:val="Hyperlink"/>
            <w:rFonts w:cs="Arial"/>
            <w:noProof/>
          </w:rPr>
          <w:t>3.1</w:t>
        </w:r>
        <w:r w:rsidR="00401876" w:rsidRPr="00401876">
          <w:rPr>
            <w:rFonts w:ascii="Arial" w:eastAsiaTheme="minorEastAsia" w:hAnsi="Arial" w:cs="Arial"/>
            <w:smallCaps w:val="0"/>
            <w:noProof/>
            <w:lang w:eastAsia="en-GB" w:bidi="ar-SA"/>
          </w:rPr>
          <w:tab/>
        </w:r>
        <w:r w:rsidR="00401876" w:rsidRPr="00401876">
          <w:rPr>
            <w:rStyle w:val="Hyperlink"/>
            <w:rFonts w:cs="Arial"/>
            <w:noProof/>
          </w:rPr>
          <w:t>Specific events</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_Toc403394307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8</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308" w:history="1">
        <w:r w:rsidR="00401876" w:rsidRPr="00401876">
          <w:rPr>
            <w:rStyle w:val="Hyperlink"/>
            <w:rFonts w:cs="Arial"/>
            <w:noProof/>
          </w:rPr>
          <w:t>3.2</w:t>
        </w:r>
        <w:r w:rsidR="00401876" w:rsidRPr="00401876">
          <w:rPr>
            <w:rFonts w:ascii="Arial" w:eastAsiaTheme="minorEastAsia" w:hAnsi="Arial" w:cs="Arial"/>
            <w:smallCaps w:val="0"/>
            <w:noProof/>
            <w:lang w:eastAsia="en-GB" w:bidi="ar-SA"/>
          </w:rPr>
          <w:tab/>
        </w:r>
        <w:r w:rsidR="00401876" w:rsidRPr="00401876">
          <w:rPr>
            <w:rStyle w:val="Hyperlink"/>
            <w:rFonts w:cs="Arial"/>
            <w:noProof/>
          </w:rPr>
          <w:t>Uncertainties</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_Toc403394308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10</w:t>
        </w:r>
        <w:r w:rsidR="00401876" w:rsidRPr="00401876">
          <w:rPr>
            <w:rFonts w:ascii="Arial" w:hAnsi="Arial" w:cs="Arial"/>
            <w:noProof/>
            <w:webHidden/>
          </w:rPr>
          <w:fldChar w:fldCharType="end"/>
        </w:r>
      </w:hyperlink>
    </w:p>
    <w:p w:rsidR="00401876" w:rsidRPr="00401876" w:rsidRDefault="005A60B4">
      <w:pPr>
        <w:pStyle w:val="TOC1"/>
        <w:tabs>
          <w:tab w:val="left" w:pos="440"/>
          <w:tab w:val="right" w:leader="dot" w:pos="9060"/>
        </w:tabs>
        <w:rPr>
          <w:rFonts w:ascii="Arial" w:eastAsiaTheme="minorEastAsia" w:hAnsi="Arial" w:cs="Arial"/>
          <w:b w:val="0"/>
          <w:bCs w:val="0"/>
          <w:caps w:val="0"/>
          <w:noProof/>
          <w:lang w:eastAsia="en-GB" w:bidi="ar-SA"/>
        </w:rPr>
      </w:pPr>
      <w:hyperlink w:anchor="_Toc403394309" w:history="1">
        <w:r w:rsidR="00401876" w:rsidRPr="00401876">
          <w:rPr>
            <w:rStyle w:val="Hyperlink"/>
            <w:rFonts w:cs="Arial"/>
            <w:noProof/>
          </w:rPr>
          <w:t>4</w:t>
        </w:r>
        <w:r w:rsidR="00401876" w:rsidRPr="00401876">
          <w:rPr>
            <w:rFonts w:ascii="Arial" w:eastAsiaTheme="minorEastAsia" w:hAnsi="Arial" w:cs="Arial"/>
            <w:b w:val="0"/>
            <w:bCs w:val="0"/>
            <w:caps w:val="0"/>
            <w:noProof/>
            <w:lang w:eastAsia="en-GB" w:bidi="ar-SA"/>
          </w:rPr>
          <w:tab/>
        </w:r>
        <w:r w:rsidR="00401876" w:rsidRPr="00401876">
          <w:rPr>
            <w:rStyle w:val="Hyperlink"/>
            <w:rFonts w:cs="Arial"/>
            <w:noProof/>
          </w:rPr>
          <w:t>Overview of the packaging supply chain in Australia and New Zealand</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_Toc403394309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10</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310" w:history="1">
        <w:r w:rsidR="00401876" w:rsidRPr="00401876">
          <w:rPr>
            <w:rStyle w:val="Hyperlink"/>
            <w:rFonts w:cs="Arial"/>
            <w:noProof/>
          </w:rPr>
          <w:t>4.1</w:t>
        </w:r>
        <w:r w:rsidR="00401876" w:rsidRPr="00401876">
          <w:rPr>
            <w:rFonts w:ascii="Arial" w:eastAsiaTheme="minorEastAsia" w:hAnsi="Arial" w:cs="Arial"/>
            <w:smallCaps w:val="0"/>
            <w:noProof/>
            <w:lang w:eastAsia="en-GB" w:bidi="ar-SA"/>
          </w:rPr>
          <w:tab/>
        </w:r>
        <w:r w:rsidR="00401876" w:rsidRPr="00401876">
          <w:rPr>
            <w:rStyle w:val="Hyperlink"/>
            <w:rFonts w:cs="Arial"/>
            <w:noProof/>
          </w:rPr>
          <w:t>Outcomes of industry surveys</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_Toc403394310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12</w:t>
        </w:r>
        <w:r w:rsidR="00401876" w:rsidRPr="00401876">
          <w:rPr>
            <w:rFonts w:ascii="Arial" w:hAnsi="Arial" w:cs="Arial"/>
            <w:noProof/>
            <w:webHidden/>
          </w:rPr>
          <w:fldChar w:fldCharType="end"/>
        </w:r>
      </w:hyperlink>
    </w:p>
    <w:p w:rsidR="00401876" w:rsidRPr="00401876" w:rsidRDefault="005A60B4">
      <w:pPr>
        <w:pStyle w:val="TOC1"/>
        <w:tabs>
          <w:tab w:val="left" w:pos="440"/>
          <w:tab w:val="right" w:leader="dot" w:pos="9060"/>
        </w:tabs>
        <w:rPr>
          <w:rFonts w:ascii="Arial" w:eastAsiaTheme="minorEastAsia" w:hAnsi="Arial" w:cs="Arial"/>
          <w:b w:val="0"/>
          <w:bCs w:val="0"/>
          <w:caps w:val="0"/>
          <w:noProof/>
          <w:lang w:eastAsia="en-GB" w:bidi="ar-SA"/>
        </w:rPr>
      </w:pPr>
      <w:hyperlink w:anchor="_Toc403394311" w:history="1">
        <w:r w:rsidR="00401876" w:rsidRPr="00401876">
          <w:rPr>
            <w:rStyle w:val="Hyperlink"/>
            <w:rFonts w:cs="Arial"/>
            <w:noProof/>
          </w:rPr>
          <w:t>5.</w:t>
        </w:r>
        <w:r w:rsidR="00401876" w:rsidRPr="00401876">
          <w:rPr>
            <w:rFonts w:ascii="Arial" w:eastAsiaTheme="minorEastAsia" w:hAnsi="Arial" w:cs="Arial"/>
            <w:b w:val="0"/>
            <w:bCs w:val="0"/>
            <w:caps w:val="0"/>
            <w:noProof/>
            <w:lang w:eastAsia="en-GB" w:bidi="ar-SA"/>
          </w:rPr>
          <w:tab/>
        </w:r>
        <w:r w:rsidR="00401876" w:rsidRPr="00401876">
          <w:rPr>
            <w:rStyle w:val="Hyperlink"/>
            <w:rFonts w:cs="Arial"/>
            <w:noProof/>
          </w:rPr>
          <w:t>Regulatory and non-regulatory control measures</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_Toc403394311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13</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312" w:history="1">
        <w:r w:rsidR="00401876" w:rsidRPr="00401876">
          <w:rPr>
            <w:rStyle w:val="Hyperlink"/>
            <w:rFonts w:cs="Arial"/>
            <w:noProof/>
          </w:rPr>
          <w:t>5.1</w:t>
        </w:r>
        <w:r w:rsidR="00401876" w:rsidRPr="00401876">
          <w:rPr>
            <w:rFonts w:ascii="Arial" w:eastAsiaTheme="minorEastAsia" w:hAnsi="Arial" w:cs="Arial"/>
            <w:smallCaps w:val="0"/>
            <w:noProof/>
            <w:lang w:eastAsia="en-GB" w:bidi="ar-SA"/>
          </w:rPr>
          <w:tab/>
        </w:r>
        <w:r w:rsidR="00401876" w:rsidRPr="00401876">
          <w:rPr>
            <w:rStyle w:val="Hyperlink"/>
            <w:rFonts w:cs="Arial"/>
            <w:noProof/>
          </w:rPr>
          <w:t>Ways of mitigating risk</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_Toc403394312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13</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316" w:history="1">
        <w:r w:rsidR="00401876" w:rsidRPr="00401876">
          <w:rPr>
            <w:rStyle w:val="Hyperlink"/>
            <w:rFonts w:cs="Arial"/>
            <w:noProof/>
          </w:rPr>
          <w:t>5.2</w:t>
        </w:r>
        <w:r w:rsidR="00401876" w:rsidRPr="00401876">
          <w:rPr>
            <w:rFonts w:ascii="Arial" w:eastAsiaTheme="minorEastAsia" w:hAnsi="Arial" w:cs="Arial"/>
            <w:smallCaps w:val="0"/>
            <w:noProof/>
            <w:lang w:eastAsia="en-GB" w:bidi="ar-SA"/>
          </w:rPr>
          <w:tab/>
        </w:r>
        <w:r w:rsidR="00401876" w:rsidRPr="00401876">
          <w:rPr>
            <w:rStyle w:val="Hyperlink"/>
            <w:rFonts w:cs="Arial"/>
            <w:noProof/>
          </w:rPr>
          <w:t>Regulatory control measures</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_Toc403394316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14</w:t>
        </w:r>
        <w:r w:rsidR="00401876" w:rsidRPr="00401876">
          <w:rPr>
            <w:rFonts w:ascii="Arial" w:hAnsi="Arial" w:cs="Arial"/>
            <w:noProof/>
            <w:webHidden/>
          </w:rPr>
          <w:fldChar w:fldCharType="end"/>
        </w:r>
      </w:hyperlink>
    </w:p>
    <w:p w:rsidR="00401876" w:rsidRPr="00401876" w:rsidRDefault="005A60B4">
      <w:pPr>
        <w:pStyle w:val="TOC3"/>
        <w:tabs>
          <w:tab w:val="left" w:pos="1100"/>
          <w:tab w:val="right" w:leader="dot" w:pos="9060"/>
        </w:tabs>
        <w:rPr>
          <w:rFonts w:ascii="Arial" w:eastAsiaTheme="minorEastAsia" w:hAnsi="Arial" w:cs="Arial"/>
          <w:i w:val="0"/>
          <w:iCs w:val="0"/>
          <w:noProof/>
          <w:lang w:eastAsia="en-GB" w:bidi="ar-SA"/>
        </w:rPr>
      </w:pPr>
      <w:hyperlink w:anchor="_Toc403394317" w:history="1">
        <w:r w:rsidR="00401876" w:rsidRPr="00401876">
          <w:rPr>
            <w:rStyle w:val="Hyperlink"/>
            <w:rFonts w:cs="Arial"/>
            <w:noProof/>
          </w:rPr>
          <w:t>5.2.1</w:t>
        </w:r>
        <w:r w:rsidR="00401876" w:rsidRPr="00401876">
          <w:rPr>
            <w:rFonts w:ascii="Arial" w:eastAsiaTheme="minorEastAsia" w:hAnsi="Arial" w:cs="Arial"/>
            <w:i w:val="0"/>
            <w:iCs w:val="0"/>
            <w:noProof/>
            <w:lang w:eastAsia="en-GB" w:bidi="ar-SA"/>
          </w:rPr>
          <w:tab/>
        </w:r>
        <w:r w:rsidR="00401876" w:rsidRPr="00401876">
          <w:rPr>
            <w:rStyle w:val="Hyperlink"/>
            <w:rFonts w:cs="Arial"/>
            <w:noProof/>
          </w:rPr>
          <w:t>The regulatory framework</w:t>
        </w:r>
        <w:r w:rsidR="00401876" w:rsidRPr="00401876">
          <w:rPr>
            <w:rStyle w:val="Hyperlink"/>
            <w:rFonts w:cs="Arial"/>
            <w:noProof/>
            <w:lang w:val="en-AU"/>
          </w:rPr>
          <w:t xml:space="preserve"> in Australia/New Zealand</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_Toc403394317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14</w:t>
        </w:r>
        <w:r w:rsidR="00401876" w:rsidRPr="00401876">
          <w:rPr>
            <w:rFonts w:ascii="Arial" w:hAnsi="Arial" w:cs="Arial"/>
            <w:noProof/>
            <w:webHidden/>
          </w:rPr>
          <w:fldChar w:fldCharType="end"/>
        </w:r>
      </w:hyperlink>
    </w:p>
    <w:p w:rsidR="00401876" w:rsidRPr="00401876" w:rsidRDefault="005A60B4">
      <w:pPr>
        <w:pStyle w:val="TOC3"/>
        <w:tabs>
          <w:tab w:val="left" w:pos="1100"/>
          <w:tab w:val="right" w:leader="dot" w:pos="9060"/>
        </w:tabs>
        <w:rPr>
          <w:rFonts w:ascii="Arial" w:eastAsiaTheme="minorEastAsia" w:hAnsi="Arial" w:cs="Arial"/>
          <w:i w:val="0"/>
          <w:iCs w:val="0"/>
          <w:noProof/>
          <w:lang w:eastAsia="en-GB" w:bidi="ar-SA"/>
        </w:rPr>
      </w:pPr>
      <w:hyperlink w:anchor="_Toc403394318" w:history="1">
        <w:r w:rsidR="00401876" w:rsidRPr="00401876">
          <w:rPr>
            <w:rStyle w:val="Hyperlink"/>
            <w:rFonts w:cs="Arial"/>
            <w:noProof/>
            <w:lang w:val="en-AU"/>
          </w:rPr>
          <w:t>5.2.2</w:t>
        </w:r>
        <w:r w:rsidR="00401876" w:rsidRPr="00401876">
          <w:rPr>
            <w:rFonts w:ascii="Arial" w:eastAsiaTheme="minorEastAsia" w:hAnsi="Arial" w:cs="Arial"/>
            <w:i w:val="0"/>
            <w:iCs w:val="0"/>
            <w:noProof/>
            <w:lang w:eastAsia="en-GB" w:bidi="ar-SA"/>
          </w:rPr>
          <w:tab/>
        </w:r>
        <w:r w:rsidR="00401876" w:rsidRPr="00401876">
          <w:rPr>
            <w:rStyle w:val="Hyperlink"/>
            <w:rFonts w:cs="Arial"/>
            <w:noProof/>
            <w:lang w:val="en-AU"/>
          </w:rPr>
          <w:t>Transitional arrangements for Code Revision and implications for Standard 1.4.3</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_Toc403394318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15</w:t>
        </w:r>
        <w:r w:rsidR="00401876" w:rsidRPr="00401876">
          <w:rPr>
            <w:rFonts w:ascii="Arial" w:hAnsi="Arial" w:cs="Arial"/>
            <w:noProof/>
            <w:webHidden/>
          </w:rPr>
          <w:fldChar w:fldCharType="end"/>
        </w:r>
      </w:hyperlink>
    </w:p>
    <w:p w:rsidR="00401876" w:rsidRPr="00401876" w:rsidRDefault="005A60B4">
      <w:pPr>
        <w:pStyle w:val="TOC3"/>
        <w:tabs>
          <w:tab w:val="left" w:pos="1100"/>
          <w:tab w:val="right" w:leader="dot" w:pos="9060"/>
        </w:tabs>
        <w:rPr>
          <w:rFonts w:ascii="Arial" w:eastAsiaTheme="minorEastAsia" w:hAnsi="Arial" w:cs="Arial"/>
          <w:i w:val="0"/>
          <w:iCs w:val="0"/>
          <w:noProof/>
          <w:lang w:eastAsia="en-GB" w:bidi="ar-SA"/>
        </w:rPr>
      </w:pPr>
      <w:hyperlink w:anchor="_Toc403394319" w:history="1">
        <w:r w:rsidR="00401876" w:rsidRPr="00401876">
          <w:rPr>
            <w:rStyle w:val="Hyperlink"/>
            <w:rFonts w:eastAsia="Calibri" w:cs="Arial"/>
            <w:noProof/>
          </w:rPr>
          <w:t>5.2.3</w:t>
        </w:r>
        <w:r w:rsidR="00401876" w:rsidRPr="00401876">
          <w:rPr>
            <w:rFonts w:ascii="Arial" w:eastAsiaTheme="minorEastAsia" w:hAnsi="Arial" w:cs="Arial"/>
            <w:i w:val="0"/>
            <w:iCs w:val="0"/>
            <w:noProof/>
            <w:lang w:eastAsia="en-GB" w:bidi="ar-SA"/>
          </w:rPr>
          <w:tab/>
        </w:r>
        <w:r w:rsidR="00401876" w:rsidRPr="00401876">
          <w:rPr>
            <w:rStyle w:val="Hyperlink"/>
            <w:rFonts w:eastAsia="Calibri" w:cs="Arial"/>
            <w:noProof/>
          </w:rPr>
          <w:t>Who regulates what in Australia and New Zealand?</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_Toc403394319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16</w:t>
        </w:r>
        <w:r w:rsidR="00401876" w:rsidRPr="00401876">
          <w:rPr>
            <w:rFonts w:ascii="Arial" w:hAnsi="Arial" w:cs="Arial"/>
            <w:noProof/>
            <w:webHidden/>
          </w:rPr>
          <w:fldChar w:fldCharType="end"/>
        </w:r>
      </w:hyperlink>
    </w:p>
    <w:p w:rsidR="00401876" w:rsidRPr="00401876" w:rsidRDefault="005A60B4">
      <w:pPr>
        <w:pStyle w:val="TOC3"/>
        <w:tabs>
          <w:tab w:val="left" w:pos="1320"/>
          <w:tab w:val="right" w:leader="dot" w:pos="9060"/>
        </w:tabs>
        <w:rPr>
          <w:rFonts w:ascii="Arial" w:eastAsiaTheme="minorEastAsia" w:hAnsi="Arial" w:cs="Arial"/>
          <w:i w:val="0"/>
          <w:iCs w:val="0"/>
          <w:noProof/>
          <w:lang w:eastAsia="en-GB" w:bidi="ar-SA"/>
        </w:rPr>
      </w:pPr>
      <w:hyperlink w:anchor="_Toc403394320" w:history="1">
        <w:r w:rsidR="00401876" w:rsidRPr="00401876">
          <w:rPr>
            <w:rStyle w:val="Hyperlink"/>
            <w:rFonts w:eastAsia="Calibri" w:cs="Arial"/>
            <w:noProof/>
          </w:rPr>
          <w:t xml:space="preserve">5.2.4 </w:t>
        </w:r>
        <w:r w:rsidR="00401876" w:rsidRPr="00401876">
          <w:rPr>
            <w:rFonts w:ascii="Arial" w:eastAsiaTheme="minorEastAsia" w:hAnsi="Arial" w:cs="Arial"/>
            <w:i w:val="0"/>
            <w:iCs w:val="0"/>
            <w:noProof/>
            <w:lang w:eastAsia="en-GB" w:bidi="ar-SA"/>
          </w:rPr>
          <w:tab/>
        </w:r>
        <w:r w:rsidR="00401876" w:rsidRPr="00401876">
          <w:rPr>
            <w:rStyle w:val="Hyperlink"/>
            <w:rFonts w:eastAsia="Calibri" w:cs="Arial"/>
            <w:noProof/>
          </w:rPr>
          <w:t>International requirements</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_Toc403394320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16</w:t>
        </w:r>
        <w:r w:rsidR="00401876" w:rsidRPr="00401876">
          <w:rPr>
            <w:rFonts w:ascii="Arial" w:hAnsi="Arial" w:cs="Arial"/>
            <w:noProof/>
            <w:webHidden/>
          </w:rPr>
          <w:fldChar w:fldCharType="end"/>
        </w:r>
      </w:hyperlink>
    </w:p>
    <w:p w:rsidR="00401876" w:rsidRPr="00401876" w:rsidRDefault="005A60B4">
      <w:pPr>
        <w:pStyle w:val="TOC3"/>
        <w:tabs>
          <w:tab w:val="left" w:pos="1100"/>
          <w:tab w:val="right" w:leader="dot" w:pos="9060"/>
        </w:tabs>
        <w:rPr>
          <w:rFonts w:ascii="Arial" w:eastAsiaTheme="minorEastAsia" w:hAnsi="Arial" w:cs="Arial"/>
          <w:i w:val="0"/>
          <w:iCs w:val="0"/>
          <w:noProof/>
          <w:lang w:eastAsia="en-GB" w:bidi="ar-SA"/>
        </w:rPr>
      </w:pPr>
      <w:hyperlink w:anchor="_Toc403394321" w:history="1">
        <w:r w:rsidR="00401876" w:rsidRPr="00401876">
          <w:rPr>
            <w:rStyle w:val="Hyperlink"/>
            <w:rFonts w:eastAsia="Calibri" w:cs="Arial"/>
            <w:noProof/>
          </w:rPr>
          <w:t>5.2.5</w:t>
        </w:r>
        <w:r w:rsidR="00401876" w:rsidRPr="00401876">
          <w:rPr>
            <w:rFonts w:ascii="Arial" w:eastAsiaTheme="minorEastAsia" w:hAnsi="Arial" w:cs="Arial"/>
            <w:i w:val="0"/>
            <w:iCs w:val="0"/>
            <w:noProof/>
            <w:lang w:eastAsia="en-GB" w:bidi="ar-SA"/>
          </w:rPr>
          <w:tab/>
        </w:r>
        <w:r w:rsidR="00401876" w:rsidRPr="00401876">
          <w:rPr>
            <w:rStyle w:val="Hyperlink"/>
            <w:rFonts w:eastAsia="Calibri" w:cs="Arial"/>
            <w:noProof/>
          </w:rPr>
          <w:t>Co-regulatory approach</w:t>
        </w:r>
        <w:r w:rsidR="00401876" w:rsidRPr="00401876">
          <w:rPr>
            <w:rStyle w:val="Hyperlink"/>
            <w:rFonts w:cs="Arial"/>
            <w:noProof/>
          </w:rPr>
          <w:t xml:space="preserve"> - The </w:t>
        </w:r>
        <w:r w:rsidR="00401876" w:rsidRPr="00401876">
          <w:rPr>
            <w:rStyle w:val="Hyperlink"/>
            <w:rFonts w:eastAsia="Calibri" w:cs="Arial"/>
            <w:noProof/>
          </w:rPr>
          <w:t>Australian Packaging Covenant</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_Toc403394321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17</w:t>
        </w:r>
        <w:r w:rsidR="00401876" w:rsidRPr="00401876">
          <w:rPr>
            <w:rFonts w:ascii="Arial" w:hAnsi="Arial" w:cs="Arial"/>
            <w:noProof/>
            <w:webHidden/>
          </w:rPr>
          <w:fldChar w:fldCharType="end"/>
        </w:r>
      </w:hyperlink>
    </w:p>
    <w:p w:rsidR="00401876" w:rsidRPr="00401876" w:rsidRDefault="005A60B4">
      <w:pPr>
        <w:pStyle w:val="TOC3"/>
        <w:tabs>
          <w:tab w:val="left" w:pos="1100"/>
          <w:tab w:val="right" w:leader="dot" w:pos="9060"/>
        </w:tabs>
        <w:rPr>
          <w:rFonts w:ascii="Arial" w:eastAsiaTheme="minorEastAsia" w:hAnsi="Arial" w:cs="Arial"/>
          <w:i w:val="0"/>
          <w:iCs w:val="0"/>
          <w:noProof/>
          <w:lang w:eastAsia="en-GB" w:bidi="ar-SA"/>
        </w:rPr>
      </w:pPr>
      <w:hyperlink w:anchor="_Toc403394322" w:history="1">
        <w:r w:rsidR="00401876" w:rsidRPr="00401876">
          <w:rPr>
            <w:rStyle w:val="Hyperlink"/>
            <w:rFonts w:cs="Arial"/>
            <w:noProof/>
            <w:lang w:val="en-AU"/>
          </w:rPr>
          <w:t>11.</w:t>
        </w:r>
        <w:r w:rsidR="00401876" w:rsidRPr="00401876">
          <w:rPr>
            <w:rFonts w:ascii="Arial" w:eastAsiaTheme="minorEastAsia" w:hAnsi="Arial" w:cs="Arial"/>
            <w:i w:val="0"/>
            <w:iCs w:val="0"/>
            <w:noProof/>
            <w:lang w:eastAsia="en-GB" w:bidi="ar-SA"/>
          </w:rPr>
          <w:tab/>
        </w:r>
        <w:r w:rsidR="00401876" w:rsidRPr="00401876">
          <w:rPr>
            <w:rStyle w:val="Hyperlink"/>
            <w:rFonts w:cs="Arial"/>
            <w:noProof/>
            <w:lang w:val="en-AU"/>
          </w:rPr>
          <w:t>What would you see as the advantages and disadvantages of a co-regulatory approach to managing CMPF?</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_Toc403394322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18</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323" w:history="1">
        <w:r w:rsidR="00401876" w:rsidRPr="00401876">
          <w:rPr>
            <w:rStyle w:val="Hyperlink"/>
            <w:rFonts w:cs="Arial"/>
            <w:noProof/>
            <w:lang w:val="en-AU"/>
          </w:rPr>
          <w:t>5.3</w:t>
        </w:r>
        <w:r w:rsidR="00401876" w:rsidRPr="00401876">
          <w:rPr>
            <w:rFonts w:ascii="Arial" w:eastAsiaTheme="minorEastAsia" w:hAnsi="Arial" w:cs="Arial"/>
            <w:smallCaps w:val="0"/>
            <w:noProof/>
            <w:lang w:eastAsia="en-GB" w:bidi="ar-SA"/>
          </w:rPr>
          <w:tab/>
        </w:r>
        <w:r w:rsidR="00401876" w:rsidRPr="00401876">
          <w:rPr>
            <w:rStyle w:val="Hyperlink"/>
            <w:rFonts w:cs="Arial"/>
            <w:noProof/>
            <w:lang w:val="en-AU"/>
          </w:rPr>
          <w:t>Non-regulatory control measures</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_Toc403394323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18</w:t>
        </w:r>
        <w:r w:rsidR="00401876" w:rsidRPr="00401876">
          <w:rPr>
            <w:rFonts w:ascii="Arial" w:hAnsi="Arial" w:cs="Arial"/>
            <w:noProof/>
            <w:webHidden/>
          </w:rPr>
          <w:fldChar w:fldCharType="end"/>
        </w:r>
      </w:hyperlink>
    </w:p>
    <w:p w:rsidR="00401876" w:rsidRPr="00401876" w:rsidRDefault="005A60B4">
      <w:pPr>
        <w:pStyle w:val="TOC2"/>
        <w:tabs>
          <w:tab w:val="left" w:pos="880"/>
          <w:tab w:val="right" w:leader="dot" w:pos="9060"/>
        </w:tabs>
        <w:rPr>
          <w:rFonts w:ascii="Arial" w:eastAsiaTheme="minorEastAsia" w:hAnsi="Arial" w:cs="Arial"/>
          <w:smallCaps w:val="0"/>
          <w:noProof/>
          <w:lang w:eastAsia="en-GB" w:bidi="ar-SA"/>
        </w:rPr>
      </w:pPr>
      <w:hyperlink w:anchor="_Toc403394324" w:history="1">
        <w:r w:rsidR="00401876" w:rsidRPr="00401876">
          <w:rPr>
            <w:rStyle w:val="Hyperlink"/>
            <w:rFonts w:eastAsia="Calibri" w:cs="Arial"/>
            <w:noProof/>
          </w:rPr>
          <w:t>5.4</w:t>
        </w:r>
        <w:r w:rsidR="00401876" w:rsidRPr="00401876">
          <w:rPr>
            <w:rFonts w:ascii="Arial" w:eastAsiaTheme="minorEastAsia" w:hAnsi="Arial" w:cs="Arial"/>
            <w:smallCaps w:val="0"/>
            <w:noProof/>
            <w:lang w:eastAsia="en-GB" w:bidi="ar-SA"/>
          </w:rPr>
          <w:tab/>
        </w:r>
        <w:r w:rsidR="00401876" w:rsidRPr="00401876">
          <w:rPr>
            <w:rStyle w:val="Hyperlink"/>
            <w:rFonts w:eastAsia="Calibri" w:cs="Arial"/>
            <w:noProof/>
          </w:rPr>
          <w:t>Understanding current industry practices</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_Toc403394324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18</w:t>
        </w:r>
        <w:r w:rsidR="00401876" w:rsidRPr="00401876">
          <w:rPr>
            <w:rFonts w:ascii="Arial" w:hAnsi="Arial" w:cs="Arial"/>
            <w:noProof/>
            <w:webHidden/>
          </w:rPr>
          <w:fldChar w:fldCharType="end"/>
        </w:r>
      </w:hyperlink>
    </w:p>
    <w:p w:rsidR="00401876" w:rsidRPr="00401876" w:rsidRDefault="005A60B4">
      <w:pPr>
        <w:pStyle w:val="TOC1"/>
        <w:tabs>
          <w:tab w:val="left" w:pos="440"/>
          <w:tab w:val="right" w:leader="dot" w:pos="9060"/>
        </w:tabs>
        <w:rPr>
          <w:rFonts w:ascii="Arial" w:eastAsiaTheme="minorEastAsia" w:hAnsi="Arial" w:cs="Arial"/>
          <w:b w:val="0"/>
          <w:bCs w:val="0"/>
          <w:caps w:val="0"/>
          <w:noProof/>
          <w:lang w:eastAsia="en-GB" w:bidi="ar-SA"/>
        </w:rPr>
      </w:pPr>
      <w:hyperlink w:anchor="_Toc403394325" w:history="1">
        <w:r w:rsidR="00401876" w:rsidRPr="00401876">
          <w:rPr>
            <w:rStyle w:val="Hyperlink"/>
            <w:rFonts w:cs="Arial"/>
            <w:noProof/>
          </w:rPr>
          <w:t>6</w:t>
        </w:r>
        <w:r w:rsidR="00401876" w:rsidRPr="00401876">
          <w:rPr>
            <w:rFonts w:ascii="Arial" w:eastAsiaTheme="minorEastAsia" w:hAnsi="Arial" w:cs="Arial"/>
            <w:b w:val="0"/>
            <w:bCs w:val="0"/>
            <w:caps w:val="0"/>
            <w:noProof/>
            <w:lang w:eastAsia="en-GB" w:bidi="ar-SA"/>
          </w:rPr>
          <w:tab/>
        </w:r>
        <w:r w:rsidR="00401876" w:rsidRPr="00401876">
          <w:rPr>
            <w:rStyle w:val="Hyperlink"/>
            <w:rFonts w:cs="Arial"/>
            <w:noProof/>
          </w:rPr>
          <w:t>Next steps</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_Toc403394325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19</w:t>
        </w:r>
        <w:r w:rsidR="00401876" w:rsidRPr="00401876">
          <w:rPr>
            <w:rFonts w:ascii="Arial" w:hAnsi="Arial" w:cs="Arial"/>
            <w:noProof/>
            <w:webHidden/>
          </w:rPr>
          <w:fldChar w:fldCharType="end"/>
        </w:r>
      </w:hyperlink>
    </w:p>
    <w:p w:rsidR="00401876" w:rsidRPr="00401876" w:rsidRDefault="005A60B4">
      <w:pPr>
        <w:pStyle w:val="TOC1"/>
        <w:tabs>
          <w:tab w:val="left" w:pos="440"/>
          <w:tab w:val="right" w:leader="dot" w:pos="9060"/>
        </w:tabs>
        <w:rPr>
          <w:rFonts w:ascii="Arial" w:eastAsiaTheme="minorEastAsia" w:hAnsi="Arial" w:cs="Arial"/>
          <w:b w:val="0"/>
          <w:bCs w:val="0"/>
          <w:caps w:val="0"/>
          <w:noProof/>
          <w:lang w:eastAsia="en-GB" w:bidi="ar-SA"/>
        </w:rPr>
      </w:pPr>
      <w:hyperlink w:anchor="_Toc403394327" w:history="1">
        <w:r w:rsidR="00401876" w:rsidRPr="00401876">
          <w:rPr>
            <w:rStyle w:val="Hyperlink"/>
            <w:rFonts w:cs="Arial"/>
            <w:noProof/>
          </w:rPr>
          <w:t>7</w:t>
        </w:r>
        <w:r w:rsidR="00401876" w:rsidRPr="00401876">
          <w:rPr>
            <w:rFonts w:ascii="Arial" w:eastAsiaTheme="minorEastAsia" w:hAnsi="Arial" w:cs="Arial"/>
            <w:b w:val="0"/>
            <w:bCs w:val="0"/>
            <w:caps w:val="0"/>
            <w:noProof/>
            <w:lang w:eastAsia="en-GB" w:bidi="ar-SA"/>
          </w:rPr>
          <w:tab/>
        </w:r>
        <w:r w:rsidR="00401876" w:rsidRPr="00401876">
          <w:rPr>
            <w:rStyle w:val="Hyperlink"/>
            <w:rFonts w:cs="Arial"/>
            <w:noProof/>
          </w:rPr>
          <w:t>References</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_Toc403394327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21</w:t>
        </w:r>
        <w:r w:rsidR="00401876" w:rsidRPr="00401876">
          <w:rPr>
            <w:rFonts w:ascii="Arial" w:hAnsi="Arial" w:cs="Arial"/>
            <w:noProof/>
            <w:webHidden/>
          </w:rPr>
          <w:fldChar w:fldCharType="end"/>
        </w:r>
      </w:hyperlink>
    </w:p>
    <w:p w:rsidR="00401876" w:rsidRPr="00401876" w:rsidRDefault="005A60B4">
      <w:pPr>
        <w:pStyle w:val="TOC2"/>
        <w:tabs>
          <w:tab w:val="right" w:leader="dot" w:pos="9060"/>
        </w:tabs>
        <w:rPr>
          <w:rFonts w:ascii="Arial" w:eastAsiaTheme="minorEastAsia" w:hAnsi="Arial" w:cs="Arial"/>
          <w:smallCaps w:val="0"/>
          <w:noProof/>
          <w:lang w:eastAsia="en-GB" w:bidi="ar-SA"/>
        </w:rPr>
      </w:pPr>
      <w:hyperlink w:anchor="_Toc403394328" w:history="1">
        <w:r w:rsidR="00401876" w:rsidRPr="00401876">
          <w:rPr>
            <w:rStyle w:val="Hyperlink"/>
            <w:rFonts w:cs="Arial"/>
            <w:noProof/>
          </w:rPr>
          <w:t>Attachment A – Response template</w:t>
        </w:r>
        <w:r w:rsidR="00401876" w:rsidRPr="00401876">
          <w:rPr>
            <w:rFonts w:ascii="Arial" w:hAnsi="Arial" w:cs="Arial"/>
            <w:noProof/>
            <w:webHidden/>
          </w:rPr>
          <w:tab/>
        </w:r>
        <w:r w:rsidR="00401876" w:rsidRPr="00401876">
          <w:rPr>
            <w:rFonts w:ascii="Arial" w:hAnsi="Arial" w:cs="Arial"/>
            <w:noProof/>
            <w:webHidden/>
          </w:rPr>
          <w:fldChar w:fldCharType="begin"/>
        </w:r>
        <w:r w:rsidR="00401876" w:rsidRPr="00401876">
          <w:rPr>
            <w:rFonts w:ascii="Arial" w:hAnsi="Arial" w:cs="Arial"/>
            <w:noProof/>
            <w:webHidden/>
          </w:rPr>
          <w:instrText xml:space="preserve"> PAGEREF _Toc403394328 \h </w:instrText>
        </w:r>
        <w:r w:rsidR="00401876" w:rsidRPr="00401876">
          <w:rPr>
            <w:rFonts w:ascii="Arial" w:hAnsi="Arial" w:cs="Arial"/>
            <w:noProof/>
            <w:webHidden/>
          </w:rPr>
        </w:r>
        <w:r w:rsidR="00401876" w:rsidRPr="00401876">
          <w:rPr>
            <w:rFonts w:ascii="Arial" w:hAnsi="Arial" w:cs="Arial"/>
            <w:noProof/>
            <w:webHidden/>
          </w:rPr>
          <w:fldChar w:fldCharType="separate"/>
        </w:r>
        <w:r w:rsidR="00401876" w:rsidRPr="00401876">
          <w:rPr>
            <w:rFonts w:ascii="Arial" w:hAnsi="Arial" w:cs="Arial"/>
            <w:noProof/>
            <w:webHidden/>
          </w:rPr>
          <w:t>24</w:t>
        </w:r>
        <w:r w:rsidR="00401876" w:rsidRPr="00401876">
          <w:rPr>
            <w:rFonts w:ascii="Arial" w:hAnsi="Arial" w:cs="Arial"/>
            <w:noProof/>
            <w:webHidden/>
          </w:rPr>
          <w:fldChar w:fldCharType="end"/>
        </w:r>
      </w:hyperlink>
    </w:p>
    <w:p w:rsidR="003A617F" w:rsidRPr="00401876" w:rsidRDefault="00401876" w:rsidP="00796E35">
      <w:pPr>
        <w:rPr>
          <w:rFonts w:cs="Arial"/>
          <w:sz w:val="20"/>
          <w:szCs w:val="20"/>
        </w:rPr>
      </w:pPr>
      <w:r w:rsidRPr="00401876">
        <w:rPr>
          <w:rFonts w:cs="Arial"/>
          <w:sz w:val="20"/>
          <w:szCs w:val="20"/>
        </w:rPr>
        <w:fldChar w:fldCharType="end"/>
      </w:r>
    </w:p>
    <w:p w:rsidR="000F1F6F" w:rsidRDefault="000F1F6F">
      <w:pPr>
        <w:widowControl/>
      </w:pPr>
    </w:p>
    <w:p w:rsidR="00105B2B" w:rsidRPr="008844E4" w:rsidRDefault="00105B2B" w:rsidP="00105B2B">
      <w:pPr>
        <w:rPr>
          <w:b/>
          <w:szCs w:val="22"/>
        </w:rPr>
      </w:pPr>
      <w:r w:rsidRPr="008844E4">
        <w:rPr>
          <w:b/>
          <w:szCs w:val="22"/>
        </w:rPr>
        <w:t>Supporting documents</w:t>
      </w:r>
    </w:p>
    <w:p w:rsidR="00105B2B" w:rsidRPr="0089264A" w:rsidRDefault="00105B2B" w:rsidP="00105B2B">
      <w:pPr>
        <w:rPr>
          <w:szCs w:val="22"/>
        </w:rPr>
      </w:pPr>
    </w:p>
    <w:p w:rsidR="00105B2B" w:rsidRDefault="00105B2B" w:rsidP="00105B2B">
      <w:pPr>
        <w:rPr>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w:t>
      </w:r>
      <w:r w:rsidR="00F92967">
        <w:rPr>
          <w:szCs w:val="22"/>
        </w:rPr>
        <w:t xml:space="preserve">Consultation Paper for </w:t>
      </w:r>
      <w:r w:rsidRPr="00C56A36">
        <w:rPr>
          <w:szCs w:val="22"/>
        </w:rPr>
        <w:t xml:space="preserve">Proposal </w:t>
      </w:r>
      <w:r w:rsidR="00F92967">
        <w:rPr>
          <w:szCs w:val="22"/>
        </w:rPr>
        <w:t xml:space="preserve">P1034 </w:t>
      </w:r>
      <w:r w:rsidRPr="00C56A36">
        <w:rPr>
          <w:szCs w:val="22"/>
        </w:rPr>
        <w:t xml:space="preserve">are </w:t>
      </w:r>
      <w:r w:rsidRPr="0089264A">
        <w:rPr>
          <w:szCs w:val="22"/>
        </w:rPr>
        <w:t>available on the FSANZ website at</w:t>
      </w:r>
      <w:r w:rsidR="00401876">
        <w:rPr>
          <w:szCs w:val="22"/>
        </w:rPr>
        <w:t xml:space="preserve"> </w:t>
      </w:r>
      <w:hyperlink r:id="rId25" w:history="1">
        <w:r w:rsidR="00481E0B" w:rsidRPr="00827B97">
          <w:rPr>
            <w:rStyle w:val="Hyperlink"/>
            <w:szCs w:val="22"/>
          </w:rPr>
          <w:t>http://www.foodstandards.gov.au/code/proposals/Pages/P1034ChemicalMigrationfromPackagingintoFood.aspx</w:t>
        </w:r>
      </w:hyperlink>
    </w:p>
    <w:p w:rsidR="00481E0B" w:rsidRDefault="00481E0B" w:rsidP="00105B2B">
      <w:pPr>
        <w:rPr>
          <w:szCs w:val="22"/>
        </w:rPr>
      </w:pPr>
    </w:p>
    <w:p w:rsidR="000C00EA" w:rsidRPr="00F92967" w:rsidRDefault="00F92967" w:rsidP="00CC0A18">
      <w:pPr>
        <w:widowControl/>
        <w:ind w:left="1134" w:hanging="1134"/>
      </w:pPr>
      <w:r w:rsidRPr="00F92967">
        <w:t>SD1</w:t>
      </w:r>
      <w:r w:rsidR="000C00EA" w:rsidRPr="00F92967">
        <w:t xml:space="preserve">  </w:t>
      </w:r>
      <w:r w:rsidR="00CC0A18">
        <w:tab/>
      </w:r>
      <w:r w:rsidR="000C00EA" w:rsidRPr="00F92967">
        <w:t>Current requirements in the Code for the control of chemical migration from packaging into food in Australia and New Zealand</w:t>
      </w:r>
    </w:p>
    <w:p w:rsidR="000C00EA" w:rsidRPr="00F92967" w:rsidRDefault="000C00EA" w:rsidP="00CC0A18">
      <w:pPr>
        <w:widowControl/>
        <w:ind w:left="1134" w:hanging="1134"/>
      </w:pPr>
      <w:r w:rsidRPr="00F92967">
        <w:t xml:space="preserve">SD2  </w:t>
      </w:r>
      <w:r w:rsidR="00CC0A18">
        <w:tab/>
      </w:r>
      <w:r w:rsidRPr="00F92967">
        <w:t>International regulations for food contact materials</w:t>
      </w:r>
    </w:p>
    <w:p w:rsidR="000C00EA" w:rsidRPr="00F92967" w:rsidRDefault="000C00EA" w:rsidP="00CC0A18">
      <w:pPr>
        <w:widowControl/>
        <w:ind w:left="1134" w:hanging="1134"/>
      </w:pPr>
      <w:r w:rsidRPr="00F92967">
        <w:t xml:space="preserve">SD3 </w:t>
      </w:r>
      <w:r w:rsidR="00CC0A18">
        <w:tab/>
      </w:r>
      <w:r w:rsidRPr="00F92967">
        <w:t>International responses to chemical migration from packaging into food</w:t>
      </w:r>
    </w:p>
    <w:p w:rsidR="000C00EA" w:rsidRPr="00F92967" w:rsidRDefault="000C00EA" w:rsidP="00CC0A18">
      <w:pPr>
        <w:widowControl/>
        <w:ind w:left="1134" w:hanging="1134"/>
      </w:pPr>
      <w:r w:rsidRPr="00F92967">
        <w:t xml:space="preserve">SD4 </w:t>
      </w:r>
      <w:r w:rsidR="00CC0A18">
        <w:tab/>
      </w:r>
      <w:r w:rsidRPr="00F92967">
        <w:t>Risk assessment approaches to chemical migration from packaging into food</w:t>
      </w:r>
    </w:p>
    <w:p w:rsidR="000C00EA" w:rsidRPr="00F92967" w:rsidRDefault="000C00EA" w:rsidP="00CC0A18">
      <w:pPr>
        <w:widowControl/>
        <w:ind w:left="1134" w:hanging="1134"/>
      </w:pPr>
      <w:r w:rsidRPr="00F92967">
        <w:t xml:space="preserve">SD5  </w:t>
      </w:r>
      <w:r w:rsidR="00CC0A18">
        <w:tab/>
      </w:r>
      <w:r w:rsidRPr="00F92967">
        <w:t>The packaging supply chain</w:t>
      </w:r>
    </w:p>
    <w:p w:rsidR="000C00EA" w:rsidRPr="00F92967" w:rsidRDefault="000C00EA" w:rsidP="00CC0A18">
      <w:pPr>
        <w:widowControl/>
        <w:ind w:left="1134" w:hanging="1134"/>
      </w:pPr>
      <w:r w:rsidRPr="00F92967">
        <w:t xml:space="preserve">SD6  </w:t>
      </w:r>
      <w:r w:rsidR="00CC0A18">
        <w:tab/>
      </w:r>
      <w:r w:rsidRPr="00F92967">
        <w:t>Summary of responses to FSANZ industry surveys</w:t>
      </w:r>
    </w:p>
    <w:p w:rsidR="00CC0A18" w:rsidRDefault="000C00EA" w:rsidP="00CC0A18">
      <w:pPr>
        <w:widowControl/>
        <w:ind w:left="1134" w:hanging="1134"/>
      </w:pPr>
      <w:r w:rsidRPr="00F92967">
        <w:t>SD7</w:t>
      </w:r>
      <w:r w:rsidRPr="000C00EA">
        <w:t xml:space="preserve"> </w:t>
      </w:r>
      <w:r w:rsidR="00CC0A18">
        <w:tab/>
      </w:r>
      <w:r w:rsidRPr="000C00EA">
        <w:t>Industry standards, Codes of Practice and guidelines</w:t>
      </w:r>
      <w:r w:rsidR="00CC0A18">
        <w:br w:type="page"/>
      </w:r>
    </w:p>
    <w:p w:rsidR="004E2D19" w:rsidRPr="00807182" w:rsidRDefault="004E2D19" w:rsidP="004E2D19">
      <w:pPr>
        <w:pStyle w:val="Heading1"/>
        <w:rPr>
          <w:b w:val="0"/>
          <w:color w:val="FF0000"/>
          <w:sz w:val="22"/>
          <w:szCs w:val="22"/>
        </w:rPr>
      </w:pPr>
      <w:bookmarkStart w:id="8" w:name="_Toc286391003"/>
      <w:bookmarkStart w:id="9" w:name="_Toc300933417"/>
      <w:bookmarkStart w:id="10" w:name="_Toc267859687"/>
      <w:bookmarkStart w:id="11" w:name="_Toc403377523"/>
      <w:bookmarkStart w:id="12" w:name="_Toc403394288"/>
      <w:bookmarkStart w:id="13" w:name="_Toc370380691"/>
      <w:bookmarkStart w:id="14" w:name="_Toc267859688"/>
      <w:bookmarkEnd w:id="0"/>
      <w:bookmarkEnd w:id="1"/>
      <w:bookmarkEnd w:id="2"/>
      <w:bookmarkEnd w:id="3"/>
      <w:bookmarkEnd w:id="4"/>
      <w:bookmarkEnd w:id="5"/>
      <w:bookmarkEnd w:id="6"/>
      <w:bookmarkEnd w:id="7"/>
      <w:r>
        <w:lastRenderedPageBreak/>
        <w:t>1</w:t>
      </w:r>
      <w:r>
        <w:tab/>
      </w:r>
      <w:r w:rsidRPr="000B6AF2">
        <w:t>Introduction</w:t>
      </w:r>
      <w:bookmarkEnd w:id="8"/>
      <w:bookmarkEnd w:id="9"/>
      <w:bookmarkEnd w:id="10"/>
      <w:bookmarkEnd w:id="11"/>
      <w:bookmarkEnd w:id="12"/>
      <w:r>
        <w:t xml:space="preserve"> </w:t>
      </w:r>
    </w:p>
    <w:p w:rsidR="00807182" w:rsidRPr="00183CF0" w:rsidRDefault="00505BAC" w:rsidP="007F6373">
      <w:pPr>
        <w:pStyle w:val="Heading2"/>
      </w:pPr>
      <w:bookmarkStart w:id="15" w:name="_Toc403377524"/>
      <w:bookmarkStart w:id="16" w:name="_Toc403394289"/>
      <w:bookmarkEnd w:id="13"/>
      <w:bookmarkEnd w:id="14"/>
      <w:r>
        <w:t>1.1</w:t>
      </w:r>
      <w:r>
        <w:tab/>
      </w:r>
      <w:r w:rsidR="00164593">
        <w:t>Overview</w:t>
      </w:r>
      <w:bookmarkEnd w:id="15"/>
      <w:bookmarkEnd w:id="16"/>
    </w:p>
    <w:p w:rsidR="002C6987" w:rsidRPr="007F6373" w:rsidRDefault="002C6987" w:rsidP="002C6987">
      <w:pPr>
        <w:pStyle w:val="Marginnote"/>
        <w:framePr w:w="1730" w:wrap="around" w:x="9015" w:y="731"/>
        <w:rPr>
          <w:rFonts w:ascii="Arial" w:hAnsi="Arial" w:cs="Arial"/>
          <w:szCs w:val="22"/>
        </w:rPr>
      </w:pPr>
      <w:bookmarkStart w:id="17" w:name="_Toc394044937"/>
      <w:bookmarkStart w:id="18" w:name="_Toc394331492"/>
      <w:bookmarkStart w:id="19" w:name="_Toc394502996"/>
      <w:bookmarkStart w:id="20" w:name="_Toc394577686"/>
      <w:bookmarkStart w:id="21" w:name="_Toc394584233"/>
      <w:bookmarkStart w:id="22" w:name="_Toc394584335"/>
      <w:bookmarkStart w:id="23" w:name="_Toc395080347"/>
      <w:bookmarkStart w:id="24" w:name="_Toc395100924"/>
      <w:bookmarkStart w:id="25" w:name="_Toc268973574"/>
      <w:bookmarkStart w:id="26" w:name="_Toc395188066"/>
      <w:bookmarkStart w:id="27" w:name="_Toc395188249"/>
      <w:bookmarkStart w:id="28" w:name="_Toc395250792"/>
      <w:bookmarkStart w:id="29" w:name="_Toc395257392"/>
      <w:bookmarkStart w:id="30" w:name="_Toc395270549"/>
      <w:bookmarkStart w:id="31" w:name="_Toc395270658"/>
      <w:bookmarkStart w:id="32" w:name="_Toc395279154"/>
      <w:bookmarkStart w:id="33" w:name="_Toc395608004"/>
      <w:bookmarkStart w:id="34" w:name="_Toc395798906"/>
      <w:bookmarkStart w:id="35" w:name="_Toc395881562"/>
      <w:bookmarkStart w:id="36" w:name="_Toc396315605"/>
      <w:bookmarkStart w:id="37" w:name="_Toc396732651"/>
      <w:bookmarkStart w:id="38" w:name="_Toc397520925"/>
      <w:bookmarkStart w:id="39" w:name="_Toc398192210"/>
      <w:bookmarkStart w:id="40" w:name="_Toc398192299"/>
      <w:bookmarkStart w:id="41" w:name="_Toc402281349"/>
      <w:bookmarkStart w:id="42" w:name="_Toc402367222"/>
      <w:bookmarkStart w:id="43" w:name="_Toc402450604"/>
      <w:bookmarkStart w:id="44" w:name="_Toc403377525"/>
      <w:bookmarkStart w:id="45" w:name="_Toc403394290"/>
      <w:r w:rsidRPr="007F6373">
        <w:rPr>
          <w:rFonts w:ascii="Arial" w:hAnsi="Arial" w:cs="Arial"/>
          <w:szCs w:val="22"/>
        </w:rPr>
        <w:t>What’s the issue?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2C6987" w:rsidRPr="007F6373" w:rsidRDefault="002C6987" w:rsidP="002C6987">
      <w:pPr>
        <w:pStyle w:val="Marginnote"/>
        <w:framePr w:w="1730" w:wrap="around" w:x="9015" w:y="731"/>
        <w:rPr>
          <w:rFonts w:ascii="Arial" w:hAnsi="Arial" w:cs="Arial"/>
          <w:szCs w:val="22"/>
        </w:rPr>
      </w:pPr>
    </w:p>
    <w:p w:rsidR="002C6987" w:rsidRPr="007F6373" w:rsidRDefault="002C6987" w:rsidP="002C6987">
      <w:pPr>
        <w:pStyle w:val="Marginnote"/>
        <w:framePr w:w="1730" w:wrap="around" w:x="9015" w:y="731"/>
        <w:rPr>
          <w:rFonts w:ascii="Arial" w:hAnsi="Arial" w:cs="Arial"/>
          <w:szCs w:val="22"/>
        </w:rPr>
      </w:pPr>
      <w:bookmarkStart w:id="46" w:name="_Toc394044938"/>
      <w:bookmarkStart w:id="47" w:name="_Toc394331493"/>
      <w:bookmarkStart w:id="48" w:name="_Toc394502997"/>
      <w:bookmarkStart w:id="49" w:name="_Toc394577687"/>
      <w:bookmarkStart w:id="50" w:name="_Toc394584234"/>
      <w:bookmarkStart w:id="51" w:name="_Toc394584336"/>
      <w:bookmarkStart w:id="52" w:name="_Toc395080348"/>
      <w:bookmarkStart w:id="53" w:name="_Toc395100925"/>
      <w:bookmarkStart w:id="54" w:name="_Toc268973575"/>
      <w:bookmarkStart w:id="55" w:name="_Toc395188067"/>
      <w:bookmarkStart w:id="56" w:name="_Toc395188250"/>
      <w:bookmarkStart w:id="57" w:name="_Toc395250793"/>
      <w:bookmarkStart w:id="58" w:name="_Toc395257393"/>
      <w:bookmarkStart w:id="59" w:name="_Toc395270550"/>
      <w:bookmarkStart w:id="60" w:name="_Toc395270659"/>
      <w:bookmarkStart w:id="61" w:name="_Toc395279155"/>
      <w:bookmarkStart w:id="62" w:name="_Toc395608005"/>
      <w:bookmarkStart w:id="63" w:name="_Toc395798907"/>
      <w:bookmarkStart w:id="64" w:name="_Toc395881563"/>
      <w:bookmarkStart w:id="65" w:name="_Toc396315606"/>
      <w:bookmarkStart w:id="66" w:name="_Toc396732652"/>
      <w:bookmarkStart w:id="67" w:name="_Toc397520926"/>
      <w:bookmarkStart w:id="68" w:name="_Toc398192211"/>
      <w:bookmarkStart w:id="69" w:name="_Toc398192300"/>
      <w:bookmarkStart w:id="70" w:name="_Toc402281350"/>
      <w:bookmarkStart w:id="71" w:name="_Toc402367223"/>
      <w:bookmarkStart w:id="72" w:name="_Toc402450605"/>
      <w:bookmarkStart w:id="73" w:name="_Toc403377526"/>
      <w:bookmarkStart w:id="74" w:name="_Toc403394291"/>
      <w:proofErr w:type="gramStart"/>
      <w:r w:rsidRPr="007F6373">
        <w:rPr>
          <w:rFonts w:ascii="Arial" w:hAnsi="Arial" w:cs="Arial"/>
          <w:szCs w:val="22"/>
        </w:rPr>
        <w:t xml:space="preserve">Concern about </w:t>
      </w:r>
      <w:r w:rsidR="00AE430D" w:rsidRPr="007F6373">
        <w:rPr>
          <w:rFonts w:ascii="Arial" w:hAnsi="Arial" w:cs="Arial"/>
          <w:szCs w:val="22"/>
        </w:rPr>
        <w:t xml:space="preserve">possible </w:t>
      </w:r>
      <w:r w:rsidRPr="007F6373">
        <w:rPr>
          <w:rFonts w:ascii="Arial" w:hAnsi="Arial" w:cs="Arial"/>
          <w:szCs w:val="22"/>
        </w:rPr>
        <w:t>chemical migration from packaging and potential public health effects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7A0146">
        <w:rPr>
          <w:rFonts w:ascii="Arial" w:hAnsi="Arial" w:cs="Arial"/>
          <w:szCs w:val="22"/>
        </w:rPr>
        <w:t>.</w:t>
      </w:r>
      <w:bookmarkEnd w:id="73"/>
      <w:bookmarkEnd w:id="74"/>
      <w:proofErr w:type="gramEnd"/>
    </w:p>
    <w:p w:rsidR="00285BC9" w:rsidRPr="007F6373" w:rsidRDefault="00807182" w:rsidP="00BC3561">
      <w:pPr>
        <w:widowControl/>
        <w:rPr>
          <w:rFonts w:eastAsia="Calibri" w:cs="Arial"/>
          <w:lang w:bidi="ar-SA"/>
        </w:rPr>
      </w:pPr>
      <w:r w:rsidRPr="007F6373">
        <w:rPr>
          <w:rFonts w:eastAsia="Calibri" w:cs="Arial"/>
          <w:lang w:bidi="ar-SA"/>
        </w:rPr>
        <w:t xml:space="preserve">The benefits of food packaging are </w:t>
      </w:r>
      <w:r w:rsidR="004E2395" w:rsidRPr="007F6373">
        <w:rPr>
          <w:rFonts w:eastAsia="Calibri" w:cs="Arial"/>
          <w:lang w:bidi="ar-SA"/>
        </w:rPr>
        <w:t>many</w:t>
      </w:r>
      <w:r w:rsidR="00970083" w:rsidRPr="007F6373">
        <w:rPr>
          <w:rFonts w:eastAsia="Calibri" w:cs="Arial"/>
          <w:lang w:bidi="ar-SA"/>
        </w:rPr>
        <w:t>. Packaging allows food to be transported</w:t>
      </w:r>
      <w:r w:rsidR="003D1A00">
        <w:rPr>
          <w:rFonts w:eastAsia="Calibri" w:cs="Arial"/>
          <w:lang w:bidi="ar-SA"/>
        </w:rPr>
        <w:t>,</w:t>
      </w:r>
      <w:r w:rsidRPr="007F6373">
        <w:rPr>
          <w:rFonts w:eastAsia="Calibri" w:cs="Arial"/>
          <w:lang w:bidi="ar-SA"/>
        </w:rPr>
        <w:t xml:space="preserve"> prevent</w:t>
      </w:r>
      <w:r w:rsidR="00970083" w:rsidRPr="007F6373">
        <w:rPr>
          <w:rFonts w:eastAsia="Calibri" w:cs="Arial"/>
          <w:lang w:bidi="ar-SA"/>
        </w:rPr>
        <w:t>s</w:t>
      </w:r>
      <w:r w:rsidRPr="007F6373">
        <w:rPr>
          <w:rFonts w:eastAsia="Calibri" w:cs="Arial"/>
          <w:lang w:bidi="ar-SA"/>
        </w:rPr>
        <w:t xml:space="preserve"> microbial contamination </w:t>
      </w:r>
      <w:r w:rsidR="00EC0263" w:rsidRPr="007F6373">
        <w:rPr>
          <w:rFonts w:eastAsia="Calibri" w:cs="Arial"/>
          <w:lang w:bidi="ar-SA"/>
        </w:rPr>
        <w:t xml:space="preserve">and </w:t>
      </w:r>
      <w:r w:rsidRPr="007F6373">
        <w:rPr>
          <w:rFonts w:eastAsia="Calibri" w:cs="Arial"/>
          <w:lang w:bidi="ar-SA"/>
        </w:rPr>
        <w:t>increas</w:t>
      </w:r>
      <w:r w:rsidR="00970083" w:rsidRPr="007F6373">
        <w:rPr>
          <w:rFonts w:eastAsia="Calibri" w:cs="Arial"/>
          <w:lang w:bidi="ar-SA"/>
        </w:rPr>
        <w:t xml:space="preserve">es </w:t>
      </w:r>
      <w:r w:rsidRPr="007F6373">
        <w:rPr>
          <w:rFonts w:eastAsia="Calibri" w:cs="Arial"/>
          <w:lang w:bidi="ar-SA"/>
        </w:rPr>
        <w:t xml:space="preserve">shelf life </w:t>
      </w:r>
      <w:r w:rsidR="00285BC9" w:rsidRPr="007F6373">
        <w:rPr>
          <w:rFonts w:eastAsia="Calibri" w:cs="Arial"/>
          <w:lang w:bidi="ar-SA"/>
        </w:rPr>
        <w:t xml:space="preserve">providing </w:t>
      </w:r>
      <w:r w:rsidRPr="007F6373">
        <w:rPr>
          <w:rFonts w:eastAsia="Calibri" w:cs="Arial"/>
          <w:lang w:bidi="ar-SA"/>
        </w:rPr>
        <w:t xml:space="preserve">convenience for consumers. </w:t>
      </w:r>
    </w:p>
    <w:p w:rsidR="00285BC9" w:rsidRPr="007F6373" w:rsidRDefault="00285BC9" w:rsidP="00BC3561">
      <w:pPr>
        <w:widowControl/>
        <w:rPr>
          <w:rFonts w:eastAsia="Calibri" w:cs="Arial"/>
          <w:lang w:bidi="ar-SA"/>
        </w:rPr>
      </w:pPr>
    </w:p>
    <w:p w:rsidR="0059039D" w:rsidRDefault="001C080F" w:rsidP="004A5338">
      <w:pPr>
        <w:widowControl/>
        <w:rPr>
          <w:rFonts w:eastAsia="Calibri" w:cs="Arial"/>
          <w:lang w:bidi="ar-SA"/>
        </w:rPr>
      </w:pPr>
      <w:r>
        <w:rPr>
          <w:rFonts w:eastAsia="Calibri" w:cs="Arial"/>
          <w:lang w:bidi="ar-SA"/>
        </w:rPr>
        <w:t>T</w:t>
      </w:r>
      <w:r w:rsidRPr="007F6373">
        <w:rPr>
          <w:rFonts w:eastAsia="Calibri" w:cs="Arial"/>
          <w:lang w:bidi="ar-SA"/>
        </w:rPr>
        <w:t xml:space="preserve">here are many chemicals involved in the manufacture of packaging and some of these have </w:t>
      </w:r>
      <w:r w:rsidR="002A2007">
        <w:rPr>
          <w:rFonts w:eastAsia="Calibri" w:cs="Arial"/>
          <w:lang w:bidi="ar-SA"/>
        </w:rPr>
        <w:t xml:space="preserve">the </w:t>
      </w:r>
      <w:r w:rsidRPr="007F6373">
        <w:rPr>
          <w:rFonts w:eastAsia="Calibri" w:cs="Arial"/>
          <w:lang w:bidi="ar-SA"/>
        </w:rPr>
        <w:t>potential to migrate into food</w:t>
      </w:r>
      <w:r>
        <w:rPr>
          <w:rFonts w:eastAsia="Calibri" w:cs="Arial"/>
          <w:lang w:bidi="ar-SA"/>
        </w:rPr>
        <w:t xml:space="preserve">. </w:t>
      </w:r>
      <w:r w:rsidRPr="007F6373">
        <w:rPr>
          <w:rFonts w:eastAsia="Calibri" w:cs="Arial"/>
          <w:lang w:bidi="ar-SA"/>
        </w:rPr>
        <w:t xml:space="preserve">Some </w:t>
      </w:r>
      <w:r>
        <w:rPr>
          <w:rFonts w:eastAsia="Calibri" w:cs="Arial"/>
          <w:lang w:bidi="ar-SA"/>
        </w:rPr>
        <w:t xml:space="preserve">chemicals </w:t>
      </w:r>
      <w:r w:rsidRPr="007F6373">
        <w:rPr>
          <w:rFonts w:eastAsia="Calibri" w:cs="Arial"/>
          <w:lang w:bidi="ar-SA"/>
        </w:rPr>
        <w:t xml:space="preserve">also have the potential to </w:t>
      </w:r>
      <w:r>
        <w:rPr>
          <w:rFonts w:eastAsia="Calibri" w:cs="Arial"/>
          <w:lang w:bidi="ar-SA"/>
        </w:rPr>
        <w:t xml:space="preserve">lead to </w:t>
      </w:r>
      <w:r w:rsidRPr="007F6373">
        <w:rPr>
          <w:rFonts w:eastAsia="Calibri" w:cs="Arial"/>
          <w:lang w:bidi="ar-SA"/>
        </w:rPr>
        <w:t>harmful effects</w:t>
      </w:r>
      <w:r>
        <w:rPr>
          <w:rFonts w:eastAsia="Calibri" w:cs="Arial"/>
          <w:lang w:bidi="ar-SA"/>
        </w:rPr>
        <w:t xml:space="preserve">. </w:t>
      </w:r>
      <w:r w:rsidR="0059039D">
        <w:rPr>
          <w:rFonts w:eastAsia="Calibri" w:cs="Arial"/>
          <w:lang w:bidi="ar-SA"/>
        </w:rPr>
        <w:t xml:space="preserve">This </w:t>
      </w:r>
      <w:r w:rsidR="00062D52" w:rsidRPr="007F6373">
        <w:rPr>
          <w:rFonts w:eastAsia="Calibri" w:cs="Arial"/>
          <w:lang w:bidi="ar-SA"/>
        </w:rPr>
        <w:t xml:space="preserve">proposal </w:t>
      </w:r>
      <w:r w:rsidR="0059039D">
        <w:rPr>
          <w:rFonts w:eastAsia="Calibri" w:cs="Arial"/>
          <w:lang w:bidi="ar-SA"/>
        </w:rPr>
        <w:t xml:space="preserve">aims to increase FSANZ’s </w:t>
      </w:r>
      <w:r w:rsidR="00062D52" w:rsidRPr="007F6373">
        <w:rPr>
          <w:rFonts w:eastAsia="Calibri" w:cs="Arial"/>
          <w:lang w:bidi="ar-SA"/>
        </w:rPr>
        <w:t xml:space="preserve">understanding </w:t>
      </w:r>
      <w:r w:rsidR="0059039D">
        <w:rPr>
          <w:rFonts w:eastAsia="Calibri" w:cs="Arial"/>
          <w:lang w:bidi="ar-SA"/>
        </w:rPr>
        <w:t xml:space="preserve">of how packaging is used in food production and our understanding of the nature and possible risks from chemical migration </w:t>
      </w:r>
      <w:r w:rsidR="00253075">
        <w:rPr>
          <w:rFonts w:eastAsia="Calibri" w:cs="Arial"/>
          <w:lang w:bidi="ar-SA"/>
        </w:rPr>
        <w:t xml:space="preserve">from packaging </w:t>
      </w:r>
      <w:r w:rsidR="0059039D">
        <w:rPr>
          <w:rFonts w:eastAsia="Calibri" w:cs="Arial"/>
          <w:lang w:bidi="ar-SA"/>
        </w:rPr>
        <w:t>into food</w:t>
      </w:r>
      <w:r>
        <w:rPr>
          <w:rFonts w:eastAsia="Calibri" w:cs="Arial"/>
          <w:lang w:bidi="ar-SA"/>
        </w:rPr>
        <w:t xml:space="preserve"> (CMPF)</w:t>
      </w:r>
      <w:r w:rsidR="0059039D">
        <w:rPr>
          <w:rFonts w:eastAsia="Calibri" w:cs="Arial"/>
          <w:lang w:bidi="ar-SA"/>
        </w:rPr>
        <w:t xml:space="preserve">. It also seeks to determine whether current </w:t>
      </w:r>
      <w:r w:rsidR="002A2007">
        <w:rPr>
          <w:rFonts w:eastAsia="Calibri" w:cs="Arial"/>
          <w:lang w:bidi="ar-SA"/>
        </w:rPr>
        <w:t>risk mitigation measures are</w:t>
      </w:r>
      <w:r w:rsidR="0059039D">
        <w:rPr>
          <w:rFonts w:eastAsia="Calibri" w:cs="Arial"/>
          <w:lang w:bidi="ar-SA"/>
        </w:rPr>
        <w:t xml:space="preserve"> sufficient to address any risks associated with chemical migration from packaging to food or whether other measures might be needed. </w:t>
      </w:r>
    </w:p>
    <w:p w:rsidR="0059039D" w:rsidRDefault="0059039D" w:rsidP="004A5338">
      <w:pPr>
        <w:widowControl/>
        <w:rPr>
          <w:rFonts w:eastAsia="Calibri" w:cs="Arial"/>
          <w:lang w:bidi="ar-SA"/>
        </w:rPr>
      </w:pPr>
    </w:p>
    <w:p w:rsidR="00AE430D" w:rsidRPr="007F6373" w:rsidRDefault="00AE430D" w:rsidP="004A5338">
      <w:pPr>
        <w:widowControl/>
        <w:rPr>
          <w:rFonts w:eastAsia="Calibri" w:cs="Arial"/>
          <w:lang w:bidi="ar-SA"/>
        </w:rPr>
      </w:pPr>
      <w:r w:rsidRPr="007F6373">
        <w:rPr>
          <w:rFonts w:eastAsia="Calibri" w:cs="Arial"/>
          <w:lang w:bidi="ar-SA"/>
        </w:rPr>
        <w:t xml:space="preserve">As with all assessments, there is considerable uncertainty </w:t>
      </w:r>
      <w:r w:rsidR="00062D52" w:rsidRPr="007F6373">
        <w:rPr>
          <w:rFonts w:eastAsia="Calibri" w:cs="Arial"/>
          <w:lang w:bidi="ar-SA"/>
        </w:rPr>
        <w:t>in the early stages</w:t>
      </w:r>
      <w:r w:rsidRPr="007F6373">
        <w:rPr>
          <w:rFonts w:eastAsia="Calibri" w:cs="Arial"/>
          <w:lang w:bidi="ar-SA"/>
        </w:rPr>
        <w:t xml:space="preserve"> </w:t>
      </w:r>
      <w:r w:rsidR="00505BAC" w:rsidRPr="00095537">
        <w:rPr>
          <w:rFonts w:eastAsia="Calibri" w:cs="Arial"/>
          <w:lang w:bidi="ar-SA"/>
        </w:rPr>
        <w:t>that we aim to address in this work</w:t>
      </w:r>
      <w:r w:rsidR="00505BAC" w:rsidRPr="002A4A1D">
        <w:rPr>
          <w:rFonts w:eastAsia="Calibri" w:cs="Arial"/>
          <w:lang w:bidi="ar-SA"/>
        </w:rPr>
        <w:t xml:space="preserve"> </w:t>
      </w:r>
      <w:r w:rsidRPr="007F6373">
        <w:rPr>
          <w:rFonts w:eastAsia="Calibri" w:cs="Arial"/>
          <w:lang w:bidi="ar-SA"/>
        </w:rPr>
        <w:t>(e</w:t>
      </w:r>
      <w:r w:rsidR="00062D52" w:rsidRPr="007F6373">
        <w:rPr>
          <w:rFonts w:eastAsia="Calibri" w:cs="Arial"/>
          <w:lang w:bidi="ar-SA"/>
        </w:rPr>
        <w:t>.</w:t>
      </w:r>
      <w:r w:rsidRPr="007F6373">
        <w:rPr>
          <w:rFonts w:eastAsia="Calibri" w:cs="Arial"/>
          <w:lang w:bidi="ar-SA"/>
        </w:rPr>
        <w:t xml:space="preserve">g. in respect to the risk from chemical migration and industry’s quality assurance </w:t>
      </w:r>
      <w:r w:rsidR="00062D52" w:rsidRPr="007F6373">
        <w:rPr>
          <w:rFonts w:eastAsia="Calibri" w:cs="Arial"/>
          <w:lang w:bidi="ar-SA"/>
        </w:rPr>
        <w:t xml:space="preserve">and risk mitigation </w:t>
      </w:r>
      <w:r w:rsidRPr="007F6373">
        <w:rPr>
          <w:rFonts w:eastAsia="Calibri" w:cs="Arial"/>
          <w:lang w:bidi="ar-SA"/>
        </w:rPr>
        <w:t xml:space="preserve">practices). </w:t>
      </w:r>
    </w:p>
    <w:p w:rsidR="005A0736" w:rsidRPr="007F6373" w:rsidRDefault="005A0736" w:rsidP="004A5338">
      <w:pPr>
        <w:widowControl/>
        <w:rPr>
          <w:rFonts w:eastAsia="Calibri"/>
          <w:lang w:bidi="ar-SA"/>
        </w:rPr>
      </w:pPr>
    </w:p>
    <w:p w:rsidR="00505BAC" w:rsidRPr="007F6373" w:rsidRDefault="00505BAC" w:rsidP="007F6373">
      <w:pPr>
        <w:pStyle w:val="Marginnote"/>
        <w:framePr w:w="1778" w:h="2611" w:hRule="exact" w:wrap="around" w:x="8999" w:y="2362"/>
        <w:rPr>
          <w:rFonts w:ascii="Arial" w:hAnsi="Arial" w:cs="Arial"/>
          <w:szCs w:val="22"/>
        </w:rPr>
      </w:pPr>
      <w:bookmarkStart w:id="75" w:name="_Toc402450606"/>
      <w:bookmarkStart w:id="76" w:name="_Toc403377527"/>
      <w:bookmarkStart w:id="77" w:name="_Toc403394292"/>
      <w:r w:rsidRPr="007F6373">
        <w:rPr>
          <w:rFonts w:ascii="Arial" w:hAnsi="Arial" w:cs="Arial"/>
          <w:szCs w:val="22"/>
        </w:rPr>
        <w:t xml:space="preserve">FSANZ sees this proposal as an investment for the future, </w:t>
      </w:r>
      <w:r w:rsidR="007A0146">
        <w:rPr>
          <w:rFonts w:ascii="Arial" w:hAnsi="Arial" w:cs="Arial"/>
          <w:szCs w:val="22"/>
        </w:rPr>
        <w:t>by</w:t>
      </w:r>
      <w:r w:rsidRPr="007F6373">
        <w:rPr>
          <w:rFonts w:ascii="Arial" w:hAnsi="Arial" w:cs="Arial"/>
          <w:szCs w:val="22"/>
        </w:rPr>
        <w:t xml:space="preserve"> ensuring our approach to the regulation of food packaging is fit for purpose.</w:t>
      </w:r>
      <w:bookmarkEnd w:id="75"/>
      <w:bookmarkEnd w:id="76"/>
      <w:bookmarkEnd w:id="77"/>
    </w:p>
    <w:p w:rsidR="000E3ACC" w:rsidRPr="007F6373" w:rsidRDefault="00D755D1" w:rsidP="007B1A23">
      <w:pPr>
        <w:rPr>
          <w:rFonts w:eastAsia="Calibri"/>
          <w:lang w:bidi="ar-SA"/>
        </w:rPr>
      </w:pPr>
      <w:r w:rsidRPr="007F6373">
        <w:rPr>
          <w:rFonts w:eastAsia="Calibri"/>
          <w:lang w:bidi="ar-SA"/>
        </w:rPr>
        <w:t>Legislative requirements in Australia and New Zealand, including state and territory Food Acts, aim to keep food safe and suitable</w:t>
      </w:r>
      <w:r w:rsidR="004E2395" w:rsidRPr="007F6373">
        <w:rPr>
          <w:rFonts w:eastAsia="Calibri"/>
          <w:lang w:bidi="ar-SA"/>
        </w:rPr>
        <w:t>.</w:t>
      </w:r>
      <w:r w:rsidR="007B1A23" w:rsidRPr="007F6373">
        <w:rPr>
          <w:sz w:val="20"/>
        </w:rPr>
        <w:t xml:space="preserve"> </w:t>
      </w:r>
      <w:r w:rsidR="0059039D">
        <w:rPr>
          <w:rFonts w:eastAsia="Calibri"/>
          <w:lang w:bidi="ar-SA"/>
        </w:rPr>
        <w:t>S</w:t>
      </w:r>
      <w:r w:rsidR="007B1A23" w:rsidRPr="007F6373">
        <w:rPr>
          <w:rFonts w:eastAsia="Calibri"/>
          <w:lang w:bidi="ar-SA"/>
        </w:rPr>
        <w:t xml:space="preserve">tate and territory Food Acts and the New Zealand Food Act contain general provisions for packaging </w:t>
      </w:r>
      <w:r w:rsidR="00E17F85" w:rsidRPr="007F6373">
        <w:rPr>
          <w:rFonts w:eastAsia="Calibri"/>
          <w:lang w:bidi="ar-SA"/>
        </w:rPr>
        <w:t xml:space="preserve">that make </w:t>
      </w:r>
      <w:r w:rsidR="007B1A23" w:rsidRPr="007F6373">
        <w:rPr>
          <w:rFonts w:eastAsia="Calibri"/>
          <w:lang w:bidi="ar-SA"/>
        </w:rPr>
        <w:t>it an offence to sell food packaging or handling materials that are unsafe or will make food unsafe, and food businesses must comply with requirements in the Australia New Zealand Food Standards Code (the Code)</w:t>
      </w:r>
      <w:r w:rsidR="004E2395" w:rsidRPr="007F6373">
        <w:rPr>
          <w:rFonts w:eastAsia="Calibri"/>
          <w:lang w:bidi="ar-SA"/>
        </w:rPr>
        <w:t xml:space="preserve"> </w:t>
      </w:r>
      <w:r w:rsidRPr="007F6373">
        <w:rPr>
          <w:rFonts w:eastAsia="Calibri"/>
          <w:lang w:bidi="ar-SA"/>
        </w:rPr>
        <w:t>(</w:t>
      </w:r>
      <w:r w:rsidR="00C438F6">
        <w:rPr>
          <w:rFonts w:eastAsia="Calibri"/>
          <w:lang w:bidi="ar-SA"/>
        </w:rPr>
        <w:t xml:space="preserve">see </w:t>
      </w:r>
      <w:r w:rsidR="00E462EB" w:rsidRPr="007F6373">
        <w:rPr>
          <w:rFonts w:eastAsia="Calibri"/>
          <w:lang w:bidi="ar-SA"/>
        </w:rPr>
        <w:t>SD1</w:t>
      </w:r>
      <w:r w:rsidRPr="007F6373">
        <w:rPr>
          <w:rFonts w:eastAsia="Calibri"/>
          <w:lang w:bidi="ar-SA"/>
        </w:rPr>
        <w:t>)</w:t>
      </w:r>
      <w:r w:rsidR="007B1A23" w:rsidRPr="007F6373">
        <w:rPr>
          <w:rFonts w:eastAsia="Calibri"/>
          <w:lang w:bidi="ar-SA"/>
        </w:rPr>
        <w:t>.</w:t>
      </w:r>
      <w:r w:rsidR="004E2395" w:rsidRPr="007F6373">
        <w:rPr>
          <w:rFonts w:eastAsia="Calibri"/>
          <w:lang w:bidi="ar-SA"/>
        </w:rPr>
        <w:t xml:space="preserve"> </w:t>
      </w:r>
      <w:r w:rsidR="007B1A23" w:rsidRPr="007F6373">
        <w:rPr>
          <w:rFonts w:eastAsia="Calibri"/>
          <w:lang w:bidi="ar-SA"/>
        </w:rPr>
        <w:t xml:space="preserve">The Code includes </w:t>
      </w:r>
      <w:r w:rsidR="001B3C5E" w:rsidRPr="007F6373">
        <w:rPr>
          <w:rFonts w:eastAsia="Calibri"/>
          <w:lang w:bidi="ar-SA"/>
        </w:rPr>
        <w:t xml:space="preserve">requirements for </w:t>
      </w:r>
      <w:r w:rsidR="007B1A23" w:rsidRPr="007F6373">
        <w:rPr>
          <w:rFonts w:eastAsia="Calibri"/>
          <w:lang w:bidi="ar-SA"/>
        </w:rPr>
        <w:t xml:space="preserve">several specific </w:t>
      </w:r>
      <w:r w:rsidRPr="007F6373">
        <w:rPr>
          <w:rFonts w:eastAsia="Calibri"/>
          <w:lang w:bidi="ar-SA"/>
        </w:rPr>
        <w:t xml:space="preserve">packaging-related contaminants </w:t>
      </w:r>
      <w:r w:rsidR="001B3C5E" w:rsidRPr="007F6373">
        <w:rPr>
          <w:rFonts w:eastAsia="Calibri"/>
          <w:lang w:bidi="ar-SA"/>
        </w:rPr>
        <w:t>that have</w:t>
      </w:r>
      <w:r w:rsidRPr="007F6373">
        <w:rPr>
          <w:rFonts w:eastAsia="Calibri"/>
          <w:lang w:bidi="ar-SA"/>
        </w:rPr>
        <w:t xml:space="preserve"> maximum allowable</w:t>
      </w:r>
      <w:r w:rsidR="007B1A23" w:rsidRPr="007F6373">
        <w:rPr>
          <w:rFonts w:eastAsia="Calibri"/>
          <w:lang w:bidi="ar-SA"/>
        </w:rPr>
        <w:t xml:space="preserve"> levels</w:t>
      </w:r>
      <w:r w:rsidR="004A5338" w:rsidRPr="007F6373">
        <w:rPr>
          <w:rFonts w:eastAsia="Calibri"/>
          <w:lang w:bidi="ar-SA"/>
        </w:rPr>
        <w:t xml:space="preserve">. The intent </w:t>
      </w:r>
      <w:r w:rsidR="00D86D60" w:rsidRPr="007F6373">
        <w:rPr>
          <w:rFonts w:eastAsia="Calibri"/>
          <w:lang w:bidi="ar-SA"/>
        </w:rPr>
        <w:t xml:space="preserve">of the Code </w:t>
      </w:r>
      <w:r w:rsidR="001B3C5E" w:rsidRPr="007F6373">
        <w:rPr>
          <w:rFonts w:eastAsia="Calibri"/>
          <w:lang w:bidi="ar-SA"/>
        </w:rPr>
        <w:t xml:space="preserve">for all other packaging-related chemicals </w:t>
      </w:r>
      <w:r w:rsidR="002779AB" w:rsidRPr="007F6373">
        <w:rPr>
          <w:rFonts w:eastAsia="Calibri"/>
          <w:lang w:bidi="ar-SA"/>
        </w:rPr>
        <w:t>i</w:t>
      </w:r>
      <w:r w:rsidR="004A5338" w:rsidRPr="007F6373">
        <w:rPr>
          <w:rFonts w:eastAsia="Calibri"/>
          <w:lang w:bidi="ar-SA"/>
        </w:rPr>
        <w:t xml:space="preserve">s that </w:t>
      </w:r>
      <w:r w:rsidR="004A5338" w:rsidRPr="007F6373">
        <w:rPr>
          <w:rFonts w:eastAsia="Calibri"/>
        </w:rPr>
        <w:t xml:space="preserve">the responsibility for the safety of </w:t>
      </w:r>
      <w:r w:rsidR="00EB1497" w:rsidRPr="007F6373">
        <w:rPr>
          <w:rFonts w:eastAsia="Calibri"/>
        </w:rPr>
        <w:t xml:space="preserve">packaging materials </w:t>
      </w:r>
      <w:r w:rsidR="00D86D60" w:rsidRPr="007F6373">
        <w:rPr>
          <w:rFonts w:eastAsia="Calibri"/>
        </w:rPr>
        <w:t>rests</w:t>
      </w:r>
      <w:r w:rsidR="004A5338" w:rsidRPr="007F6373">
        <w:rPr>
          <w:rFonts w:eastAsia="Calibri"/>
        </w:rPr>
        <w:t xml:space="preserve"> with manufacturers and retailers</w:t>
      </w:r>
      <w:r w:rsidR="00EB1497" w:rsidRPr="007F6373">
        <w:rPr>
          <w:rFonts w:eastAsia="Calibri"/>
        </w:rPr>
        <w:t>.</w:t>
      </w:r>
      <w:r w:rsidR="004A5338" w:rsidRPr="007F6373">
        <w:rPr>
          <w:rFonts w:eastAsia="Calibri"/>
          <w:lang w:bidi="ar-SA"/>
        </w:rPr>
        <w:t xml:space="preserve"> </w:t>
      </w:r>
      <w:r w:rsidR="00B47D6F" w:rsidRPr="007F6373">
        <w:rPr>
          <w:rFonts w:eastAsia="Calibri"/>
          <w:lang w:bidi="ar-SA"/>
        </w:rPr>
        <w:t xml:space="preserve">Some countries </w:t>
      </w:r>
      <w:r w:rsidR="004A5338" w:rsidRPr="007F6373">
        <w:rPr>
          <w:rFonts w:eastAsia="Calibri"/>
          <w:lang w:bidi="ar-SA"/>
        </w:rPr>
        <w:t>(e</w:t>
      </w:r>
      <w:r w:rsidR="00B47D6F" w:rsidRPr="007F6373">
        <w:rPr>
          <w:rFonts w:eastAsia="Calibri"/>
          <w:lang w:bidi="ar-SA"/>
        </w:rPr>
        <w:t>.</w:t>
      </w:r>
      <w:r w:rsidR="004A5338" w:rsidRPr="007F6373">
        <w:rPr>
          <w:rFonts w:eastAsia="Calibri"/>
          <w:lang w:bidi="ar-SA"/>
        </w:rPr>
        <w:t>g. United S</w:t>
      </w:r>
      <w:r w:rsidR="00DE4CC3" w:rsidRPr="007F6373">
        <w:rPr>
          <w:rFonts w:eastAsia="Calibri"/>
          <w:lang w:bidi="ar-SA"/>
        </w:rPr>
        <w:t xml:space="preserve">tates (US), </w:t>
      </w:r>
      <w:r w:rsidR="002A2007">
        <w:rPr>
          <w:rFonts w:eastAsia="Calibri"/>
          <w:lang w:bidi="ar-SA"/>
        </w:rPr>
        <w:t xml:space="preserve">member countries of the </w:t>
      </w:r>
      <w:r w:rsidR="00DE4CC3" w:rsidRPr="007F6373">
        <w:rPr>
          <w:rFonts w:eastAsia="Calibri"/>
          <w:lang w:bidi="ar-SA"/>
        </w:rPr>
        <w:t>European Union (EU)</w:t>
      </w:r>
      <w:r w:rsidR="004A5338" w:rsidRPr="007F6373">
        <w:rPr>
          <w:rFonts w:eastAsia="Calibri"/>
          <w:lang w:bidi="ar-SA"/>
        </w:rPr>
        <w:t xml:space="preserve">) have more specific </w:t>
      </w:r>
      <w:r w:rsidR="00373CFE" w:rsidRPr="007F6373">
        <w:rPr>
          <w:rFonts w:eastAsia="Calibri"/>
          <w:lang w:bidi="ar-SA"/>
        </w:rPr>
        <w:t xml:space="preserve">and </w:t>
      </w:r>
      <w:r w:rsidR="004A5338" w:rsidRPr="007F6373">
        <w:rPr>
          <w:rFonts w:eastAsia="Calibri"/>
          <w:lang w:bidi="ar-SA"/>
        </w:rPr>
        <w:t>mandatory requirements for CMPF</w:t>
      </w:r>
      <w:r w:rsidR="00F63105" w:rsidRPr="007F6373">
        <w:rPr>
          <w:rFonts w:eastAsia="Calibri"/>
          <w:lang w:bidi="ar-SA"/>
        </w:rPr>
        <w:t xml:space="preserve"> </w:t>
      </w:r>
      <w:r w:rsidR="00373CFE" w:rsidRPr="007F6373">
        <w:rPr>
          <w:rFonts w:eastAsia="Calibri"/>
          <w:lang w:bidi="ar-SA"/>
        </w:rPr>
        <w:t>and/</w:t>
      </w:r>
      <w:r w:rsidR="00B47D6F" w:rsidRPr="007F6373">
        <w:rPr>
          <w:rFonts w:eastAsia="Calibri"/>
          <w:lang w:bidi="ar-SA"/>
        </w:rPr>
        <w:t xml:space="preserve">or extensive regulations </w:t>
      </w:r>
      <w:r w:rsidR="00F63105" w:rsidRPr="007F6373">
        <w:rPr>
          <w:rFonts w:eastAsia="Calibri"/>
          <w:lang w:bidi="ar-SA"/>
        </w:rPr>
        <w:t>(</w:t>
      </w:r>
      <w:r w:rsidR="00C438F6">
        <w:rPr>
          <w:rFonts w:eastAsia="Calibri"/>
          <w:lang w:bidi="ar-SA"/>
        </w:rPr>
        <w:t xml:space="preserve">see </w:t>
      </w:r>
      <w:r w:rsidR="00E462EB" w:rsidRPr="007F6373">
        <w:rPr>
          <w:rFonts w:eastAsia="Calibri"/>
          <w:lang w:bidi="ar-SA"/>
        </w:rPr>
        <w:t>SD</w:t>
      </w:r>
      <w:r w:rsidR="007E5AE6" w:rsidRPr="007F6373">
        <w:rPr>
          <w:rFonts w:eastAsia="Calibri"/>
          <w:lang w:bidi="ar-SA"/>
        </w:rPr>
        <w:t>2</w:t>
      </w:r>
      <w:r w:rsidR="00F63105" w:rsidRPr="007F6373">
        <w:rPr>
          <w:rFonts w:eastAsia="Calibri"/>
          <w:lang w:bidi="ar-SA"/>
        </w:rPr>
        <w:t>)</w:t>
      </w:r>
      <w:r w:rsidR="00B47D6F" w:rsidRPr="007F6373">
        <w:rPr>
          <w:rFonts w:eastAsia="Calibri"/>
          <w:lang w:bidi="ar-SA"/>
        </w:rPr>
        <w:t xml:space="preserve"> </w:t>
      </w:r>
      <w:r w:rsidR="00373CFE" w:rsidRPr="007F6373">
        <w:rPr>
          <w:rFonts w:eastAsia="Calibri"/>
          <w:lang w:bidi="ar-SA"/>
        </w:rPr>
        <w:t xml:space="preserve">compared to those </w:t>
      </w:r>
      <w:r w:rsidR="00B47D6F" w:rsidRPr="007F6373">
        <w:rPr>
          <w:rFonts w:eastAsia="Calibri"/>
          <w:lang w:bidi="ar-SA"/>
        </w:rPr>
        <w:t>in</w:t>
      </w:r>
      <w:r w:rsidR="007B1A23" w:rsidRPr="007F6373">
        <w:rPr>
          <w:rFonts w:eastAsia="Calibri"/>
          <w:lang w:bidi="ar-SA"/>
        </w:rPr>
        <w:t xml:space="preserve"> Australia and New Zealand.</w:t>
      </w:r>
    </w:p>
    <w:p w:rsidR="000E3ACC" w:rsidRPr="007F6373" w:rsidRDefault="000E3ACC" w:rsidP="007B1A23">
      <w:pPr>
        <w:rPr>
          <w:rFonts w:eastAsia="Calibri"/>
          <w:szCs w:val="22"/>
          <w:lang w:bidi="ar-SA"/>
        </w:rPr>
      </w:pPr>
    </w:p>
    <w:p w:rsidR="00164593" w:rsidRPr="007F6373" w:rsidRDefault="00E17F85" w:rsidP="007B1A23">
      <w:pPr>
        <w:rPr>
          <w:rFonts w:eastAsia="Calibri"/>
          <w:szCs w:val="22"/>
          <w:lang w:bidi="ar-SA"/>
        </w:rPr>
      </w:pPr>
      <w:r w:rsidRPr="007F6373">
        <w:rPr>
          <w:rFonts w:eastAsia="Calibri"/>
          <w:szCs w:val="22"/>
          <w:lang w:bidi="ar-SA"/>
        </w:rPr>
        <w:t>One of the questions FSANZ is seeking to address in this Proposal is</w:t>
      </w:r>
      <w:r w:rsidR="007B1A23" w:rsidRPr="007F6373">
        <w:rPr>
          <w:rFonts w:eastAsia="Calibri"/>
          <w:szCs w:val="22"/>
          <w:lang w:bidi="ar-SA"/>
        </w:rPr>
        <w:t xml:space="preserve"> whether </w:t>
      </w:r>
      <w:r w:rsidRPr="007F6373">
        <w:rPr>
          <w:rFonts w:eastAsia="Calibri"/>
          <w:szCs w:val="22"/>
          <w:lang w:bidi="ar-SA"/>
        </w:rPr>
        <w:t>the c</w:t>
      </w:r>
      <w:r w:rsidR="007B1A23" w:rsidRPr="007F6373">
        <w:rPr>
          <w:rFonts w:eastAsia="Calibri"/>
          <w:szCs w:val="22"/>
          <w:lang w:bidi="ar-SA"/>
        </w:rPr>
        <w:t>urrent regulatory regime in Australia and New Zealand provides sufficient clarity and certainty for industry to adequately manage any potential food safety risks that may arise from CMPF.</w:t>
      </w:r>
      <w:r w:rsidR="000E3ACC" w:rsidRPr="007F6373">
        <w:rPr>
          <w:rFonts w:eastAsia="Calibri"/>
          <w:szCs w:val="22"/>
          <w:lang w:bidi="ar-SA"/>
        </w:rPr>
        <w:t xml:space="preserve"> FSANZ</w:t>
      </w:r>
      <w:r w:rsidRPr="007F6373">
        <w:rPr>
          <w:rFonts w:eastAsia="Calibri"/>
          <w:szCs w:val="22"/>
          <w:lang w:bidi="ar-SA"/>
        </w:rPr>
        <w:t xml:space="preserve"> will therefore be looking at t</w:t>
      </w:r>
      <w:r w:rsidR="000E3ACC" w:rsidRPr="007F6373">
        <w:rPr>
          <w:rFonts w:eastAsia="Calibri"/>
          <w:szCs w:val="22"/>
          <w:lang w:bidi="ar-SA"/>
        </w:rPr>
        <w:t xml:space="preserve">he effectiveness of </w:t>
      </w:r>
      <w:r w:rsidRPr="007F6373">
        <w:rPr>
          <w:rFonts w:eastAsia="Calibri"/>
          <w:szCs w:val="22"/>
          <w:lang w:bidi="ar-SA"/>
        </w:rPr>
        <w:t xml:space="preserve">current </w:t>
      </w:r>
      <w:r w:rsidR="000E3ACC" w:rsidRPr="007F6373">
        <w:rPr>
          <w:rFonts w:eastAsia="Calibri"/>
          <w:szCs w:val="22"/>
          <w:lang w:bidi="ar-SA"/>
        </w:rPr>
        <w:t xml:space="preserve">mitigation measures to manage chemical migration and subsequent health effects. </w:t>
      </w:r>
    </w:p>
    <w:p w:rsidR="002C6987" w:rsidRPr="007F6373" w:rsidRDefault="002C6987" w:rsidP="007F6373">
      <w:pPr>
        <w:pStyle w:val="Marginnote"/>
        <w:framePr w:w="1778" w:h="2731" w:hRule="exact" w:wrap="around" w:x="9104" w:y="766"/>
        <w:rPr>
          <w:rFonts w:ascii="Arial" w:hAnsi="Arial" w:cs="Arial"/>
          <w:szCs w:val="22"/>
        </w:rPr>
      </w:pPr>
      <w:bookmarkStart w:id="78" w:name="_Toc394502998"/>
      <w:bookmarkStart w:id="79" w:name="_Toc394577688"/>
      <w:bookmarkStart w:id="80" w:name="_Toc394584338"/>
      <w:bookmarkStart w:id="81" w:name="_Toc395080350"/>
      <w:bookmarkStart w:id="82" w:name="_Toc395100927"/>
      <w:bookmarkStart w:id="83" w:name="_Toc268973577"/>
      <w:bookmarkStart w:id="84" w:name="_Toc395188069"/>
      <w:bookmarkStart w:id="85" w:name="_Toc395188252"/>
      <w:bookmarkStart w:id="86" w:name="_Toc395250795"/>
      <w:bookmarkStart w:id="87" w:name="_Toc395257395"/>
      <w:bookmarkStart w:id="88" w:name="_Toc395270552"/>
      <w:bookmarkStart w:id="89" w:name="_Toc395270661"/>
      <w:bookmarkStart w:id="90" w:name="_Toc395279157"/>
      <w:bookmarkStart w:id="91" w:name="_Toc395608007"/>
      <w:bookmarkStart w:id="92" w:name="_Toc395798909"/>
      <w:bookmarkStart w:id="93" w:name="_Toc395881565"/>
      <w:bookmarkStart w:id="94" w:name="_Toc396315608"/>
      <w:bookmarkStart w:id="95" w:name="_Toc396732654"/>
      <w:bookmarkStart w:id="96" w:name="_Toc397520928"/>
      <w:bookmarkStart w:id="97" w:name="_Toc398192213"/>
      <w:bookmarkStart w:id="98" w:name="_Toc398192302"/>
      <w:bookmarkStart w:id="99" w:name="_Toc402281351"/>
      <w:bookmarkStart w:id="100" w:name="_Toc402367224"/>
      <w:bookmarkStart w:id="101" w:name="_Toc402450607"/>
      <w:bookmarkStart w:id="102" w:name="_Toc403377528"/>
      <w:bookmarkStart w:id="103" w:name="_Toc403394293"/>
      <w:r w:rsidRPr="007F6373">
        <w:rPr>
          <w:rFonts w:ascii="Arial" w:hAnsi="Arial" w:cs="Arial"/>
          <w:szCs w:val="22"/>
        </w:rPr>
        <w:t>FSANZ is seeking input from all stakeholders to broaden its understanding of risks posed by CMPF and how industry manages these risks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7A0146">
        <w:rPr>
          <w:rFonts w:ascii="Arial" w:hAnsi="Arial" w:cs="Arial"/>
          <w:szCs w:val="22"/>
        </w:rPr>
        <w:t>.</w:t>
      </w:r>
      <w:bookmarkEnd w:id="102"/>
      <w:bookmarkEnd w:id="103"/>
    </w:p>
    <w:p w:rsidR="005A0736" w:rsidRPr="00183CF0" w:rsidRDefault="00505BAC" w:rsidP="007F6373">
      <w:pPr>
        <w:pStyle w:val="Heading2"/>
        <w:rPr>
          <w:lang w:val="en-AU"/>
        </w:rPr>
      </w:pPr>
      <w:bookmarkStart w:id="104" w:name="_Toc403377529"/>
      <w:bookmarkStart w:id="105" w:name="_Toc403394294"/>
      <w:r>
        <w:rPr>
          <w:lang w:val="en-AU"/>
        </w:rPr>
        <w:t>1.2</w:t>
      </w:r>
      <w:r>
        <w:rPr>
          <w:lang w:val="en-AU"/>
        </w:rPr>
        <w:tab/>
      </w:r>
      <w:r w:rsidR="005A0736" w:rsidRPr="00183CF0">
        <w:rPr>
          <w:lang w:val="en-AU"/>
        </w:rPr>
        <w:t>What is the aim of this Consultation Paper?</w:t>
      </w:r>
      <w:bookmarkEnd w:id="104"/>
      <w:bookmarkEnd w:id="105"/>
    </w:p>
    <w:p w:rsidR="00982242" w:rsidRPr="007F6373" w:rsidRDefault="00552AF7" w:rsidP="00982242">
      <w:pPr>
        <w:contextualSpacing/>
        <w:rPr>
          <w:rFonts w:cs="Arial"/>
        </w:rPr>
      </w:pPr>
      <w:r w:rsidRPr="007F6373">
        <w:rPr>
          <w:rFonts w:cs="Arial"/>
          <w:lang w:val="en-AU" w:eastAsia="en-AU" w:bidi="ar-SA"/>
        </w:rPr>
        <w:t xml:space="preserve">FSANZ is seeking to collect </w:t>
      </w:r>
      <w:r w:rsidR="00B47D6F" w:rsidRPr="007F6373">
        <w:rPr>
          <w:rFonts w:cs="Arial"/>
          <w:color w:val="000000"/>
          <w:lang w:val="en-AU" w:eastAsia="en-AU" w:bidi="ar-SA"/>
        </w:rPr>
        <w:t xml:space="preserve">information </w:t>
      </w:r>
      <w:r w:rsidRPr="007F6373">
        <w:rPr>
          <w:rFonts w:cs="Arial"/>
          <w:color w:val="000000"/>
          <w:lang w:val="en-AU" w:eastAsia="en-AU" w:bidi="ar-SA"/>
        </w:rPr>
        <w:t xml:space="preserve">about the </w:t>
      </w:r>
      <w:r w:rsidR="000E3ACC" w:rsidRPr="007F6373">
        <w:rPr>
          <w:rFonts w:cs="Arial"/>
          <w:color w:val="000000"/>
          <w:lang w:val="en-AU" w:eastAsia="en-AU" w:bidi="ar-SA"/>
        </w:rPr>
        <w:t xml:space="preserve">size of </w:t>
      </w:r>
      <w:r w:rsidRPr="007F6373">
        <w:rPr>
          <w:rFonts w:cs="Arial"/>
          <w:color w:val="000000"/>
          <w:lang w:val="en-AU" w:eastAsia="en-AU" w:bidi="ar-SA"/>
        </w:rPr>
        <w:t xml:space="preserve">the packaging market, what packaging is used </w:t>
      </w:r>
      <w:r w:rsidR="00C37D8B" w:rsidRPr="007F6373">
        <w:rPr>
          <w:rFonts w:cs="Arial"/>
          <w:color w:val="000000"/>
          <w:lang w:val="en-AU" w:eastAsia="en-AU" w:bidi="ar-SA"/>
        </w:rPr>
        <w:t xml:space="preserve">and </w:t>
      </w:r>
      <w:r w:rsidRPr="007F6373">
        <w:rPr>
          <w:rFonts w:cs="Arial"/>
          <w:color w:val="000000"/>
          <w:lang w:val="en-AU" w:eastAsia="en-AU" w:bidi="ar-SA"/>
        </w:rPr>
        <w:t>what practices</w:t>
      </w:r>
      <w:r w:rsidR="00AE430D" w:rsidRPr="007F6373">
        <w:rPr>
          <w:rFonts w:cs="Arial"/>
          <w:color w:val="000000"/>
          <w:lang w:val="en-AU" w:eastAsia="en-AU" w:bidi="ar-SA"/>
        </w:rPr>
        <w:t xml:space="preserve"> packaging manufacturers and</w:t>
      </w:r>
      <w:r w:rsidRPr="007F6373">
        <w:rPr>
          <w:rFonts w:cs="Arial"/>
          <w:color w:val="000000"/>
          <w:lang w:val="en-AU" w:eastAsia="en-AU" w:bidi="ar-SA"/>
        </w:rPr>
        <w:t xml:space="preserve"> </w:t>
      </w:r>
      <w:r w:rsidR="00C37D8B" w:rsidRPr="007F6373">
        <w:rPr>
          <w:rFonts w:cs="Arial"/>
          <w:color w:val="000000"/>
          <w:lang w:val="en-AU" w:eastAsia="en-AU" w:bidi="ar-SA"/>
        </w:rPr>
        <w:t>food manufactur</w:t>
      </w:r>
      <w:r w:rsidRPr="007F6373">
        <w:rPr>
          <w:rFonts w:cs="Arial"/>
          <w:color w:val="000000"/>
          <w:lang w:val="en-AU" w:eastAsia="en-AU" w:bidi="ar-SA"/>
        </w:rPr>
        <w:t xml:space="preserve">ers are using </w:t>
      </w:r>
      <w:r w:rsidR="00B47D6F" w:rsidRPr="007F6373">
        <w:rPr>
          <w:rFonts w:cs="Arial"/>
          <w:color w:val="000000"/>
          <w:lang w:val="en-AU" w:eastAsia="en-AU" w:bidi="ar-SA"/>
        </w:rPr>
        <w:t xml:space="preserve">to manage </w:t>
      </w:r>
      <w:r w:rsidRPr="007F6373">
        <w:rPr>
          <w:rFonts w:cs="Arial"/>
          <w:color w:val="000000"/>
          <w:lang w:val="en-AU" w:eastAsia="en-AU" w:bidi="ar-SA"/>
        </w:rPr>
        <w:t xml:space="preserve">any </w:t>
      </w:r>
      <w:r w:rsidR="00982242" w:rsidRPr="007F6373">
        <w:rPr>
          <w:rFonts w:cs="Arial"/>
          <w:color w:val="000000"/>
          <w:lang w:val="en-AU" w:eastAsia="en-AU" w:bidi="ar-SA"/>
        </w:rPr>
        <w:t>risks</w:t>
      </w:r>
      <w:r w:rsidRPr="007F6373">
        <w:rPr>
          <w:rFonts w:cs="Arial"/>
          <w:color w:val="000000"/>
          <w:lang w:val="en-AU" w:eastAsia="en-AU" w:bidi="ar-SA"/>
        </w:rPr>
        <w:t xml:space="preserve"> relating to CMPF</w:t>
      </w:r>
      <w:r w:rsidR="00982242" w:rsidRPr="007F6373">
        <w:rPr>
          <w:rFonts w:cs="Arial"/>
          <w:color w:val="000000"/>
          <w:lang w:val="en-AU" w:eastAsia="en-AU" w:bidi="ar-SA"/>
        </w:rPr>
        <w:t xml:space="preserve">. </w:t>
      </w:r>
      <w:r w:rsidR="00982242" w:rsidRPr="007F6373">
        <w:rPr>
          <w:rFonts w:cs="Arial"/>
          <w:lang w:val="en-AU" w:eastAsia="en-AU" w:bidi="ar-SA"/>
        </w:rPr>
        <w:t xml:space="preserve">This </w:t>
      </w:r>
      <w:r w:rsidR="00BB08A3" w:rsidRPr="007F6373">
        <w:rPr>
          <w:rFonts w:cs="Arial"/>
          <w:lang w:val="en-AU" w:eastAsia="en-AU" w:bidi="ar-SA"/>
        </w:rPr>
        <w:t xml:space="preserve">will </w:t>
      </w:r>
      <w:r w:rsidR="00982242" w:rsidRPr="007F6373">
        <w:rPr>
          <w:rFonts w:cs="Arial"/>
          <w:lang w:val="en-AU" w:eastAsia="en-AU" w:bidi="ar-SA"/>
        </w:rPr>
        <w:t xml:space="preserve">broaden </w:t>
      </w:r>
      <w:r w:rsidRPr="007F6373">
        <w:rPr>
          <w:rFonts w:cs="Arial"/>
          <w:lang w:val="en-AU" w:eastAsia="en-AU" w:bidi="ar-SA"/>
        </w:rPr>
        <w:t xml:space="preserve">our </w:t>
      </w:r>
      <w:r w:rsidR="00982242" w:rsidRPr="007F6373">
        <w:rPr>
          <w:rFonts w:cs="Arial"/>
          <w:lang w:val="en-AU" w:eastAsia="en-AU" w:bidi="ar-SA"/>
        </w:rPr>
        <w:t xml:space="preserve">understanding </w:t>
      </w:r>
      <w:r w:rsidR="00982242" w:rsidRPr="007F6373">
        <w:rPr>
          <w:rFonts w:cs="Arial"/>
          <w:color w:val="000000"/>
          <w:lang w:val="en-AU" w:eastAsia="en-AU" w:bidi="ar-SA"/>
        </w:rPr>
        <w:t xml:space="preserve">and </w:t>
      </w:r>
      <w:r w:rsidRPr="007F6373">
        <w:rPr>
          <w:rFonts w:cs="Arial"/>
          <w:color w:val="000000"/>
          <w:lang w:val="en-AU" w:eastAsia="en-AU" w:bidi="ar-SA"/>
        </w:rPr>
        <w:t xml:space="preserve">help identify any </w:t>
      </w:r>
      <w:r w:rsidR="00982242" w:rsidRPr="007F6373">
        <w:t>gaps in the current regulatory and non-regulatory approaches</w:t>
      </w:r>
      <w:r w:rsidR="006702D1" w:rsidRPr="007F6373">
        <w:t xml:space="preserve"> for CMPF</w:t>
      </w:r>
      <w:r w:rsidR="00982242" w:rsidRPr="007F6373">
        <w:t>.</w:t>
      </w:r>
      <w:r w:rsidR="00C63BEF" w:rsidRPr="007F6373">
        <w:t xml:space="preserve"> </w:t>
      </w:r>
    </w:p>
    <w:p w:rsidR="00982242" w:rsidRPr="007F6373" w:rsidRDefault="00982242" w:rsidP="00982242">
      <w:pPr>
        <w:contextualSpacing/>
        <w:rPr>
          <w:rFonts w:cs="Arial"/>
        </w:rPr>
      </w:pPr>
    </w:p>
    <w:p w:rsidR="00A30218" w:rsidRDefault="007C40A2" w:rsidP="00E15379">
      <w:r w:rsidRPr="007F6373">
        <w:t>Much of this information will come from industry</w:t>
      </w:r>
      <w:r w:rsidR="00E50955">
        <w:t>.</w:t>
      </w:r>
      <w:r w:rsidRPr="007F6373">
        <w:t xml:space="preserve"> </w:t>
      </w:r>
      <w:r w:rsidR="00E50955">
        <w:t>H</w:t>
      </w:r>
      <w:r w:rsidRPr="007F6373">
        <w:t>owever</w:t>
      </w:r>
      <w:r w:rsidR="002A2007">
        <w:t>,</w:t>
      </w:r>
      <w:r w:rsidRPr="007F6373">
        <w:t xml:space="preserve"> FSANZ is also seeking consumer views during its review</w:t>
      </w:r>
      <w:r w:rsidR="00505BAC">
        <w:t xml:space="preserve">. </w:t>
      </w:r>
      <w:r w:rsidRPr="007F6373">
        <w:t>Comments from jurisdictions and other stakeholders are also welcome.</w:t>
      </w:r>
    </w:p>
    <w:p w:rsidR="00505BAC" w:rsidRPr="007F6373" w:rsidRDefault="00505BAC" w:rsidP="00E15379"/>
    <w:p w:rsidR="00E15379" w:rsidRPr="007F6373" w:rsidRDefault="007C40A2" w:rsidP="00E15379">
      <w:pPr>
        <w:rPr>
          <w:b/>
          <w:lang w:val="en-AU"/>
        </w:rPr>
      </w:pPr>
      <w:r w:rsidRPr="007F6373">
        <w:rPr>
          <w:b/>
        </w:rPr>
        <w:t>A</w:t>
      </w:r>
      <w:r w:rsidR="006D7808" w:rsidRPr="007F6373">
        <w:rPr>
          <w:b/>
        </w:rPr>
        <w:t xml:space="preserve"> </w:t>
      </w:r>
      <w:r w:rsidR="002C6987" w:rsidRPr="007F6373">
        <w:rPr>
          <w:b/>
        </w:rPr>
        <w:t>response template</w:t>
      </w:r>
      <w:r w:rsidR="006D7808" w:rsidRPr="007F6373">
        <w:rPr>
          <w:b/>
        </w:rPr>
        <w:t xml:space="preserve"> is </w:t>
      </w:r>
      <w:r w:rsidR="00A30218" w:rsidRPr="007F6373">
        <w:rPr>
          <w:b/>
        </w:rPr>
        <w:t xml:space="preserve">at </w:t>
      </w:r>
      <w:r w:rsidR="006D7808" w:rsidRPr="007F6373">
        <w:rPr>
          <w:b/>
        </w:rPr>
        <w:t xml:space="preserve">Attachment </w:t>
      </w:r>
      <w:r w:rsidR="00E462EB" w:rsidRPr="007F6373">
        <w:rPr>
          <w:b/>
        </w:rPr>
        <w:t>A</w:t>
      </w:r>
      <w:r w:rsidR="00505BAC">
        <w:rPr>
          <w:b/>
        </w:rPr>
        <w:t xml:space="preserve">. </w:t>
      </w:r>
    </w:p>
    <w:p w:rsidR="003521C0" w:rsidRPr="00183CF0" w:rsidRDefault="00505BAC" w:rsidP="007F6373">
      <w:pPr>
        <w:pStyle w:val="Heading2"/>
      </w:pPr>
      <w:bookmarkStart w:id="106" w:name="_Toc403377530"/>
      <w:bookmarkStart w:id="107" w:name="_Toc403394295"/>
      <w:r>
        <w:lastRenderedPageBreak/>
        <w:t>1.3</w:t>
      </w:r>
      <w:r>
        <w:tab/>
      </w:r>
      <w:r w:rsidR="00E15379">
        <w:t>P</w:t>
      </w:r>
      <w:r w:rsidR="003521C0" w:rsidRPr="00183CF0">
        <w:t xml:space="preserve">reliminary </w:t>
      </w:r>
      <w:r w:rsidR="00456847" w:rsidRPr="00183CF0">
        <w:t>investigation</w:t>
      </w:r>
      <w:bookmarkEnd w:id="106"/>
      <w:bookmarkEnd w:id="107"/>
      <w:r w:rsidR="00456847" w:rsidRPr="00183CF0">
        <w:t xml:space="preserve"> </w:t>
      </w:r>
    </w:p>
    <w:p w:rsidR="00096DCE" w:rsidRPr="007F6373" w:rsidRDefault="00552AF7" w:rsidP="00EB1497">
      <w:pPr>
        <w:widowControl/>
        <w:rPr>
          <w:rFonts w:cs="Arial"/>
          <w:szCs w:val="22"/>
          <w:lang w:val="en-AU" w:eastAsia="en-AU" w:bidi="ar-SA"/>
        </w:rPr>
      </w:pPr>
      <w:r w:rsidRPr="007F6373">
        <w:rPr>
          <w:rFonts w:cs="Arial"/>
          <w:szCs w:val="22"/>
          <w:lang w:val="en-AU" w:eastAsia="en-AU" w:bidi="ar-SA"/>
        </w:rPr>
        <w:t xml:space="preserve">FSANZ has conducted some preliminary work on this Proposal. This </w:t>
      </w:r>
      <w:r w:rsidR="009E27C1" w:rsidRPr="007F6373">
        <w:rPr>
          <w:rFonts w:cs="Arial"/>
          <w:szCs w:val="22"/>
          <w:lang w:val="en-AU" w:eastAsia="en-AU" w:bidi="ar-SA"/>
        </w:rPr>
        <w:t>work was underpinned by a</w:t>
      </w:r>
      <w:r w:rsidR="00524DEA" w:rsidRPr="007F6373">
        <w:rPr>
          <w:rFonts w:cs="Arial"/>
          <w:szCs w:val="22"/>
          <w:lang w:val="en-AU" w:eastAsia="en-AU" w:bidi="ar-SA"/>
        </w:rPr>
        <w:t>nalytical survey</w:t>
      </w:r>
      <w:r w:rsidR="009E27C1" w:rsidRPr="007F6373">
        <w:rPr>
          <w:rFonts w:cs="Arial"/>
          <w:szCs w:val="22"/>
          <w:lang w:val="en-AU" w:eastAsia="en-AU" w:bidi="ar-SA"/>
        </w:rPr>
        <w:t>s</w:t>
      </w:r>
      <w:r w:rsidR="00524DEA" w:rsidRPr="007F6373">
        <w:rPr>
          <w:rFonts w:cs="Arial"/>
          <w:szCs w:val="22"/>
          <w:lang w:val="en-AU" w:eastAsia="en-AU" w:bidi="ar-SA"/>
        </w:rPr>
        <w:t xml:space="preserve"> on packaging chemicals</w:t>
      </w:r>
      <w:r w:rsidR="00524DEA" w:rsidRPr="007F6373">
        <w:rPr>
          <w:rStyle w:val="FootnoteReference"/>
          <w:rFonts w:cs="Arial"/>
          <w:szCs w:val="22"/>
          <w:lang w:val="en-AU" w:eastAsia="en-AU" w:bidi="ar-SA"/>
        </w:rPr>
        <w:footnoteReference w:id="1"/>
      </w:r>
      <w:r w:rsidR="00524DEA" w:rsidRPr="007F6373">
        <w:rPr>
          <w:rFonts w:cs="Arial"/>
          <w:szCs w:val="22"/>
          <w:lang w:val="en-AU" w:eastAsia="en-AU" w:bidi="ar-SA"/>
        </w:rPr>
        <w:t xml:space="preserve"> </w:t>
      </w:r>
      <w:r w:rsidR="009E27C1" w:rsidRPr="007F6373">
        <w:rPr>
          <w:rFonts w:cs="Arial"/>
          <w:szCs w:val="22"/>
          <w:lang w:val="en-AU" w:eastAsia="en-AU" w:bidi="ar-SA"/>
        </w:rPr>
        <w:t xml:space="preserve">and regular liaison with a range of packaging and food industry </w:t>
      </w:r>
      <w:r w:rsidR="00AE430D" w:rsidRPr="007F6373">
        <w:rPr>
          <w:rFonts w:cs="Arial"/>
          <w:szCs w:val="22"/>
          <w:lang w:val="en-AU" w:eastAsia="en-AU" w:bidi="ar-SA"/>
        </w:rPr>
        <w:t>stakeholders</w:t>
      </w:r>
      <w:r w:rsidR="009E27C1" w:rsidRPr="007F6373">
        <w:rPr>
          <w:rFonts w:cs="Arial"/>
          <w:szCs w:val="22"/>
          <w:lang w:val="en-AU" w:eastAsia="en-AU" w:bidi="ar-SA"/>
        </w:rPr>
        <w:t xml:space="preserve">. </w:t>
      </w:r>
      <w:r w:rsidRPr="007F6373">
        <w:rPr>
          <w:rFonts w:cs="Arial"/>
          <w:szCs w:val="22"/>
          <w:lang w:val="en-AU" w:eastAsia="en-AU" w:bidi="ar-SA"/>
        </w:rPr>
        <w:t>To help facilitate this work</w:t>
      </w:r>
      <w:r w:rsidR="002A2007">
        <w:rPr>
          <w:rFonts w:cs="Arial"/>
          <w:szCs w:val="22"/>
          <w:lang w:val="en-AU" w:eastAsia="en-AU" w:bidi="ar-SA"/>
        </w:rPr>
        <w:t>,</w:t>
      </w:r>
      <w:r w:rsidRPr="007F6373">
        <w:rPr>
          <w:rFonts w:cs="Arial"/>
          <w:szCs w:val="22"/>
          <w:lang w:val="en-AU" w:eastAsia="en-AU" w:bidi="ar-SA"/>
        </w:rPr>
        <w:t xml:space="preserve"> an I</w:t>
      </w:r>
      <w:r w:rsidR="00EB1497" w:rsidRPr="007F6373">
        <w:rPr>
          <w:rFonts w:cs="Arial"/>
          <w:szCs w:val="22"/>
          <w:lang w:val="en-AU" w:eastAsia="en-AU" w:bidi="ar-SA"/>
        </w:rPr>
        <w:t>ndustry Advisory Group (IAG)</w:t>
      </w:r>
      <w:r w:rsidR="001B3C5E" w:rsidRPr="007F6373">
        <w:rPr>
          <w:rFonts w:cs="Arial"/>
          <w:szCs w:val="22"/>
          <w:lang w:val="en-AU" w:eastAsia="en-AU" w:bidi="ar-SA"/>
        </w:rPr>
        <w:t xml:space="preserve"> on food packaging</w:t>
      </w:r>
      <w:r w:rsidR="008E65D4" w:rsidRPr="007F6373">
        <w:rPr>
          <w:rFonts w:cs="Arial"/>
          <w:szCs w:val="22"/>
          <w:lang w:val="en-AU" w:eastAsia="en-AU" w:bidi="ar-SA"/>
        </w:rPr>
        <w:t xml:space="preserve"> </w:t>
      </w:r>
      <w:r w:rsidRPr="007F6373">
        <w:rPr>
          <w:rFonts w:cs="Arial"/>
          <w:szCs w:val="22"/>
          <w:lang w:val="en-AU" w:eastAsia="en-AU" w:bidi="ar-SA"/>
        </w:rPr>
        <w:t xml:space="preserve">was established </w:t>
      </w:r>
      <w:r w:rsidR="00096DCE" w:rsidRPr="007F6373">
        <w:rPr>
          <w:rFonts w:cs="Arial"/>
          <w:szCs w:val="22"/>
          <w:lang w:val="en-AU" w:eastAsia="en-AU" w:bidi="ar-SA"/>
        </w:rPr>
        <w:t>(See Section 6)</w:t>
      </w:r>
      <w:r w:rsidR="009E27C1" w:rsidRPr="007F6373">
        <w:rPr>
          <w:rFonts w:cs="Arial"/>
          <w:szCs w:val="22"/>
          <w:lang w:val="en-AU" w:eastAsia="en-AU" w:bidi="ar-SA"/>
        </w:rPr>
        <w:t>.</w:t>
      </w:r>
    </w:p>
    <w:p w:rsidR="00D86D60" w:rsidRPr="007F6373" w:rsidRDefault="009E27C1" w:rsidP="00EB1497">
      <w:pPr>
        <w:widowControl/>
        <w:rPr>
          <w:rFonts w:cs="Arial"/>
          <w:szCs w:val="22"/>
          <w:lang w:val="en-AU" w:eastAsia="en-AU" w:bidi="ar-SA"/>
        </w:rPr>
      </w:pPr>
      <w:r w:rsidRPr="007F6373">
        <w:rPr>
          <w:rFonts w:cs="Arial"/>
          <w:szCs w:val="22"/>
          <w:lang w:val="en-AU" w:eastAsia="en-AU" w:bidi="ar-SA"/>
        </w:rPr>
        <w:t xml:space="preserve">  </w:t>
      </w:r>
    </w:p>
    <w:p w:rsidR="006702D1" w:rsidRPr="007F6373" w:rsidRDefault="003521C0" w:rsidP="003521C0">
      <w:pPr>
        <w:widowControl/>
        <w:rPr>
          <w:rFonts w:cs="Arial"/>
          <w:color w:val="000000"/>
          <w:szCs w:val="22"/>
          <w:lang w:val="en-AU" w:eastAsia="en-AU" w:bidi="ar-SA"/>
        </w:rPr>
      </w:pPr>
      <w:r w:rsidRPr="007F6373">
        <w:rPr>
          <w:rFonts w:cs="Arial"/>
          <w:color w:val="000000"/>
          <w:szCs w:val="22"/>
          <w:lang w:val="en-AU" w:eastAsia="en-AU" w:bidi="ar-SA"/>
        </w:rPr>
        <w:t xml:space="preserve">From industry consultations, we understand that some parts of industry (i.e. larger packaging manufacturers and food businesses) </w:t>
      </w:r>
      <w:r w:rsidR="00AE430D" w:rsidRPr="007F6373">
        <w:rPr>
          <w:rFonts w:cs="Arial"/>
          <w:color w:val="000000"/>
          <w:szCs w:val="22"/>
          <w:lang w:val="en-AU" w:eastAsia="en-AU" w:bidi="ar-SA"/>
        </w:rPr>
        <w:t xml:space="preserve">work in a tightly controlled environment </w:t>
      </w:r>
      <w:r w:rsidR="00C37D8B" w:rsidRPr="007F6373">
        <w:rPr>
          <w:rFonts w:cs="Arial"/>
          <w:color w:val="000000"/>
          <w:szCs w:val="22"/>
          <w:lang w:val="en-AU" w:eastAsia="en-AU" w:bidi="ar-SA"/>
        </w:rPr>
        <w:t>generally seek</w:t>
      </w:r>
      <w:r w:rsidR="00AE430D" w:rsidRPr="007F6373">
        <w:rPr>
          <w:rFonts w:cs="Arial"/>
          <w:color w:val="000000"/>
          <w:szCs w:val="22"/>
          <w:lang w:val="en-AU" w:eastAsia="en-AU" w:bidi="ar-SA"/>
        </w:rPr>
        <w:t>ing</w:t>
      </w:r>
      <w:r w:rsidR="00C37D8B" w:rsidRPr="007F6373">
        <w:rPr>
          <w:rFonts w:cs="Arial"/>
          <w:color w:val="000000"/>
          <w:szCs w:val="22"/>
          <w:lang w:val="en-AU" w:eastAsia="en-AU" w:bidi="ar-SA"/>
        </w:rPr>
        <w:t xml:space="preserve"> to </w:t>
      </w:r>
      <w:r w:rsidR="00AA5EA5" w:rsidRPr="007F6373">
        <w:rPr>
          <w:rFonts w:cs="Arial"/>
          <w:color w:val="000000"/>
          <w:szCs w:val="22"/>
          <w:lang w:val="en-AU" w:eastAsia="en-AU" w:bidi="ar-SA"/>
        </w:rPr>
        <w:t xml:space="preserve">comply with </w:t>
      </w:r>
      <w:r w:rsidRPr="007F6373">
        <w:rPr>
          <w:rFonts w:cs="Arial"/>
          <w:color w:val="000000"/>
          <w:szCs w:val="22"/>
          <w:lang w:val="en-AU" w:eastAsia="en-AU" w:bidi="ar-SA"/>
        </w:rPr>
        <w:t xml:space="preserve">legislative requirements in other countries and voluntary Codes of Practice </w:t>
      </w:r>
      <w:r w:rsidR="000F011A" w:rsidRPr="007F6373">
        <w:rPr>
          <w:rFonts w:cs="Arial"/>
          <w:color w:val="000000"/>
          <w:szCs w:val="22"/>
          <w:lang w:val="en-AU" w:eastAsia="en-AU" w:bidi="ar-SA"/>
        </w:rPr>
        <w:t xml:space="preserve">(CoP) </w:t>
      </w:r>
      <w:r w:rsidRPr="007F6373">
        <w:rPr>
          <w:rFonts w:cs="Arial"/>
          <w:color w:val="000000"/>
          <w:szCs w:val="22"/>
          <w:lang w:val="en-AU" w:eastAsia="en-AU" w:bidi="ar-SA"/>
        </w:rPr>
        <w:t>and guidelines</w:t>
      </w:r>
      <w:r w:rsidR="00AE430D" w:rsidRPr="007F6373">
        <w:rPr>
          <w:rFonts w:cs="Arial"/>
          <w:color w:val="000000"/>
          <w:szCs w:val="22"/>
          <w:lang w:val="en-AU" w:eastAsia="en-AU" w:bidi="ar-SA"/>
        </w:rPr>
        <w:t xml:space="preserve">. </w:t>
      </w:r>
    </w:p>
    <w:p w:rsidR="00AE430D" w:rsidRPr="007F6373" w:rsidRDefault="00AE430D" w:rsidP="003521C0">
      <w:pPr>
        <w:widowControl/>
        <w:rPr>
          <w:rFonts w:cs="Arial"/>
          <w:color w:val="000000"/>
          <w:szCs w:val="22"/>
          <w:lang w:val="en-AU" w:eastAsia="en-AU" w:bidi="ar-SA"/>
        </w:rPr>
      </w:pPr>
    </w:p>
    <w:p w:rsidR="00D22323" w:rsidRPr="007F6373" w:rsidRDefault="00F713BD" w:rsidP="003521C0">
      <w:pPr>
        <w:widowControl/>
        <w:rPr>
          <w:rFonts w:cs="Arial"/>
          <w:color w:val="000000"/>
          <w:szCs w:val="22"/>
          <w:lang w:val="en-AU" w:eastAsia="en-AU" w:bidi="ar-SA"/>
        </w:rPr>
      </w:pPr>
      <w:r w:rsidRPr="007F6373">
        <w:rPr>
          <w:rFonts w:cs="Arial"/>
          <w:color w:val="000000"/>
          <w:szCs w:val="22"/>
          <w:lang w:val="en-AU" w:eastAsia="en-AU" w:bidi="ar-SA"/>
        </w:rPr>
        <w:t xml:space="preserve">From an international perspective, </w:t>
      </w:r>
      <w:r w:rsidR="00A740E7" w:rsidRPr="007F6373">
        <w:rPr>
          <w:rFonts w:cs="Arial"/>
          <w:color w:val="000000"/>
          <w:szCs w:val="22"/>
          <w:lang w:val="en-AU" w:eastAsia="en-AU" w:bidi="ar-SA"/>
        </w:rPr>
        <w:t xml:space="preserve">there is significant trade in packaged food products and Australia/New Zealand are part of this global market. It is </w:t>
      </w:r>
      <w:r w:rsidR="00552AF7" w:rsidRPr="007F6373">
        <w:rPr>
          <w:rFonts w:cs="Arial"/>
          <w:color w:val="000000"/>
          <w:szCs w:val="22"/>
          <w:lang w:val="en-AU" w:eastAsia="en-AU" w:bidi="ar-SA"/>
        </w:rPr>
        <w:t xml:space="preserve">important to note </w:t>
      </w:r>
      <w:r w:rsidR="00A740E7" w:rsidRPr="007F6373">
        <w:rPr>
          <w:rFonts w:cs="Arial"/>
          <w:color w:val="000000"/>
          <w:szCs w:val="22"/>
          <w:lang w:val="en-AU" w:eastAsia="en-AU" w:bidi="ar-SA"/>
        </w:rPr>
        <w:t>that d</w:t>
      </w:r>
      <w:r w:rsidR="00254544" w:rsidRPr="007F6373">
        <w:rPr>
          <w:rFonts w:cs="Arial"/>
          <w:color w:val="000000"/>
          <w:szCs w:val="22"/>
          <w:lang w:val="en-AU" w:eastAsia="en-AU" w:bidi="ar-SA"/>
        </w:rPr>
        <w:t xml:space="preserve">espite </w:t>
      </w:r>
      <w:r w:rsidRPr="007F6373">
        <w:rPr>
          <w:rFonts w:cs="Arial"/>
          <w:color w:val="000000"/>
          <w:szCs w:val="22"/>
          <w:lang w:val="en-AU" w:eastAsia="en-AU" w:bidi="ar-SA"/>
        </w:rPr>
        <w:t>industry</w:t>
      </w:r>
      <w:r w:rsidR="00A740E7" w:rsidRPr="007F6373">
        <w:rPr>
          <w:rFonts w:cs="Arial"/>
          <w:color w:val="000000"/>
          <w:szCs w:val="22"/>
          <w:lang w:val="en-AU" w:eastAsia="en-AU" w:bidi="ar-SA"/>
        </w:rPr>
        <w:t>’s</w:t>
      </w:r>
      <w:r w:rsidRPr="007F6373">
        <w:rPr>
          <w:rFonts w:cs="Arial"/>
          <w:color w:val="000000"/>
          <w:szCs w:val="22"/>
          <w:lang w:val="en-AU" w:eastAsia="en-AU" w:bidi="ar-SA"/>
        </w:rPr>
        <w:t xml:space="preserve"> uptake of a range of regulatory and non-regulatory </w:t>
      </w:r>
      <w:r w:rsidR="002A2007">
        <w:rPr>
          <w:rFonts w:cs="Arial"/>
          <w:color w:val="000000"/>
          <w:szCs w:val="22"/>
          <w:lang w:val="en-AU" w:eastAsia="en-AU" w:bidi="ar-SA"/>
        </w:rPr>
        <w:t>risk mitigation</w:t>
      </w:r>
      <w:r w:rsidRPr="007F6373">
        <w:rPr>
          <w:rFonts w:cs="Arial"/>
          <w:color w:val="000000"/>
          <w:szCs w:val="22"/>
          <w:lang w:val="en-AU" w:eastAsia="en-AU" w:bidi="ar-SA"/>
        </w:rPr>
        <w:t xml:space="preserve"> measures</w:t>
      </w:r>
      <w:r w:rsidR="00254544" w:rsidRPr="007F6373">
        <w:rPr>
          <w:rFonts w:cs="Arial"/>
          <w:color w:val="000000"/>
          <w:szCs w:val="22"/>
          <w:lang w:val="en-AU" w:eastAsia="en-AU" w:bidi="ar-SA"/>
        </w:rPr>
        <w:t>,</w:t>
      </w:r>
      <w:r w:rsidR="003521C0" w:rsidRPr="007F6373">
        <w:rPr>
          <w:rFonts w:cs="Arial"/>
          <w:color w:val="000000"/>
          <w:szCs w:val="22"/>
          <w:lang w:val="en-AU" w:eastAsia="en-AU" w:bidi="ar-SA"/>
        </w:rPr>
        <w:t xml:space="preserve"> there have been several </w:t>
      </w:r>
      <w:r w:rsidR="00A740E7" w:rsidRPr="007F6373">
        <w:rPr>
          <w:rFonts w:cs="Arial"/>
          <w:color w:val="000000"/>
          <w:szCs w:val="22"/>
          <w:lang w:val="en-AU" w:eastAsia="en-AU" w:bidi="ar-SA"/>
        </w:rPr>
        <w:t xml:space="preserve">international </w:t>
      </w:r>
      <w:r w:rsidR="00D14B0B" w:rsidRPr="007F6373">
        <w:rPr>
          <w:rFonts w:cs="Arial"/>
          <w:color w:val="000000"/>
          <w:szCs w:val="22"/>
          <w:lang w:val="en-AU" w:eastAsia="en-AU" w:bidi="ar-SA"/>
        </w:rPr>
        <w:t>responses (including recalls and incident responses)</w:t>
      </w:r>
      <w:r w:rsidR="008057AE" w:rsidRPr="007F6373">
        <w:rPr>
          <w:rFonts w:cs="Arial"/>
          <w:color w:val="000000"/>
          <w:szCs w:val="22"/>
          <w:lang w:val="en-AU" w:eastAsia="en-AU" w:bidi="ar-SA"/>
        </w:rPr>
        <w:t xml:space="preserve"> relating to CMPF</w:t>
      </w:r>
      <w:r w:rsidR="001B3C5E" w:rsidRPr="007F6373">
        <w:rPr>
          <w:rFonts w:cs="Arial"/>
          <w:color w:val="000000"/>
          <w:szCs w:val="22"/>
          <w:lang w:val="en-AU" w:eastAsia="en-AU" w:bidi="ar-SA"/>
        </w:rPr>
        <w:t xml:space="preserve"> </w:t>
      </w:r>
      <w:r w:rsidR="00757D58" w:rsidRPr="007F6373">
        <w:rPr>
          <w:rFonts w:cs="Arial"/>
          <w:color w:val="000000"/>
          <w:szCs w:val="22"/>
          <w:lang w:val="en-AU" w:eastAsia="en-AU" w:bidi="ar-SA"/>
        </w:rPr>
        <w:t>(</w:t>
      </w:r>
      <w:r w:rsidR="00C438F6">
        <w:rPr>
          <w:rFonts w:cs="Arial"/>
          <w:color w:val="000000"/>
          <w:szCs w:val="22"/>
          <w:lang w:val="en-AU" w:eastAsia="en-AU" w:bidi="ar-SA"/>
        </w:rPr>
        <w:t xml:space="preserve">see </w:t>
      </w:r>
      <w:r w:rsidR="00851194" w:rsidRPr="007F6373">
        <w:rPr>
          <w:rFonts w:cs="Arial"/>
          <w:color w:val="000000"/>
          <w:szCs w:val="22"/>
          <w:lang w:val="en-AU" w:eastAsia="en-AU" w:bidi="ar-SA"/>
        </w:rPr>
        <w:t>SD</w:t>
      </w:r>
      <w:r w:rsidR="00757D58" w:rsidRPr="007F6373">
        <w:rPr>
          <w:rFonts w:cs="Arial"/>
          <w:color w:val="000000"/>
          <w:szCs w:val="22"/>
          <w:lang w:val="en-AU" w:eastAsia="en-AU" w:bidi="ar-SA"/>
        </w:rPr>
        <w:t>3)</w:t>
      </w:r>
      <w:r w:rsidR="00505BAC" w:rsidRPr="007F6373">
        <w:rPr>
          <w:rFonts w:cs="Arial"/>
          <w:color w:val="000000"/>
          <w:szCs w:val="22"/>
          <w:lang w:val="en-AU" w:eastAsia="en-AU" w:bidi="ar-SA"/>
        </w:rPr>
        <w:t xml:space="preserve">. </w:t>
      </w:r>
      <w:r w:rsidR="00746AC0" w:rsidRPr="007F6373">
        <w:rPr>
          <w:rFonts w:cs="Arial"/>
          <w:color w:val="000000"/>
          <w:szCs w:val="22"/>
          <w:lang w:val="en-AU" w:eastAsia="en-AU" w:bidi="ar-SA"/>
        </w:rPr>
        <w:t>S</w:t>
      </w:r>
      <w:r w:rsidR="00062D52" w:rsidRPr="007F6373">
        <w:rPr>
          <w:rFonts w:cs="Arial"/>
          <w:color w:val="000000"/>
          <w:szCs w:val="22"/>
          <w:lang w:val="en-AU" w:eastAsia="en-AU" w:bidi="ar-SA"/>
        </w:rPr>
        <w:t xml:space="preserve">ome of these incidents </w:t>
      </w:r>
      <w:r w:rsidR="00532FE8" w:rsidRPr="007F6373">
        <w:rPr>
          <w:rFonts w:cs="Arial"/>
          <w:color w:val="000000"/>
          <w:szCs w:val="22"/>
          <w:lang w:val="en-AU" w:eastAsia="en-AU" w:bidi="ar-SA"/>
        </w:rPr>
        <w:t>ar</w:t>
      </w:r>
      <w:r w:rsidR="00532FE8">
        <w:rPr>
          <w:rFonts w:cs="Arial"/>
          <w:color w:val="000000"/>
          <w:szCs w:val="22"/>
          <w:lang w:val="en-AU" w:eastAsia="en-AU" w:bidi="ar-SA"/>
        </w:rPr>
        <w:t>o</w:t>
      </w:r>
      <w:r w:rsidR="00532FE8" w:rsidRPr="007F6373">
        <w:rPr>
          <w:rFonts w:cs="Arial"/>
          <w:color w:val="000000"/>
          <w:szCs w:val="22"/>
          <w:lang w:val="en-AU" w:eastAsia="en-AU" w:bidi="ar-SA"/>
        </w:rPr>
        <w:t xml:space="preserve">se </w:t>
      </w:r>
      <w:r w:rsidR="00062D52" w:rsidRPr="007F6373">
        <w:rPr>
          <w:rFonts w:cs="Arial"/>
          <w:color w:val="000000"/>
          <w:szCs w:val="22"/>
          <w:lang w:val="en-AU" w:eastAsia="en-AU" w:bidi="ar-SA"/>
        </w:rPr>
        <w:t xml:space="preserve">because of evolving science, new evaluation of contaminants by regulatory agencies </w:t>
      </w:r>
      <w:r w:rsidR="00746AC0" w:rsidRPr="007F6373">
        <w:rPr>
          <w:rFonts w:cs="Arial"/>
          <w:color w:val="000000"/>
          <w:szCs w:val="22"/>
          <w:lang w:val="en-AU" w:eastAsia="en-AU" w:bidi="ar-SA"/>
        </w:rPr>
        <w:t>and</w:t>
      </w:r>
      <w:r w:rsidR="00532FE8">
        <w:rPr>
          <w:rFonts w:cs="Arial"/>
          <w:color w:val="000000"/>
          <w:szCs w:val="22"/>
          <w:lang w:val="en-AU" w:eastAsia="en-AU" w:bidi="ar-SA"/>
        </w:rPr>
        <w:t>/or</w:t>
      </w:r>
      <w:r w:rsidR="00062D52" w:rsidRPr="007F6373">
        <w:rPr>
          <w:rFonts w:cs="Arial"/>
          <w:color w:val="000000"/>
          <w:szCs w:val="22"/>
          <w:lang w:val="en-AU" w:eastAsia="en-AU" w:bidi="ar-SA"/>
        </w:rPr>
        <w:t xml:space="preserve"> some </w:t>
      </w:r>
      <w:proofErr w:type="gramStart"/>
      <w:r w:rsidR="00062D52" w:rsidRPr="007F6373">
        <w:rPr>
          <w:rFonts w:cs="Arial"/>
          <w:color w:val="000000"/>
          <w:szCs w:val="22"/>
          <w:lang w:val="en-AU" w:eastAsia="en-AU" w:bidi="ar-SA"/>
        </w:rPr>
        <w:t>permissions</w:t>
      </w:r>
      <w:proofErr w:type="gramEnd"/>
      <w:r w:rsidR="00465774">
        <w:rPr>
          <w:rFonts w:cs="Arial"/>
          <w:color w:val="000000"/>
          <w:szCs w:val="22"/>
          <w:lang w:val="en-AU" w:eastAsia="en-AU" w:bidi="ar-SA"/>
        </w:rPr>
        <w:t xml:space="preserve"> for packaging materials</w:t>
      </w:r>
      <w:r w:rsidR="00062D52" w:rsidRPr="007F6373">
        <w:rPr>
          <w:rFonts w:cs="Arial"/>
          <w:color w:val="000000"/>
          <w:szCs w:val="22"/>
          <w:lang w:val="en-AU" w:eastAsia="en-AU" w:bidi="ar-SA"/>
        </w:rPr>
        <w:t xml:space="preserve"> </w:t>
      </w:r>
      <w:r w:rsidR="00746AC0" w:rsidRPr="007F6373">
        <w:rPr>
          <w:rFonts w:cs="Arial"/>
          <w:color w:val="000000"/>
          <w:szCs w:val="22"/>
          <w:lang w:val="en-AU" w:eastAsia="en-AU" w:bidi="ar-SA"/>
        </w:rPr>
        <w:t>being</w:t>
      </w:r>
      <w:r w:rsidR="00062D52" w:rsidRPr="007F6373">
        <w:rPr>
          <w:rFonts w:cs="Arial"/>
          <w:color w:val="000000"/>
          <w:szCs w:val="22"/>
          <w:lang w:val="en-AU" w:eastAsia="en-AU" w:bidi="ar-SA"/>
        </w:rPr>
        <w:t xml:space="preserve"> out-dated</w:t>
      </w:r>
      <w:r w:rsidR="00465774">
        <w:rPr>
          <w:rFonts w:cs="Arial"/>
          <w:color w:val="000000"/>
          <w:szCs w:val="22"/>
          <w:lang w:val="en-AU" w:eastAsia="en-AU" w:bidi="ar-SA"/>
        </w:rPr>
        <w:t xml:space="preserve"> in the EU or US</w:t>
      </w:r>
      <w:r w:rsidR="00746AC0" w:rsidRPr="007F6373">
        <w:rPr>
          <w:rFonts w:cs="Arial"/>
          <w:color w:val="000000"/>
          <w:szCs w:val="22"/>
          <w:lang w:val="en-AU" w:eastAsia="en-AU" w:bidi="ar-SA"/>
        </w:rPr>
        <w:t xml:space="preserve">. </w:t>
      </w:r>
      <w:r w:rsidR="005A1EF5" w:rsidRPr="007F6373">
        <w:rPr>
          <w:rFonts w:cs="Arial"/>
          <w:color w:val="000000"/>
          <w:szCs w:val="22"/>
          <w:lang w:val="en-AU" w:eastAsia="en-AU" w:bidi="ar-SA"/>
        </w:rPr>
        <w:t xml:space="preserve">It is </w:t>
      </w:r>
      <w:r w:rsidR="00746AC0" w:rsidRPr="007F6373">
        <w:rPr>
          <w:rFonts w:cs="Arial"/>
          <w:color w:val="000000"/>
          <w:szCs w:val="22"/>
          <w:lang w:val="en-AU" w:eastAsia="en-AU" w:bidi="ar-SA"/>
        </w:rPr>
        <w:t xml:space="preserve">also </w:t>
      </w:r>
      <w:r w:rsidR="005A1EF5" w:rsidRPr="007F6373">
        <w:rPr>
          <w:rFonts w:cs="Arial"/>
          <w:color w:val="000000"/>
          <w:szCs w:val="22"/>
          <w:lang w:val="en-AU" w:eastAsia="en-AU" w:bidi="ar-SA"/>
        </w:rPr>
        <w:t xml:space="preserve">understood that some of these incidents have been traced back to </w:t>
      </w:r>
      <w:r w:rsidR="00746AC0" w:rsidRPr="007F6373">
        <w:rPr>
          <w:rFonts w:cs="Arial"/>
          <w:color w:val="000000"/>
          <w:szCs w:val="22"/>
          <w:lang w:val="en-AU" w:eastAsia="en-AU" w:bidi="ar-SA"/>
        </w:rPr>
        <w:t xml:space="preserve">inadequate </w:t>
      </w:r>
      <w:r w:rsidR="005A1EF5" w:rsidRPr="007F6373">
        <w:rPr>
          <w:rFonts w:cs="Arial"/>
          <w:color w:val="000000"/>
          <w:szCs w:val="22"/>
          <w:lang w:val="en-AU" w:eastAsia="en-AU" w:bidi="ar-SA"/>
        </w:rPr>
        <w:t>quality assurance or control practices in the packaging supply chain</w:t>
      </w:r>
      <w:r w:rsidR="00505BAC" w:rsidRPr="007F6373">
        <w:rPr>
          <w:rFonts w:cs="Arial"/>
          <w:color w:val="000000"/>
          <w:szCs w:val="22"/>
          <w:lang w:val="en-AU" w:eastAsia="en-AU" w:bidi="ar-SA"/>
        </w:rPr>
        <w:t xml:space="preserve">. </w:t>
      </w:r>
      <w:r w:rsidR="00451B0B" w:rsidRPr="007F6373">
        <w:rPr>
          <w:rFonts w:cs="Arial"/>
          <w:color w:val="000000"/>
          <w:szCs w:val="22"/>
          <w:lang w:val="en-AU" w:eastAsia="en-AU" w:bidi="ar-SA"/>
        </w:rPr>
        <w:t xml:space="preserve">In many </w:t>
      </w:r>
      <w:r w:rsidR="00532FE8">
        <w:rPr>
          <w:rFonts w:cs="Arial"/>
          <w:color w:val="000000"/>
          <w:szCs w:val="22"/>
          <w:lang w:val="en-AU" w:eastAsia="en-AU" w:bidi="ar-SA"/>
        </w:rPr>
        <w:t xml:space="preserve">of these </w:t>
      </w:r>
      <w:r w:rsidR="00451B0B" w:rsidRPr="007F6373">
        <w:rPr>
          <w:rFonts w:cs="Arial"/>
          <w:color w:val="000000"/>
          <w:szCs w:val="22"/>
          <w:lang w:val="en-AU" w:eastAsia="en-AU" w:bidi="ar-SA"/>
        </w:rPr>
        <w:t xml:space="preserve">cases, industry </w:t>
      </w:r>
      <w:r w:rsidR="005A1EF5" w:rsidRPr="007F6373">
        <w:rPr>
          <w:rFonts w:cs="Arial"/>
          <w:color w:val="000000"/>
          <w:szCs w:val="22"/>
          <w:lang w:val="en-AU" w:eastAsia="en-AU" w:bidi="ar-SA"/>
        </w:rPr>
        <w:t xml:space="preserve">also </w:t>
      </w:r>
      <w:r w:rsidR="00451B0B" w:rsidRPr="007F6373">
        <w:rPr>
          <w:rFonts w:cs="Arial"/>
          <w:color w:val="000000"/>
          <w:szCs w:val="22"/>
          <w:lang w:val="en-AU" w:eastAsia="en-AU" w:bidi="ar-SA"/>
        </w:rPr>
        <w:t xml:space="preserve">responded by reformulating </w:t>
      </w:r>
      <w:r w:rsidR="005A1EF5" w:rsidRPr="007F6373">
        <w:rPr>
          <w:rFonts w:cs="Arial"/>
          <w:color w:val="000000"/>
          <w:szCs w:val="22"/>
          <w:lang w:val="en-AU" w:eastAsia="en-AU" w:bidi="ar-SA"/>
        </w:rPr>
        <w:t>and phasing</w:t>
      </w:r>
      <w:r w:rsidR="002D7A9B" w:rsidRPr="007F6373">
        <w:rPr>
          <w:rFonts w:cs="Arial"/>
          <w:color w:val="000000"/>
          <w:szCs w:val="22"/>
          <w:lang w:val="en-AU" w:eastAsia="en-AU" w:bidi="ar-SA"/>
        </w:rPr>
        <w:t>-</w:t>
      </w:r>
      <w:r w:rsidR="005A1EF5" w:rsidRPr="007F6373">
        <w:rPr>
          <w:rFonts w:cs="Arial"/>
          <w:color w:val="000000"/>
          <w:szCs w:val="22"/>
          <w:lang w:val="en-AU" w:eastAsia="en-AU" w:bidi="ar-SA"/>
        </w:rPr>
        <w:t xml:space="preserve">out certain </w:t>
      </w:r>
      <w:r w:rsidR="00451B0B" w:rsidRPr="007F6373">
        <w:rPr>
          <w:rFonts w:cs="Arial"/>
          <w:color w:val="000000"/>
          <w:szCs w:val="22"/>
          <w:lang w:val="en-AU" w:eastAsia="en-AU" w:bidi="ar-SA"/>
        </w:rPr>
        <w:t>products</w:t>
      </w:r>
      <w:r w:rsidR="00505BAC" w:rsidRPr="007F6373">
        <w:rPr>
          <w:rFonts w:cs="Arial"/>
          <w:color w:val="000000"/>
          <w:szCs w:val="22"/>
          <w:lang w:val="en-AU" w:eastAsia="en-AU" w:bidi="ar-SA"/>
        </w:rPr>
        <w:t xml:space="preserve">. </w:t>
      </w:r>
    </w:p>
    <w:p w:rsidR="00D22323" w:rsidRPr="007F6373" w:rsidRDefault="00D22323" w:rsidP="003521C0">
      <w:pPr>
        <w:widowControl/>
        <w:rPr>
          <w:rFonts w:cs="Arial"/>
          <w:color w:val="000000"/>
          <w:szCs w:val="22"/>
          <w:lang w:val="en-AU" w:eastAsia="en-AU" w:bidi="ar-SA"/>
        </w:rPr>
      </w:pPr>
    </w:p>
    <w:p w:rsidR="00D14B0B" w:rsidRPr="007F6373" w:rsidRDefault="00D14B0B" w:rsidP="007F6373">
      <w:pPr>
        <w:pStyle w:val="Marginnote"/>
        <w:framePr w:w="1589" w:wrap="around" w:x="9044" w:y="461"/>
        <w:rPr>
          <w:rFonts w:ascii="Arial" w:hAnsi="Arial" w:cs="Arial"/>
          <w:szCs w:val="22"/>
        </w:rPr>
      </w:pPr>
      <w:bookmarkStart w:id="108" w:name="_Toc394584236"/>
      <w:bookmarkStart w:id="109" w:name="_Toc394584340"/>
      <w:bookmarkStart w:id="110" w:name="_Toc395080352"/>
      <w:bookmarkStart w:id="111" w:name="_Toc395100929"/>
      <w:bookmarkStart w:id="112" w:name="_Toc268973579"/>
      <w:bookmarkStart w:id="113" w:name="_Toc395188071"/>
      <w:bookmarkStart w:id="114" w:name="_Toc395188254"/>
      <w:bookmarkStart w:id="115" w:name="_Toc395250797"/>
      <w:bookmarkStart w:id="116" w:name="_Toc395257397"/>
      <w:bookmarkStart w:id="117" w:name="_Toc395270554"/>
      <w:bookmarkStart w:id="118" w:name="_Toc395270663"/>
      <w:bookmarkStart w:id="119" w:name="_Toc395279159"/>
      <w:bookmarkStart w:id="120" w:name="_Toc395608009"/>
      <w:bookmarkStart w:id="121" w:name="_Toc395798911"/>
      <w:bookmarkStart w:id="122" w:name="_Toc395881567"/>
      <w:bookmarkStart w:id="123" w:name="_Toc396315610"/>
      <w:bookmarkStart w:id="124" w:name="_Toc396732656"/>
      <w:bookmarkStart w:id="125" w:name="_Toc397520930"/>
      <w:bookmarkStart w:id="126" w:name="_Toc398192215"/>
      <w:bookmarkStart w:id="127" w:name="_Toc398192304"/>
      <w:bookmarkStart w:id="128" w:name="_Toc402281354"/>
      <w:bookmarkStart w:id="129" w:name="_Toc402367227"/>
      <w:bookmarkStart w:id="130" w:name="_Toc402450610"/>
      <w:bookmarkStart w:id="131" w:name="_Toc403377531"/>
      <w:bookmarkStart w:id="132" w:name="_Toc403394296"/>
      <w:r w:rsidRPr="007F6373">
        <w:rPr>
          <w:rFonts w:ascii="Arial" w:hAnsi="Arial" w:cs="Arial"/>
          <w:szCs w:val="22"/>
        </w:rPr>
        <w:t xml:space="preserve">Initial consultation with industry indicates that some businesses, including </w:t>
      </w:r>
      <w:r w:rsidR="0056040A" w:rsidRPr="007F6373">
        <w:rPr>
          <w:rFonts w:ascii="Arial" w:hAnsi="Arial" w:cs="Arial"/>
          <w:szCs w:val="22"/>
        </w:rPr>
        <w:t>SMEs</w:t>
      </w:r>
      <w:r w:rsidRPr="007F6373">
        <w:rPr>
          <w:rFonts w:ascii="Arial" w:hAnsi="Arial" w:cs="Arial"/>
          <w:szCs w:val="22"/>
        </w:rPr>
        <w:t>, may not be aware of issues with CMPF</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482762" w:rsidRPr="007F6373" w:rsidRDefault="0008241A" w:rsidP="003521C0">
      <w:pPr>
        <w:widowControl/>
        <w:rPr>
          <w:rFonts w:cs="Arial"/>
          <w:color w:val="000000"/>
          <w:szCs w:val="22"/>
          <w:lang w:val="en-AU" w:eastAsia="en-AU" w:bidi="ar-SA"/>
        </w:rPr>
      </w:pPr>
      <w:r w:rsidRPr="007F6373">
        <w:rPr>
          <w:rFonts w:cs="Arial"/>
          <w:color w:val="000000"/>
          <w:szCs w:val="22"/>
          <w:lang w:val="en-AU" w:eastAsia="en-AU" w:bidi="ar-SA"/>
        </w:rPr>
        <w:t>Some i</w:t>
      </w:r>
      <w:r w:rsidR="00D22323" w:rsidRPr="007F6373">
        <w:rPr>
          <w:rFonts w:cs="Arial"/>
          <w:color w:val="000000"/>
          <w:szCs w:val="22"/>
          <w:lang w:val="en-AU" w:eastAsia="en-AU" w:bidi="ar-SA"/>
        </w:rPr>
        <w:t xml:space="preserve">ndustry </w:t>
      </w:r>
      <w:r w:rsidRPr="007F6373">
        <w:rPr>
          <w:rFonts w:cs="Arial"/>
          <w:color w:val="000000"/>
          <w:szCs w:val="22"/>
          <w:lang w:val="en-AU" w:eastAsia="en-AU" w:bidi="ar-SA"/>
        </w:rPr>
        <w:t xml:space="preserve">representatives have </w:t>
      </w:r>
      <w:r w:rsidR="00D22323" w:rsidRPr="007F6373">
        <w:rPr>
          <w:rFonts w:cs="Arial"/>
          <w:color w:val="000000"/>
          <w:szCs w:val="22"/>
          <w:lang w:val="en-AU" w:eastAsia="en-AU" w:bidi="ar-SA"/>
        </w:rPr>
        <w:t xml:space="preserve">expressed concern that the current requirements in the Code </w:t>
      </w:r>
      <w:r w:rsidR="003A6C4E" w:rsidRPr="007F6373">
        <w:rPr>
          <w:rFonts w:cs="Arial"/>
          <w:color w:val="000000"/>
          <w:szCs w:val="22"/>
          <w:lang w:val="en-AU" w:eastAsia="en-AU" w:bidi="ar-SA"/>
        </w:rPr>
        <w:t xml:space="preserve">do not </w:t>
      </w:r>
      <w:r w:rsidR="00552AF7" w:rsidRPr="007F6373">
        <w:rPr>
          <w:rFonts w:cs="Arial"/>
          <w:color w:val="000000"/>
          <w:szCs w:val="22"/>
          <w:lang w:val="en-AU" w:eastAsia="en-AU" w:bidi="ar-SA"/>
        </w:rPr>
        <w:t xml:space="preserve">help </w:t>
      </w:r>
      <w:r w:rsidR="003A6C4E" w:rsidRPr="007F6373">
        <w:rPr>
          <w:rFonts w:cs="Arial"/>
          <w:color w:val="000000"/>
          <w:szCs w:val="22"/>
          <w:lang w:val="en-AU" w:eastAsia="en-AU" w:bidi="ar-SA"/>
        </w:rPr>
        <w:t xml:space="preserve">industry to mitigate risks from </w:t>
      </w:r>
      <w:r w:rsidR="00D22323" w:rsidRPr="007F6373">
        <w:rPr>
          <w:rFonts w:cs="Arial"/>
          <w:color w:val="000000"/>
          <w:szCs w:val="22"/>
          <w:lang w:val="en-AU" w:eastAsia="en-AU" w:bidi="ar-SA"/>
        </w:rPr>
        <w:t>the increased</w:t>
      </w:r>
      <w:r w:rsidR="00D14B0B" w:rsidRPr="007F6373">
        <w:rPr>
          <w:rFonts w:cs="Arial"/>
          <w:color w:val="000000"/>
          <w:szCs w:val="22"/>
          <w:lang w:val="en-AU" w:eastAsia="en-AU" w:bidi="ar-SA"/>
        </w:rPr>
        <w:t xml:space="preserve"> demand for</w:t>
      </w:r>
      <w:r w:rsidR="00D22323" w:rsidRPr="007F6373">
        <w:rPr>
          <w:rFonts w:cs="Arial"/>
          <w:color w:val="000000"/>
          <w:szCs w:val="22"/>
          <w:lang w:val="en-AU" w:eastAsia="en-AU" w:bidi="ar-SA"/>
        </w:rPr>
        <w:t xml:space="preserve"> use of </w:t>
      </w:r>
      <w:r w:rsidR="00D22323" w:rsidRPr="007F6373">
        <w:rPr>
          <w:szCs w:val="22"/>
          <w:lang w:bidi="ar-SA"/>
        </w:rPr>
        <w:t>recycled materials</w:t>
      </w:r>
      <w:r w:rsidR="00B47CF8" w:rsidRPr="007F6373">
        <w:rPr>
          <w:rStyle w:val="FootnoteReference"/>
          <w:szCs w:val="22"/>
          <w:lang w:bidi="ar-SA"/>
        </w:rPr>
        <w:footnoteReference w:id="2"/>
      </w:r>
      <w:r w:rsidR="00D22323" w:rsidRPr="007F6373">
        <w:rPr>
          <w:szCs w:val="22"/>
          <w:lang w:bidi="ar-SA"/>
        </w:rPr>
        <w:t xml:space="preserve"> and the potential for chemical migration from unknown complex matrices</w:t>
      </w:r>
      <w:r w:rsidR="008C5D0F" w:rsidRPr="007F6373">
        <w:rPr>
          <w:szCs w:val="22"/>
          <w:lang w:bidi="ar-SA"/>
        </w:rPr>
        <w:t xml:space="preserve"> </w:t>
      </w:r>
      <w:r w:rsidR="006702D1" w:rsidRPr="007F6373">
        <w:rPr>
          <w:szCs w:val="22"/>
          <w:lang w:bidi="ar-SA"/>
        </w:rPr>
        <w:t xml:space="preserve">making up </w:t>
      </w:r>
      <w:r w:rsidR="008C5D0F" w:rsidRPr="007F6373">
        <w:rPr>
          <w:szCs w:val="22"/>
          <w:lang w:bidi="ar-SA"/>
        </w:rPr>
        <w:t>these materials.</w:t>
      </w:r>
    </w:p>
    <w:p w:rsidR="00482762" w:rsidRPr="007F6373" w:rsidRDefault="00482762" w:rsidP="003521C0">
      <w:pPr>
        <w:widowControl/>
        <w:rPr>
          <w:rFonts w:cs="Arial"/>
          <w:color w:val="000000"/>
          <w:lang w:val="en-AU" w:eastAsia="en-AU" w:bidi="ar-SA"/>
        </w:rPr>
      </w:pPr>
    </w:p>
    <w:p w:rsidR="003521C0" w:rsidRPr="007F6373" w:rsidRDefault="003521C0" w:rsidP="003521C0">
      <w:pPr>
        <w:widowControl/>
        <w:rPr>
          <w:rFonts w:cs="Arial"/>
          <w:color w:val="000000"/>
          <w:lang w:val="en-AU" w:eastAsia="en-AU" w:bidi="ar-SA"/>
        </w:rPr>
      </w:pPr>
      <w:r w:rsidRPr="007F6373">
        <w:rPr>
          <w:rFonts w:cs="Arial"/>
          <w:color w:val="000000"/>
          <w:lang w:val="en-AU" w:eastAsia="en-AU" w:bidi="ar-SA"/>
        </w:rPr>
        <w:t xml:space="preserve">Through consultation </w:t>
      </w:r>
      <w:r w:rsidR="008B45A0" w:rsidRPr="007F6373">
        <w:rPr>
          <w:rFonts w:cs="Arial"/>
          <w:color w:val="000000"/>
          <w:lang w:val="en-AU" w:eastAsia="en-AU" w:bidi="ar-SA"/>
        </w:rPr>
        <w:t>and survey</w:t>
      </w:r>
      <w:r w:rsidR="00552AF7" w:rsidRPr="007F6373">
        <w:rPr>
          <w:rFonts w:cs="Arial"/>
          <w:color w:val="000000"/>
          <w:lang w:val="en-AU" w:eastAsia="en-AU" w:bidi="ar-SA"/>
        </w:rPr>
        <w:t xml:space="preserve">s </w:t>
      </w:r>
      <w:r w:rsidR="008B45A0" w:rsidRPr="007F6373">
        <w:rPr>
          <w:rFonts w:cs="Arial"/>
          <w:color w:val="000000"/>
          <w:lang w:val="en-AU" w:eastAsia="en-AU" w:bidi="ar-SA"/>
        </w:rPr>
        <w:t>of</w:t>
      </w:r>
      <w:r w:rsidRPr="007F6373">
        <w:rPr>
          <w:rFonts w:cs="Arial"/>
          <w:color w:val="000000"/>
          <w:lang w:val="en-AU" w:eastAsia="en-AU" w:bidi="ar-SA"/>
        </w:rPr>
        <w:t xml:space="preserve"> industry stakeholders, including IAG members, </w:t>
      </w:r>
      <w:r w:rsidR="00552AF7" w:rsidRPr="007F6373">
        <w:rPr>
          <w:rFonts w:cs="Arial"/>
          <w:color w:val="000000"/>
          <w:lang w:val="en-AU" w:eastAsia="en-AU" w:bidi="ar-SA"/>
        </w:rPr>
        <w:t>FSANZ a</w:t>
      </w:r>
      <w:r w:rsidR="006C2FAD" w:rsidRPr="007F6373">
        <w:rPr>
          <w:rFonts w:cs="Arial"/>
          <w:color w:val="000000"/>
          <w:lang w:val="en-AU" w:eastAsia="en-AU" w:bidi="ar-SA"/>
        </w:rPr>
        <w:t xml:space="preserve">lso </w:t>
      </w:r>
      <w:r w:rsidRPr="007F6373">
        <w:rPr>
          <w:rFonts w:cs="Arial"/>
          <w:color w:val="000000"/>
          <w:lang w:val="en-AU" w:eastAsia="en-AU" w:bidi="ar-SA"/>
        </w:rPr>
        <w:t>identified that</w:t>
      </w:r>
      <w:r w:rsidR="001F4A9B" w:rsidRPr="007F6373">
        <w:rPr>
          <w:rFonts w:cs="Arial"/>
          <w:color w:val="000000"/>
          <w:lang w:val="en-AU" w:eastAsia="en-AU" w:bidi="ar-SA"/>
        </w:rPr>
        <w:t xml:space="preserve"> a number of</w:t>
      </w:r>
      <w:r w:rsidR="006C2FAD" w:rsidRPr="007F6373">
        <w:rPr>
          <w:rFonts w:cs="Arial"/>
          <w:color w:val="000000"/>
          <w:lang w:val="en-AU" w:eastAsia="en-AU" w:bidi="ar-SA"/>
        </w:rPr>
        <w:t xml:space="preserve"> </w:t>
      </w:r>
      <w:r w:rsidRPr="007F6373">
        <w:rPr>
          <w:rFonts w:cs="Arial"/>
          <w:color w:val="000000"/>
          <w:lang w:val="en-AU" w:eastAsia="en-AU" w:bidi="ar-SA"/>
        </w:rPr>
        <w:t xml:space="preserve">smaller, less experienced businesses </w:t>
      </w:r>
      <w:r w:rsidR="00F76EB0" w:rsidRPr="007F6373">
        <w:rPr>
          <w:rFonts w:cs="Arial"/>
          <w:color w:val="000000"/>
          <w:lang w:val="en-AU" w:eastAsia="en-AU" w:bidi="ar-SA"/>
        </w:rPr>
        <w:t>(</w:t>
      </w:r>
      <w:r w:rsidR="006C2FAD" w:rsidRPr="007F6373">
        <w:rPr>
          <w:rFonts w:cs="Arial"/>
          <w:color w:val="000000"/>
          <w:lang w:val="en-AU" w:eastAsia="en-AU" w:bidi="ar-SA"/>
        </w:rPr>
        <w:t>s</w:t>
      </w:r>
      <w:r w:rsidR="00F76EB0" w:rsidRPr="007F6373">
        <w:rPr>
          <w:rFonts w:cs="Arial"/>
          <w:color w:val="000000"/>
          <w:lang w:val="en-AU" w:eastAsia="en-AU" w:bidi="ar-SA"/>
        </w:rPr>
        <w:t xml:space="preserve">mall to medium enterprises, SMEs) </w:t>
      </w:r>
      <w:r w:rsidR="003F77C1" w:rsidRPr="007F6373">
        <w:rPr>
          <w:rFonts w:cs="Arial"/>
          <w:color w:val="000000"/>
          <w:lang w:val="en-AU" w:eastAsia="en-AU" w:bidi="ar-SA"/>
        </w:rPr>
        <w:t xml:space="preserve">may </w:t>
      </w:r>
      <w:r w:rsidR="00B4756E" w:rsidRPr="007F6373">
        <w:rPr>
          <w:rFonts w:cs="Arial"/>
          <w:color w:val="000000"/>
          <w:lang w:val="en-AU" w:eastAsia="en-AU" w:bidi="ar-SA"/>
        </w:rPr>
        <w:t>not be aware of the potential risks from CM</w:t>
      </w:r>
      <w:r w:rsidR="001D6EC5">
        <w:rPr>
          <w:rFonts w:cs="Arial"/>
          <w:color w:val="000000"/>
          <w:lang w:val="en-AU" w:eastAsia="en-AU" w:bidi="ar-SA"/>
        </w:rPr>
        <w:t>PF</w:t>
      </w:r>
      <w:r w:rsidR="00B4756E" w:rsidRPr="007F6373">
        <w:rPr>
          <w:rFonts w:cs="Arial"/>
          <w:color w:val="000000"/>
          <w:lang w:val="en-AU" w:eastAsia="en-AU" w:bidi="ar-SA"/>
        </w:rPr>
        <w:t xml:space="preserve"> and </w:t>
      </w:r>
      <w:r w:rsidR="00D22323" w:rsidRPr="007F6373">
        <w:rPr>
          <w:rFonts w:cs="Arial"/>
          <w:color w:val="000000"/>
          <w:lang w:val="en-AU" w:eastAsia="en-AU" w:bidi="ar-SA"/>
        </w:rPr>
        <w:t xml:space="preserve">may not </w:t>
      </w:r>
      <w:r w:rsidR="00B4756E" w:rsidRPr="007F6373">
        <w:rPr>
          <w:rFonts w:cs="Arial"/>
          <w:color w:val="000000"/>
          <w:lang w:val="en-AU" w:eastAsia="en-AU" w:bidi="ar-SA"/>
        </w:rPr>
        <w:t>have in place appropriate mitigation measures</w:t>
      </w:r>
      <w:r w:rsidR="003F77C1" w:rsidRPr="007F6373">
        <w:rPr>
          <w:rFonts w:cs="Arial"/>
          <w:color w:val="000000"/>
          <w:lang w:val="en-AU" w:eastAsia="en-AU" w:bidi="ar-SA"/>
        </w:rPr>
        <w:t xml:space="preserve">. Some </w:t>
      </w:r>
      <w:r w:rsidR="00D86D60" w:rsidRPr="007F6373">
        <w:rPr>
          <w:rFonts w:cs="Arial"/>
          <w:color w:val="000000"/>
          <w:lang w:val="en-AU" w:eastAsia="en-AU" w:bidi="ar-SA"/>
        </w:rPr>
        <w:t>large companies, for example those who are e</w:t>
      </w:r>
      <w:r w:rsidR="003F77C1" w:rsidRPr="007F6373">
        <w:rPr>
          <w:rFonts w:cs="Arial"/>
          <w:color w:val="000000"/>
          <w:lang w:val="en-AU" w:eastAsia="en-AU" w:bidi="ar-SA"/>
        </w:rPr>
        <w:t xml:space="preserve">nd users </w:t>
      </w:r>
      <w:r w:rsidR="002A2007">
        <w:rPr>
          <w:rFonts w:cs="Arial"/>
          <w:color w:val="000000"/>
          <w:lang w:val="en-AU" w:eastAsia="en-AU" w:bidi="ar-SA"/>
        </w:rPr>
        <w:t>in</w:t>
      </w:r>
      <w:r w:rsidR="003F77C1" w:rsidRPr="007F6373">
        <w:rPr>
          <w:rFonts w:cs="Arial"/>
          <w:color w:val="000000"/>
          <w:lang w:val="en-AU" w:eastAsia="en-AU" w:bidi="ar-SA"/>
        </w:rPr>
        <w:t xml:space="preserve"> the packaging </w:t>
      </w:r>
      <w:r w:rsidR="008C5D0F" w:rsidRPr="007F6373">
        <w:rPr>
          <w:rFonts w:cs="Arial"/>
          <w:color w:val="000000"/>
          <w:lang w:val="en-AU" w:eastAsia="en-AU" w:bidi="ar-SA"/>
        </w:rPr>
        <w:t>chain</w:t>
      </w:r>
      <w:r w:rsidR="002A2007">
        <w:rPr>
          <w:rFonts w:cs="Arial"/>
          <w:color w:val="000000"/>
          <w:lang w:val="en-AU" w:eastAsia="en-AU" w:bidi="ar-SA"/>
        </w:rPr>
        <w:t>,</w:t>
      </w:r>
      <w:r w:rsidR="008E65D4" w:rsidRPr="007F6373">
        <w:rPr>
          <w:rFonts w:cs="Arial"/>
          <w:color w:val="000000"/>
          <w:lang w:val="en-AU" w:eastAsia="en-AU" w:bidi="ar-SA"/>
        </w:rPr>
        <w:t xml:space="preserve"> </w:t>
      </w:r>
      <w:proofErr w:type="gramStart"/>
      <w:r w:rsidRPr="007F6373">
        <w:rPr>
          <w:rFonts w:cs="Arial"/>
          <w:color w:val="000000"/>
          <w:lang w:val="en-AU" w:eastAsia="en-AU" w:bidi="ar-SA"/>
        </w:rPr>
        <w:t>may</w:t>
      </w:r>
      <w:proofErr w:type="gramEnd"/>
      <w:r w:rsidRPr="007F6373">
        <w:rPr>
          <w:rFonts w:cs="Arial"/>
          <w:color w:val="000000"/>
          <w:lang w:val="en-AU" w:eastAsia="en-AU" w:bidi="ar-SA"/>
        </w:rPr>
        <w:t xml:space="preserve"> similarly </w:t>
      </w:r>
      <w:r w:rsidR="00D22323" w:rsidRPr="007F6373">
        <w:rPr>
          <w:rFonts w:cs="Arial"/>
          <w:color w:val="000000"/>
          <w:lang w:val="en-AU" w:eastAsia="en-AU" w:bidi="ar-SA"/>
        </w:rPr>
        <w:t xml:space="preserve">be </w:t>
      </w:r>
      <w:r w:rsidRPr="007F6373">
        <w:rPr>
          <w:rFonts w:cs="Arial"/>
          <w:color w:val="000000"/>
          <w:lang w:val="en-AU" w:eastAsia="en-AU" w:bidi="ar-SA"/>
        </w:rPr>
        <w:t>unaware of potential CMPF migration issues and related requirements on packaging safety</w:t>
      </w:r>
      <w:r w:rsidR="00505BAC" w:rsidRPr="007F6373">
        <w:rPr>
          <w:rFonts w:cs="Arial"/>
          <w:color w:val="000000"/>
          <w:lang w:val="en-AU" w:eastAsia="en-AU" w:bidi="ar-SA"/>
        </w:rPr>
        <w:t xml:space="preserve">. </w:t>
      </w:r>
    </w:p>
    <w:p w:rsidR="00096DCE" w:rsidRDefault="00505BAC" w:rsidP="007F6373">
      <w:pPr>
        <w:pStyle w:val="Heading2"/>
        <w:rPr>
          <w:lang w:val="en-AU"/>
        </w:rPr>
      </w:pPr>
      <w:bookmarkStart w:id="133" w:name="_Toc403377532"/>
      <w:bookmarkStart w:id="134" w:name="_Toc403394297"/>
      <w:r>
        <w:rPr>
          <w:lang w:val="en-AU"/>
        </w:rPr>
        <w:t>1.4</w:t>
      </w:r>
      <w:r>
        <w:rPr>
          <w:lang w:val="en-AU"/>
        </w:rPr>
        <w:tab/>
      </w:r>
      <w:r w:rsidR="00096DCE" w:rsidRPr="00096DCE">
        <w:rPr>
          <w:lang w:val="en-AU"/>
        </w:rPr>
        <w:t xml:space="preserve">Key findings </w:t>
      </w:r>
      <w:r w:rsidR="00096DCE">
        <w:rPr>
          <w:lang w:val="en-AU"/>
        </w:rPr>
        <w:t>from FSANZ’s preliminary review</w:t>
      </w:r>
      <w:bookmarkEnd w:id="133"/>
      <w:bookmarkEnd w:id="134"/>
      <w:r w:rsidR="00096DCE">
        <w:rPr>
          <w:lang w:val="en-AU"/>
        </w:rPr>
        <w:t xml:space="preserve"> </w:t>
      </w:r>
    </w:p>
    <w:p w:rsidR="00422AD8" w:rsidRPr="003D138D" w:rsidRDefault="00096DCE" w:rsidP="003322F1">
      <w:pPr>
        <w:contextualSpacing/>
        <w:rPr>
          <w:rFonts w:cs="Arial"/>
          <w:szCs w:val="22"/>
          <w:lang w:val="en-AU" w:eastAsia="en-AU" w:bidi="ar-SA"/>
        </w:rPr>
      </w:pPr>
      <w:r w:rsidRPr="003D138D">
        <w:rPr>
          <w:rFonts w:cs="Arial"/>
          <w:szCs w:val="22"/>
          <w:lang w:val="en-AU" w:eastAsia="en-AU" w:bidi="ar-SA"/>
        </w:rPr>
        <w:t xml:space="preserve">The </w:t>
      </w:r>
      <w:r w:rsidR="008E65D4" w:rsidRPr="003D138D">
        <w:rPr>
          <w:rFonts w:cs="Arial"/>
          <w:szCs w:val="22"/>
          <w:lang w:val="en-AU" w:eastAsia="en-AU" w:bidi="ar-SA"/>
        </w:rPr>
        <w:t xml:space="preserve">preliminary work undertaken by FSANZ on CMPF </w:t>
      </w:r>
      <w:r w:rsidR="003D3E98" w:rsidRPr="003D138D">
        <w:rPr>
          <w:rFonts w:cs="Arial"/>
          <w:szCs w:val="22"/>
          <w:lang w:val="en-AU" w:eastAsia="en-AU" w:bidi="ar-SA"/>
        </w:rPr>
        <w:t>investigated</w:t>
      </w:r>
      <w:r w:rsidRPr="003D138D">
        <w:rPr>
          <w:rFonts w:cs="Arial"/>
          <w:szCs w:val="22"/>
          <w:lang w:val="en-AU" w:eastAsia="en-AU" w:bidi="ar-SA"/>
        </w:rPr>
        <w:t xml:space="preserve"> </w:t>
      </w:r>
      <w:r w:rsidR="00552AF7" w:rsidRPr="003D138D">
        <w:rPr>
          <w:rFonts w:cs="Arial"/>
          <w:szCs w:val="22"/>
          <w:lang w:val="en-AU" w:eastAsia="en-AU" w:bidi="ar-SA"/>
        </w:rPr>
        <w:t xml:space="preserve">what evidence was </w:t>
      </w:r>
      <w:r w:rsidR="008E65D4" w:rsidRPr="003D138D">
        <w:rPr>
          <w:rFonts w:cs="Arial"/>
          <w:szCs w:val="22"/>
          <w:lang w:val="en-AU" w:eastAsia="en-AU" w:bidi="ar-SA"/>
        </w:rPr>
        <w:t xml:space="preserve">available on </w:t>
      </w:r>
      <w:r w:rsidRPr="003D138D">
        <w:rPr>
          <w:rFonts w:cs="Arial"/>
          <w:szCs w:val="22"/>
          <w:lang w:val="en-AU" w:eastAsia="en-AU" w:bidi="ar-SA"/>
        </w:rPr>
        <w:t xml:space="preserve">the migration of chemicals </w:t>
      </w:r>
      <w:r w:rsidR="008E65D4" w:rsidRPr="003D138D">
        <w:rPr>
          <w:rFonts w:cs="Arial"/>
          <w:szCs w:val="22"/>
          <w:lang w:val="en-AU" w:eastAsia="en-AU" w:bidi="ar-SA"/>
        </w:rPr>
        <w:t xml:space="preserve">into food </w:t>
      </w:r>
      <w:r w:rsidRPr="003D138D">
        <w:rPr>
          <w:rFonts w:cs="Arial"/>
          <w:szCs w:val="22"/>
          <w:lang w:val="en-AU" w:eastAsia="en-AU" w:bidi="ar-SA"/>
        </w:rPr>
        <w:t xml:space="preserve">from </w:t>
      </w:r>
      <w:r w:rsidR="003D3E98" w:rsidRPr="003D138D">
        <w:rPr>
          <w:rFonts w:cs="Arial"/>
          <w:szCs w:val="22"/>
          <w:lang w:val="en-AU" w:eastAsia="en-AU" w:bidi="ar-SA"/>
        </w:rPr>
        <w:t>packaging materials</w:t>
      </w:r>
      <w:r w:rsidR="008E65D4" w:rsidRPr="003D138D">
        <w:rPr>
          <w:rFonts w:cs="Arial"/>
          <w:szCs w:val="22"/>
          <w:lang w:val="en-AU" w:eastAsia="en-AU" w:bidi="ar-SA"/>
        </w:rPr>
        <w:t xml:space="preserve"> together with </w:t>
      </w:r>
      <w:r w:rsidRPr="003D138D">
        <w:rPr>
          <w:rFonts w:cs="Arial"/>
          <w:szCs w:val="22"/>
          <w:lang w:val="en-AU" w:eastAsia="en-AU" w:bidi="ar-SA"/>
        </w:rPr>
        <w:t xml:space="preserve">the extent of industries’ uptake of regulatory </w:t>
      </w:r>
      <w:r w:rsidR="003D3E98" w:rsidRPr="003D138D">
        <w:rPr>
          <w:rFonts w:cs="Arial"/>
          <w:szCs w:val="22"/>
          <w:lang w:val="en-AU" w:eastAsia="en-AU" w:bidi="ar-SA"/>
        </w:rPr>
        <w:t>and non-regulatory requirements</w:t>
      </w:r>
      <w:r w:rsidR="008E65D4" w:rsidRPr="003D138D">
        <w:rPr>
          <w:rFonts w:cs="Arial"/>
          <w:szCs w:val="22"/>
          <w:lang w:val="en-AU" w:eastAsia="en-AU" w:bidi="ar-SA"/>
        </w:rPr>
        <w:t xml:space="preserve"> to manage food safety</w:t>
      </w:r>
      <w:r w:rsidR="003D3E98" w:rsidRPr="003D138D">
        <w:rPr>
          <w:rFonts w:cs="Arial"/>
          <w:szCs w:val="22"/>
          <w:lang w:val="en-AU" w:eastAsia="en-AU" w:bidi="ar-SA"/>
        </w:rPr>
        <w:t>.</w:t>
      </w:r>
      <w:r w:rsidR="00746AC0" w:rsidRPr="003D138D">
        <w:rPr>
          <w:rFonts w:cs="Arial"/>
          <w:szCs w:val="22"/>
          <w:lang w:val="en-AU" w:eastAsia="en-AU" w:bidi="ar-SA"/>
        </w:rPr>
        <w:t xml:space="preserve"> </w:t>
      </w:r>
    </w:p>
    <w:p w:rsidR="00422AD8" w:rsidRPr="003D138D" w:rsidRDefault="00422AD8" w:rsidP="003322F1">
      <w:pPr>
        <w:contextualSpacing/>
        <w:rPr>
          <w:rFonts w:cs="Arial"/>
          <w:szCs w:val="22"/>
          <w:lang w:val="en-AU" w:eastAsia="en-AU" w:bidi="ar-SA"/>
        </w:rPr>
      </w:pPr>
    </w:p>
    <w:p w:rsidR="003D3E98" w:rsidRPr="003D138D" w:rsidRDefault="00E43A2A" w:rsidP="003D3E98">
      <w:pPr>
        <w:contextualSpacing/>
        <w:rPr>
          <w:szCs w:val="22"/>
        </w:rPr>
      </w:pPr>
      <w:r w:rsidRPr="003D138D">
        <w:rPr>
          <w:szCs w:val="22"/>
        </w:rPr>
        <w:t>Following this preliminary work FSANZ concluded that</w:t>
      </w:r>
      <w:r w:rsidR="003D3E98" w:rsidRPr="003D138D">
        <w:rPr>
          <w:szCs w:val="22"/>
        </w:rPr>
        <w:t>:</w:t>
      </w:r>
    </w:p>
    <w:p w:rsidR="003D3E98" w:rsidRPr="003D138D" w:rsidRDefault="003D3E98" w:rsidP="003D3E98">
      <w:pPr>
        <w:contextualSpacing/>
        <w:rPr>
          <w:szCs w:val="22"/>
        </w:rPr>
      </w:pPr>
    </w:p>
    <w:p w:rsidR="003D3E98" w:rsidRPr="003D138D" w:rsidRDefault="003D3E98" w:rsidP="00F4428E">
      <w:pPr>
        <w:pStyle w:val="FSBullet1"/>
        <w:rPr>
          <w:szCs w:val="22"/>
        </w:rPr>
      </w:pPr>
      <w:r w:rsidRPr="003D138D">
        <w:rPr>
          <w:szCs w:val="22"/>
        </w:rPr>
        <w:t>the unintended leaching of some chemicals from packaging may pose a risk to public health</w:t>
      </w:r>
      <w:r w:rsidR="00E43A2A" w:rsidRPr="003D138D">
        <w:rPr>
          <w:szCs w:val="22"/>
        </w:rPr>
        <w:t xml:space="preserve"> but there is a high degree of uncertainty about the true nature of the problem</w:t>
      </w:r>
    </w:p>
    <w:p w:rsidR="0059039D" w:rsidRPr="0059039D" w:rsidRDefault="0059039D" w:rsidP="001C080F"/>
    <w:p w:rsidR="003D3E98" w:rsidRDefault="003D3E98" w:rsidP="007F6373">
      <w:pPr>
        <w:pStyle w:val="FSBullet1"/>
      </w:pPr>
      <w:r w:rsidRPr="003D3E98">
        <w:lastRenderedPageBreak/>
        <w:t xml:space="preserve">the safety of the food supply with respect to this risk depends on industry in Australia and New Zealand being aware of, and complying with, US and/or EU regulations and/or other packaging </w:t>
      </w:r>
      <w:r w:rsidR="00865C1D">
        <w:t>Codes of Practice, guidelines or self-imposed safety requirements consistent with Food Act requirements</w:t>
      </w:r>
    </w:p>
    <w:p w:rsidR="00505BAC" w:rsidRPr="002A4A1D" w:rsidRDefault="00505BAC" w:rsidP="007F6373">
      <w:pPr>
        <w:rPr>
          <w:lang w:bidi="ar-SA"/>
        </w:rPr>
      </w:pPr>
    </w:p>
    <w:p w:rsidR="003D3E98" w:rsidRDefault="003D3E98" w:rsidP="007F6373">
      <w:pPr>
        <w:pStyle w:val="FSBullet1"/>
      </w:pPr>
      <w:r w:rsidRPr="003A652D">
        <w:t xml:space="preserve">for some packaging materials and chemicals, or combinations of chemicals, there </w:t>
      </w:r>
      <w:r w:rsidR="00865C1D" w:rsidRPr="003A652D">
        <w:t>may be</w:t>
      </w:r>
      <w:r w:rsidRPr="003A652D">
        <w:t xml:space="preserve"> risks</w:t>
      </w:r>
      <w:r w:rsidR="008E65D4" w:rsidRPr="003A652D">
        <w:t xml:space="preserve"> </w:t>
      </w:r>
      <w:r w:rsidR="00865C1D" w:rsidRPr="003A652D">
        <w:t xml:space="preserve">that are </w:t>
      </w:r>
      <w:r w:rsidR="00E43A2A" w:rsidRPr="003A652D">
        <w:t>not</w:t>
      </w:r>
      <w:r w:rsidR="00865C1D" w:rsidRPr="003A652D">
        <w:t xml:space="preserve"> defined </w:t>
      </w:r>
      <w:r w:rsidR="00E43A2A" w:rsidRPr="003A652D">
        <w:t>e.g. r</w:t>
      </w:r>
      <w:r w:rsidRPr="003A652D">
        <w:t xml:space="preserve">isks associated with recycled packaging, additive effects of chemicals </w:t>
      </w:r>
    </w:p>
    <w:p w:rsidR="00505BAC" w:rsidRPr="002A4A1D" w:rsidRDefault="00505BAC" w:rsidP="007F6373">
      <w:pPr>
        <w:rPr>
          <w:lang w:bidi="ar-SA"/>
        </w:rPr>
      </w:pPr>
    </w:p>
    <w:p w:rsidR="003A652D" w:rsidRDefault="003D3E98" w:rsidP="007F6373">
      <w:pPr>
        <w:pStyle w:val="FSBullet1"/>
      </w:pPr>
      <w:r w:rsidRPr="00E43A2A">
        <w:t xml:space="preserve">mandatory regulatory requirements in Standard 1.4.3 of the Code are not </w:t>
      </w:r>
      <w:r w:rsidR="00E43A2A" w:rsidRPr="00E43A2A">
        <w:t>as extensive as</w:t>
      </w:r>
      <w:r w:rsidRPr="00E43A2A">
        <w:t xml:space="preserve"> regulatory requirements for food packaging materials in countries with comparable food regulatory frameworks (e</w:t>
      </w:r>
      <w:r w:rsidR="00E43A2A" w:rsidRPr="00BB1C16">
        <w:t>.</w:t>
      </w:r>
      <w:r w:rsidRPr="00255B1A">
        <w:t>g</w:t>
      </w:r>
      <w:r w:rsidR="00E43A2A" w:rsidRPr="00255B1A">
        <w:t>.</w:t>
      </w:r>
      <w:r w:rsidRPr="003A7416">
        <w:t xml:space="preserve"> US, EU, Canada)</w:t>
      </w:r>
    </w:p>
    <w:p w:rsidR="00505BAC" w:rsidRPr="002A4A1D" w:rsidRDefault="00505BAC" w:rsidP="007F6373">
      <w:pPr>
        <w:rPr>
          <w:lang w:bidi="ar-SA"/>
        </w:rPr>
      </w:pPr>
    </w:p>
    <w:p w:rsidR="005A1EF5" w:rsidRDefault="005A1EF5" w:rsidP="007F6373">
      <w:pPr>
        <w:pStyle w:val="FSBullet1"/>
      </w:pPr>
      <w:r w:rsidRPr="00E43A2A">
        <w:t xml:space="preserve">FSANZ’s analytical surveys have shown </w:t>
      </w:r>
      <w:r w:rsidR="00220A09">
        <w:t>low levels of some</w:t>
      </w:r>
      <w:r w:rsidRPr="00E43A2A">
        <w:t xml:space="preserve"> packagin</w:t>
      </w:r>
      <w:r w:rsidR="00851194">
        <w:t>g chemicals in Australian foods</w:t>
      </w:r>
      <w:r w:rsidR="0059039D">
        <w:t xml:space="preserve"> (m</w:t>
      </w:r>
      <w:r w:rsidR="00220A09">
        <w:t xml:space="preserve">ost </w:t>
      </w:r>
      <w:r w:rsidRPr="00255B1A">
        <w:t xml:space="preserve">chemicals tested for were not detected at all but there </w:t>
      </w:r>
      <w:r w:rsidRPr="00151CBD">
        <w:t>is e</w:t>
      </w:r>
      <w:r w:rsidRPr="00E43A2A">
        <w:t xml:space="preserve">vidence from some overseas surveys that </w:t>
      </w:r>
      <w:r w:rsidR="00532FE8">
        <w:t xml:space="preserve">some </w:t>
      </w:r>
      <w:r w:rsidRPr="00E43A2A">
        <w:t xml:space="preserve">packaging chemicals </w:t>
      </w:r>
      <w:r w:rsidR="00220A09">
        <w:t xml:space="preserve">may be present in </w:t>
      </w:r>
      <w:r w:rsidRPr="00E43A2A">
        <w:t xml:space="preserve">food at levels above </w:t>
      </w:r>
      <w:r w:rsidR="00220A09">
        <w:t>EU compliance limits</w:t>
      </w:r>
      <w:r w:rsidR="0059039D">
        <w:t>)</w:t>
      </w:r>
    </w:p>
    <w:p w:rsidR="00505BAC" w:rsidRPr="002A4A1D" w:rsidRDefault="00505BAC" w:rsidP="007F6373">
      <w:pPr>
        <w:rPr>
          <w:lang w:bidi="ar-SA"/>
        </w:rPr>
      </w:pPr>
    </w:p>
    <w:p w:rsidR="003D3E98" w:rsidRPr="00E43A2A" w:rsidRDefault="00E43A2A" w:rsidP="007F6373">
      <w:pPr>
        <w:pStyle w:val="FSBullet1"/>
      </w:pPr>
      <w:proofErr w:type="gramStart"/>
      <w:r>
        <w:t>f</w:t>
      </w:r>
      <w:r w:rsidR="003D3E98" w:rsidRPr="00E43A2A">
        <w:t>or</w:t>
      </w:r>
      <w:proofErr w:type="gramEnd"/>
      <w:r w:rsidR="003D3E98" w:rsidRPr="00E43A2A">
        <w:t xml:space="preserve"> some of the chemicals detected, there </w:t>
      </w:r>
      <w:r w:rsidR="00865C1D" w:rsidRPr="00E43A2A">
        <w:t xml:space="preserve">may not be </w:t>
      </w:r>
      <w:r w:rsidR="00D223F1" w:rsidRPr="00E43A2A">
        <w:t xml:space="preserve">any </w:t>
      </w:r>
      <w:r w:rsidR="003D3E98" w:rsidRPr="00E43A2A">
        <w:t xml:space="preserve">regulations </w:t>
      </w:r>
      <w:r w:rsidR="00D223F1" w:rsidRPr="00E43A2A">
        <w:t>(</w:t>
      </w:r>
      <w:r w:rsidR="003D3E98" w:rsidRPr="00E43A2A">
        <w:t>in the US</w:t>
      </w:r>
      <w:r w:rsidR="00505BAC">
        <w:t>A</w:t>
      </w:r>
      <w:r w:rsidR="003D3E98" w:rsidRPr="00E43A2A">
        <w:t>, EU or elsewhere</w:t>
      </w:r>
      <w:r w:rsidR="00D223F1" w:rsidRPr="00E43A2A">
        <w:t>)</w:t>
      </w:r>
      <w:r w:rsidR="003D3E98" w:rsidRPr="00E43A2A">
        <w:t xml:space="preserve"> </w:t>
      </w:r>
      <w:r w:rsidR="00865C1D" w:rsidRPr="00E43A2A">
        <w:t>as</w:t>
      </w:r>
      <w:r w:rsidR="003D3E98" w:rsidRPr="00E43A2A">
        <w:t xml:space="preserve"> health-based guidance value</w:t>
      </w:r>
      <w:r w:rsidR="00865C1D" w:rsidRPr="00E43A2A">
        <w:t xml:space="preserve">s (HBGV) have </w:t>
      </w:r>
      <w:r>
        <w:t>not been set.</w:t>
      </w:r>
      <w:r w:rsidR="00865C1D" w:rsidRPr="00E43A2A">
        <w:t xml:space="preserve"> </w:t>
      </w:r>
    </w:p>
    <w:p w:rsidR="003D3E98" w:rsidRPr="007F6373" w:rsidRDefault="003D3E98" w:rsidP="003D3E98">
      <w:pPr>
        <w:contextualSpacing/>
      </w:pPr>
    </w:p>
    <w:p w:rsidR="003D3E98" w:rsidRPr="007F6373" w:rsidRDefault="003D3E98" w:rsidP="003D3E98">
      <w:pPr>
        <w:contextualSpacing/>
      </w:pPr>
      <w:r w:rsidRPr="007F6373">
        <w:t xml:space="preserve">From stakeholder consultations and advice from IAG members, there was support </w:t>
      </w:r>
      <w:r w:rsidR="006A51DB">
        <w:t>for</w:t>
      </w:r>
      <w:r w:rsidR="00E50955" w:rsidRPr="007F6373">
        <w:t xml:space="preserve"> </w:t>
      </w:r>
      <w:r w:rsidRPr="007F6373">
        <w:t xml:space="preserve">further </w:t>
      </w:r>
      <w:r w:rsidR="00465774" w:rsidRPr="007F6373">
        <w:t>develop</w:t>
      </w:r>
      <w:r w:rsidR="006A51DB">
        <w:t xml:space="preserve">ment of </w:t>
      </w:r>
      <w:r w:rsidR="005543F5" w:rsidRPr="007F6373">
        <w:t>non</w:t>
      </w:r>
      <w:r w:rsidRPr="007F6373">
        <w:t xml:space="preserve">-regulatory </w:t>
      </w:r>
      <w:r w:rsidR="005543F5" w:rsidRPr="007F6373">
        <w:t xml:space="preserve">and </w:t>
      </w:r>
      <w:r w:rsidRPr="007F6373">
        <w:t xml:space="preserve">regulatory </w:t>
      </w:r>
      <w:r w:rsidR="005543F5" w:rsidRPr="007F6373">
        <w:t xml:space="preserve">measures for </w:t>
      </w:r>
      <w:r w:rsidR="006A51DB">
        <w:t>managing food safety risks associated with</w:t>
      </w:r>
      <w:r w:rsidR="005543F5" w:rsidRPr="007F6373">
        <w:t xml:space="preserve"> </w:t>
      </w:r>
      <w:r w:rsidRPr="007F6373">
        <w:t xml:space="preserve">food packaging materials </w:t>
      </w:r>
      <w:r w:rsidR="006A51DB">
        <w:t>used for food sold in</w:t>
      </w:r>
      <w:r w:rsidRPr="007F6373">
        <w:t xml:space="preserve"> Australia and New Zealand. </w:t>
      </w:r>
      <w:r w:rsidR="005543F5" w:rsidRPr="007F6373">
        <w:t xml:space="preserve">The implementation of specific and comprehensive measures could provide </w:t>
      </w:r>
      <w:r w:rsidRPr="007F6373">
        <w:t>certainty for industry and confidence for consumers</w:t>
      </w:r>
      <w:r w:rsidR="005543F5" w:rsidRPr="007F6373">
        <w:t xml:space="preserve"> on how to manage the potential public health risks arising from CMPF</w:t>
      </w:r>
      <w:r w:rsidRPr="007F6373">
        <w:t>.</w:t>
      </w:r>
    </w:p>
    <w:p w:rsidR="003D3E98" w:rsidRPr="007F6373" w:rsidRDefault="003D3E98" w:rsidP="003D3E98">
      <w:pPr>
        <w:contextualSpacing/>
      </w:pPr>
    </w:p>
    <w:p w:rsidR="003D3E98" w:rsidRPr="007F6373" w:rsidRDefault="003D3E98" w:rsidP="003D3E98">
      <w:pPr>
        <w:contextualSpacing/>
      </w:pPr>
      <w:r w:rsidRPr="007F6373">
        <w:t>Through FSANZ’s surveys of the IAG and other members of the food packaging industry, the key concerns raised by industry</w:t>
      </w:r>
      <w:r w:rsidR="008413E9" w:rsidRPr="007F6373">
        <w:t xml:space="preserve"> were</w:t>
      </w:r>
      <w:r w:rsidRPr="007F6373">
        <w:t xml:space="preserve">: </w:t>
      </w:r>
    </w:p>
    <w:p w:rsidR="007A7DF7" w:rsidRPr="007F6373" w:rsidRDefault="007A7DF7" w:rsidP="007F6373"/>
    <w:p w:rsidR="003D3E98" w:rsidRPr="007F6373" w:rsidRDefault="00E43A2A" w:rsidP="007F6373">
      <w:pPr>
        <w:pStyle w:val="FSBullet1"/>
      </w:pPr>
      <w:r w:rsidRPr="007F6373">
        <w:t>t</w:t>
      </w:r>
      <w:r w:rsidR="003D3E98" w:rsidRPr="007F6373">
        <w:t xml:space="preserve">he current standard is inadequate for assisting industry to mitigate risks  </w:t>
      </w:r>
    </w:p>
    <w:p w:rsidR="003D3E98" w:rsidRPr="007F6373" w:rsidRDefault="00E43A2A" w:rsidP="007F6373">
      <w:pPr>
        <w:pStyle w:val="FSBullet1"/>
      </w:pPr>
      <w:r w:rsidRPr="007F6373">
        <w:t>t</w:t>
      </w:r>
      <w:r w:rsidR="003D3E98" w:rsidRPr="007F6373">
        <w:t>he</w:t>
      </w:r>
      <w:r w:rsidR="008413E9" w:rsidRPr="007F6373">
        <w:t>re</w:t>
      </w:r>
      <w:r w:rsidR="003D3E98" w:rsidRPr="007F6373">
        <w:t xml:space="preserve"> </w:t>
      </w:r>
      <w:r w:rsidR="008413E9" w:rsidRPr="007F6373">
        <w:t xml:space="preserve">are </w:t>
      </w:r>
      <w:r w:rsidR="003D3E98" w:rsidRPr="007F6373">
        <w:t xml:space="preserve">safety </w:t>
      </w:r>
      <w:r w:rsidR="008413E9" w:rsidRPr="007F6373">
        <w:t>concerns around</w:t>
      </w:r>
      <w:r w:rsidR="003D3E98" w:rsidRPr="007F6373">
        <w:t xml:space="preserve"> unknown, new and/or some imported packaging materials which cannot be verified as sa</w:t>
      </w:r>
      <w:r w:rsidR="008413E9" w:rsidRPr="007F6373">
        <w:t>fe</w:t>
      </w:r>
    </w:p>
    <w:p w:rsidR="003D3E98" w:rsidRPr="007F6373" w:rsidRDefault="00E43A2A" w:rsidP="007F6373">
      <w:pPr>
        <w:pStyle w:val="FSBullet1"/>
      </w:pPr>
      <w:proofErr w:type="gramStart"/>
      <w:r w:rsidRPr="007F6373">
        <w:t>t</w:t>
      </w:r>
      <w:r w:rsidR="003D3E98" w:rsidRPr="007F6373">
        <w:t>he</w:t>
      </w:r>
      <w:r w:rsidR="008413E9" w:rsidRPr="007F6373">
        <w:t>re</w:t>
      </w:r>
      <w:proofErr w:type="gramEnd"/>
      <w:r w:rsidR="008413E9" w:rsidRPr="007F6373">
        <w:t xml:space="preserve"> is</w:t>
      </w:r>
      <w:r w:rsidR="003D3E98" w:rsidRPr="007F6373">
        <w:t xml:space="preserve"> increasing use of recycled materials and the potential for chemical migration from unknown complex matrices. </w:t>
      </w:r>
    </w:p>
    <w:p w:rsidR="00505BAC" w:rsidRDefault="00505BAC" w:rsidP="003322F1">
      <w:pPr>
        <w:contextualSpacing/>
        <w:rPr>
          <w:rFonts w:cs="Arial"/>
          <w:lang w:val="en-AU" w:eastAsia="en-AU" w:bidi="ar-SA"/>
        </w:rPr>
      </w:pPr>
    </w:p>
    <w:p w:rsidR="003322F1" w:rsidRPr="007F6373" w:rsidRDefault="00D565CC" w:rsidP="003322F1">
      <w:pPr>
        <w:contextualSpacing/>
        <w:rPr>
          <w:rFonts w:cs="Arial"/>
          <w:lang w:val="en-AU" w:eastAsia="en-AU" w:bidi="ar-SA"/>
        </w:rPr>
      </w:pPr>
      <w:r w:rsidRPr="007F6373">
        <w:rPr>
          <w:rFonts w:cs="Arial"/>
          <w:lang w:val="en-AU" w:eastAsia="en-AU" w:bidi="ar-SA"/>
        </w:rPr>
        <w:t xml:space="preserve">This preliminary work </w:t>
      </w:r>
      <w:r w:rsidR="00E43A2A" w:rsidRPr="007F6373">
        <w:rPr>
          <w:rFonts w:cs="Arial"/>
          <w:lang w:val="en-AU" w:eastAsia="en-AU" w:bidi="ar-SA"/>
        </w:rPr>
        <w:t xml:space="preserve">allowed FSANZ to set the </w:t>
      </w:r>
      <w:r w:rsidRPr="007F6373">
        <w:rPr>
          <w:rFonts w:cs="Arial"/>
          <w:lang w:val="en-AU" w:eastAsia="en-AU" w:bidi="ar-SA"/>
        </w:rPr>
        <w:t xml:space="preserve">scope and </w:t>
      </w:r>
      <w:r w:rsidR="004D7787" w:rsidRPr="007F6373">
        <w:rPr>
          <w:rFonts w:cs="Arial"/>
          <w:lang w:val="en-AU" w:eastAsia="en-AU" w:bidi="ar-SA"/>
        </w:rPr>
        <w:t>focus</w:t>
      </w:r>
      <w:r w:rsidR="00D7788D" w:rsidRPr="007F6373">
        <w:rPr>
          <w:rFonts w:cs="Arial"/>
          <w:lang w:val="en-AU" w:eastAsia="en-AU" w:bidi="ar-SA"/>
        </w:rPr>
        <w:t xml:space="preserve"> </w:t>
      </w:r>
      <w:r w:rsidRPr="007F6373">
        <w:rPr>
          <w:rFonts w:cs="Arial"/>
          <w:lang w:val="en-AU" w:eastAsia="en-AU" w:bidi="ar-SA"/>
        </w:rPr>
        <w:t>for Proposal P1034</w:t>
      </w:r>
      <w:r w:rsidR="004D7787" w:rsidRPr="007F6373">
        <w:rPr>
          <w:rFonts w:cs="Arial"/>
          <w:lang w:val="en-AU" w:eastAsia="en-AU" w:bidi="ar-SA"/>
        </w:rPr>
        <w:t>.</w:t>
      </w:r>
    </w:p>
    <w:p w:rsidR="00A318C4" w:rsidRPr="00183CF0" w:rsidRDefault="00505BAC" w:rsidP="007F6373">
      <w:pPr>
        <w:pStyle w:val="Heading2"/>
      </w:pPr>
      <w:bookmarkStart w:id="135" w:name="_Toc403377533"/>
      <w:bookmarkStart w:id="136" w:name="_Toc403394298"/>
      <w:r>
        <w:t>1.5</w:t>
      </w:r>
      <w:r>
        <w:tab/>
      </w:r>
      <w:r w:rsidR="00E43A2A">
        <w:t>Scope</w:t>
      </w:r>
      <w:bookmarkEnd w:id="135"/>
      <w:bookmarkEnd w:id="136"/>
    </w:p>
    <w:p w:rsidR="008413E9" w:rsidRPr="008413E9" w:rsidRDefault="008413E9" w:rsidP="007F6373">
      <w:pPr>
        <w:rPr>
          <w:lang w:val="en-AU" w:eastAsia="en-AU" w:bidi="ar-SA"/>
        </w:rPr>
      </w:pPr>
      <w:r w:rsidRPr="008413E9">
        <w:rPr>
          <w:lang w:val="en-AU" w:eastAsia="en-AU" w:bidi="ar-SA"/>
        </w:rPr>
        <w:t>The Proposal will consider chemicals migrating from packaging materials into food offered for retail sale (including food sold for catering purposes)</w:t>
      </w:r>
      <w:r>
        <w:rPr>
          <w:lang w:val="en-AU" w:eastAsia="en-AU" w:bidi="ar-SA"/>
        </w:rPr>
        <w:t>.</w:t>
      </w:r>
      <w:r w:rsidRPr="008413E9">
        <w:rPr>
          <w:lang w:val="en-AU" w:eastAsia="en-AU" w:bidi="ar-SA"/>
        </w:rPr>
        <w:t xml:space="preserve"> </w:t>
      </w:r>
      <w:r>
        <w:rPr>
          <w:lang w:val="en-AU" w:eastAsia="en-AU" w:bidi="ar-SA"/>
        </w:rPr>
        <w:t xml:space="preserve">It </w:t>
      </w:r>
      <w:r w:rsidRPr="008413E9">
        <w:rPr>
          <w:lang w:val="en-AU" w:eastAsia="en-AU" w:bidi="ar-SA"/>
        </w:rPr>
        <w:t xml:space="preserve">will include all packaging </w:t>
      </w:r>
      <w:r>
        <w:rPr>
          <w:lang w:val="en-AU" w:eastAsia="en-AU" w:bidi="ar-SA"/>
        </w:rPr>
        <w:t xml:space="preserve">from which </w:t>
      </w:r>
      <w:r w:rsidRPr="008413E9">
        <w:rPr>
          <w:lang w:val="en-AU" w:eastAsia="en-AU" w:bidi="ar-SA"/>
        </w:rPr>
        <w:t>chemical</w:t>
      </w:r>
      <w:r>
        <w:rPr>
          <w:lang w:val="en-AU" w:eastAsia="en-AU" w:bidi="ar-SA"/>
        </w:rPr>
        <w:t xml:space="preserve">s could </w:t>
      </w:r>
      <w:r w:rsidRPr="008413E9">
        <w:rPr>
          <w:lang w:val="en-AU" w:eastAsia="en-AU" w:bidi="ar-SA"/>
        </w:rPr>
        <w:t>migrat</w:t>
      </w:r>
      <w:r>
        <w:rPr>
          <w:lang w:val="en-AU" w:eastAsia="en-AU" w:bidi="ar-SA"/>
        </w:rPr>
        <w:t>e into food through direct contact with food, and other more indirect mechanisms</w:t>
      </w:r>
      <w:r w:rsidRPr="008413E9">
        <w:rPr>
          <w:lang w:val="en-AU" w:eastAsia="en-AU" w:bidi="ar-SA"/>
        </w:rPr>
        <w:t xml:space="preserve"> (see Section 2).</w:t>
      </w:r>
      <w:r w:rsidR="0094211D">
        <w:rPr>
          <w:lang w:val="en-AU" w:eastAsia="en-AU" w:bidi="ar-SA"/>
        </w:rPr>
        <w:t xml:space="preserve"> Therefore</w:t>
      </w:r>
      <w:r w:rsidR="006A51DB">
        <w:rPr>
          <w:lang w:val="en-AU" w:eastAsia="en-AU" w:bidi="ar-SA"/>
        </w:rPr>
        <w:t>,</w:t>
      </w:r>
      <w:r w:rsidRPr="008413E9">
        <w:rPr>
          <w:lang w:val="en-AU" w:eastAsia="en-AU" w:bidi="ar-SA"/>
        </w:rPr>
        <w:t xml:space="preserve"> the Proposal is not limited to chemical migration from packaging or articles in direct contact with food. </w:t>
      </w:r>
    </w:p>
    <w:p w:rsidR="008413E9" w:rsidRPr="008413E9" w:rsidRDefault="008413E9" w:rsidP="007F6373">
      <w:pPr>
        <w:rPr>
          <w:lang w:val="en-AU" w:eastAsia="en-AU" w:bidi="ar-SA"/>
        </w:rPr>
      </w:pPr>
    </w:p>
    <w:p w:rsidR="008413E9" w:rsidRDefault="008413E9" w:rsidP="007F6373">
      <w:pPr>
        <w:rPr>
          <w:lang w:val="en-AU" w:eastAsia="en-AU" w:bidi="ar-SA"/>
        </w:rPr>
      </w:pPr>
      <w:r w:rsidRPr="008413E9">
        <w:rPr>
          <w:lang w:val="en-AU" w:eastAsia="en-AU" w:bidi="ar-SA"/>
        </w:rPr>
        <w:t xml:space="preserve">The scope of the Proposal also includes chemical migration from closures and </w:t>
      </w:r>
      <w:r w:rsidR="00532FE8">
        <w:rPr>
          <w:lang w:val="en-AU" w:eastAsia="en-AU" w:bidi="ar-SA"/>
        </w:rPr>
        <w:t>lids</w:t>
      </w:r>
      <w:r w:rsidR="00E50955">
        <w:rPr>
          <w:lang w:val="en-AU" w:eastAsia="en-AU" w:bidi="ar-SA"/>
        </w:rPr>
        <w:t>,</w:t>
      </w:r>
      <w:r w:rsidR="00532FE8">
        <w:rPr>
          <w:lang w:val="en-AU" w:eastAsia="en-AU" w:bidi="ar-SA"/>
        </w:rPr>
        <w:t xml:space="preserve"> integral to the packaging</w:t>
      </w:r>
      <w:r w:rsidR="00E50955">
        <w:rPr>
          <w:lang w:val="en-AU" w:eastAsia="en-AU" w:bidi="ar-SA"/>
        </w:rPr>
        <w:t>,</w:t>
      </w:r>
      <w:r w:rsidR="00532FE8">
        <w:rPr>
          <w:lang w:val="en-AU" w:eastAsia="en-AU" w:bidi="ar-SA"/>
        </w:rPr>
        <w:t xml:space="preserve"> </w:t>
      </w:r>
      <w:r w:rsidRPr="008413E9">
        <w:rPr>
          <w:lang w:val="en-AU" w:eastAsia="en-AU" w:bidi="ar-SA"/>
        </w:rPr>
        <w:t>into foods.</w:t>
      </w:r>
    </w:p>
    <w:p w:rsidR="008413E9" w:rsidRDefault="008413E9" w:rsidP="007F6373">
      <w:pPr>
        <w:rPr>
          <w:lang w:val="en-AU" w:eastAsia="en-AU" w:bidi="ar-SA"/>
        </w:rPr>
      </w:pPr>
    </w:p>
    <w:p w:rsidR="00A318C4" w:rsidRPr="00183CF0" w:rsidRDefault="00890664" w:rsidP="007F6373">
      <w:pPr>
        <w:rPr>
          <w:lang w:val="en-AU" w:eastAsia="en-AU" w:bidi="ar-SA"/>
        </w:rPr>
      </w:pPr>
      <w:r w:rsidRPr="00183CF0">
        <w:rPr>
          <w:lang w:val="en-AU" w:eastAsia="en-AU" w:bidi="ar-SA"/>
        </w:rPr>
        <w:t xml:space="preserve">FSANZ is looking at </w:t>
      </w:r>
      <w:r w:rsidR="006702D1">
        <w:rPr>
          <w:lang w:val="en-AU" w:eastAsia="en-AU" w:bidi="ar-SA"/>
        </w:rPr>
        <w:t>the potential risks from CM</w:t>
      </w:r>
      <w:r w:rsidR="001D6EC5">
        <w:rPr>
          <w:lang w:val="en-AU" w:eastAsia="en-AU" w:bidi="ar-SA"/>
        </w:rPr>
        <w:t>PF</w:t>
      </w:r>
      <w:r w:rsidR="006702D1">
        <w:rPr>
          <w:lang w:val="en-AU" w:eastAsia="en-AU" w:bidi="ar-SA"/>
        </w:rPr>
        <w:t xml:space="preserve"> in </w:t>
      </w:r>
      <w:r w:rsidRPr="00183CF0">
        <w:rPr>
          <w:lang w:val="en-AU" w:eastAsia="en-AU" w:bidi="ar-SA"/>
        </w:rPr>
        <w:t>both virgin and recycled packaging</w:t>
      </w:r>
      <w:r w:rsidR="006702D1">
        <w:rPr>
          <w:lang w:val="en-AU" w:eastAsia="en-AU" w:bidi="ar-SA"/>
        </w:rPr>
        <w:t xml:space="preserve"> materials</w:t>
      </w:r>
      <w:r w:rsidRPr="00183CF0">
        <w:rPr>
          <w:lang w:val="en-AU" w:eastAsia="en-AU" w:bidi="ar-SA"/>
        </w:rPr>
        <w:t xml:space="preserve">. </w:t>
      </w:r>
    </w:p>
    <w:p w:rsidR="00A318C4" w:rsidRPr="00183CF0" w:rsidRDefault="00292C61" w:rsidP="007F6373">
      <w:pPr>
        <w:rPr>
          <w:lang w:val="en-AU" w:eastAsia="en-AU" w:bidi="ar-SA"/>
        </w:rPr>
      </w:pPr>
      <w:r>
        <w:rPr>
          <w:lang w:val="en-AU" w:eastAsia="en-AU" w:bidi="ar-SA"/>
        </w:rPr>
        <w:br w:type="page"/>
      </w:r>
    </w:p>
    <w:p w:rsidR="00DA1EA5" w:rsidRPr="007F6373" w:rsidRDefault="00DA1EA5" w:rsidP="00DA1EA5">
      <w:pPr>
        <w:pStyle w:val="Marginnote"/>
        <w:framePr w:w="1610" w:wrap="around" w:x="8984" w:y="51"/>
        <w:rPr>
          <w:rFonts w:ascii="Arial" w:hAnsi="Arial" w:cs="Arial"/>
          <w:szCs w:val="22"/>
        </w:rPr>
      </w:pPr>
      <w:bookmarkStart w:id="137" w:name="_Toc394331498"/>
      <w:bookmarkStart w:id="138" w:name="_Toc394503000"/>
      <w:bookmarkStart w:id="139" w:name="_Toc394577689"/>
      <w:bookmarkStart w:id="140" w:name="_Toc394584237"/>
      <w:bookmarkStart w:id="141" w:name="_Toc394584342"/>
      <w:bookmarkStart w:id="142" w:name="_Toc395080354"/>
      <w:bookmarkStart w:id="143" w:name="_Toc395100931"/>
      <w:bookmarkStart w:id="144" w:name="_Toc268973581"/>
      <w:bookmarkStart w:id="145" w:name="_Toc395188073"/>
      <w:bookmarkStart w:id="146" w:name="_Toc395188256"/>
      <w:bookmarkStart w:id="147" w:name="_Toc395250799"/>
      <w:bookmarkStart w:id="148" w:name="_Toc395257399"/>
      <w:bookmarkStart w:id="149" w:name="_Toc395270556"/>
      <w:bookmarkStart w:id="150" w:name="_Toc395270665"/>
      <w:bookmarkStart w:id="151" w:name="_Toc395279161"/>
      <w:bookmarkStart w:id="152" w:name="_Toc395608011"/>
      <w:bookmarkStart w:id="153" w:name="_Toc395798913"/>
      <w:bookmarkStart w:id="154" w:name="_Toc395881569"/>
      <w:bookmarkStart w:id="155" w:name="_Toc396315613"/>
      <w:bookmarkStart w:id="156" w:name="_Toc396732659"/>
      <w:bookmarkStart w:id="157" w:name="_Toc397520933"/>
      <w:bookmarkStart w:id="158" w:name="_Toc398192218"/>
      <w:bookmarkStart w:id="159" w:name="_Toc398192307"/>
      <w:bookmarkStart w:id="160" w:name="_Toc402281357"/>
      <w:bookmarkStart w:id="161" w:name="_Toc402367230"/>
      <w:bookmarkStart w:id="162" w:name="_Toc402450613"/>
      <w:bookmarkStart w:id="163" w:name="_Toc403377534"/>
      <w:bookmarkStart w:id="164" w:name="_Toc403394299"/>
      <w:r w:rsidRPr="007F6373">
        <w:rPr>
          <w:rFonts w:ascii="Arial" w:hAnsi="Arial" w:cs="Arial"/>
          <w:szCs w:val="22"/>
        </w:rPr>
        <w:lastRenderedPageBreak/>
        <w:t>Proposal P1034 focuses on chemicals which may migrate from virgin and recycled packaging</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007A0146">
        <w:rPr>
          <w:rFonts w:ascii="Arial" w:hAnsi="Arial" w:cs="Arial"/>
          <w:szCs w:val="22"/>
        </w:rPr>
        <w:t>.</w:t>
      </w:r>
      <w:bookmarkEnd w:id="163"/>
      <w:bookmarkEnd w:id="164"/>
    </w:p>
    <w:p w:rsidR="00A318C4" w:rsidRPr="007F6373" w:rsidRDefault="00A318C4" w:rsidP="00A318C4">
      <w:pPr>
        <w:widowControl/>
        <w:rPr>
          <w:snapToGrid w:val="0"/>
          <w:color w:val="000000"/>
          <w:lang w:val="en-AU" w:eastAsia="en-AU" w:bidi="ar-SA"/>
        </w:rPr>
      </w:pPr>
      <w:r w:rsidRPr="007F6373">
        <w:rPr>
          <w:color w:val="000000"/>
          <w:lang w:val="en-AU" w:eastAsia="en-AU" w:bidi="ar-SA"/>
        </w:rPr>
        <w:t xml:space="preserve">Recycled materials are identified for in-depth analysis as there is some evidence that </w:t>
      </w:r>
      <w:r w:rsidR="006702D1" w:rsidRPr="007F6373">
        <w:rPr>
          <w:color w:val="000000"/>
          <w:lang w:val="en-AU" w:eastAsia="en-AU" w:bidi="ar-SA"/>
        </w:rPr>
        <w:t xml:space="preserve">different </w:t>
      </w:r>
      <w:r w:rsidRPr="007F6373">
        <w:rPr>
          <w:color w:val="000000"/>
          <w:lang w:val="en-AU" w:eastAsia="en-AU" w:bidi="ar-SA"/>
        </w:rPr>
        <w:t xml:space="preserve">chemical </w:t>
      </w:r>
      <w:r w:rsidR="006702D1" w:rsidRPr="007F6373">
        <w:rPr>
          <w:color w:val="000000"/>
          <w:lang w:val="en-AU" w:eastAsia="en-AU" w:bidi="ar-SA"/>
        </w:rPr>
        <w:t>migrants to</w:t>
      </w:r>
      <w:r w:rsidRPr="007F6373">
        <w:rPr>
          <w:color w:val="000000"/>
          <w:lang w:val="en-AU" w:eastAsia="en-AU" w:bidi="ar-SA"/>
        </w:rPr>
        <w:t xml:space="preserve"> those found in virgin materials (e</w:t>
      </w:r>
      <w:r w:rsidR="00D57D90" w:rsidRPr="007F6373">
        <w:rPr>
          <w:color w:val="000000"/>
          <w:lang w:val="en-AU" w:eastAsia="en-AU" w:bidi="ar-SA"/>
        </w:rPr>
        <w:t>.</w:t>
      </w:r>
      <w:r w:rsidRPr="007F6373">
        <w:rPr>
          <w:color w:val="000000"/>
          <w:lang w:val="en-AU" w:eastAsia="en-AU" w:bidi="ar-SA"/>
        </w:rPr>
        <w:t>g. reaction intermediates or breakdown products) may be present under certain environmental/storage conditions</w:t>
      </w:r>
      <w:r w:rsidR="00BC3892" w:rsidRPr="007F6373">
        <w:rPr>
          <w:color w:val="000000"/>
          <w:lang w:val="en-AU" w:eastAsia="en-AU" w:bidi="ar-SA"/>
        </w:rPr>
        <w:t xml:space="preserve"> or </w:t>
      </w:r>
      <w:r w:rsidR="006702D1" w:rsidRPr="007F6373">
        <w:rPr>
          <w:color w:val="000000"/>
          <w:lang w:val="en-AU" w:eastAsia="en-AU" w:bidi="ar-SA"/>
        </w:rPr>
        <w:t xml:space="preserve">may </w:t>
      </w:r>
      <w:r w:rsidR="00BC3892" w:rsidRPr="007F6373">
        <w:rPr>
          <w:color w:val="000000"/>
          <w:lang w:val="en-AU" w:eastAsia="en-AU" w:bidi="ar-SA"/>
        </w:rPr>
        <w:t>result from the industrial processes that take p</w:t>
      </w:r>
      <w:r w:rsidR="00936F1C" w:rsidRPr="007F6373">
        <w:rPr>
          <w:color w:val="000000"/>
          <w:lang w:val="en-AU" w:eastAsia="en-AU" w:bidi="ar-SA"/>
        </w:rPr>
        <w:t>lac</w:t>
      </w:r>
      <w:r w:rsidR="00BC3892" w:rsidRPr="007F6373">
        <w:rPr>
          <w:color w:val="000000"/>
          <w:lang w:val="en-AU" w:eastAsia="en-AU" w:bidi="ar-SA"/>
        </w:rPr>
        <w:t>e during recycling</w:t>
      </w:r>
      <w:r w:rsidRPr="007F6373">
        <w:rPr>
          <w:color w:val="000000"/>
          <w:lang w:val="en-AU" w:eastAsia="en-AU" w:bidi="ar-SA"/>
        </w:rPr>
        <w:t>. If the constituent materials of recycled packaging are undefined, then the chemicals released from p</w:t>
      </w:r>
      <w:r w:rsidR="0055508F" w:rsidRPr="007F6373">
        <w:rPr>
          <w:color w:val="000000"/>
          <w:lang w:val="en-AU" w:eastAsia="en-AU" w:bidi="ar-SA"/>
        </w:rPr>
        <w:t xml:space="preserve">ackaging into food </w:t>
      </w:r>
      <w:r w:rsidR="00B971DD" w:rsidRPr="007F6373">
        <w:rPr>
          <w:color w:val="000000"/>
          <w:lang w:val="en-AU" w:eastAsia="en-AU" w:bidi="ar-SA"/>
        </w:rPr>
        <w:t xml:space="preserve">could be </w:t>
      </w:r>
      <w:r w:rsidR="0055508F" w:rsidRPr="007F6373">
        <w:rPr>
          <w:color w:val="000000"/>
          <w:lang w:val="en-AU" w:eastAsia="en-AU" w:bidi="ar-SA"/>
        </w:rPr>
        <w:t>unknown.</w:t>
      </w:r>
      <w:r w:rsidRPr="007F6373">
        <w:rPr>
          <w:color w:val="000000"/>
          <w:lang w:val="en-AU" w:eastAsia="en-AU" w:bidi="ar-SA"/>
        </w:rPr>
        <w:t xml:space="preserve"> Furthermore, recycled material may not be of the same quality or purity as the original material. </w:t>
      </w:r>
    </w:p>
    <w:p w:rsidR="00B46625" w:rsidRPr="00B46625" w:rsidRDefault="00505BAC" w:rsidP="007F6373">
      <w:pPr>
        <w:pStyle w:val="Heading2"/>
        <w:rPr>
          <w:lang w:val="en-AU" w:eastAsia="en-AU"/>
        </w:rPr>
      </w:pPr>
      <w:bookmarkStart w:id="165" w:name="_Toc403377535"/>
      <w:bookmarkStart w:id="166" w:name="_Toc403394300"/>
      <w:r>
        <w:rPr>
          <w:lang w:val="en-AU" w:eastAsia="en-AU"/>
        </w:rPr>
        <w:t>1.6</w:t>
      </w:r>
      <w:r>
        <w:rPr>
          <w:lang w:val="en-AU" w:eastAsia="en-AU"/>
        </w:rPr>
        <w:tab/>
      </w:r>
      <w:r w:rsidR="00B46625" w:rsidRPr="00B46625">
        <w:rPr>
          <w:lang w:val="en-AU" w:eastAsia="en-AU"/>
        </w:rPr>
        <w:t>What is out of scope?</w:t>
      </w:r>
      <w:bookmarkEnd w:id="165"/>
      <w:bookmarkEnd w:id="166"/>
    </w:p>
    <w:p w:rsidR="00E27D26" w:rsidRDefault="007A15F7" w:rsidP="007F6373">
      <w:pPr>
        <w:rPr>
          <w:lang w:val="en-AU" w:eastAsia="en-AU" w:bidi="ar-SA"/>
        </w:rPr>
      </w:pPr>
      <w:r>
        <w:rPr>
          <w:lang w:val="en-AU" w:eastAsia="en-AU" w:bidi="ar-SA"/>
        </w:rPr>
        <w:t xml:space="preserve">In this </w:t>
      </w:r>
      <w:r w:rsidR="006A51DB">
        <w:rPr>
          <w:lang w:val="en-AU" w:eastAsia="en-AU" w:bidi="ar-SA"/>
        </w:rPr>
        <w:t>P</w:t>
      </w:r>
      <w:r>
        <w:rPr>
          <w:lang w:val="en-AU" w:eastAsia="en-AU" w:bidi="ar-SA"/>
        </w:rPr>
        <w:t>roposal</w:t>
      </w:r>
      <w:r w:rsidR="006A51DB">
        <w:rPr>
          <w:lang w:val="en-AU" w:eastAsia="en-AU" w:bidi="ar-SA"/>
        </w:rPr>
        <w:t>,</w:t>
      </w:r>
      <w:r>
        <w:rPr>
          <w:lang w:val="en-AU" w:eastAsia="en-AU" w:bidi="ar-SA"/>
        </w:rPr>
        <w:t xml:space="preserve"> </w:t>
      </w:r>
      <w:r w:rsidR="00E43A2A">
        <w:rPr>
          <w:lang w:val="en-AU" w:eastAsia="en-AU" w:bidi="ar-SA"/>
        </w:rPr>
        <w:t xml:space="preserve">FSANZ can only look at the </w:t>
      </w:r>
      <w:r>
        <w:rPr>
          <w:lang w:val="en-AU" w:eastAsia="en-AU" w:bidi="ar-SA"/>
        </w:rPr>
        <w:t>effects of materials used in packaging on food safety</w:t>
      </w:r>
      <w:r w:rsidR="00D66506">
        <w:rPr>
          <w:lang w:val="en-AU" w:eastAsia="en-AU" w:bidi="ar-SA"/>
        </w:rPr>
        <w:t>,</w:t>
      </w:r>
      <w:r>
        <w:rPr>
          <w:lang w:val="en-AU" w:eastAsia="en-AU" w:bidi="ar-SA"/>
        </w:rPr>
        <w:t xml:space="preserve"> </w:t>
      </w:r>
      <w:r w:rsidR="00E43A2A">
        <w:rPr>
          <w:lang w:val="en-AU" w:eastAsia="en-AU" w:bidi="ar-SA"/>
        </w:rPr>
        <w:t>not p</w:t>
      </w:r>
      <w:r w:rsidR="00B46625">
        <w:rPr>
          <w:lang w:val="en-AU" w:eastAsia="en-AU" w:bidi="ar-SA"/>
        </w:rPr>
        <w:t xml:space="preserve">ackaging </w:t>
      </w:r>
      <w:r w:rsidR="00B46625" w:rsidRPr="00B46625">
        <w:rPr>
          <w:i/>
          <w:lang w:val="en-AU" w:eastAsia="en-AU" w:bidi="ar-SA"/>
        </w:rPr>
        <w:t>per se</w:t>
      </w:r>
      <w:r w:rsidR="00E43A2A" w:rsidRPr="007853B0">
        <w:rPr>
          <w:lang w:val="en-AU" w:eastAsia="en-AU" w:bidi="ar-SA"/>
        </w:rPr>
        <w:t>.</w:t>
      </w:r>
      <w:r w:rsidR="00B46625" w:rsidRPr="00E43A2A">
        <w:rPr>
          <w:lang w:val="en-AU" w:eastAsia="en-AU" w:bidi="ar-SA"/>
        </w:rPr>
        <w:t xml:space="preserve"> </w:t>
      </w:r>
      <w:r w:rsidR="00B46625">
        <w:rPr>
          <w:lang w:val="en-AU" w:eastAsia="en-AU" w:bidi="ar-SA"/>
        </w:rPr>
        <w:t xml:space="preserve">Issues related to packaging </w:t>
      </w:r>
      <w:r w:rsidR="00153D35">
        <w:rPr>
          <w:lang w:val="en-AU" w:eastAsia="en-AU" w:bidi="ar-SA"/>
        </w:rPr>
        <w:t xml:space="preserve">safety, </w:t>
      </w:r>
      <w:r w:rsidR="00B46625">
        <w:rPr>
          <w:lang w:val="en-AU" w:eastAsia="en-AU" w:bidi="ar-SA"/>
        </w:rPr>
        <w:t xml:space="preserve">composition and utility </w:t>
      </w:r>
      <w:r w:rsidR="009E2F88">
        <w:rPr>
          <w:lang w:val="en-AU" w:eastAsia="en-AU" w:bidi="ar-SA"/>
        </w:rPr>
        <w:t xml:space="preserve">or functionality </w:t>
      </w:r>
      <w:r w:rsidR="00B46625">
        <w:rPr>
          <w:lang w:val="en-AU" w:eastAsia="en-AU" w:bidi="ar-SA"/>
        </w:rPr>
        <w:t>are outside the remit of FSANZ</w:t>
      </w:r>
      <w:r w:rsidR="00E27D26">
        <w:rPr>
          <w:lang w:val="en-AU" w:eastAsia="en-AU" w:bidi="ar-SA"/>
        </w:rPr>
        <w:t>’s work</w:t>
      </w:r>
      <w:r w:rsidR="00B46625">
        <w:rPr>
          <w:lang w:val="en-AU" w:eastAsia="en-AU" w:bidi="ar-SA"/>
        </w:rPr>
        <w:t xml:space="preserve"> </w:t>
      </w:r>
      <w:r w:rsidR="00E27D26">
        <w:rPr>
          <w:lang w:val="en-AU" w:eastAsia="en-AU" w:bidi="ar-SA"/>
        </w:rPr>
        <w:t xml:space="preserve">(see Section 5) </w:t>
      </w:r>
      <w:r w:rsidR="00B46625">
        <w:rPr>
          <w:lang w:val="en-AU" w:eastAsia="en-AU" w:bidi="ar-SA"/>
        </w:rPr>
        <w:t>and are regulated by the Australian Competition and Consumer Co</w:t>
      </w:r>
      <w:r w:rsidR="00153D35">
        <w:rPr>
          <w:lang w:val="en-AU" w:eastAsia="en-AU" w:bidi="ar-SA"/>
        </w:rPr>
        <w:t>mmission</w:t>
      </w:r>
      <w:r w:rsidR="00E27D26">
        <w:rPr>
          <w:lang w:val="en-AU" w:eastAsia="en-AU" w:bidi="ar-SA"/>
        </w:rPr>
        <w:t xml:space="preserve"> (ACCC)</w:t>
      </w:r>
      <w:r w:rsidR="00E27D26">
        <w:rPr>
          <w:rStyle w:val="FootnoteReference"/>
          <w:color w:val="000000"/>
          <w:sz w:val="24"/>
          <w:lang w:val="en-AU" w:eastAsia="en-AU" w:bidi="ar-SA"/>
        </w:rPr>
        <w:footnoteReference w:id="3"/>
      </w:r>
      <w:r w:rsidR="00E27D26">
        <w:rPr>
          <w:lang w:val="en-AU" w:eastAsia="en-AU" w:bidi="ar-SA"/>
        </w:rPr>
        <w:t xml:space="preserve"> or </w:t>
      </w:r>
      <w:r w:rsidR="00E27D26" w:rsidRPr="007853B0">
        <w:rPr>
          <w:lang w:val="en-AU" w:eastAsia="en-AU" w:bidi="ar-SA"/>
        </w:rPr>
        <w:t>the National Industrial Chemicals Notification and Assessment Scheme</w:t>
      </w:r>
      <w:r w:rsidR="00E27D26" w:rsidRPr="00153D35">
        <w:rPr>
          <w:rFonts w:eastAsia="Calibri"/>
          <w:lang w:bidi="ar-SA"/>
        </w:rPr>
        <w:t xml:space="preserve"> </w:t>
      </w:r>
      <w:r w:rsidR="00E27D26" w:rsidRPr="007853B0">
        <w:rPr>
          <w:lang w:val="en-AU" w:eastAsia="en-AU" w:bidi="ar-SA"/>
        </w:rPr>
        <w:t>(NICNAS)</w:t>
      </w:r>
      <w:r w:rsidR="00E27D26">
        <w:rPr>
          <w:rStyle w:val="FootnoteReference"/>
          <w:rFonts w:eastAsia="Calibri"/>
          <w:lang w:bidi="ar-SA"/>
        </w:rPr>
        <w:footnoteReference w:id="4"/>
      </w:r>
      <w:r w:rsidR="00B46625">
        <w:rPr>
          <w:lang w:val="en-AU" w:eastAsia="en-AU" w:bidi="ar-SA"/>
        </w:rPr>
        <w:t>.</w:t>
      </w:r>
      <w:r w:rsidR="00E27D26">
        <w:rPr>
          <w:lang w:val="en-AU" w:eastAsia="en-AU" w:bidi="ar-SA"/>
        </w:rPr>
        <w:t xml:space="preserve"> </w:t>
      </w:r>
    </w:p>
    <w:p w:rsidR="00E27D26" w:rsidRDefault="00E27D26" w:rsidP="007F6373">
      <w:pPr>
        <w:rPr>
          <w:lang w:val="en-AU" w:eastAsia="en-AU" w:bidi="ar-SA"/>
        </w:rPr>
      </w:pPr>
    </w:p>
    <w:p w:rsidR="00A318C4" w:rsidRPr="00183CF0" w:rsidRDefault="0074632E" w:rsidP="007F6373">
      <w:pPr>
        <w:rPr>
          <w:rFonts w:cs="Arial"/>
        </w:rPr>
      </w:pPr>
      <w:r>
        <w:rPr>
          <w:lang w:val="en-AU" w:eastAsia="en-AU" w:bidi="ar-SA"/>
        </w:rPr>
        <w:t>The health and safety risks arising from</w:t>
      </w:r>
      <w:r w:rsidR="00991D95" w:rsidRPr="00183CF0">
        <w:rPr>
          <w:lang w:val="en-AU" w:eastAsia="en-AU" w:bidi="ar-SA"/>
        </w:rPr>
        <w:t xml:space="preserve"> food </w:t>
      </w:r>
      <w:r>
        <w:rPr>
          <w:lang w:val="en-AU" w:eastAsia="en-AU" w:bidi="ar-SA"/>
        </w:rPr>
        <w:t xml:space="preserve">produced using </w:t>
      </w:r>
      <w:r w:rsidR="00A318C4" w:rsidRPr="00183CF0">
        <w:rPr>
          <w:lang w:val="en-AU" w:eastAsia="en-AU" w:bidi="ar-SA"/>
        </w:rPr>
        <w:t xml:space="preserve">modified atmosphere </w:t>
      </w:r>
      <w:proofErr w:type="gramStart"/>
      <w:r w:rsidR="00A318C4" w:rsidRPr="00183CF0">
        <w:rPr>
          <w:lang w:val="en-AU" w:eastAsia="en-AU" w:bidi="ar-SA"/>
        </w:rPr>
        <w:t>packaging,</w:t>
      </w:r>
      <w:proofErr w:type="gramEnd"/>
      <w:r w:rsidR="00A318C4" w:rsidRPr="00183CF0">
        <w:rPr>
          <w:lang w:val="en-AU" w:eastAsia="en-AU" w:bidi="ar-SA"/>
        </w:rPr>
        <w:t xml:space="preserve"> intelligent packaging and nanomaterials</w:t>
      </w:r>
      <w:r w:rsidR="004D7787" w:rsidRPr="00183CF0">
        <w:rPr>
          <w:lang w:val="en-AU" w:eastAsia="en-AU" w:bidi="ar-SA"/>
        </w:rPr>
        <w:t xml:space="preserve"> are excluded from the scope of Proposal P1034</w:t>
      </w:r>
      <w:r w:rsidR="0055508F">
        <w:rPr>
          <w:lang w:val="en-AU" w:eastAsia="en-AU" w:bidi="ar-SA"/>
        </w:rPr>
        <w:t xml:space="preserve">. </w:t>
      </w:r>
      <w:r w:rsidR="00A318C4" w:rsidRPr="00183CF0">
        <w:rPr>
          <w:lang w:val="en-AU" w:eastAsia="en-AU" w:bidi="ar-SA"/>
        </w:rPr>
        <w:t xml:space="preserve">The risks associated with </w:t>
      </w:r>
      <w:r w:rsidR="00AA5F09" w:rsidRPr="00183CF0">
        <w:rPr>
          <w:lang w:val="en-AU" w:eastAsia="en-AU" w:bidi="ar-SA"/>
        </w:rPr>
        <w:t>CMPF</w:t>
      </w:r>
      <w:r w:rsidR="00991D95" w:rsidRPr="00183CF0">
        <w:rPr>
          <w:lang w:val="en-AU" w:eastAsia="en-AU" w:bidi="ar-SA"/>
        </w:rPr>
        <w:t xml:space="preserve"> from </w:t>
      </w:r>
      <w:r w:rsidR="00A318C4" w:rsidRPr="00183CF0">
        <w:rPr>
          <w:lang w:val="en-AU" w:eastAsia="en-AU" w:bidi="ar-SA"/>
        </w:rPr>
        <w:t xml:space="preserve">these packaging materials are not well defined and may need to be examined separately. </w:t>
      </w:r>
      <w:r w:rsidR="00A318C4" w:rsidRPr="00183CF0">
        <w:rPr>
          <w:rFonts w:cs="Arial"/>
        </w:rPr>
        <w:t>FSANZ</w:t>
      </w:r>
      <w:r w:rsidR="000F011A">
        <w:rPr>
          <w:rFonts w:cs="Arial"/>
        </w:rPr>
        <w:t xml:space="preserve"> will, however, </w:t>
      </w:r>
      <w:r w:rsidR="00F63105" w:rsidRPr="00183CF0">
        <w:rPr>
          <w:rFonts w:cs="Arial"/>
        </w:rPr>
        <w:t>continue to</w:t>
      </w:r>
      <w:r w:rsidR="00A318C4" w:rsidRPr="00183CF0">
        <w:rPr>
          <w:rFonts w:cs="Arial"/>
        </w:rPr>
        <w:t xml:space="preserve"> review the literature on emerging technologies and food packaging in relation to food safety</w:t>
      </w:r>
      <w:r w:rsidR="00505BAC">
        <w:rPr>
          <w:rFonts w:cs="Arial"/>
        </w:rPr>
        <w:t xml:space="preserve">. </w:t>
      </w:r>
      <w:r w:rsidR="009E2F88">
        <w:rPr>
          <w:rFonts w:cs="Arial"/>
        </w:rPr>
        <w:t xml:space="preserve">We acknowledge that there is great interest </w:t>
      </w:r>
      <w:r w:rsidR="00A37D49">
        <w:rPr>
          <w:rFonts w:cs="Arial"/>
        </w:rPr>
        <w:t xml:space="preserve">in the </w:t>
      </w:r>
      <w:r w:rsidR="009E2F88">
        <w:rPr>
          <w:rFonts w:cs="Arial"/>
        </w:rPr>
        <w:t>functionality of packaging (e</w:t>
      </w:r>
      <w:r w:rsidR="00A37D49">
        <w:rPr>
          <w:rFonts w:cs="Arial"/>
        </w:rPr>
        <w:t>.</w:t>
      </w:r>
      <w:r w:rsidR="009E2F88">
        <w:rPr>
          <w:rFonts w:cs="Arial"/>
        </w:rPr>
        <w:t xml:space="preserve">g. suitability for microwave use), </w:t>
      </w:r>
      <w:r w:rsidR="00E50955">
        <w:rPr>
          <w:rFonts w:cs="Arial"/>
        </w:rPr>
        <w:t xml:space="preserve">and the need for </w:t>
      </w:r>
      <w:r w:rsidR="009E2F88">
        <w:rPr>
          <w:rFonts w:cs="Arial"/>
        </w:rPr>
        <w:t xml:space="preserve">manufacturers </w:t>
      </w:r>
      <w:r w:rsidR="00E50955">
        <w:rPr>
          <w:rFonts w:cs="Arial"/>
        </w:rPr>
        <w:t xml:space="preserve">to </w:t>
      </w:r>
      <w:r w:rsidR="009E2F88">
        <w:rPr>
          <w:rFonts w:cs="Arial"/>
        </w:rPr>
        <w:t>have regard to this in their production processes</w:t>
      </w:r>
      <w:r w:rsidR="00505BAC">
        <w:rPr>
          <w:rFonts w:cs="Arial"/>
        </w:rPr>
        <w:t xml:space="preserve">. </w:t>
      </w:r>
    </w:p>
    <w:p w:rsidR="00F63105" w:rsidRPr="00183CF0" w:rsidRDefault="00F63105" w:rsidP="007F6373">
      <w:pPr>
        <w:rPr>
          <w:lang w:val="en-AU" w:eastAsia="en-AU" w:bidi="ar-SA"/>
        </w:rPr>
      </w:pPr>
    </w:p>
    <w:p w:rsidR="00A318C4" w:rsidRPr="00183CF0" w:rsidRDefault="00A318C4" w:rsidP="007F6373">
      <w:pPr>
        <w:rPr>
          <w:lang w:val="en-AU" w:eastAsia="en-AU" w:bidi="ar-SA"/>
        </w:rPr>
      </w:pPr>
      <w:r w:rsidRPr="00183CF0">
        <w:rPr>
          <w:lang w:val="en-AU" w:eastAsia="en-AU" w:bidi="ar-SA"/>
        </w:rPr>
        <w:t xml:space="preserve">The Proposal also excludes </w:t>
      </w:r>
      <w:r w:rsidR="00AA5F09" w:rsidRPr="00183CF0">
        <w:rPr>
          <w:lang w:val="en-AU" w:eastAsia="en-AU" w:bidi="ar-SA"/>
        </w:rPr>
        <w:t>CMPF</w:t>
      </w:r>
      <w:r w:rsidR="00991D95" w:rsidRPr="00183CF0">
        <w:rPr>
          <w:lang w:val="en-AU" w:eastAsia="en-AU" w:bidi="ar-SA"/>
        </w:rPr>
        <w:t xml:space="preserve"> from </w:t>
      </w:r>
      <w:r w:rsidRPr="00183CF0">
        <w:rPr>
          <w:lang w:val="en-AU" w:eastAsia="en-AU" w:bidi="ar-SA"/>
        </w:rPr>
        <w:t xml:space="preserve">cooking equipment, utensils, food vessels, storage containers and </w:t>
      </w:r>
      <w:r w:rsidR="00991D95" w:rsidRPr="00183CF0">
        <w:rPr>
          <w:lang w:val="en-AU" w:eastAsia="en-AU" w:bidi="ar-SA"/>
        </w:rPr>
        <w:t xml:space="preserve">chemicals from </w:t>
      </w:r>
      <w:r w:rsidRPr="00183CF0">
        <w:rPr>
          <w:lang w:val="en-AU" w:eastAsia="en-AU" w:bidi="ar-SA"/>
        </w:rPr>
        <w:t xml:space="preserve">materials that may come into contact with foods through food manufacturing processing (e.g. manufacturing surfaces, food grade oils used in machinery </w:t>
      </w:r>
      <w:r w:rsidR="00991D95" w:rsidRPr="00183CF0">
        <w:rPr>
          <w:lang w:val="en-AU" w:eastAsia="en-AU" w:bidi="ar-SA"/>
        </w:rPr>
        <w:t>etc.</w:t>
      </w:r>
      <w:r w:rsidRPr="00183CF0">
        <w:rPr>
          <w:lang w:val="en-AU" w:eastAsia="en-AU" w:bidi="ar-SA"/>
        </w:rPr>
        <w:t>). Consumer behaviour with regard to packaging (for example, knowledge on how consumers store and use/treat packaged food</w:t>
      </w:r>
      <w:r w:rsidR="00991D95" w:rsidRPr="00183CF0">
        <w:rPr>
          <w:lang w:val="en-AU" w:eastAsia="en-AU" w:bidi="ar-SA"/>
        </w:rPr>
        <w:t xml:space="preserve"> and how this may lead to chemicals migrating into food</w:t>
      </w:r>
      <w:r w:rsidRPr="00183CF0">
        <w:rPr>
          <w:lang w:val="en-AU" w:eastAsia="en-AU" w:bidi="ar-SA"/>
        </w:rPr>
        <w:t xml:space="preserve">) is not </w:t>
      </w:r>
      <w:r w:rsidR="00D57D90" w:rsidRPr="00183CF0">
        <w:rPr>
          <w:lang w:val="en-AU" w:eastAsia="en-AU" w:bidi="ar-SA"/>
        </w:rPr>
        <w:t>being considered in the</w:t>
      </w:r>
      <w:r w:rsidRPr="00183CF0">
        <w:rPr>
          <w:lang w:val="en-AU" w:eastAsia="en-AU" w:bidi="ar-SA"/>
        </w:rPr>
        <w:t xml:space="preserve"> Proposal.</w:t>
      </w:r>
    </w:p>
    <w:p w:rsidR="00375792" w:rsidRPr="00183CF0" w:rsidRDefault="00505BAC" w:rsidP="007F6373">
      <w:pPr>
        <w:pStyle w:val="Heading2"/>
      </w:pPr>
      <w:bookmarkStart w:id="167" w:name="_Toc403377536"/>
      <w:bookmarkStart w:id="168" w:name="_Toc403394301"/>
      <w:r>
        <w:t>1.7</w:t>
      </w:r>
      <w:r>
        <w:tab/>
      </w:r>
      <w:r w:rsidR="004D7787" w:rsidRPr="00183CF0">
        <w:t xml:space="preserve">What are </w:t>
      </w:r>
      <w:r w:rsidR="00EC68F4" w:rsidRPr="00183CF0">
        <w:t>the objectives of</w:t>
      </w:r>
      <w:r w:rsidR="00EA229E" w:rsidRPr="00183CF0">
        <w:t xml:space="preserve"> th</w:t>
      </w:r>
      <w:r w:rsidR="004B4E62" w:rsidRPr="00183CF0">
        <w:t>e</w:t>
      </w:r>
      <w:r w:rsidR="00EA229E" w:rsidRPr="00183CF0">
        <w:t xml:space="preserve"> </w:t>
      </w:r>
      <w:r w:rsidR="004B4E62" w:rsidRPr="00183CF0">
        <w:t>P</w:t>
      </w:r>
      <w:r w:rsidR="00EA229E" w:rsidRPr="00183CF0">
        <w:t>roposal?</w:t>
      </w:r>
      <w:bookmarkEnd w:id="167"/>
      <w:bookmarkEnd w:id="168"/>
    </w:p>
    <w:p w:rsidR="00375792" w:rsidRPr="00183CF0" w:rsidRDefault="00375792" w:rsidP="007F6373">
      <w:pPr>
        <w:rPr>
          <w:rFonts w:eastAsia="Calibri"/>
          <w:lang w:bidi="ar-SA"/>
        </w:rPr>
      </w:pPr>
      <w:r w:rsidRPr="00183CF0">
        <w:rPr>
          <w:rFonts w:eastAsia="Calibri"/>
          <w:lang w:bidi="ar-SA"/>
        </w:rPr>
        <w:t xml:space="preserve">The overall objective of this </w:t>
      </w:r>
      <w:r w:rsidR="006A51DB">
        <w:rPr>
          <w:rFonts w:eastAsia="Calibri"/>
          <w:lang w:bidi="ar-SA"/>
        </w:rPr>
        <w:t>P</w:t>
      </w:r>
      <w:r w:rsidRPr="00183CF0">
        <w:rPr>
          <w:rFonts w:eastAsia="Calibri"/>
          <w:lang w:bidi="ar-SA"/>
        </w:rPr>
        <w:t xml:space="preserve">roposal is to determine whether </w:t>
      </w:r>
      <w:r w:rsidR="00237A0E">
        <w:rPr>
          <w:rFonts w:eastAsia="Calibri"/>
          <w:lang w:bidi="ar-SA"/>
        </w:rPr>
        <w:t xml:space="preserve">additional measures are required to manage food </w:t>
      </w:r>
      <w:r w:rsidR="007A15F7">
        <w:rPr>
          <w:rFonts w:eastAsia="Calibri"/>
          <w:lang w:bidi="ar-SA"/>
        </w:rPr>
        <w:t xml:space="preserve">safety risks </w:t>
      </w:r>
      <w:r w:rsidR="00237A0E">
        <w:rPr>
          <w:rFonts w:eastAsia="Calibri"/>
          <w:lang w:bidi="ar-SA"/>
        </w:rPr>
        <w:t xml:space="preserve">arising from </w:t>
      </w:r>
      <w:r w:rsidRPr="00183CF0">
        <w:rPr>
          <w:rFonts w:eastAsia="Calibri"/>
          <w:lang w:bidi="ar-SA"/>
        </w:rPr>
        <w:t>CM</w:t>
      </w:r>
      <w:r w:rsidR="000F011A">
        <w:rPr>
          <w:rFonts w:eastAsia="Calibri"/>
          <w:lang w:bidi="ar-SA"/>
        </w:rPr>
        <w:t>PF</w:t>
      </w:r>
      <w:r w:rsidRPr="00183CF0">
        <w:rPr>
          <w:rFonts w:eastAsia="Calibri"/>
          <w:lang w:bidi="ar-SA"/>
        </w:rPr>
        <w:t xml:space="preserve"> in Australia and New Zealand.</w:t>
      </w:r>
    </w:p>
    <w:p w:rsidR="00375792" w:rsidRPr="00183CF0" w:rsidRDefault="00375792" w:rsidP="007F6373">
      <w:pPr>
        <w:rPr>
          <w:rFonts w:eastAsia="Calibri"/>
          <w:b/>
          <w:lang w:bidi="ar-SA"/>
        </w:rPr>
      </w:pPr>
    </w:p>
    <w:p w:rsidR="00505BAC" w:rsidRPr="007F6373" w:rsidRDefault="00505BAC" w:rsidP="00292C61">
      <w:pPr>
        <w:pStyle w:val="Marginnote"/>
        <w:framePr w:w="1589" w:wrap="around" w:x="8999" w:y="771"/>
        <w:rPr>
          <w:rFonts w:ascii="Arial" w:hAnsi="Arial" w:cs="Arial"/>
          <w:szCs w:val="22"/>
        </w:rPr>
      </w:pPr>
      <w:bookmarkStart w:id="169" w:name="_Toc394331500"/>
      <w:bookmarkStart w:id="170" w:name="_Toc394503002"/>
      <w:bookmarkStart w:id="171" w:name="_Toc394577690"/>
      <w:bookmarkStart w:id="172" w:name="_Toc394584238"/>
      <w:bookmarkStart w:id="173" w:name="_Toc394584344"/>
      <w:bookmarkStart w:id="174" w:name="_Toc395080356"/>
      <w:bookmarkStart w:id="175" w:name="_Toc395100933"/>
      <w:bookmarkStart w:id="176" w:name="_Toc268973583"/>
      <w:bookmarkStart w:id="177" w:name="_Toc395188075"/>
      <w:bookmarkStart w:id="178" w:name="_Toc395188258"/>
      <w:bookmarkStart w:id="179" w:name="_Toc395250801"/>
      <w:bookmarkStart w:id="180" w:name="_Toc395257401"/>
      <w:bookmarkStart w:id="181" w:name="_Toc395270558"/>
      <w:bookmarkStart w:id="182" w:name="_Toc395270667"/>
      <w:bookmarkStart w:id="183" w:name="_Toc395279163"/>
      <w:bookmarkStart w:id="184" w:name="_Toc395608013"/>
      <w:bookmarkStart w:id="185" w:name="_Toc395798915"/>
      <w:bookmarkStart w:id="186" w:name="_Toc395881571"/>
      <w:bookmarkStart w:id="187" w:name="_Toc396315615"/>
      <w:bookmarkStart w:id="188" w:name="_Toc396732661"/>
      <w:bookmarkStart w:id="189" w:name="_Toc397520935"/>
      <w:bookmarkStart w:id="190" w:name="_Toc398192220"/>
      <w:bookmarkStart w:id="191" w:name="_Toc398192309"/>
      <w:bookmarkStart w:id="192" w:name="_Toc402281359"/>
      <w:bookmarkStart w:id="193" w:name="_Toc402367232"/>
      <w:bookmarkStart w:id="194" w:name="_Toc402450615"/>
      <w:bookmarkStart w:id="195" w:name="_Toc403377537"/>
      <w:bookmarkStart w:id="196" w:name="_Toc403394302"/>
      <w:r w:rsidRPr="007F6373">
        <w:rPr>
          <w:rFonts w:ascii="Arial" w:hAnsi="Arial" w:cs="Arial"/>
          <w:szCs w:val="22"/>
        </w:rPr>
        <w:t xml:space="preserve">FSANZ intends to estimate the residual risk from CMPF to consumers and to see if there are gaps in current </w:t>
      </w:r>
      <w:r w:rsidR="007A0146">
        <w:rPr>
          <w:rFonts w:ascii="Arial" w:hAnsi="Arial" w:cs="Arial"/>
          <w:szCs w:val="22"/>
        </w:rPr>
        <w:t xml:space="preserve">risk mitigation </w:t>
      </w:r>
      <w:r w:rsidRPr="007F6373">
        <w:rPr>
          <w:rFonts w:ascii="Arial" w:hAnsi="Arial" w:cs="Arial"/>
          <w:szCs w:val="22"/>
        </w:rPr>
        <w:t>measures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7A0146">
        <w:rPr>
          <w:rFonts w:ascii="Arial" w:hAnsi="Arial" w:cs="Arial"/>
          <w:szCs w:val="22"/>
        </w:rPr>
        <w:t>.</w:t>
      </w:r>
      <w:bookmarkEnd w:id="195"/>
      <w:bookmarkEnd w:id="196"/>
    </w:p>
    <w:p w:rsidR="00524DEA" w:rsidRPr="00183CF0" w:rsidRDefault="0053081E" w:rsidP="002A4A1D">
      <w:pPr>
        <w:rPr>
          <w:lang w:val="en-AU" w:bidi="ar-SA"/>
        </w:rPr>
      </w:pPr>
      <w:r w:rsidRPr="00183CF0">
        <w:rPr>
          <w:lang w:val="en-AU" w:bidi="ar-SA"/>
        </w:rPr>
        <w:t>In th</w:t>
      </w:r>
      <w:r w:rsidR="004D7787" w:rsidRPr="00183CF0">
        <w:rPr>
          <w:lang w:val="en-AU" w:bidi="ar-SA"/>
        </w:rPr>
        <w:t xml:space="preserve">is initial phase of the </w:t>
      </w:r>
      <w:r w:rsidR="006A51DB">
        <w:rPr>
          <w:lang w:val="en-AU" w:bidi="ar-SA"/>
        </w:rPr>
        <w:t>P</w:t>
      </w:r>
      <w:r w:rsidR="004D7787" w:rsidRPr="00183CF0">
        <w:rPr>
          <w:lang w:val="en-AU" w:bidi="ar-SA"/>
        </w:rPr>
        <w:t>roposal</w:t>
      </w:r>
      <w:r w:rsidR="006A51DB">
        <w:rPr>
          <w:lang w:val="en-AU" w:bidi="ar-SA"/>
        </w:rPr>
        <w:t>,</w:t>
      </w:r>
      <w:r w:rsidR="004D7787" w:rsidRPr="00183CF0">
        <w:rPr>
          <w:lang w:val="en-AU" w:bidi="ar-SA"/>
        </w:rPr>
        <w:t xml:space="preserve"> </w:t>
      </w:r>
      <w:r w:rsidRPr="00183CF0">
        <w:rPr>
          <w:lang w:val="en-AU" w:bidi="ar-SA"/>
        </w:rPr>
        <w:t xml:space="preserve">we </w:t>
      </w:r>
      <w:r w:rsidR="00524DEA" w:rsidRPr="00183CF0">
        <w:rPr>
          <w:lang w:val="en-AU" w:bidi="ar-SA"/>
        </w:rPr>
        <w:t xml:space="preserve">will analyse the risk </w:t>
      </w:r>
      <w:r w:rsidR="004D7787" w:rsidRPr="00183CF0">
        <w:rPr>
          <w:lang w:val="en-AU" w:bidi="ar-SA"/>
        </w:rPr>
        <w:t>that</w:t>
      </w:r>
      <w:r w:rsidR="00524DEA" w:rsidRPr="00183CF0">
        <w:rPr>
          <w:lang w:val="en-AU" w:bidi="ar-SA"/>
        </w:rPr>
        <w:t xml:space="preserve"> consumers </w:t>
      </w:r>
      <w:r w:rsidR="004D7787" w:rsidRPr="00183CF0">
        <w:rPr>
          <w:lang w:val="en-AU" w:bidi="ar-SA"/>
        </w:rPr>
        <w:t xml:space="preserve">may be exposed to </w:t>
      </w:r>
      <w:r w:rsidR="00237A0E">
        <w:rPr>
          <w:lang w:val="en-AU" w:bidi="ar-SA"/>
        </w:rPr>
        <w:t xml:space="preserve">in the current management framework </w:t>
      </w:r>
      <w:r w:rsidR="00524DEA" w:rsidRPr="00183CF0">
        <w:rPr>
          <w:lang w:val="en-AU" w:bidi="ar-SA"/>
        </w:rPr>
        <w:t xml:space="preserve">and whether additional </w:t>
      </w:r>
      <w:r w:rsidR="0055508F">
        <w:rPr>
          <w:lang w:val="en-AU" w:bidi="ar-SA"/>
        </w:rPr>
        <w:t xml:space="preserve">risk </w:t>
      </w:r>
      <w:r w:rsidR="00524DEA" w:rsidRPr="00183CF0">
        <w:rPr>
          <w:lang w:val="en-AU" w:bidi="ar-SA"/>
        </w:rPr>
        <w:t xml:space="preserve">mitigation measures are likely to </w:t>
      </w:r>
      <w:r w:rsidR="00AA5EA5">
        <w:rPr>
          <w:lang w:val="en-AU" w:bidi="ar-SA"/>
        </w:rPr>
        <w:t>enhance the safety</w:t>
      </w:r>
      <w:r w:rsidR="00524DEA" w:rsidRPr="00183CF0">
        <w:rPr>
          <w:lang w:val="en-AU" w:bidi="ar-SA"/>
        </w:rPr>
        <w:t xml:space="preserve"> of the present regulatory regime above the status quo in a way that is likely to result in a net benefit to the whole community.</w:t>
      </w:r>
    </w:p>
    <w:p w:rsidR="00524DEA" w:rsidRPr="00183CF0" w:rsidRDefault="00524DEA" w:rsidP="007F6373">
      <w:pPr>
        <w:rPr>
          <w:rFonts w:eastAsia="Calibri"/>
          <w:b/>
          <w:lang w:bidi="ar-SA"/>
        </w:rPr>
      </w:pPr>
    </w:p>
    <w:p w:rsidR="00375792" w:rsidRPr="002A4A1D" w:rsidRDefault="00375792" w:rsidP="007F6373">
      <w:pPr>
        <w:rPr>
          <w:rFonts w:eastAsia="Calibri"/>
          <w:szCs w:val="22"/>
          <w:lang w:bidi="ar-SA"/>
        </w:rPr>
      </w:pPr>
      <w:r w:rsidRPr="002A4A1D">
        <w:rPr>
          <w:rFonts w:eastAsia="Calibri"/>
          <w:szCs w:val="22"/>
          <w:lang w:bidi="ar-SA"/>
        </w:rPr>
        <w:t>The specific objectives of th</w:t>
      </w:r>
      <w:r w:rsidR="0053081E" w:rsidRPr="002A4A1D">
        <w:rPr>
          <w:rFonts w:eastAsia="Calibri"/>
          <w:szCs w:val="22"/>
          <w:lang w:bidi="ar-SA"/>
        </w:rPr>
        <w:t>is</w:t>
      </w:r>
      <w:r w:rsidRPr="002A4A1D">
        <w:rPr>
          <w:rFonts w:eastAsia="Calibri"/>
          <w:szCs w:val="22"/>
          <w:lang w:bidi="ar-SA"/>
        </w:rPr>
        <w:t xml:space="preserve"> first </w:t>
      </w:r>
      <w:r w:rsidR="0053081E" w:rsidRPr="002A4A1D">
        <w:rPr>
          <w:rFonts w:eastAsia="Calibri"/>
          <w:szCs w:val="22"/>
          <w:lang w:bidi="ar-SA"/>
        </w:rPr>
        <w:t>stage</w:t>
      </w:r>
      <w:r w:rsidRPr="002A4A1D">
        <w:rPr>
          <w:rFonts w:eastAsia="Calibri"/>
          <w:szCs w:val="22"/>
          <w:lang w:bidi="ar-SA"/>
        </w:rPr>
        <w:t xml:space="preserve"> of the </w:t>
      </w:r>
      <w:r w:rsidR="006A51DB">
        <w:rPr>
          <w:rFonts w:eastAsia="Calibri"/>
          <w:szCs w:val="22"/>
          <w:lang w:bidi="ar-SA"/>
        </w:rPr>
        <w:t>P</w:t>
      </w:r>
      <w:r w:rsidRPr="002A4A1D">
        <w:rPr>
          <w:rFonts w:eastAsia="Calibri"/>
          <w:szCs w:val="22"/>
          <w:lang w:bidi="ar-SA"/>
        </w:rPr>
        <w:t>roposal are</w:t>
      </w:r>
      <w:r w:rsidR="00D57D90" w:rsidRPr="002A4A1D">
        <w:rPr>
          <w:rFonts w:eastAsia="Calibri"/>
          <w:szCs w:val="22"/>
          <w:lang w:bidi="ar-SA"/>
        </w:rPr>
        <w:t xml:space="preserve"> to</w:t>
      </w:r>
      <w:r w:rsidRPr="002A4A1D">
        <w:rPr>
          <w:rFonts w:eastAsia="Calibri"/>
          <w:szCs w:val="22"/>
          <w:lang w:bidi="ar-SA"/>
        </w:rPr>
        <w:t>:</w:t>
      </w:r>
    </w:p>
    <w:p w:rsidR="00375792" w:rsidRPr="002A4A1D" w:rsidRDefault="00375792" w:rsidP="007F6373">
      <w:pPr>
        <w:rPr>
          <w:rFonts w:eastAsia="Calibri"/>
          <w:szCs w:val="22"/>
          <w:lang w:bidi="ar-SA"/>
        </w:rPr>
      </w:pPr>
    </w:p>
    <w:p w:rsidR="00375792" w:rsidRPr="007F6373" w:rsidRDefault="00505BAC" w:rsidP="007F6373">
      <w:pPr>
        <w:ind w:left="567" w:hanging="567"/>
        <w:rPr>
          <w:rFonts w:cs="Arial"/>
          <w:color w:val="000000"/>
          <w:szCs w:val="22"/>
          <w:lang w:val="en-AU" w:eastAsia="en-AU" w:bidi="ar-SA"/>
        </w:rPr>
      </w:pPr>
      <w:r>
        <w:rPr>
          <w:rFonts w:cs="Arial"/>
          <w:color w:val="000000"/>
          <w:szCs w:val="22"/>
          <w:lang w:val="en-AU" w:eastAsia="en-AU" w:bidi="ar-SA"/>
        </w:rPr>
        <w:t>1.</w:t>
      </w:r>
      <w:r>
        <w:rPr>
          <w:rFonts w:cs="Arial"/>
          <w:color w:val="000000"/>
          <w:szCs w:val="22"/>
          <w:lang w:val="en-AU" w:eastAsia="en-AU" w:bidi="ar-SA"/>
        </w:rPr>
        <w:tab/>
      </w:r>
      <w:proofErr w:type="gramStart"/>
      <w:r>
        <w:rPr>
          <w:rFonts w:cs="Arial"/>
          <w:color w:val="000000"/>
          <w:szCs w:val="22"/>
          <w:lang w:val="en-AU" w:eastAsia="en-AU" w:bidi="ar-SA"/>
        </w:rPr>
        <w:t>i</w:t>
      </w:r>
      <w:r w:rsidR="00375792" w:rsidRPr="007F6373">
        <w:rPr>
          <w:rFonts w:cs="Arial"/>
          <w:color w:val="000000"/>
          <w:szCs w:val="22"/>
          <w:lang w:val="en-AU" w:eastAsia="en-AU" w:bidi="ar-SA"/>
        </w:rPr>
        <w:t>dentify</w:t>
      </w:r>
      <w:proofErr w:type="gramEnd"/>
      <w:r w:rsidR="00375792" w:rsidRPr="007F6373">
        <w:rPr>
          <w:rFonts w:cs="Arial"/>
          <w:color w:val="000000"/>
          <w:szCs w:val="22"/>
          <w:lang w:val="en-AU" w:eastAsia="en-AU" w:bidi="ar-SA"/>
        </w:rPr>
        <w:t xml:space="preserve"> and characterise potential public health and safety risks from CMPF and </w:t>
      </w:r>
      <w:r w:rsidR="00237A0E" w:rsidRPr="007F6373">
        <w:rPr>
          <w:rFonts w:cs="Arial"/>
          <w:color w:val="000000"/>
          <w:szCs w:val="22"/>
          <w:lang w:val="en-AU" w:eastAsia="en-AU" w:bidi="ar-SA"/>
        </w:rPr>
        <w:t>s</w:t>
      </w:r>
      <w:r w:rsidR="00375792" w:rsidRPr="007F6373">
        <w:rPr>
          <w:rFonts w:cs="Arial"/>
          <w:color w:val="000000"/>
          <w:szCs w:val="22"/>
          <w:lang w:val="en-AU" w:eastAsia="en-AU" w:bidi="ar-SA"/>
        </w:rPr>
        <w:t>pecifically from chemicals which may migrate from virgin packaging and recycled packaging into food</w:t>
      </w:r>
    </w:p>
    <w:p w:rsidR="00375792" w:rsidRPr="007F6373" w:rsidRDefault="00375792" w:rsidP="007F6373">
      <w:pPr>
        <w:ind w:left="567" w:hanging="567"/>
        <w:rPr>
          <w:rFonts w:cs="Arial"/>
          <w:color w:val="000000"/>
          <w:szCs w:val="22"/>
          <w:lang w:val="en-AU" w:eastAsia="en-AU" w:bidi="ar-SA"/>
        </w:rPr>
      </w:pPr>
    </w:p>
    <w:p w:rsidR="00375792" w:rsidRPr="007F6373" w:rsidRDefault="00505BAC" w:rsidP="007F6373">
      <w:pPr>
        <w:ind w:left="567" w:hanging="567"/>
        <w:rPr>
          <w:rFonts w:cs="Arial"/>
          <w:color w:val="000000"/>
          <w:szCs w:val="22"/>
          <w:lang w:val="en-AU" w:eastAsia="en-AU" w:bidi="ar-SA"/>
        </w:rPr>
      </w:pPr>
      <w:r>
        <w:rPr>
          <w:rFonts w:cs="Arial"/>
          <w:color w:val="000000"/>
          <w:szCs w:val="22"/>
          <w:lang w:val="en-AU" w:eastAsia="en-AU" w:bidi="ar-SA"/>
        </w:rPr>
        <w:t>2.</w:t>
      </w:r>
      <w:r>
        <w:rPr>
          <w:rFonts w:cs="Arial"/>
          <w:color w:val="000000"/>
          <w:szCs w:val="22"/>
          <w:lang w:val="en-AU" w:eastAsia="en-AU" w:bidi="ar-SA"/>
        </w:rPr>
        <w:tab/>
      </w:r>
      <w:proofErr w:type="gramStart"/>
      <w:r>
        <w:rPr>
          <w:rFonts w:cs="Arial"/>
          <w:color w:val="000000"/>
          <w:szCs w:val="22"/>
          <w:lang w:val="en-AU" w:eastAsia="en-AU" w:bidi="ar-SA"/>
        </w:rPr>
        <w:t>i</w:t>
      </w:r>
      <w:r w:rsidR="00375792" w:rsidRPr="007F6373">
        <w:rPr>
          <w:rFonts w:cs="Arial"/>
          <w:color w:val="000000"/>
          <w:szCs w:val="22"/>
          <w:lang w:val="en-AU" w:eastAsia="en-AU" w:bidi="ar-SA"/>
        </w:rPr>
        <w:t>dentify</w:t>
      </w:r>
      <w:proofErr w:type="gramEnd"/>
      <w:r w:rsidR="00375792" w:rsidRPr="007F6373">
        <w:rPr>
          <w:rFonts w:cs="Arial"/>
          <w:color w:val="000000"/>
          <w:szCs w:val="22"/>
          <w:lang w:val="en-AU" w:eastAsia="en-AU" w:bidi="ar-SA"/>
        </w:rPr>
        <w:t xml:space="preserve"> and characterise current risk mitigation measures used by industry</w:t>
      </w:r>
    </w:p>
    <w:p w:rsidR="00375792" w:rsidRPr="007F6373" w:rsidRDefault="00375792" w:rsidP="007F6373">
      <w:pPr>
        <w:ind w:left="567" w:hanging="567"/>
        <w:rPr>
          <w:rFonts w:ascii="Times New Roman" w:hAnsi="Times New Roman" w:cs="Arial"/>
          <w:color w:val="000000"/>
          <w:szCs w:val="22"/>
          <w:lang w:val="en-AU" w:eastAsia="en-AU" w:bidi="ar-SA"/>
        </w:rPr>
      </w:pPr>
    </w:p>
    <w:p w:rsidR="00375792" w:rsidRPr="007F6373" w:rsidRDefault="00505BAC" w:rsidP="007F6373">
      <w:pPr>
        <w:ind w:left="567" w:hanging="567"/>
        <w:rPr>
          <w:rFonts w:cs="Arial"/>
          <w:color w:val="000000"/>
          <w:szCs w:val="22"/>
          <w:lang w:val="en-AU" w:eastAsia="en-AU" w:bidi="ar-SA"/>
        </w:rPr>
      </w:pPr>
      <w:r>
        <w:rPr>
          <w:rFonts w:cs="Arial"/>
          <w:color w:val="000000"/>
          <w:szCs w:val="22"/>
          <w:lang w:val="en-AU" w:eastAsia="en-AU" w:bidi="ar-SA"/>
        </w:rPr>
        <w:lastRenderedPageBreak/>
        <w:t>3.</w:t>
      </w:r>
      <w:r>
        <w:rPr>
          <w:rFonts w:cs="Arial"/>
          <w:color w:val="000000"/>
          <w:szCs w:val="22"/>
          <w:lang w:val="en-AU" w:eastAsia="en-AU" w:bidi="ar-SA"/>
        </w:rPr>
        <w:tab/>
      </w:r>
      <w:proofErr w:type="gramStart"/>
      <w:r>
        <w:rPr>
          <w:rFonts w:cs="Arial"/>
          <w:color w:val="000000"/>
          <w:szCs w:val="22"/>
          <w:lang w:val="en-AU" w:eastAsia="en-AU" w:bidi="ar-SA"/>
        </w:rPr>
        <w:t>a</w:t>
      </w:r>
      <w:r w:rsidR="00375792" w:rsidRPr="007F6373">
        <w:rPr>
          <w:rFonts w:cs="Arial"/>
          <w:color w:val="000000"/>
          <w:szCs w:val="22"/>
          <w:lang w:val="en-AU" w:eastAsia="en-AU" w:bidi="ar-SA"/>
        </w:rPr>
        <w:t>ssess</w:t>
      </w:r>
      <w:proofErr w:type="gramEnd"/>
      <w:r w:rsidR="00375792" w:rsidRPr="007F6373">
        <w:rPr>
          <w:rFonts w:cs="Arial"/>
          <w:color w:val="000000"/>
          <w:szCs w:val="22"/>
          <w:lang w:val="en-AU" w:eastAsia="en-AU" w:bidi="ar-SA"/>
        </w:rPr>
        <w:t xml:space="preserve"> the </w:t>
      </w:r>
      <w:r w:rsidR="00D35226" w:rsidRPr="007F6373">
        <w:rPr>
          <w:rFonts w:cs="Arial"/>
          <w:color w:val="000000"/>
          <w:szCs w:val="22"/>
          <w:lang w:val="en-AU" w:eastAsia="en-AU" w:bidi="ar-SA"/>
        </w:rPr>
        <w:t xml:space="preserve">residual </w:t>
      </w:r>
      <w:r w:rsidR="00375792" w:rsidRPr="007F6373">
        <w:rPr>
          <w:rFonts w:cs="Arial"/>
          <w:color w:val="000000"/>
          <w:szCs w:val="22"/>
          <w:lang w:val="en-AU" w:eastAsia="en-AU" w:bidi="ar-SA"/>
        </w:rPr>
        <w:t>risk to consumers</w:t>
      </w:r>
      <w:r w:rsidR="00237A0E" w:rsidRPr="007F6373">
        <w:rPr>
          <w:rFonts w:cs="Arial"/>
          <w:color w:val="000000"/>
          <w:szCs w:val="22"/>
          <w:lang w:val="en-AU" w:eastAsia="en-AU" w:bidi="ar-SA"/>
        </w:rPr>
        <w:t xml:space="preserve"> in the context of the current management framework</w:t>
      </w:r>
    </w:p>
    <w:p w:rsidR="00375792" w:rsidRPr="007F6373" w:rsidRDefault="00375792" w:rsidP="007F6373">
      <w:pPr>
        <w:ind w:left="567" w:hanging="567"/>
        <w:rPr>
          <w:rFonts w:ascii="Times New Roman" w:hAnsi="Times New Roman" w:cs="Arial"/>
          <w:color w:val="000000"/>
          <w:szCs w:val="22"/>
          <w:lang w:val="en-AU" w:eastAsia="en-AU" w:bidi="ar-SA"/>
        </w:rPr>
      </w:pPr>
    </w:p>
    <w:p w:rsidR="00375792" w:rsidRPr="007F6373" w:rsidRDefault="00505BAC" w:rsidP="007F6373">
      <w:pPr>
        <w:ind w:left="567" w:hanging="567"/>
        <w:rPr>
          <w:rFonts w:cs="Arial"/>
          <w:color w:val="000000"/>
          <w:szCs w:val="22"/>
          <w:lang w:val="en-AU" w:eastAsia="en-AU" w:bidi="ar-SA"/>
        </w:rPr>
      </w:pPr>
      <w:r>
        <w:rPr>
          <w:rFonts w:cs="Arial"/>
          <w:color w:val="000000"/>
          <w:szCs w:val="22"/>
          <w:lang w:val="en-AU" w:eastAsia="en-AU" w:bidi="ar-SA"/>
        </w:rPr>
        <w:t>4.</w:t>
      </w:r>
      <w:r>
        <w:rPr>
          <w:rFonts w:cs="Arial"/>
          <w:color w:val="000000"/>
          <w:szCs w:val="22"/>
          <w:lang w:val="en-AU" w:eastAsia="en-AU" w:bidi="ar-SA"/>
        </w:rPr>
        <w:tab/>
      </w:r>
      <w:proofErr w:type="gramStart"/>
      <w:r>
        <w:rPr>
          <w:rFonts w:cs="Arial"/>
          <w:color w:val="000000"/>
          <w:szCs w:val="22"/>
          <w:lang w:val="en-AU" w:eastAsia="en-AU" w:bidi="ar-SA"/>
        </w:rPr>
        <w:t>d</w:t>
      </w:r>
      <w:r w:rsidR="00237A0E" w:rsidRPr="007F6373">
        <w:rPr>
          <w:rFonts w:cs="Arial"/>
          <w:color w:val="000000"/>
          <w:szCs w:val="22"/>
          <w:lang w:val="en-AU" w:eastAsia="en-AU" w:bidi="ar-SA"/>
        </w:rPr>
        <w:t>etermine</w:t>
      </w:r>
      <w:proofErr w:type="gramEnd"/>
      <w:r w:rsidR="00375792" w:rsidRPr="007F6373">
        <w:rPr>
          <w:rFonts w:cs="Arial"/>
          <w:color w:val="000000"/>
          <w:szCs w:val="22"/>
          <w:lang w:val="en-AU" w:eastAsia="en-AU" w:bidi="ar-SA"/>
        </w:rPr>
        <w:t xml:space="preserve"> whether the risk is adequately mitigated by current measures and evaluate whether there is a need to introduce further measures</w:t>
      </w:r>
      <w:r w:rsidR="0055508F" w:rsidRPr="007F6373">
        <w:rPr>
          <w:rFonts w:cs="Arial"/>
          <w:color w:val="000000"/>
          <w:szCs w:val="22"/>
          <w:lang w:val="en-AU" w:eastAsia="en-AU" w:bidi="ar-SA"/>
        </w:rPr>
        <w:t>.</w:t>
      </w:r>
      <w:r w:rsidR="00375792" w:rsidRPr="007F6373">
        <w:rPr>
          <w:rFonts w:cs="Arial"/>
          <w:color w:val="000000"/>
          <w:szCs w:val="22"/>
          <w:lang w:val="en-AU" w:eastAsia="en-AU" w:bidi="ar-SA"/>
        </w:rPr>
        <w:t xml:space="preserve"> </w:t>
      </w:r>
    </w:p>
    <w:p w:rsidR="00666AF2" w:rsidRPr="00183CF0" w:rsidRDefault="00505BAC" w:rsidP="007F6373">
      <w:pPr>
        <w:pStyle w:val="Heading2"/>
      </w:pPr>
      <w:bookmarkStart w:id="197" w:name="_Toc403377538"/>
      <w:bookmarkStart w:id="198" w:name="_Toc403394303"/>
      <w:r>
        <w:t>1.8</w:t>
      </w:r>
      <w:r>
        <w:tab/>
      </w:r>
      <w:r w:rsidR="004D7787" w:rsidRPr="00183CF0">
        <w:t>How will these objectives be achieved?</w:t>
      </w:r>
      <w:bookmarkEnd w:id="197"/>
      <w:bookmarkEnd w:id="198"/>
    </w:p>
    <w:p w:rsidR="00E54166" w:rsidRDefault="00E54166" w:rsidP="007F6373">
      <w:r w:rsidRPr="00183CF0">
        <w:t xml:space="preserve">FSANZ </w:t>
      </w:r>
      <w:r w:rsidR="00A37D49">
        <w:t>aims to</w:t>
      </w:r>
      <w:r w:rsidRPr="00183CF0">
        <w:t xml:space="preserve"> achieve these objectives</w:t>
      </w:r>
      <w:r w:rsidR="00A37D49">
        <w:t xml:space="preserve"> in a number of ways</w:t>
      </w:r>
      <w:r w:rsidRPr="00183CF0">
        <w:t>, including:</w:t>
      </w:r>
    </w:p>
    <w:p w:rsidR="00505BAC" w:rsidRPr="00183CF0" w:rsidRDefault="00505BAC" w:rsidP="007F6373"/>
    <w:p w:rsidR="00E54166" w:rsidRDefault="00F973EA" w:rsidP="007F6373">
      <w:pPr>
        <w:pStyle w:val="FSBullet1"/>
      </w:pPr>
      <w:r>
        <w:t>E</w:t>
      </w:r>
      <w:r w:rsidR="00237A0E" w:rsidRPr="00183CF0">
        <w:t>stablishment</w:t>
      </w:r>
      <w:r w:rsidR="00E54166" w:rsidRPr="00183CF0">
        <w:t xml:space="preserve"> of a </w:t>
      </w:r>
      <w:r w:rsidR="00F05A80">
        <w:t xml:space="preserve">FSANZ </w:t>
      </w:r>
      <w:r w:rsidR="00E54166" w:rsidRPr="00183CF0">
        <w:t>Packaging Advisory Group</w:t>
      </w:r>
      <w:r w:rsidR="00AF5724" w:rsidRPr="00183CF0">
        <w:t xml:space="preserve"> </w:t>
      </w:r>
      <w:r w:rsidR="00EC6696" w:rsidRPr="00183CF0">
        <w:t xml:space="preserve">(PAG) </w:t>
      </w:r>
      <w:r w:rsidR="00AF5724" w:rsidRPr="00183CF0">
        <w:t xml:space="preserve">which </w:t>
      </w:r>
      <w:r w:rsidR="00C064F6">
        <w:t>includes</w:t>
      </w:r>
      <w:r w:rsidR="00C064F6" w:rsidRPr="00183CF0">
        <w:t xml:space="preserve"> representation</w:t>
      </w:r>
      <w:r w:rsidR="00AF5724" w:rsidRPr="00183CF0">
        <w:t xml:space="preserve"> from Australia and New Zealand. The PAG </w:t>
      </w:r>
      <w:r w:rsidR="00392C67">
        <w:t>will</w:t>
      </w:r>
      <w:r w:rsidR="0055508F">
        <w:t xml:space="preserve"> </w:t>
      </w:r>
      <w:r w:rsidR="00AF5724" w:rsidRPr="00183CF0">
        <w:t>provide information on industry, consumer and government views and practices</w:t>
      </w:r>
      <w:r w:rsidR="00DF4EB7">
        <w:t>,</w:t>
      </w:r>
      <w:r w:rsidR="00AF5724" w:rsidRPr="00183CF0">
        <w:t xml:space="preserve"> and </w:t>
      </w:r>
      <w:r w:rsidR="00D57D90" w:rsidRPr="00183CF0">
        <w:t xml:space="preserve">is a way </w:t>
      </w:r>
      <w:r w:rsidR="00AF5724" w:rsidRPr="00183CF0">
        <w:t xml:space="preserve">for FSANZ to </w:t>
      </w:r>
      <w:r w:rsidR="00392C67">
        <w:t>obtain a</w:t>
      </w:r>
      <w:r w:rsidR="00AF5724" w:rsidRPr="00183CF0">
        <w:t>dvice from a range of stakeholders on the adequacy of current requirements in controlling potential risks posed by chemicals migrating from packaging into food</w:t>
      </w:r>
      <w:r>
        <w:t>.</w:t>
      </w:r>
      <w:r w:rsidR="00505BAC">
        <w:t xml:space="preserve"> </w:t>
      </w:r>
    </w:p>
    <w:p w:rsidR="00505BAC" w:rsidRPr="002A4A1D" w:rsidRDefault="00505BAC" w:rsidP="007F6373">
      <w:pPr>
        <w:rPr>
          <w:lang w:bidi="ar-SA"/>
        </w:rPr>
      </w:pPr>
    </w:p>
    <w:p w:rsidR="00505BAC" w:rsidRDefault="00F973EA" w:rsidP="007F6373">
      <w:pPr>
        <w:pStyle w:val="FSBullet1"/>
      </w:pPr>
      <w:r>
        <w:t>R</w:t>
      </w:r>
      <w:r w:rsidR="00AF5724" w:rsidRPr="00183CF0">
        <w:t xml:space="preserve">esearching </w:t>
      </w:r>
      <w:r w:rsidR="00EB0E5E" w:rsidRPr="00183CF0">
        <w:t xml:space="preserve">the risk from virgin packaging materials and recycled materials </w:t>
      </w:r>
      <w:r w:rsidR="00D57D90" w:rsidRPr="00183CF0">
        <w:t>by analysing</w:t>
      </w:r>
      <w:r w:rsidR="0009192F" w:rsidRPr="00183CF0">
        <w:t xml:space="preserve"> hazards posed by </w:t>
      </w:r>
      <w:r w:rsidR="00FF038D" w:rsidRPr="00183CF0">
        <w:t xml:space="preserve">a range of chemical migrates </w:t>
      </w:r>
      <w:r w:rsidR="0009192F" w:rsidRPr="00183CF0">
        <w:t xml:space="preserve">and </w:t>
      </w:r>
      <w:r w:rsidR="00FF038D" w:rsidRPr="00183CF0">
        <w:t>potential for exposure to these chemicals</w:t>
      </w:r>
      <w:r w:rsidR="0055508F">
        <w:t xml:space="preserve"> from food consumption</w:t>
      </w:r>
      <w:r>
        <w:t>.</w:t>
      </w:r>
    </w:p>
    <w:p w:rsidR="00E54166" w:rsidRPr="00183CF0" w:rsidRDefault="00E54166" w:rsidP="007F6373">
      <w:pPr>
        <w:pStyle w:val="FSBullet1"/>
        <w:numPr>
          <w:ilvl w:val="0"/>
          <w:numId w:val="0"/>
        </w:numPr>
        <w:ind w:left="567"/>
      </w:pPr>
    </w:p>
    <w:p w:rsidR="00505BAC" w:rsidRDefault="00F973EA" w:rsidP="007F6373">
      <w:pPr>
        <w:pStyle w:val="FSBullet1"/>
      </w:pPr>
      <w:r>
        <w:t>U</w:t>
      </w:r>
      <w:r w:rsidR="00E54166" w:rsidRPr="00183CF0">
        <w:t>ndertaking a preliminary comparison of international approaches to the regulation of food packaging materials, particula</w:t>
      </w:r>
      <w:r w:rsidR="00AF5724" w:rsidRPr="00183CF0">
        <w:t>rly those in the EU and the US</w:t>
      </w:r>
      <w:r w:rsidR="00CE2538">
        <w:t xml:space="preserve"> to identify the nature and extent of chemicals in packaging </w:t>
      </w:r>
      <w:r w:rsidR="001F37A6">
        <w:t xml:space="preserve">of food </w:t>
      </w:r>
      <w:r w:rsidR="00CE2538">
        <w:t xml:space="preserve">that may </w:t>
      </w:r>
      <w:r w:rsidR="00532FE8">
        <w:t xml:space="preserve">have hazardous properties </w:t>
      </w:r>
      <w:r w:rsidR="001F37A6">
        <w:t xml:space="preserve">and </w:t>
      </w:r>
      <w:r w:rsidR="00CE2538">
        <w:t xml:space="preserve">result in </w:t>
      </w:r>
      <w:r w:rsidR="001F37A6">
        <w:t xml:space="preserve">potential </w:t>
      </w:r>
      <w:r w:rsidR="00CE2538">
        <w:t>consumer exposure</w:t>
      </w:r>
      <w:r w:rsidR="001F37A6">
        <w:t xml:space="preserve"> from the diet</w:t>
      </w:r>
      <w:r w:rsidR="00505BAC">
        <w:t>.</w:t>
      </w:r>
    </w:p>
    <w:p w:rsidR="00E54166" w:rsidRPr="00183CF0" w:rsidRDefault="00E54166" w:rsidP="007F6373">
      <w:pPr>
        <w:pStyle w:val="FSBullet1"/>
        <w:numPr>
          <w:ilvl w:val="0"/>
          <w:numId w:val="0"/>
        </w:numPr>
        <w:ind w:left="567"/>
      </w:pPr>
    </w:p>
    <w:p w:rsidR="00505BAC" w:rsidRDefault="00F973EA" w:rsidP="007F6373">
      <w:pPr>
        <w:pStyle w:val="FSBullet1"/>
      </w:pPr>
      <w:r>
        <w:t>C</w:t>
      </w:r>
      <w:r w:rsidR="00AF5724" w:rsidRPr="00183CF0">
        <w:t>onsulting directly with a range of packaging supply chain members in Australia and New Zealand to gain a broad understanding of the industry structure, compliance processes and any safety concerns they may have</w:t>
      </w:r>
      <w:r>
        <w:t>.</w:t>
      </w:r>
    </w:p>
    <w:p w:rsidR="00AF5724" w:rsidRPr="00183CF0" w:rsidRDefault="00AF5724" w:rsidP="007F6373">
      <w:pPr>
        <w:pStyle w:val="FSBullet1"/>
        <w:numPr>
          <w:ilvl w:val="0"/>
          <w:numId w:val="0"/>
        </w:numPr>
      </w:pPr>
    </w:p>
    <w:p w:rsidR="00AF5724" w:rsidRDefault="00F973EA" w:rsidP="007F6373">
      <w:pPr>
        <w:pStyle w:val="FSBullet1"/>
      </w:pPr>
      <w:r>
        <w:t>S</w:t>
      </w:r>
      <w:r w:rsidR="00AF5724" w:rsidRPr="00183CF0">
        <w:t>urveying food packaging manufacturers and the food industry more generally to establish current industry practices</w:t>
      </w:r>
      <w:r>
        <w:t>.</w:t>
      </w:r>
    </w:p>
    <w:p w:rsidR="00505BAC" w:rsidRPr="002A4A1D" w:rsidRDefault="00505BAC" w:rsidP="007F6373">
      <w:pPr>
        <w:rPr>
          <w:lang w:bidi="ar-SA"/>
        </w:rPr>
      </w:pPr>
    </w:p>
    <w:p w:rsidR="007F2853" w:rsidRDefault="00F973EA" w:rsidP="007F6373">
      <w:pPr>
        <w:pStyle w:val="FSBullet1"/>
      </w:pPr>
      <w:r>
        <w:t>D</w:t>
      </w:r>
      <w:r w:rsidR="007F2853">
        <w:t xml:space="preserve">rawing on previously conducted </w:t>
      </w:r>
      <w:r w:rsidR="00AF5724" w:rsidRPr="00183CF0">
        <w:t xml:space="preserve">analytical surveys investigating the concentrations of some packaging chemicals in foods and beverages in Australia to determine whether there </w:t>
      </w:r>
      <w:proofErr w:type="gramStart"/>
      <w:r w:rsidR="00AF5724" w:rsidRPr="00183CF0">
        <w:t>are</w:t>
      </w:r>
      <w:proofErr w:type="gramEnd"/>
      <w:r w:rsidR="00AF5724" w:rsidRPr="00183CF0">
        <w:t xml:space="preserve"> any </w:t>
      </w:r>
      <w:r w:rsidR="001F37A6">
        <w:t xml:space="preserve">potential </w:t>
      </w:r>
      <w:r w:rsidR="00AF5724" w:rsidRPr="00183CF0">
        <w:t xml:space="preserve">health risks associated with </w:t>
      </w:r>
      <w:r w:rsidR="0055508F">
        <w:t>observed</w:t>
      </w:r>
      <w:r w:rsidR="0055508F" w:rsidRPr="00183CF0">
        <w:t xml:space="preserve"> </w:t>
      </w:r>
      <w:r w:rsidR="00AF5724" w:rsidRPr="00183CF0">
        <w:t>migration levels</w:t>
      </w:r>
      <w:r w:rsidR="00392C67">
        <w:t xml:space="preserve"> and conducting further surveys</w:t>
      </w:r>
      <w:r w:rsidR="001F37A6">
        <w:t xml:space="preserve"> as required</w:t>
      </w:r>
      <w:r w:rsidR="003C4841">
        <w:t>.</w:t>
      </w:r>
    </w:p>
    <w:p w:rsidR="00505BAC" w:rsidRPr="002A4A1D" w:rsidRDefault="00505BAC" w:rsidP="007F6373">
      <w:pPr>
        <w:rPr>
          <w:lang w:bidi="ar-SA"/>
        </w:rPr>
      </w:pPr>
    </w:p>
    <w:p w:rsidR="00AF5724" w:rsidRPr="00183CF0" w:rsidRDefault="000D5560" w:rsidP="007F6373">
      <w:pPr>
        <w:pStyle w:val="FSBullet1"/>
      </w:pPr>
      <w:r>
        <w:t>Gather</w:t>
      </w:r>
      <w:r w:rsidR="00392C67">
        <w:t>ing</w:t>
      </w:r>
      <w:r>
        <w:t xml:space="preserve"> further information u</w:t>
      </w:r>
      <w:r w:rsidR="00392C67">
        <w:t xml:space="preserve">sing </w:t>
      </w:r>
      <w:r w:rsidR="007F2853">
        <w:t>a range of consultation mechanisms such as industry surveys, consultation papers, groups such as the Packaging Advisory Group and targeted discussions with specific sectors of the packaging industry.</w:t>
      </w:r>
    </w:p>
    <w:p w:rsidR="007F2853" w:rsidRDefault="007F2853" w:rsidP="007F6373">
      <w:pPr>
        <w:widowControl/>
        <w:rPr>
          <w:b/>
          <w:i/>
          <w:sz w:val="24"/>
        </w:rPr>
      </w:pPr>
    </w:p>
    <w:p w:rsidR="00E517D6" w:rsidRDefault="00E517D6" w:rsidP="00E517D6">
      <w:pPr>
        <w:pStyle w:val="Heading1"/>
      </w:pPr>
      <w:bookmarkStart w:id="199" w:name="_Toc403377539"/>
      <w:bookmarkStart w:id="200" w:name="_Toc403394304"/>
      <w:r>
        <w:t>2</w:t>
      </w:r>
      <w:r>
        <w:tab/>
        <w:t>How do chemicals migrate from packaging into food?</w:t>
      </w:r>
      <w:bookmarkEnd w:id="199"/>
      <w:bookmarkEnd w:id="200"/>
    </w:p>
    <w:p w:rsidR="0048797D" w:rsidRPr="003E2983" w:rsidRDefault="00392C67" w:rsidP="007F6373">
      <w:pPr>
        <w:rPr>
          <w:rFonts w:eastAsia="Calibri"/>
          <w:lang w:bidi="ar-SA"/>
        </w:rPr>
      </w:pPr>
      <w:r>
        <w:rPr>
          <w:rFonts w:eastAsia="Calibri"/>
          <w:lang w:bidi="ar-SA"/>
        </w:rPr>
        <w:t xml:space="preserve">Generally, </w:t>
      </w:r>
      <w:r w:rsidR="00497C00">
        <w:rPr>
          <w:rFonts w:eastAsia="Calibri"/>
          <w:lang w:bidi="ar-SA"/>
        </w:rPr>
        <w:t xml:space="preserve">incidents </w:t>
      </w:r>
      <w:r>
        <w:rPr>
          <w:rFonts w:eastAsia="Calibri"/>
          <w:lang w:bidi="ar-SA"/>
        </w:rPr>
        <w:t>where food has been contaminated by the</w:t>
      </w:r>
      <w:r w:rsidR="00497C00">
        <w:rPr>
          <w:rFonts w:eastAsia="Calibri"/>
          <w:lang w:bidi="ar-SA"/>
        </w:rPr>
        <w:t xml:space="preserve"> </w:t>
      </w:r>
      <w:r w:rsidR="00E517D6" w:rsidRPr="003E2983">
        <w:rPr>
          <w:rFonts w:eastAsia="Calibri"/>
          <w:lang w:bidi="ar-SA"/>
        </w:rPr>
        <w:t>migration of chemicals have involved packaging in direct contact with food</w:t>
      </w:r>
      <w:r w:rsidR="00497C00">
        <w:rPr>
          <w:rFonts w:eastAsia="Calibri"/>
          <w:lang w:bidi="ar-SA"/>
        </w:rPr>
        <w:t xml:space="preserve"> (primary packaging). However</w:t>
      </w:r>
      <w:r w:rsidR="006A51DB">
        <w:rPr>
          <w:rFonts w:eastAsia="Calibri"/>
          <w:lang w:bidi="ar-SA"/>
        </w:rPr>
        <w:t>,</w:t>
      </w:r>
      <w:r w:rsidR="00497C00">
        <w:rPr>
          <w:rFonts w:eastAsia="Calibri"/>
          <w:lang w:bidi="ar-SA"/>
        </w:rPr>
        <w:t xml:space="preserve"> it is recognised</w:t>
      </w:r>
      <w:r w:rsidR="00E517D6" w:rsidRPr="003E2983">
        <w:rPr>
          <w:rFonts w:eastAsia="Calibri"/>
          <w:lang w:bidi="ar-SA"/>
        </w:rPr>
        <w:t xml:space="preserve"> </w:t>
      </w:r>
      <w:r w:rsidR="00497C00">
        <w:rPr>
          <w:rFonts w:eastAsia="Calibri"/>
          <w:lang w:bidi="ar-SA"/>
        </w:rPr>
        <w:t xml:space="preserve">that </w:t>
      </w:r>
      <w:r w:rsidR="00E517D6" w:rsidRPr="003E2983">
        <w:rPr>
          <w:rFonts w:eastAsia="Calibri"/>
          <w:lang w:bidi="ar-SA"/>
        </w:rPr>
        <w:t xml:space="preserve">contamination </w:t>
      </w:r>
      <w:r w:rsidR="00497C00">
        <w:rPr>
          <w:rFonts w:eastAsia="Calibri"/>
          <w:lang w:bidi="ar-SA"/>
        </w:rPr>
        <w:t xml:space="preserve">may </w:t>
      </w:r>
      <w:r w:rsidR="00E517D6" w:rsidRPr="003E2983">
        <w:rPr>
          <w:rFonts w:eastAsia="Calibri"/>
          <w:lang w:bidi="ar-SA"/>
        </w:rPr>
        <w:t>occur</w:t>
      </w:r>
      <w:r w:rsidR="00497C00">
        <w:rPr>
          <w:rFonts w:eastAsia="Calibri"/>
          <w:lang w:bidi="ar-SA"/>
        </w:rPr>
        <w:t xml:space="preserve"> less frequently</w:t>
      </w:r>
      <w:r w:rsidR="00E517D6" w:rsidRPr="003E2983">
        <w:rPr>
          <w:rFonts w:eastAsia="Calibri"/>
          <w:lang w:bidi="ar-SA"/>
        </w:rPr>
        <w:t xml:space="preserve"> from secondary, tertiary and even quaternary packaging (such as corrugated carton, pallets and containers).</w:t>
      </w:r>
      <w:r w:rsidR="000F011A" w:rsidRPr="000F011A">
        <w:t xml:space="preserve"> </w:t>
      </w:r>
    </w:p>
    <w:p w:rsidR="00E517D6" w:rsidRPr="003E2983" w:rsidRDefault="00E517D6" w:rsidP="002A4A1D">
      <w:pPr>
        <w:rPr>
          <w:b/>
        </w:rPr>
      </w:pPr>
    </w:p>
    <w:p w:rsidR="00292C61" w:rsidRDefault="00A63FC6" w:rsidP="002A4A1D">
      <w:r>
        <w:t>Some c</w:t>
      </w:r>
      <w:r w:rsidR="00E517D6" w:rsidRPr="003E2983">
        <w:t>hemical components</w:t>
      </w:r>
      <w:r>
        <w:t xml:space="preserve"> </w:t>
      </w:r>
      <w:r w:rsidR="00625366">
        <w:t xml:space="preserve">in packaging </w:t>
      </w:r>
      <w:r>
        <w:t>such as</w:t>
      </w:r>
      <w:r w:rsidR="00E517D6" w:rsidRPr="003E2983">
        <w:t xml:space="preserve"> printing inks </w:t>
      </w:r>
      <w:r>
        <w:t xml:space="preserve">(e.g. </w:t>
      </w:r>
      <w:r w:rsidR="00E517D6" w:rsidRPr="003E2983">
        <w:t>photoinitiator</w:t>
      </w:r>
      <w:r w:rsidR="005B306C">
        <w:t>s such as</w:t>
      </w:r>
      <w:r>
        <w:t xml:space="preserve"> </w:t>
      </w:r>
      <w:r w:rsidR="00E517D6" w:rsidRPr="003E2983">
        <w:t>benzophenone) may transfer to food contact surface</w:t>
      </w:r>
      <w:r>
        <w:t>s</w:t>
      </w:r>
      <w:r w:rsidR="00E517D6" w:rsidRPr="003E2983">
        <w:t xml:space="preserve"> via </w:t>
      </w:r>
      <w:r w:rsidR="00625366">
        <w:t xml:space="preserve">the </w:t>
      </w:r>
      <w:r w:rsidR="00E517D6" w:rsidRPr="003E2983">
        <w:t>‘set-off’</w:t>
      </w:r>
      <w:r w:rsidR="00625366">
        <w:t xml:space="preserve"> process. This is a</w:t>
      </w:r>
      <w:r w:rsidR="00E517D6" w:rsidRPr="003E2983">
        <w:t xml:space="preserve"> direct transfer from the external surface</w:t>
      </w:r>
      <w:r w:rsidR="00625366">
        <w:t xml:space="preserve"> of the packaging</w:t>
      </w:r>
      <w:r w:rsidR="00E517D6" w:rsidRPr="003E2983">
        <w:t xml:space="preserve"> to the food contact surface during stacking and storage of packaging</w:t>
      </w:r>
      <w:r w:rsidR="00625366">
        <w:t>. The chemicals may</w:t>
      </w:r>
      <w:r w:rsidR="00E517D6" w:rsidRPr="003E2983">
        <w:t xml:space="preserve"> then migrate into food. </w:t>
      </w:r>
      <w:r w:rsidR="00292C61">
        <w:br w:type="page"/>
      </w:r>
    </w:p>
    <w:p w:rsidR="00E517D6" w:rsidRPr="003E2983" w:rsidRDefault="00E517D6" w:rsidP="002A4A1D">
      <w:r w:rsidRPr="003E2983">
        <w:lastRenderedPageBreak/>
        <w:t xml:space="preserve">Transfer </w:t>
      </w:r>
      <w:r w:rsidR="00625366">
        <w:t xml:space="preserve">can </w:t>
      </w:r>
      <w:r w:rsidRPr="003E2983">
        <w:t xml:space="preserve">also occur via evaporation </w:t>
      </w:r>
      <w:r w:rsidR="00625366">
        <w:t xml:space="preserve">and </w:t>
      </w:r>
      <w:r w:rsidR="009E5BF0">
        <w:t xml:space="preserve">then </w:t>
      </w:r>
      <w:r w:rsidR="00625366">
        <w:t xml:space="preserve">leach </w:t>
      </w:r>
      <w:r w:rsidRPr="003E2983">
        <w:t xml:space="preserve">into food </w:t>
      </w:r>
      <w:r w:rsidR="00625366">
        <w:t xml:space="preserve">via the gaseous phase </w:t>
      </w:r>
      <w:r w:rsidRPr="003E2983">
        <w:t>(Johns et</w:t>
      </w:r>
      <w:r w:rsidR="0055508F">
        <w:t xml:space="preserve"> al 2000; Bradley et al 2013a).</w:t>
      </w:r>
      <w:r w:rsidRPr="003E2983">
        <w:t xml:space="preserve"> Furthermore, chemicals such as ink components and recycled fibres may persist in recycled packaging materials and ultimately migrate into food (Castle et al., 1997; </w:t>
      </w:r>
      <w:proofErr w:type="spellStart"/>
      <w:r w:rsidRPr="003E2983">
        <w:t>Samonsek</w:t>
      </w:r>
      <w:proofErr w:type="spellEnd"/>
      <w:r w:rsidRPr="003E2983">
        <w:t xml:space="preserve"> and </w:t>
      </w:r>
      <w:proofErr w:type="spellStart"/>
      <w:r w:rsidRPr="003E2983">
        <w:t>Puype</w:t>
      </w:r>
      <w:proofErr w:type="spellEnd"/>
      <w:r w:rsidRPr="003E2983">
        <w:t>, 2013).</w:t>
      </w:r>
    </w:p>
    <w:p w:rsidR="003E2983" w:rsidRPr="003E2983" w:rsidRDefault="003E2983" w:rsidP="002A4A1D">
      <w:pPr>
        <w:rPr>
          <w:rFonts w:cs="Arial"/>
        </w:rPr>
      </w:pPr>
    </w:p>
    <w:p w:rsidR="003E2983" w:rsidRPr="003E2983" w:rsidRDefault="003E2983" w:rsidP="002A4A1D">
      <w:r w:rsidRPr="003E2983">
        <w:t xml:space="preserve">The type </w:t>
      </w:r>
      <w:r>
        <w:t xml:space="preserve">of </w:t>
      </w:r>
      <w:r w:rsidR="00E64462">
        <w:t>packaging</w:t>
      </w:r>
      <w:r>
        <w:t xml:space="preserve"> material used largely determines</w:t>
      </w:r>
      <w:r w:rsidR="00E64462">
        <w:t xml:space="preserve"> </w:t>
      </w:r>
      <w:r w:rsidR="00B971DD">
        <w:t xml:space="preserve">the </w:t>
      </w:r>
      <w:r w:rsidR="00E64462">
        <w:t xml:space="preserve">potential </w:t>
      </w:r>
      <w:r w:rsidR="00757D58">
        <w:t>for</w:t>
      </w:r>
      <w:r w:rsidR="00C438F6">
        <w:t>,</w:t>
      </w:r>
      <w:r w:rsidR="00757D58">
        <w:t xml:space="preserve"> </w:t>
      </w:r>
      <w:r w:rsidR="00625366">
        <w:t xml:space="preserve">and </w:t>
      </w:r>
      <w:r w:rsidR="009E5BF0">
        <w:t xml:space="preserve">extent </w:t>
      </w:r>
      <w:r w:rsidR="00625366">
        <w:t>of</w:t>
      </w:r>
      <w:r w:rsidR="00C438F6">
        <w:t>,</w:t>
      </w:r>
      <w:r w:rsidR="00625366">
        <w:t xml:space="preserve"> </w:t>
      </w:r>
      <w:r w:rsidR="00E64462">
        <w:t>migration of chemicals</w:t>
      </w:r>
      <w:r w:rsidR="00625366">
        <w:t xml:space="preserve"> into food</w:t>
      </w:r>
      <w:r w:rsidR="00E64462">
        <w:t xml:space="preserve">. For </w:t>
      </w:r>
      <w:r w:rsidR="00A35C0C">
        <w:t xml:space="preserve">apparently inert materials </w:t>
      </w:r>
      <w:r w:rsidR="00E64462">
        <w:t>such as st</w:t>
      </w:r>
      <w:r w:rsidR="00A35C0C">
        <w:t>ainless steel, ceramic or glass</w:t>
      </w:r>
      <w:r w:rsidR="00625366">
        <w:t>,</w:t>
      </w:r>
      <w:r w:rsidR="00E64462">
        <w:t xml:space="preserve"> chemicals lining the inner surface </w:t>
      </w:r>
      <w:r w:rsidR="00A35C0C">
        <w:t xml:space="preserve">and </w:t>
      </w:r>
      <w:r w:rsidR="00E64462">
        <w:t>in direct contact with the food</w:t>
      </w:r>
      <w:r w:rsidR="0055508F">
        <w:t xml:space="preserve"> </w:t>
      </w:r>
      <w:r w:rsidR="00A35C0C">
        <w:t>could</w:t>
      </w:r>
      <w:r w:rsidR="0055508F">
        <w:t xml:space="preserve"> lead to contamination</w:t>
      </w:r>
      <w:r w:rsidR="00A37D49">
        <w:t xml:space="preserve"> and </w:t>
      </w:r>
      <w:r w:rsidR="00757D58">
        <w:t xml:space="preserve">migration may </w:t>
      </w:r>
      <w:r w:rsidR="00205A49">
        <w:t xml:space="preserve">still </w:t>
      </w:r>
      <w:r w:rsidR="00757D58">
        <w:t>occur from closure</w:t>
      </w:r>
      <w:r w:rsidR="00205A49">
        <w:t>s or</w:t>
      </w:r>
      <w:r w:rsidR="00757D58">
        <w:t xml:space="preserve"> sealants</w:t>
      </w:r>
      <w:r w:rsidR="006E4015">
        <w:t xml:space="preserve"> containing plasticisers</w:t>
      </w:r>
      <w:r w:rsidR="00205A49">
        <w:t xml:space="preserve">. Chemical migration is more </w:t>
      </w:r>
      <w:r w:rsidR="00DA1EA5">
        <w:t>likely to occur</w:t>
      </w:r>
      <w:r w:rsidR="00205A49">
        <w:t xml:space="preserve"> for materials such as plastics, elastomers, paper and board (</w:t>
      </w:r>
      <w:proofErr w:type="spellStart"/>
      <w:r w:rsidR="00205A49">
        <w:t>Muncke</w:t>
      </w:r>
      <w:proofErr w:type="spellEnd"/>
      <w:r w:rsidR="00205A49">
        <w:t>, 2014).</w:t>
      </w:r>
    </w:p>
    <w:p w:rsidR="00E517D6" w:rsidRPr="003E2983" w:rsidRDefault="00505BAC" w:rsidP="007F6373">
      <w:pPr>
        <w:pStyle w:val="Heading2"/>
      </w:pPr>
      <w:bookmarkStart w:id="201" w:name="_Toc403377540"/>
      <w:bookmarkStart w:id="202" w:name="_Toc403394305"/>
      <w:r>
        <w:t>2.1</w:t>
      </w:r>
      <w:r>
        <w:tab/>
      </w:r>
      <w:r w:rsidR="00E517D6" w:rsidRPr="003E2983">
        <w:t>What factors affect migration?</w:t>
      </w:r>
      <w:bookmarkEnd w:id="201"/>
      <w:bookmarkEnd w:id="202"/>
    </w:p>
    <w:p w:rsidR="00F607B9" w:rsidRDefault="006E4015" w:rsidP="007F6373">
      <w:pPr>
        <w:rPr>
          <w:rFonts w:eastAsia="Calibri"/>
          <w:lang w:bidi="ar-SA"/>
        </w:rPr>
      </w:pPr>
      <w:r>
        <w:rPr>
          <w:rFonts w:eastAsia="Calibri"/>
          <w:lang w:bidi="ar-SA"/>
        </w:rPr>
        <w:t xml:space="preserve">Chemical migration </w:t>
      </w:r>
      <w:r w:rsidR="00BB1C16">
        <w:rPr>
          <w:rFonts w:eastAsia="Calibri"/>
          <w:lang w:bidi="ar-SA"/>
        </w:rPr>
        <w:t xml:space="preserve">occurs </w:t>
      </w:r>
      <w:r>
        <w:rPr>
          <w:rFonts w:eastAsia="Calibri"/>
          <w:lang w:bidi="ar-SA"/>
        </w:rPr>
        <w:t>for smaller size molecules and ions below 1000 Da</w:t>
      </w:r>
      <w:r w:rsidR="009E0AE6">
        <w:rPr>
          <w:rFonts w:eastAsia="Calibri"/>
          <w:lang w:bidi="ar-SA"/>
        </w:rPr>
        <w:t>lton</w:t>
      </w:r>
      <w:r w:rsidR="007853B0">
        <w:rPr>
          <w:rStyle w:val="FootnoteReference"/>
          <w:rFonts w:eastAsia="Calibri"/>
          <w:sz w:val="24"/>
          <w:lang w:bidi="ar-SA"/>
        </w:rPr>
        <w:footnoteReference w:id="5"/>
      </w:r>
      <w:r w:rsidR="00BB1C16">
        <w:rPr>
          <w:rFonts w:cs="Arial"/>
          <w:color w:val="222222"/>
          <w:lang w:val="en-AU" w:eastAsia="en-GB" w:bidi="ar-SA"/>
        </w:rPr>
        <w:t xml:space="preserve">. Migration </w:t>
      </w:r>
      <w:r w:rsidR="00392C67">
        <w:rPr>
          <w:rFonts w:eastAsia="Calibri"/>
          <w:lang w:bidi="ar-SA"/>
        </w:rPr>
        <w:t>depends on</w:t>
      </w:r>
      <w:r w:rsidR="00DA1EA5">
        <w:rPr>
          <w:rFonts w:eastAsia="Calibri"/>
          <w:lang w:bidi="ar-SA"/>
        </w:rPr>
        <w:t xml:space="preserve"> </w:t>
      </w:r>
      <w:r w:rsidR="002554F3">
        <w:rPr>
          <w:rFonts w:eastAsia="Calibri"/>
          <w:lang w:bidi="ar-SA"/>
        </w:rPr>
        <w:t xml:space="preserve">the </w:t>
      </w:r>
      <w:r w:rsidR="00DA1EA5">
        <w:rPr>
          <w:rFonts w:eastAsia="Calibri"/>
          <w:lang w:bidi="ar-SA"/>
        </w:rPr>
        <w:t xml:space="preserve">chemical composition </w:t>
      </w:r>
      <w:r w:rsidR="00487712">
        <w:rPr>
          <w:rFonts w:eastAsia="Calibri"/>
          <w:lang w:bidi="ar-SA"/>
        </w:rPr>
        <w:t xml:space="preserve">and properties </w:t>
      </w:r>
      <w:r w:rsidR="00DA1EA5">
        <w:rPr>
          <w:rFonts w:eastAsia="Calibri"/>
          <w:lang w:bidi="ar-SA"/>
        </w:rPr>
        <w:t>(</w:t>
      </w:r>
      <w:r w:rsidR="00E75182">
        <w:rPr>
          <w:rFonts w:eastAsia="Calibri"/>
          <w:lang w:bidi="ar-SA"/>
        </w:rPr>
        <w:t>e.g.</w:t>
      </w:r>
      <w:r w:rsidR="00B45361">
        <w:rPr>
          <w:rFonts w:eastAsia="Calibri"/>
          <w:lang w:bidi="ar-SA"/>
        </w:rPr>
        <w:t xml:space="preserve"> </w:t>
      </w:r>
      <w:r w:rsidR="00DA1EA5">
        <w:rPr>
          <w:rFonts w:eastAsia="Calibri"/>
          <w:lang w:bidi="ar-SA"/>
        </w:rPr>
        <w:t xml:space="preserve">polarity) and the functional properties of the </w:t>
      </w:r>
      <w:r w:rsidR="001F37A6">
        <w:rPr>
          <w:rFonts w:eastAsia="Calibri"/>
          <w:lang w:bidi="ar-SA"/>
        </w:rPr>
        <w:t xml:space="preserve">packaging </w:t>
      </w:r>
      <w:r w:rsidR="00DA1EA5">
        <w:rPr>
          <w:rFonts w:eastAsia="Calibri"/>
          <w:lang w:bidi="ar-SA"/>
        </w:rPr>
        <w:t xml:space="preserve">material (eg. crystallinity, </w:t>
      </w:r>
      <w:r w:rsidR="00487712">
        <w:rPr>
          <w:rFonts w:eastAsia="Calibri"/>
          <w:lang w:bidi="ar-SA"/>
        </w:rPr>
        <w:t>permeability).</w:t>
      </w:r>
      <w:r w:rsidR="002554F3">
        <w:rPr>
          <w:rFonts w:eastAsia="Calibri"/>
          <w:lang w:bidi="ar-SA"/>
        </w:rPr>
        <w:t xml:space="preserve"> The food type</w:t>
      </w:r>
      <w:r w:rsidR="009E5BF0">
        <w:rPr>
          <w:rFonts w:eastAsia="Calibri"/>
          <w:lang w:bidi="ar-SA"/>
        </w:rPr>
        <w:t>,</w:t>
      </w:r>
      <w:r w:rsidR="00E75182">
        <w:rPr>
          <w:rFonts w:eastAsia="Calibri"/>
          <w:lang w:bidi="ar-SA"/>
        </w:rPr>
        <w:t xml:space="preserve"> especially </w:t>
      </w:r>
      <w:r w:rsidR="00625366">
        <w:rPr>
          <w:rFonts w:eastAsia="Calibri"/>
          <w:lang w:bidi="ar-SA"/>
        </w:rPr>
        <w:t xml:space="preserve">the </w:t>
      </w:r>
      <w:r w:rsidR="002554F3">
        <w:rPr>
          <w:rFonts w:eastAsia="Calibri"/>
          <w:lang w:bidi="ar-SA"/>
        </w:rPr>
        <w:t>fat content</w:t>
      </w:r>
      <w:r w:rsidR="009E5BF0">
        <w:rPr>
          <w:rFonts w:eastAsia="Calibri"/>
          <w:lang w:bidi="ar-SA"/>
        </w:rPr>
        <w:t xml:space="preserve"> of the food,</w:t>
      </w:r>
      <w:r w:rsidR="00625366">
        <w:rPr>
          <w:rFonts w:eastAsia="Calibri"/>
          <w:lang w:bidi="ar-SA"/>
        </w:rPr>
        <w:t xml:space="preserve"> is </w:t>
      </w:r>
      <w:proofErr w:type="gramStart"/>
      <w:r w:rsidR="00BB1C16">
        <w:rPr>
          <w:rFonts w:eastAsia="Calibri"/>
          <w:lang w:bidi="ar-SA"/>
        </w:rPr>
        <w:t>key</w:t>
      </w:r>
      <w:proofErr w:type="gramEnd"/>
      <w:r w:rsidR="00BB1C16">
        <w:rPr>
          <w:rFonts w:eastAsia="Calibri"/>
          <w:lang w:bidi="ar-SA"/>
        </w:rPr>
        <w:t xml:space="preserve"> in determining </w:t>
      </w:r>
      <w:r w:rsidR="00625366">
        <w:rPr>
          <w:rFonts w:eastAsia="Calibri"/>
          <w:lang w:bidi="ar-SA"/>
        </w:rPr>
        <w:t>migration rates</w:t>
      </w:r>
      <w:r w:rsidR="00387F58">
        <w:rPr>
          <w:rFonts w:eastAsia="Calibri"/>
          <w:lang w:bidi="ar-SA"/>
        </w:rPr>
        <w:t xml:space="preserve"> as </w:t>
      </w:r>
      <w:r w:rsidR="00387F58" w:rsidRPr="00D44538">
        <w:t xml:space="preserve">many packaging chemicals are </w:t>
      </w:r>
      <w:r w:rsidR="00625366">
        <w:t xml:space="preserve">lipophilic </w:t>
      </w:r>
      <w:r w:rsidR="00392C67">
        <w:t xml:space="preserve">(meaning they have a greater ability to dissolve in fats) </w:t>
      </w:r>
      <w:r w:rsidR="00625366">
        <w:t xml:space="preserve">and can therefore more readily </w:t>
      </w:r>
      <w:r w:rsidR="00387F58" w:rsidRPr="00D44538">
        <w:t xml:space="preserve">migrate into fatty foods at higher </w:t>
      </w:r>
      <w:r w:rsidR="009A0C93">
        <w:t xml:space="preserve">rates and </w:t>
      </w:r>
      <w:r w:rsidR="00387F58" w:rsidRPr="00D44538">
        <w:t>levels</w:t>
      </w:r>
      <w:r w:rsidR="00625366">
        <w:t>.</w:t>
      </w:r>
      <w:r w:rsidR="002554F3">
        <w:rPr>
          <w:rFonts w:eastAsia="Calibri"/>
          <w:lang w:bidi="ar-SA"/>
        </w:rPr>
        <w:t xml:space="preserve"> </w:t>
      </w:r>
      <w:r w:rsidR="00625366">
        <w:rPr>
          <w:rFonts w:eastAsia="Calibri"/>
          <w:lang w:bidi="ar-SA"/>
        </w:rPr>
        <w:t>P</w:t>
      </w:r>
      <w:r w:rsidR="00E75182">
        <w:rPr>
          <w:rFonts w:eastAsia="Calibri"/>
          <w:lang w:bidi="ar-SA"/>
        </w:rPr>
        <w:t xml:space="preserve">roduct filling conditions, </w:t>
      </w:r>
      <w:r w:rsidR="002554F3">
        <w:rPr>
          <w:rFonts w:eastAsia="Calibri"/>
          <w:lang w:bidi="ar-SA"/>
        </w:rPr>
        <w:t>storage con</w:t>
      </w:r>
      <w:r w:rsidR="00487712">
        <w:rPr>
          <w:rFonts w:eastAsia="Calibri"/>
          <w:lang w:bidi="ar-SA"/>
        </w:rPr>
        <w:t>ditions</w:t>
      </w:r>
      <w:r w:rsidR="00625366">
        <w:rPr>
          <w:rFonts w:eastAsia="Calibri"/>
          <w:lang w:bidi="ar-SA"/>
        </w:rPr>
        <w:t>, shelf life</w:t>
      </w:r>
      <w:r w:rsidR="00487712">
        <w:rPr>
          <w:rFonts w:eastAsia="Calibri"/>
          <w:lang w:bidi="ar-SA"/>
        </w:rPr>
        <w:t xml:space="preserve"> and </w:t>
      </w:r>
      <w:r w:rsidR="00B971DD">
        <w:rPr>
          <w:rFonts w:eastAsia="Calibri"/>
          <w:lang w:bidi="ar-SA"/>
        </w:rPr>
        <w:t>product: pack</w:t>
      </w:r>
      <w:r w:rsidR="00487712">
        <w:rPr>
          <w:rFonts w:eastAsia="Calibri"/>
          <w:lang w:bidi="ar-SA"/>
        </w:rPr>
        <w:t xml:space="preserve"> ratio </w:t>
      </w:r>
      <w:r w:rsidR="000F011A">
        <w:rPr>
          <w:rFonts w:eastAsia="Calibri"/>
          <w:lang w:bidi="ar-SA"/>
        </w:rPr>
        <w:t xml:space="preserve">will </w:t>
      </w:r>
      <w:r w:rsidR="002554F3">
        <w:rPr>
          <w:rFonts w:eastAsia="Calibri"/>
          <w:lang w:bidi="ar-SA"/>
        </w:rPr>
        <w:t xml:space="preserve">also affect </w:t>
      </w:r>
      <w:r w:rsidR="009E5BF0">
        <w:rPr>
          <w:rFonts w:eastAsia="Calibri"/>
          <w:lang w:bidi="ar-SA"/>
        </w:rPr>
        <w:t xml:space="preserve">the degree and rate of chemical </w:t>
      </w:r>
      <w:r w:rsidR="002554F3">
        <w:rPr>
          <w:rFonts w:eastAsia="Calibri"/>
          <w:lang w:bidi="ar-SA"/>
        </w:rPr>
        <w:t>migration</w:t>
      </w:r>
      <w:r w:rsidR="00E75182">
        <w:rPr>
          <w:rFonts w:eastAsia="Calibri"/>
          <w:lang w:bidi="ar-SA"/>
        </w:rPr>
        <w:t xml:space="preserve"> </w:t>
      </w:r>
      <w:r w:rsidR="009E5BF0">
        <w:rPr>
          <w:rFonts w:eastAsia="Calibri"/>
          <w:lang w:bidi="ar-SA"/>
        </w:rPr>
        <w:t xml:space="preserve">into food </w:t>
      </w:r>
      <w:r w:rsidR="00E75182">
        <w:rPr>
          <w:rFonts w:eastAsia="Calibri"/>
          <w:lang w:bidi="ar-SA"/>
        </w:rPr>
        <w:t>(Robertson, 2013;</w:t>
      </w:r>
      <w:r w:rsidR="00E75182" w:rsidRPr="00E75182">
        <w:t xml:space="preserve"> </w:t>
      </w:r>
      <w:proofErr w:type="spellStart"/>
      <w:r w:rsidR="00E75182">
        <w:t>Muncke</w:t>
      </w:r>
      <w:proofErr w:type="spellEnd"/>
      <w:r w:rsidR="00E75182">
        <w:t>, 2014</w:t>
      </w:r>
      <w:r w:rsidR="00E75182">
        <w:rPr>
          <w:rFonts w:eastAsia="Calibri"/>
          <w:lang w:bidi="ar-SA"/>
        </w:rPr>
        <w:t>)</w:t>
      </w:r>
      <w:r w:rsidR="00487712">
        <w:rPr>
          <w:rFonts w:eastAsia="Calibri"/>
          <w:lang w:bidi="ar-SA"/>
        </w:rPr>
        <w:t>.</w:t>
      </w:r>
      <w:r w:rsidR="009A0C93">
        <w:rPr>
          <w:rFonts w:eastAsia="Calibri"/>
          <w:lang w:bidi="ar-SA"/>
        </w:rPr>
        <w:t xml:space="preserve"> D</w:t>
      </w:r>
      <w:r w:rsidR="003E2983" w:rsidRPr="003E2983">
        <w:rPr>
          <w:rFonts w:eastAsia="Calibri"/>
          <w:lang w:bidi="ar-SA"/>
        </w:rPr>
        <w:t xml:space="preserve">amage to the food product </w:t>
      </w:r>
      <w:r w:rsidR="009A0C93">
        <w:rPr>
          <w:rFonts w:eastAsia="Calibri"/>
          <w:lang w:bidi="ar-SA"/>
        </w:rPr>
        <w:t xml:space="preserve">packaging could potentially lead </w:t>
      </w:r>
      <w:r w:rsidR="003E2983" w:rsidRPr="003E2983">
        <w:rPr>
          <w:rFonts w:eastAsia="Calibri"/>
          <w:lang w:bidi="ar-SA"/>
        </w:rPr>
        <w:t xml:space="preserve">to </w:t>
      </w:r>
      <w:r w:rsidR="009A0C93">
        <w:rPr>
          <w:rFonts w:eastAsia="Calibri"/>
          <w:lang w:bidi="ar-SA"/>
        </w:rPr>
        <w:t xml:space="preserve">greater </w:t>
      </w:r>
      <w:r w:rsidR="003E2983" w:rsidRPr="003E2983">
        <w:rPr>
          <w:rFonts w:eastAsia="Calibri"/>
          <w:lang w:bidi="ar-SA"/>
        </w:rPr>
        <w:t>chemical migration</w:t>
      </w:r>
      <w:r w:rsidR="009A0C93">
        <w:rPr>
          <w:rFonts w:eastAsia="Calibri"/>
          <w:lang w:bidi="ar-SA"/>
        </w:rPr>
        <w:t xml:space="preserve"> through</w:t>
      </w:r>
      <w:r w:rsidR="003E2983" w:rsidRPr="003E2983">
        <w:rPr>
          <w:rFonts w:eastAsia="Calibri"/>
          <w:lang w:bidi="ar-SA"/>
        </w:rPr>
        <w:t xml:space="preserve"> changes in ambient oxygen, moisture, light and temperature (Robertson</w:t>
      </w:r>
      <w:r w:rsidR="003D138D">
        <w:rPr>
          <w:rFonts w:eastAsia="Calibri"/>
          <w:lang w:bidi="ar-SA"/>
        </w:rPr>
        <w:t>,</w:t>
      </w:r>
      <w:r w:rsidR="003E2983" w:rsidRPr="003E2983">
        <w:rPr>
          <w:rFonts w:eastAsia="Calibri"/>
          <w:lang w:bidi="ar-SA"/>
        </w:rPr>
        <w:t xml:space="preserve"> 20</w:t>
      </w:r>
      <w:r w:rsidR="003D138D">
        <w:rPr>
          <w:rFonts w:eastAsia="Calibri"/>
          <w:lang w:bidi="ar-SA"/>
        </w:rPr>
        <w:t>13</w:t>
      </w:r>
      <w:r w:rsidR="003E2983" w:rsidRPr="003E2983">
        <w:rPr>
          <w:rFonts w:eastAsia="Calibri"/>
          <w:lang w:bidi="ar-SA"/>
        </w:rPr>
        <w:t xml:space="preserve">; </w:t>
      </w:r>
      <w:proofErr w:type="spellStart"/>
      <w:r w:rsidR="003E2983" w:rsidRPr="003E2983">
        <w:rPr>
          <w:rFonts w:eastAsia="Calibri"/>
          <w:lang w:bidi="ar-SA"/>
        </w:rPr>
        <w:t>Cirillo</w:t>
      </w:r>
      <w:proofErr w:type="spellEnd"/>
      <w:r w:rsidR="003E2983" w:rsidRPr="003E2983">
        <w:rPr>
          <w:rFonts w:eastAsia="Calibri"/>
          <w:lang w:bidi="ar-SA"/>
        </w:rPr>
        <w:t xml:space="preserve"> et al. 2013)</w:t>
      </w:r>
      <w:r w:rsidR="00505BAC">
        <w:rPr>
          <w:rFonts w:eastAsia="Calibri"/>
          <w:lang w:bidi="ar-SA"/>
        </w:rPr>
        <w:t xml:space="preserve">. </w:t>
      </w:r>
    </w:p>
    <w:p w:rsidR="00F607B9" w:rsidRDefault="00F607B9" w:rsidP="00E75182">
      <w:pPr>
        <w:widowControl/>
        <w:rPr>
          <w:rFonts w:eastAsia="Calibri"/>
          <w:sz w:val="24"/>
          <w:lang w:bidi="ar-SA"/>
        </w:rPr>
      </w:pPr>
    </w:p>
    <w:p w:rsidR="00A51C17" w:rsidRPr="00211149" w:rsidRDefault="00A51C17" w:rsidP="007F6373">
      <w:pPr>
        <w:pStyle w:val="Heading1"/>
        <w:rPr>
          <w:rFonts w:eastAsia="Calibri"/>
        </w:rPr>
      </w:pPr>
      <w:bookmarkStart w:id="203" w:name="_Toc403377541"/>
      <w:bookmarkStart w:id="204" w:name="_Toc403394306"/>
      <w:bookmarkStart w:id="205" w:name="_Toc267859693"/>
      <w:r w:rsidRPr="00211149">
        <w:rPr>
          <w:rFonts w:eastAsia="Calibri"/>
        </w:rPr>
        <w:t>3</w:t>
      </w:r>
      <w:r w:rsidRPr="00211149">
        <w:rPr>
          <w:rFonts w:eastAsia="Calibri"/>
        </w:rPr>
        <w:tab/>
      </w:r>
      <w:r w:rsidR="00C438F6">
        <w:rPr>
          <w:rFonts w:eastAsia="Calibri"/>
        </w:rPr>
        <w:t>Potential p</w:t>
      </w:r>
      <w:r w:rsidR="00C438F6" w:rsidRPr="00211149">
        <w:rPr>
          <w:rFonts w:eastAsia="Calibri"/>
        </w:rPr>
        <w:t xml:space="preserve">ublic </w:t>
      </w:r>
      <w:r w:rsidRPr="00211149">
        <w:rPr>
          <w:rFonts w:eastAsia="Calibri"/>
        </w:rPr>
        <w:t>health risks</w:t>
      </w:r>
      <w:bookmarkEnd w:id="203"/>
      <w:bookmarkEnd w:id="204"/>
      <w:r w:rsidRPr="00211149">
        <w:rPr>
          <w:rFonts w:eastAsia="Calibri"/>
        </w:rPr>
        <w:t xml:space="preserve"> </w:t>
      </w:r>
    </w:p>
    <w:p w:rsidR="00A51C17" w:rsidRDefault="00A51C17" w:rsidP="002A4A1D">
      <w:r w:rsidRPr="00211149">
        <w:t>The risk of adverse health effects to consumers from any chemical present in food depends on the characteristics of the chemical and the exposure resulting from consum</w:t>
      </w:r>
      <w:r w:rsidR="00BB1C16">
        <w:t xml:space="preserve">ing </w:t>
      </w:r>
      <w:r w:rsidRPr="00211149">
        <w:t xml:space="preserve">foods containing the chemical. </w:t>
      </w:r>
      <w:r w:rsidR="00BB1C16">
        <w:t>Various international bodies have looked at t</w:t>
      </w:r>
      <w:r w:rsidRPr="00211149">
        <w:t xml:space="preserve">he risks posed by </w:t>
      </w:r>
      <w:r>
        <w:t xml:space="preserve">packaging </w:t>
      </w:r>
      <w:r w:rsidRPr="00211149">
        <w:t>chemical</w:t>
      </w:r>
      <w:r>
        <w:t>s migrating</w:t>
      </w:r>
      <w:r w:rsidRPr="00211149">
        <w:t xml:space="preserve"> </w:t>
      </w:r>
      <w:r>
        <w:t xml:space="preserve">into </w:t>
      </w:r>
      <w:r w:rsidRPr="00211149">
        <w:t xml:space="preserve">food </w:t>
      </w:r>
      <w:r w:rsidR="00BB1C16">
        <w:t xml:space="preserve">and this has </w:t>
      </w:r>
      <w:r>
        <w:t>result</w:t>
      </w:r>
      <w:r w:rsidR="00BB1C16">
        <w:t>ed</w:t>
      </w:r>
      <w:r>
        <w:t xml:space="preserve"> in the implementation of risk management measures for several thousand chemicals. </w:t>
      </w:r>
    </w:p>
    <w:p w:rsidR="00A51C17" w:rsidRDefault="00A51C17" w:rsidP="002A4A1D"/>
    <w:p w:rsidR="00A51C17" w:rsidRDefault="00A51C17" w:rsidP="002A4A1D">
      <w:r w:rsidRPr="00211149">
        <w:t>The primary evidence that chemical migration from packaging into food poses a potential public health risk comes from the extensive characterisation of a large number of packaging chemicals internationally (</w:t>
      </w:r>
      <w:r w:rsidR="00C438F6">
        <w:t xml:space="preserve">see </w:t>
      </w:r>
      <w:r w:rsidR="00243AF2">
        <w:t>SD</w:t>
      </w:r>
      <w:r w:rsidRPr="00211149">
        <w:t>2)</w:t>
      </w:r>
      <w:r>
        <w:t>.</w:t>
      </w:r>
      <w:r w:rsidRPr="00211149">
        <w:t xml:space="preserve"> </w:t>
      </w:r>
      <w:r w:rsidR="00A37D49">
        <w:t xml:space="preserve">A </w:t>
      </w:r>
      <w:r w:rsidR="00243AF2">
        <w:t>significant majority of these chemicals</w:t>
      </w:r>
      <w:r w:rsidR="009D0A70">
        <w:t xml:space="preserve"> are not thought to pose a risk</w:t>
      </w:r>
      <w:r w:rsidR="00243AF2">
        <w:t xml:space="preserve"> </w:t>
      </w:r>
      <w:r w:rsidR="00F94D5C">
        <w:t xml:space="preserve">(see SD4) </w:t>
      </w:r>
      <w:r w:rsidR="00243AF2">
        <w:t xml:space="preserve">and </w:t>
      </w:r>
      <w:r w:rsidR="009D0A70">
        <w:t xml:space="preserve">FSANZ, together with other </w:t>
      </w:r>
      <w:r w:rsidR="00243AF2">
        <w:t>international scientists and regulators</w:t>
      </w:r>
      <w:r w:rsidR="00655837">
        <w:t>,</w:t>
      </w:r>
      <w:r w:rsidR="00243AF2">
        <w:t xml:space="preserve"> </w:t>
      </w:r>
      <w:r w:rsidR="009D0A70">
        <w:t xml:space="preserve">are focussed on a small number of chemicals of interest. </w:t>
      </w:r>
      <w:r w:rsidRPr="00211149">
        <w:t xml:space="preserve">The </w:t>
      </w:r>
      <w:r>
        <w:t xml:space="preserve">risk </w:t>
      </w:r>
      <w:r w:rsidRPr="00211149">
        <w:t>assessment approach</w:t>
      </w:r>
      <w:r>
        <w:t>es</w:t>
      </w:r>
      <w:r w:rsidRPr="00211149">
        <w:t xml:space="preserve"> </w:t>
      </w:r>
      <w:r>
        <w:t>are</w:t>
      </w:r>
      <w:r w:rsidRPr="00211149">
        <w:t xml:space="preserve"> </w:t>
      </w:r>
      <w:r>
        <w:t>typically</w:t>
      </w:r>
      <w:r w:rsidRPr="00211149">
        <w:t xml:space="preserve"> tiered, with increasing information required on the toxicology of the chemical as the migration level of the chemical increases (</w:t>
      </w:r>
      <w:r w:rsidR="0089656E">
        <w:t xml:space="preserve">see </w:t>
      </w:r>
      <w:r w:rsidR="00243AF2">
        <w:t>SD</w:t>
      </w:r>
      <w:r w:rsidR="007866D3">
        <w:t>4</w:t>
      </w:r>
      <w:r w:rsidRPr="00211149">
        <w:t>).</w:t>
      </w:r>
      <w:r w:rsidRPr="009B39AD">
        <w:t xml:space="preserve"> </w:t>
      </w:r>
      <w:r>
        <w:t>Migration levels of packaging chemicals in food are typically too low to result in acute adverse health effects</w:t>
      </w:r>
      <w:r>
        <w:rPr>
          <w:rStyle w:val="FootnoteReference"/>
          <w:sz w:val="24"/>
        </w:rPr>
        <w:footnoteReference w:id="6"/>
      </w:r>
      <w:r>
        <w:t>. A major aim of risk management is</w:t>
      </w:r>
      <w:r w:rsidR="00655837">
        <w:t>,</w:t>
      </w:r>
      <w:r>
        <w:t xml:space="preserve"> therefore</w:t>
      </w:r>
      <w:r w:rsidR="00655837">
        <w:t>,</w:t>
      </w:r>
      <w:r>
        <w:t xml:space="preserve"> to protect consumers from potential adverse effects arising from repeated dietary exposure to packaging chemicals over a long period (chronic exposure). </w:t>
      </w:r>
    </w:p>
    <w:p w:rsidR="00D35226" w:rsidRPr="00243AF2" w:rsidRDefault="00505BAC" w:rsidP="007F6373">
      <w:pPr>
        <w:pStyle w:val="Heading2"/>
      </w:pPr>
      <w:bookmarkStart w:id="206" w:name="_Toc403377542"/>
      <w:bookmarkStart w:id="207" w:name="_Toc403394307"/>
      <w:r>
        <w:t>3.1</w:t>
      </w:r>
      <w:r>
        <w:tab/>
      </w:r>
      <w:r w:rsidR="00D35226" w:rsidRPr="00243AF2">
        <w:t>Specific events</w:t>
      </w:r>
      <w:bookmarkEnd w:id="206"/>
      <w:bookmarkEnd w:id="207"/>
    </w:p>
    <w:p w:rsidR="00292C61" w:rsidRDefault="00A51C17" w:rsidP="002A4A1D">
      <w:r>
        <w:t>R</w:t>
      </w:r>
      <w:r w:rsidRPr="00211149">
        <w:t xml:space="preserve">ecently, a number of food packaging substances have received close scrutiny </w:t>
      </w:r>
      <w:r>
        <w:t>internationally</w:t>
      </w:r>
      <w:r w:rsidR="00655837">
        <w:t>,</w:t>
      </w:r>
      <w:r>
        <w:t xml:space="preserve"> </w:t>
      </w:r>
      <w:r w:rsidR="00BB1C16">
        <w:t>on</w:t>
      </w:r>
      <w:r w:rsidRPr="00211149">
        <w:t xml:space="preserve"> their potential to cause adverse health effects. </w:t>
      </w:r>
      <w:r w:rsidR="00292C61">
        <w:br w:type="page"/>
      </w:r>
    </w:p>
    <w:p w:rsidR="00243AF2" w:rsidRDefault="00243AF2" w:rsidP="002A4A1D">
      <w:pPr>
        <w:rPr>
          <w:szCs w:val="22"/>
        </w:rPr>
      </w:pPr>
      <w:r>
        <w:lastRenderedPageBreak/>
        <w:t>The most notable example is bi</w:t>
      </w:r>
      <w:r w:rsidRPr="00F603CA">
        <w:t>sphenol A (BPA), a chemical used in the production of polycarbonate plastics and coatings/resins used in some food packaging materials (e</w:t>
      </w:r>
      <w:r>
        <w:t>.g. protective linings of cans). BPA</w:t>
      </w:r>
      <w:r w:rsidRPr="00F603CA">
        <w:t xml:space="preserve"> is by far the most well characterised packaging chemical in regard to both hazard characterisation and </w:t>
      </w:r>
      <w:r>
        <w:t xml:space="preserve">estimated </w:t>
      </w:r>
      <w:r w:rsidRPr="00F603CA">
        <w:t>dietary exposure, and is the subject of a growing number of epidemiology studies</w:t>
      </w:r>
      <w:r>
        <w:t>.</w:t>
      </w:r>
      <w:r w:rsidRPr="00F603CA">
        <w:t xml:space="preserve"> </w:t>
      </w:r>
      <w:r w:rsidR="001842DC">
        <w:t xml:space="preserve">Significant studies undertaken internationally by the US Food and Drug Administration </w:t>
      </w:r>
      <w:r w:rsidR="00655837">
        <w:t xml:space="preserve">(FDA) </w:t>
      </w:r>
      <w:r w:rsidR="001842DC">
        <w:t>have shown that</w:t>
      </w:r>
      <w:r w:rsidR="001C080F" w:rsidRPr="001C080F">
        <w:rPr>
          <w:szCs w:val="22"/>
        </w:rPr>
        <w:t xml:space="preserve"> </w:t>
      </w:r>
      <w:r w:rsidR="001C080F" w:rsidRPr="00CF25B2">
        <w:rPr>
          <w:szCs w:val="22"/>
        </w:rPr>
        <w:t xml:space="preserve">assertions about a causal link between BPA and </w:t>
      </w:r>
      <w:r w:rsidR="000F0F16">
        <w:rPr>
          <w:szCs w:val="22"/>
        </w:rPr>
        <w:t xml:space="preserve">a range of public health effects </w:t>
      </w:r>
      <w:r w:rsidR="001C080F" w:rsidRPr="00CF25B2">
        <w:rPr>
          <w:szCs w:val="22"/>
        </w:rPr>
        <w:t>are un</w:t>
      </w:r>
      <w:r w:rsidR="000F0F16">
        <w:rPr>
          <w:szCs w:val="22"/>
        </w:rPr>
        <w:t xml:space="preserve">proven </w:t>
      </w:r>
      <w:r w:rsidR="000F0F16">
        <w:t>(see SD3).</w:t>
      </w:r>
    </w:p>
    <w:p w:rsidR="001C080F" w:rsidRDefault="001C080F" w:rsidP="002A4A1D"/>
    <w:p w:rsidR="008F4105" w:rsidRDefault="00243AF2" w:rsidP="002A4A1D">
      <w:r>
        <w:t>P</w:t>
      </w:r>
      <w:r w:rsidRPr="00211149">
        <w:t>hthalates</w:t>
      </w:r>
      <w:r>
        <w:t xml:space="preserve"> (esters of phthalic acid) are a class of compounds used</w:t>
      </w:r>
      <w:r w:rsidRPr="00C12069">
        <w:t xml:space="preserve"> predominantly as plasticisers in food packaging</w:t>
      </w:r>
      <w:r>
        <w:t xml:space="preserve">. Phthalates have attracted extensive scrutiny because they </w:t>
      </w:r>
      <w:r w:rsidRPr="00211149">
        <w:t>can exhibit efficient migration from packaging into foods</w:t>
      </w:r>
      <w:r>
        <w:t xml:space="preserve"> and</w:t>
      </w:r>
      <w:r w:rsidRPr="00211149">
        <w:t xml:space="preserve"> have shown adverse effects on reproduction/development in animal studies, </w:t>
      </w:r>
      <w:r>
        <w:t>notably</w:t>
      </w:r>
      <w:r w:rsidRPr="00211149">
        <w:t xml:space="preserve"> in males (e.g. EFSA 2005</w:t>
      </w:r>
      <w:r w:rsidR="003D138D">
        <w:t>a</w:t>
      </w:r>
      <w:r w:rsidRPr="00211149">
        <w:t>, Serrano et al 2014). Particular concerns have been raised for diethylhexyl phthalate (DEHP) which is subject to several regulations in the US CFR</w:t>
      </w:r>
      <w:r w:rsidR="0011367D">
        <w:rPr>
          <w:rStyle w:val="FootnoteReference"/>
        </w:rPr>
        <w:footnoteReference w:id="7"/>
      </w:r>
      <w:r w:rsidRPr="00211149">
        <w:t>, including the usage restriction for foods of high water content only when used as a plasticiser in food packaging material</w:t>
      </w:r>
      <w:r w:rsidRPr="00211149">
        <w:rPr>
          <w:vertAlign w:val="superscript"/>
        </w:rPr>
        <w:footnoteReference w:id="8"/>
      </w:r>
      <w:r w:rsidRPr="00211149">
        <w:t xml:space="preserve"> and in the EU regulations where the </w:t>
      </w:r>
      <w:r w:rsidRPr="00FA65D6">
        <w:t xml:space="preserve">‘specific migration limit’ </w:t>
      </w:r>
      <w:r>
        <w:t>(</w:t>
      </w:r>
      <w:r w:rsidRPr="00211149">
        <w:t>SML</w:t>
      </w:r>
      <w:r>
        <w:t>)</w:t>
      </w:r>
      <w:r>
        <w:rPr>
          <w:rStyle w:val="FootnoteReference"/>
          <w:sz w:val="24"/>
        </w:rPr>
        <w:footnoteReference w:id="9"/>
      </w:r>
      <w:r w:rsidRPr="00211149">
        <w:t xml:space="preserve"> for DEHP is 1.5 mg/kg food. DEHP has been detected in a Swiss survey at a concentration as high as 825 mg/kg food (</w:t>
      </w:r>
      <w:proofErr w:type="spellStart"/>
      <w:r w:rsidRPr="00211149">
        <w:t>Fankhauser-Noti</w:t>
      </w:r>
      <w:proofErr w:type="spellEnd"/>
      <w:r w:rsidRPr="00211149">
        <w:t xml:space="preserve"> et al 2006). High levels were also reported for two other phthalates in this survey: 270</w:t>
      </w:r>
      <w:r>
        <w:t> </w:t>
      </w:r>
      <w:r w:rsidRPr="00211149">
        <w:t xml:space="preserve">mg/kg for diisononyl phthalate (DINP) and 740 mg/kg for diisodecyl phthalate (DIDP), both of which are regulated </w:t>
      </w:r>
      <w:r w:rsidR="00CA5B4C">
        <w:t xml:space="preserve">in Europe </w:t>
      </w:r>
      <w:r w:rsidRPr="00211149">
        <w:t xml:space="preserve">by a group SML of 32 mg/kg food. </w:t>
      </w:r>
      <w:r>
        <w:t>Ongoing compliance monitoring in the EU, in the form of the Rapid Alert System for Food and Feed (RASFF</w:t>
      </w:r>
      <w:r>
        <w:rPr>
          <w:rStyle w:val="FootnoteReference"/>
          <w:sz w:val="24"/>
        </w:rPr>
        <w:footnoteReference w:id="10"/>
      </w:r>
      <w:r>
        <w:t>), indicates that phthalates represent a substantial fraction of the food contact chemicals that fail regulations</w:t>
      </w:r>
      <w:r w:rsidR="00505BAC">
        <w:t xml:space="preserve">. </w:t>
      </w:r>
      <w:r w:rsidR="00BB1C16">
        <w:t>A FSANZ survey in 2010 found no detections of phthalates in the products surveyed</w:t>
      </w:r>
      <w:r w:rsidR="00505BAC">
        <w:t xml:space="preserve">. </w:t>
      </w:r>
    </w:p>
    <w:p w:rsidR="00A51C17" w:rsidRPr="00211149" w:rsidRDefault="00A51C17" w:rsidP="002A4A1D"/>
    <w:p w:rsidR="00A51C17" w:rsidRPr="00211149" w:rsidRDefault="00A51C17" w:rsidP="002A4A1D">
      <w:r w:rsidRPr="00211149">
        <w:t xml:space="preserve">Food migration </w:t>
      </w:r>
      <w:r>
        <w:t xml:space="preserve">data on </w:t>
      </w:r>
      <w:r w:rsidRPr="00211149">
        <w:t xml:space="preserve">chemicals used in printing inks have </w:t>
      </w:r>
      <w:r>
        <w:t xml:space="preserve">also </w:t>
      </w:r>
      <w:r w:rsidRPr="00211149">
        <w:t>attracted attention. Notable examples are 4-methylbenzophenone (4-MBP) and 2-isopropyl thioxanthone (ITX) which are used as initiators for the curing of printing inks by UV radiation. In 2005, data from Italy showed the presence of ITX in liquid milk for babies packaged in printed carton</w:t>
      </w:r>
      <w:r>
        <w:t xml:space="preserve"> (RASSF 2005)</w:t>
      </w:r>
      <w:r w:rsidRPr="00211149">
        <w:t>. The EFSA risk assessment concluded that in view of the lack of toxicity data</w:t>
      </w:r>
      <w:r w:rsidR="00655837">
        <w:t>,</w:t>
      </w:r>
      <w:r w:rsidRPr="00211149">
        <w:t xml:space="preserve"> an assessment of the safety of ITX could not be made</w:t>
      </w:r>
      <w:r>
        <w:t xml:space="preserve"> (EFSA 2005</w:t>
      </w:r>
      <w:r w:rsidR="003D138D">
        <w:t>b</w:t>
      </w:r>
      <w:r>
        <w:t>)</w:t>
      </w:r>
      <w:r w:rsidRPr="00211149">
        <w:t>. EFSA re-evaluated ITX in 2007 following the provision of additional toxicity data by industry, and concluded that an assessment of potential health risks would require additional data on the effects of ITX after longer term administration (EFSA 2007). FSANZ is not aware of a subsequent risk assessment on ITX.</w:t>
      </w:r>
    </w:p>
    <w:p w:rsidR="00A51C17" w:rsidRPr="00211149" w:rsidRDefault="00A51C17" w:rsidP="002A4A1D"/>
    <w:p w:rsidR="00A51C17" w:rsidRDefault="00A51C17" w:rsidP="002A4A1D">
      <w:r w:rsidRPr="00211149">
        <w:t>In 2009, German and Belgian authorities notified the migration of 4-MBP from packaging into certain cereal products</w:t>
      </w:r>
      <w:r>
        <w:t xml:space="preserve"> (RASSF 2009)</w:t>
      </w:r>
      <w:r w:rsidRPr="00211149">
        <w:t>. An EFSA evaluation based on the limited exposure data, and extrapolating from the toxicity of benzophenone, concluded that short term consumption of contaminated breakfast cereals should not pose a risk to most people. However, it was noted that the margin of exposure was low and recommended that more data on the occurrence of the substance in foods should be provided as well as appropriate toxicity data corresponding to the level of exposure to enable a full risk assessment</w:t>
      </w:r>
      <w:r>
        <w:t xml:space="preserve"> (EFSA 2009)</w:t>
      </w:r>
      <w:r w:rsidRPr="00211149">
        <w:t xml:space="preserve">. Other examples of packaging chemicals detected in food are provided in </w:t>
      </w:r>
      <w:r w:rsidR="00D66506">
        <w:t>SD</w:t>
      </w:r>
      <w:r w:rsidRPr="00211149">
        <w:t xml:space="preserve">3. </w:t>
      </w:r>
    </w:p>
    <w:p w:rsidR="00292C61" w:rsidRDefault="00292C61" w:rsidP="002A4A1D">
      <w:r>
        <w:br w:type="page"/>
      </w:r>
    </w:p>
    <w:p w:rsidR="00972302" w:rsidRPr="009D0A70" w:rsidRDefault="00505BAC" w:rsidP="007F6373">
      <w:pPr>
        <w:pStyle w:val="Heading2"/>
      </w:pPr>
      <w:bookmarkStart w:id="208" w:name="_Toc403377543"/>
      <w:bookmarkStart w:id="209" w:name="_Toc403394308"/>
      <w:r>
        <w:lastRenderedPageBreak/>
        <w:t>3.2</w:t>
      </w:r>
      <w:r>
        <w:tab/>
      </w:r>
      <w:r w:rsidR="009D0A70" w:rsidRPr="009D0A70">
        <w:t>Uncertaint</w:t>
      </w:r>
      <w:r w:rsidR="009D0A70">
        <w:t>ies</w:t>
      </w:r>
      <w:bookmarkEnd w:id="208"/>
      <w:bookmarkEnd w:id="209"/>
    </w:p>
    <w:p w:rsidR="00A51C17" w:rsidRPr="00211149" w:rsidRDefault="00A51C17" w:rsidP="002A4A1D">
      <w:r w:rsidRPr="00211149">
        <w:t xml:space="preserve">There is </w:t>
      </w:r>
      <w:r w:rsidR="00EC1D4A">
        <w:t>some</w:t>
      </w:r>
      <w:r w:rsidR="00EC1D4A" w:rsidRPr="00211149">
        <w:t xml:space="preserve"> </w:t>
      </w:r>
      <w:r w:rsidR="00972302">
        <w:t xml:space="preserve">scientific </w:t>
      </w:r>
      <w:r w:rsidRPr="00211149">
        <w:t>uncertainty</w:t>
      </w:r>
      <w:r w:rsidR="00A43115">
        <w:rPr>
          <w:rStyle w:val="FootnoteReference"/>
          <w:sz w:val="24"/>
        </w:rPr>
        <w:footnoteReference w:id="11"/>
      </w:r>
      <w:r w:rsidRPr="00211149">
        <w:t xml:space="preserve"> about the public health and safety risks arising from </w:t>
      </w:r>
      <w:r>
        <w:t>the</w:t>
      </w:r>
      <w:r w:rsidRPr="00211149">
        <w:t xml:space="preserve"> large number of substances used in food packaging. Many substances used in packaging have not been </w:t>
      </w:r>
      <w:r w:rsidR="009D0A70">
        <w:t xml:space="preserve">fully </w:t>
      </w:r>
      <w:r w:rsidRPr="00211149">
        <w:t xml:space="preserve">characterised in terms of either the hazard characteristics and/or migration potential to allow characterisation of the risk. </w:t>
      </w:r>
      <w:r>
        <w:t>For example, t</w:t>
      </w:r>
      <w:r w:rsidRPr="00211149">
        <w:t xml:space="preserve">here are no US or EU-wide measures in place for </w:t>
      </w:r>
      <w:r w:rsidR="001842DC">
        <w:t>regulating</w:t>
      </w:r>
      <w:r w:rsidRPr="00211149">
        <w:t xml:space="preserve"> substances used in printing inks, </w:t>
      </w:r>
      <w:r w:rsidR="00677916">
        <w:t>although</w:t>
      </w:r>
      <w:r w:rsidR="00677916" w:rsidRPr="00211149">
        <w:t xml:space="preserve"> </w:t>
      </w:r>
      <w:r w:rsidRPr="00211149">
        <w:t>some countries have specific legislation</w:t>
      </w:r>
      <w:r w:rsidR="001D0418">
        <w:t xml:space="preserve"> in place or under consideration</w:t>
      </w:r>
      <w:r w:rsidR="00F94D5C">
        <w:t xml:space="preserve"> </w:t>
      </w:r>
      <w:r w:rsidRPr="00211149">
        <w:t>(</w:t>
      </w:r>
      <w:r w:rsidR="001D0418">
        <w:t>SD</w:t>
      </w:r>
      <w:r w:rsidRPr="00211149">
        <w:t>2).</w:t>
      </w:r>
    </w:p>
    <w:p w:rsidR="00A51C17" w:rsidRPr="00211149" w:rsidRDefault="00A51C17" w:rsidP="002A4A1D"/>
    <w:p w:rsidR="00A51C17" w:rsidRDefault="00F94D5C" w:rsidP="002A4A1D">
      <w:r w:rsidRPr="00F94D5C">
        <w:t xml:space="preserve">Finally, there </w:t>
      </w:r>
      <w:proofErr w:type="gramStart"/>
      <w:r w:rsidRPr="00F94D5C">
        <w:t>are</w:t>
      </w:r>
      <w:proofErr w:type="gramEnd"/>
      <w:r w:rsidRPr="00F94D5C">
        <w:t xml:space="preserve"> knowledge gaps regarding the composition of recycled material used for food packaging. This raises potential concerns about the migration </w:t>
      </w:r>
      <w:r w:rsidR="00A51C17" w:rsidRPr="00211149">
        <w:t xml:space="preserve">of unexpected/uncharacterised substances from packaging into food, for example from packaging </w:t>
      </w:r>
      <w:r w:rsidR="00677916">
        <w:t xml:space="preserve">that is </w:t>
      </w:r>
      <w:r w:rsidR="00A51C17" w:rsidRPr="00211149">
        <w:t xml:space="preserve">manufactured using recycled materials which may not be adequately controlled with respect to chemical contamination, or for which the recycling process results in the formation of novel chemical species (e.g. </w:t>
      </w:r>
      <w:proofErr w:type="spellStart"/>
      <w:r w:rsidR="00A51C17" w:rsidRPr="00211149">
        <w:t>Biedermann</w:t>
      </w:r>
      <w:proofErr w:type="spellEnd"/>
      <w:r w:rsidR="00A51C17" w:rsidRPr="00211149">
        <w:t xml:space="preserve"> and </w:t>
      </w:r>
      <w:proofErr w:type="spellStart"/>
      <w:r w:rsidR="00A51C17" w:rsidRPr="00211149">
        <w:t>Grob</w:t>
      </w:r>
      <w:proofErr w:type="spellEnd"/>
      <w:r w:rsidR="00A51C17" w:rsidRPr="00211149">
        <w:t xml:space="preserve"> 2013).</w:t>
      </w:r>
    </w:p>
    <w:p w:rsidR="00A51C17" w:rsidRDefault="00A51C17" w:rsidP="002A4A1D"/>
    <w:p w:rsidR="00064803" w:rsidRDefault="00E701B1" w:rsidP="002A4A1D">
      <w:r>
        <w:t>CMPF</w:t>
      </w:r>
      <w:r w:rsidR="00064803">
        <w:t xml:space="preserve"> presents a complex situation in terms of potential public health risks </w:t>
      </w:r>
      <w:proofErr w:type="gramStart"/>
      <w:r w:rsidR="00064803">
        <w:t xml:space="preserve">and </w:t>
      </w:r>
      <w:r>
        <w:t>,</w:t>
      </w:r>
      <w:proofErr w:type="gramEnd"/>
      <w:r>
        <w:t xml:space="preserve"> </w:t>
      </w:r>
      <w:r w:rsidR="00064803">
        <w:t xml:space="preserve">FSANZ will continue to </w:t>
      </w:r>
      <w:r w:rsidR="00677916">
        <w:t xml:space="preserve">compile further information and data and better characterise the potential risks through </w:t>
      </w:r>
      <w:r w:rsidR="00064803">
        <w:t xml:space="preserve">building a chemical risk profile. </w:t>
      </w:r>
    </w:p>
    <w:p w:rsidR="002A4A1D" w:rsidRPr="002A4A1D" w:rsidRDefault="002A4A1D" w:rsidP="002A4A1D">
      <w:pPr>
        <w:rPr>
          <w:szCs w:val="22"/>
        </w:rPr>
      </w:pPr>
    </w:p>
    <w:p w:rsidR="005E5327" w:rsidRPr="00DC28D2" w:rsidRDefault="005E5327"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b/>
          <w:i/>
          <w:color w:val="365F91" w:themeColor="accent1" w:themeShade="BF"/>
          <w:lang w:bidi="ar-SA"/>
        </w:rPr>
      </w:pPr>
      <w:r w:rsidRPr="00DC28D2">
        <w:rPr>
          <w:rFonts w:eastAsia="Calibri"/>
          <w:b/>
          <w:i/>
          <w:color w:val="365F91" w:themeColor="accent1" w:themeShade="BF"/>
          <w:lang w:bidi="ar-SA"/>
        </w:rPr>
        <w:t>A response template with all questions in this document is available at Attachment A</w:t>
      </w:r>
    </w:p>
    <w:p w:rsidR="0029795C" w:rsidRPr="007F6373" w:rsidRDefault="0029795C"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b/>
          <w:i/>
          <w:color w:val="4F81BD" w:themeColor="accent1"/>
          <w:lang w:bidi="ar-SA"/>
        </w:rPr>
      </w:pPr>
    </w:p>
    <w:p w:rsidR="0029795C" w:rsidRDefault="0029795C" w:rsidP="00DC28D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567"/>
        </w:tabs>
        <w:ind w:left="567" w:hanging="567"/>
        <w:rPr>
          <w:rFonts w:cs="Arial"/>
          <w:szCs w:val="22"/>
          <w:lang w:bidi="ar-SA"/>
        </w:rPr>
      </w:pPr>
      <w:r>
        <w:rPr>
          <w:rFonts w:cs="Arial"/>
          <w:szCs w:val="22"/>
          <w:lang w:bidi="ar-SA"/>
        </w:rPr>
        <w:t xml:space="preserve">1. </w:t>
      </w:r>
      <w:r>
        <w:rPr>
          <w:rFonts w:cs="Arial"/>
          <w:szCs w:val="22"/>
          <w:lang w:bidi="ar-SA"/>
        </w:rPr>
        <w:tab/>
      </w:r>
      <w:r w:rsidRPr="0029795C">
        <w:rPr>
          <w:rFonts w:cs="Arial"/>
          <w:szCs w:val="22"/>
          <w:lang w:bidi="ar-SA"/>
        </w:rPr>
        <w:t>What concerns, if any, do you have about food packaging in relation to food safety?</w:t>
      </w:r>
    </w:p>
    <w:p w:rsidR="0029795C" w:rsidRPr="0029795C" w:rsidRDefault="0029795C" w:rsidP="00DC28D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426"/>
          <w:tab w:val="left" w:pos="567"/>
        </w:tabs>
        <w:rPr>
          <w:rFonts w:cs="Arial"/>
          <w:szCs w:val="22"/>
          <w:lang w:bidi="ar-SA"/>
        </w:rPr>
      </w:pPr>
    </w:p>
    <w:p w:rsidR="00F1125B" w:rsidRPr="0029795C" w:rsidRDefault="0029795C" w:rsidP="00DC28D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426"/>
          <w:tab w:val="left" w:pos="567"/>
        </w:tabs>
        <w:rPr>
          <w:rFonts w:cs="Arial"/>
          <w:szCs w:val="22"/>
          <w:lang w:bidi="ar-SA"/>
        </w:rPr>
      </w:pPr>
      <w:r>
        <w:rPr>
          <w:rFonts w:cs="Arial"/>
          <w:szCs w:val="22"/>
          <w:lang w:bidi="ar-SA"/>
        </w:rPr>
        <w:t xml:space="preserve">2. </w:t>
      </w:r>
      <w:r>
        <w:rPr>
          <w:rFonts w:cs="Arial"/>
          <w:szCs w:val="22"/>
          <w:lang w:bidi="ar-SA"/>
        </w:rPr>
        <w:tab/>
      </w:r>
      <w:r>
        <w:rPr>
          <w:rFonts w:cs="Arial"/>
          <w:szCs w:val="22"/>
          <w:lang w:bidi="ar-SA"/>
        </w:rPr>
        <w:tab/>
      </w:r>
      <w:r w:rsidRPr="0029795C">
        <w:rPr>
          <w:rFonts w:cs="Arial"/>
          <w:szCs w:val="22"/>
          <w:lang w:bidi="ar-SA"/>
        </w:rPr>
        <w:t xml:space="preserve">What measures do you think could be implemented to resolve </w:t>
      </w:r>
      <w:r>
        <w:rPr>
          <w:rFonts w:cs="Arial"/>
          <w:szCs w:val="22"/>
          <w:lang w:bidi="ar-SA"/>
        </w:rPr>
        <w:t>these concerns</w:t>
      </w:r>
      <w:r w:rsidRPr="0029795C">
        <w:rPr>
          <w:rFonts w:cs="Arial"/>
          <w:szCs w:val="22"/>
          <w:lang w:bidi="ar-SA"/>
        </w:rPr>
        <w:t>?</w:t>
      </w:r>
    </w:p>
    <w:p w:rsidR="009D61AE" w:rsidRDefault="009D61AE" w:rsidP="009D61AE">
      <w:pPr>
        <w:rPr>
          <w:rFonts w:cs="Arial"/>
          <w:b/>
          <w:szCs w:val="22"/>
          <w:lang w:bidi="ar-SA"/>
        </w:rPr>
      </w:pPr>
    </w:p>
    <w:p w:rsidR="00D5748A" w:rsidRPr="00283EA9" w:rsidRDefault="00E517D6" w:rsidP="00283EA9">
      <w:pPr>
        <w:pStyle w:val="Heading1"/>
      </w:pPr>
      <w:bookmarkStart w:id="210" w:name="_Toc403377544"/>
      <w:bookmarkStart w:id="211" w:name="_Toc403394309"/>
      <w:bookmarkStart w:id="212" w:name="_Toc267859694"/>
      <w:bookmarkEnd w:id="205"/>
      <w:r w:rsidRPr="00283EA9">
        <w:t>4</w:t>
      </w:r>
      <w:r w:rsidR="00E55393" w:rsidRPr="00283EA9">
        <w:tab/>
      </w:r>
      <w:r w:rsidR="00D5748A" w:rsidRPr="00283EA9">
        <w:t>Overview of the packaging supply chain in Australia and New Zealand</w:t>
      </w:r>
      <w:bookmarkEnd w:id="210"/>
      <w:bookmarkEnd w:id="211"/>
    </w:p>
    <w:p w:rsidR="00D5748A" w:rsidRPr="00BF1A3D" w:rsidRDefault="00D5748A" w:rsidP="007F6373">
      <w:r w:rsidRPr="00CE4B7B">
        <w:t>The packaging</w:t>
      </w:r>
      <w:r w:rsidR="00CF3F73">
        <w:t xml:space="preserve"> manufacturing</w:t>
      </w:r>
      <w:r w:rsidRPr="00CE4B7B">
        <w:t xml:space="preserve"> industry</w:t>
      </w:r>
      <w:r w:rsidR="00CF3F73">
        <w:t xml:space="preserve"> in Australia is estimated </w:t>
      </w:r>
      <w:r w:rsidR="00CB189F">
        <w:t xml:space="preserve">to be </w:t>
      </w:r>
      <w:r w:rsidRPr="00CE4B7B">
        <w:t>value</w:t>
      </w:r>
      <w:r w:rsidR="00CB189F">
        <w:t>d</w:t>
      </w:r>
      <w:r w:rsidRPr="00CE4B7B">
        <w:t xml:space="preserve"> </w:t>
      </w:r>
      <w:r w:rsidR="00CB189F">
        <w:t>at</w:t>
      </w:r>
      <w:r w:rsidRPr="00CE4B7B">
        <w:t xml:space="preserve"> </w:t>
      </w:r>
      <w:r w:rsidR="00CF3F73" w:rsidRPr="00CF3F73">
        <w:t>$12</w:t>
      </w:r>
      <w:r w:rsidR="00BB1C16">
        <w:rPr>
          <w:rFonts w:cs="Arial"/>
        </w:rPr>
        <w:t>‒</w:t>
      </w:r>
      <w:r w:rsidR="00CF3F73" w:rsidRPr="00CF3F73">
        <w:t xml:space="preserve">13 billion </w:t>
      </w:r>
      <w:r w:rsidR="00CF3F73">
        <w:t>(Packaging C</w:t>
      </w:r>
      <w:r w:rsidRPr="00CE4B7B">
        <w:t>ouncil of Australia (PCA</w:t>
      </w:r>
      <w:r w:rsidR="00D4745F" w:rsidRPr="00CE4B7B">
        <w:t>),</w:t>
      </w:r>
      <w:r w:rsidRPr="00CE4B7B">
        <w:t xml:space="preserve"> personal communication</w:t>
      </w:r>
      <w:r w:rsidR="00CF3F73">
        <w:t>)</w:t>
      </w:r>
      <w:r w:rsidR="00D4745F" w:rsidRPr="00CE4B7B">
        <w:t xml:space="preserve">. </w:t>
      </w:r>
      <w:r w:rsidRPr="00CE4B7B">
        <w:t xml:space="preserve">The Australian industry accounts for slightly </w:t>
      </w:r>
      <w:r w:rsidR="00BB1C16">
        <w:t xml:space="preserve">more than </w:t>
      </w:r>
      <w:r w:rsidRPr="00CE4B7B">
        <w:t xml:space="preserve">1% of the GDP, with approximately 30,000 people directly employed in the production of </w:t>
      </w:r>
      <w:r w:rsidR="0002409C" w:rsidRPr="00CE4B7B">
        <w:t>packaging in Australia</w:t>
      </w:r>
      <w:r w:rsidR="0002409C" w:rsidRPr="00AA5EA5">
        <w:t xml:space="preserve">. </w:t>
      </w:r>
      <w:r w:rsidRPr="00AA5EA5">
        <w:t xml:space="preserve">The New Zealand packaging industry is valued at approximately NZ$2 billion. Three quarters of New Zealand’s top 100 food and grocery brands are </w:t>
      </w:r>
      <w:r w:rsidR="00C37D8B">
        <w:t xml:space="preserve">using packaging that is </w:t>
      </w:r>
      <w:r w:rsidRPr="00AA5EA5">
        <w:t xml:space="preserve">manufactured by </w:t>
      </w:r>
      <w:r w:rsidR="0002409C" w:rsidRPr="00AA5EA5">
        <w:t>N</w:t>
      </w:r>
      <w:r w:rsidR="00DF3341" w:rsidRPr="00AA5EA5">
        <w:t xml:space="preserve">ew </w:t>
      </w:r>
      <w:r w:rsidR="0002409C" w:rsidRPr="00AA5EA5">
        <w:t>Z</w:t>
      </w:r>
      <w:r w:rsidR="00DF3341" w:rsidRPr="00AA5EA5">
        <w:t>ealand</w:t>
      </w:r>
      <w:r w:rsidR="0002409C" w:rsidRPr="00AA5EA5">
        <w:t xml:space="preserve"> </w:t>
      </w:r>
      <w:r w:rsidRPr="00AA5EA5">
        <w:t>Packaging Council members.</w:t>
      </w:r>
    </w:p>
    <w:p w:rsidR="00D5748A" w:rsidRPr="00BF1A3D" w:rsidRDefault="00D5748A" w:rsidP="007F6373"/>
    <w:p w:rsidR="00D5748A" w:rsidRPr="00BF1A3D" w:rsidRDefault="00D5748A" w:rsidP="007F6373">
      <w:pPr>
        <w:rPr>
          <w:lang w:val="en-AU"/>
        </w:rPr>
      </w:pPr>
      <w:r w:rsidRPr="00BF1A3D">
        <w:t xml:space="preserve">The packaging supply chain includes a diverse range of businesses (Figure </w:t>
      </w:r>
      <w:r w:rsidR="007866D3">
        <w:t>1</w:t>
      </w:r>
      <w:r w:rsidRPr="00BF1A3D">
        <w:t>) including raw material providers, packaging manufacturers and suppliers, packaging converters, packaging importers and suppliers, food manufacturer</w:t>
      </w:r>
      <w:r w:rsidR="0002409C">
        <w:t xml:space="preserve">s, brand owners and retailers. </w:t>
      </w:r>
      <w:r w:rsidRPr="00BF1A3D">
        <w:rPr>
          <w:lang w:val="en-AU"/>
        </w:rPr>
        <w:t>Packaging is made explicitly for the products of the brand owners and the specifications of the packaging are set out by the brand owner. Retailers with private labels/home brands are the largest brand owners and are therefore a critical link in the packaging supply chain.</w:t>
      </w:r>
    </w:p>
    <w:p w:rsidR="00D5748A" w:rsidRPr="00BF1A3D" w:rsidRDefault="00D5748A" w:rsidP="007F6373"/>
    <w:p w:rsidR="00D5748A" w:rsidRPr="00BF1A3D" w:rsidRDefault="00D932B1" w:rsidP="007F6373">
      <w:pPr>
        <w:contextualSpacing/>
        <w:jc w:val="center"/>
        <w:rPr>
          <w:b/>
          <w:sz w:val="24"/>
        </w:rPr>
      </w:pPr>
      <w:r>
        <w:rPr>
          <w:b/>
          <w:noProof/>
          <w:sz w:val="24"/>
          <w:lang w:eastAsia="en-GB" w:bidi="ar-SA"/>
        </w:rPr>
        <w:lastRenderedPageBreak/>
        <w:drawing>
          <wp:inline distT="0" distB="0" distL="0" distR="0" wp14:anchorId="18EBDE13" wp14:editId="2BB33D78">
            <wp:extent cx="3648075" cy="42437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4204" cy="4250876"/>
                    </a:xfrm>
                    <a:prstGeom prst="rect">
                      <a:avLst/>
                    </a:prstGeom>
                    <a:noFill/>
                  </pic:spPr>
                </pic:pic>
              </a:graphicData>
            </a:graphic>
          </wp:inline>
        </w:drawing>
      </w:r>
    </w:p>
    <w:p w:rsidR="00D5748A" w:rsidRPr="007F6373" w:rsidRDefault="00D5748A" w:rsidP="007F6373">
      <w:pPr>
        <w:contextualSpacing/>
        <w:jc w:val="center"/>
        <w:rPr>
          <w:i/>
        </w:rPr>
      </w:pPr>
      <w:r w:rsidRPr="007F6373">
        <w:rPr>
          <w:i/>
        </w:rPr>
        <w:t xml:space="preserve">Figure </w:t>
      </w:r>
      <w:r w:rsidR="007866D3" w:rsidRPr="007F6373">
        <w:rPr>
          <w:i/>
        </w:rPr>
        <w:t>1</w:t>
      </w:r>
      <w:r w:rsidRPr="007F6373">
        <w:rPr>
          <w:i/>
        </w:rPr>
        <w:t>:  Overview of the packaging supply chain</w:t>
      </w:r>
    </w:p>
    <w:p w:rsidR="007A7DF7" w:rsidRPr="00BF1A3D" w:rsidRDefault="007A7DF7" w:rsidP="007F6373"/>
    <w:p w:rsidR="00D5748A" w:rsidRPr="00B4799C" w:rsidRDefault="002E31CA" w:rsidP="007F6373">
      <w:r w:rsidRPr="00B4799C">
        <w:t>Preliminary survey work carried out by FSANZ</w:t>
      </w:r>
      <w:r w:rsidR="00D5748A" w:rsidRPr="00B4799C">
        <w:t xml:space="preserve"> indicate</w:t>
      </w:r>
      <w:r w:rsidR="00083E09">
        <w:t>s</w:t>
      </w:r>
      <w:r w:rsidR="0029795C">
        <w:t xml:space="preserve"> that f</w:t>
      </w:r>
      <w:r w:rsidR="009F793B">
        <w:rPr>
          <w:rFonts w:cs="Georgia"/>
          <w:color w:val="000000"/>
        </w:rPr>
        <w:t xml:space="preserve">or the </w:t>
      </w:r>
      <w:r w:rsidR="00D5748A" w:rsidRPr="00B4799C">
        <w:t>food industry</w:t>
      </w:r>
      <w:r w:rsidR="009F793B">
        <w:t xml:space="preserve"> </w:t>
      </w:r>
      <w:r w:rsidR="001842DC">
        <w:t xml:space="preserve">(which </w:t>
      </w:r>
      <w:r w:rsidR="009F793B">
        <w:t xml:space="preserve">includes </w:t>
      </w:r>
      <w:r w:rsidR="00D5748A" w:rsidRPr="00B4799C">
        <w:t>brand owners, manufacturers and retailers</w:t>
      </w:r>
      <w:r w:rsidR="001842DC">
        <w:t>)</w:t>
      </w:r>
      <w:r w:rsidR="00655837">
        <w:t>,</w:t>
      </w:r>
      <w:r w:rsidR="00D5748A" w:rsidRPr="00B4799C">
        <w:t xml:space="preserve"> the majority of the packaging materials use</w:t>
      </w:r>
      <w:r w:rsidR="009F793B">
        <w:t>d</w:t>
      </w:r>
      <w:r w:rsidR="00D5748A" w:rsidRPr="00B4799C">
        <w:t xml:space="preserve"> are manufactured</w:t>
      </w:r>
      <w:r w:rsidR="0029795C">
        <w:t>/converted</w:t>
      </w:r>
      <w:r w:rsidR="00D5748A" w:rsidRPr="00B4799C">
        <w:t xml:space="preserve"> in Australia and New Zealand or are from Australia and New Zealand using imported</w:t>
      </w:r>
      <w:r w:rsidR="009F793B">
        <w:t xml:space="preserve"> products</w:t>
      </w:r>
      <w:r w:rsidR="00D5748A" w:rsidRPr="00B4799C">
        <w:t xml:space="preserve">. Approximately 19% of packaging used by the food industry is </w:t>
      </w:r>
      <w:r w:rsidR="00AB069A">
        <w:t xml:space="preserve">directly </w:t>
      </w:r>
      <w:r w:rsidR="00D5748A" w:rsidRPr="00B4799C">
        <w:t xml:space="preserve">imported. </w:t>
      </w:r>
    </w:p>
    <w:p w:rsidR="00D5748A" w:rsidRPr="00BF1A3D" w:rsidRDefault="00D5748A" w:rsidP="007F6373"/>
    <w:p w:rsidR="00D5748A" w:rsidRDefault="001133FB" w:rsidP="007F6373">
      <w:r>
        <w:t>In Australia, t</w:t>
      </w:r>
      <w:r w:rsidR="00D5748A" w:rsidRPr="00BF1A3D">
        <w:t>he plastics packaging industry is one of the most diverse and broad in its reach across Australian society, environment and industry. Businesses range from small family-owned companies and innovative medium-sized enterprises, to leading national and multinational enterprises (Australian Plastics and Chemical Industries Association 2013)</w:t>
      </w:r>
      <w:r w:rsidR="00505BAC">
        <w:t xml:space="preserve">. </w:t>
      </w:r>
      <w:r w:rsidR="00D5748A" w:rsidRPr="00BF1A3D">
        <w:t xml:space="preserve">Further details on the packaging supply chain are provided at </w:t>
      </w:r>
      <w:r w:rsidR="00FD58F5">
        <w:t>SD5</w:t>
      </w:r>
      <w:r w:rsidR="00D5748A" w:rsidRPr="00BF1A3D">
        <w:t>.</w:t>
      </w:r>
    </w:p>
    <w:p w:rsidR="002A4A1D" w:rsidRDefault="002A4A1D" w:rsidP="00D5748A">
      <w:pPr>
        <w:contextualSpacing/>
        <w:rPr>
          <w:sz w:val="24"/>
        </w:rPr>
      </w:pPr>
    </w:p>
    <w:p w:rsidR="005E5327" w:rsidRPr="00DC28D2" w:rsidRDefault="005E5327"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b/>
          <w:i/>
          <w:color w:val="365F91" w:themeColor="accent1" w:themeShade="BF"/>
          <w:lang w:bidi="ar-SA"/>
        </w:rPr>
      </w:pPr>
      <w:bookmarkStart w:id="213" w:name="_Toc372722345"/>
      <w:r w:rsidRPr="00DC28D2">
        <w:rPr>
          <w:rFonts w:eastAsia="Calibri"/>
          <w:b/>
          <w:i/>
          <w:color w:val="365F91" w:themeColor="accent1" w:themeShade="BF"/>
          <w:lang w:bidi="ar-SA"/>
        </w:rPr>
        <w:t>A response template with all questions in this document is available at Attachment A</w:t>
      </w:r>
    </w:p>
    <w:p w:rsidR="003A7416" w:rsidRPr="007F6373" w:rsidRDefault="003A7416" w:rsidP="00DC28D2">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ind w:left="0"/>
        <w:rPr>
          <w:b/>
        </w:rPr>
      </w:pPr>
    </w:p>
    <w:p w:rsidR="0048797D" w:rsidRPr="007F6373" w:rsidRDefault="0029795C" w:rsidP="00DC28D2">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ind w:left="567" w:hanging="567"/>
      </w:pPr>
      <w:r>
        <w:t>3</w:t>
      </w:r>
      <w:r w:rsidR="009D61AE" w:rsidRPr="007F6373">
        <w:t xml:space="preserve">. </w:t>
      </w:r>
      <w:r w:rsidR="002A4A1D">
        <w:tab/>
      </w:r>
      <w:r w:rsidR="0048797D" w:rsidRPr="007F6373">
        <w:t>If you are a packaging manufa</w:t>
      </w:r>
      <w:r w:rsidR="00D4104C" w:rsidRPr="007F6373">
        <w:t>cturer, please detail the type</w:t>
      </w:r>
      <w:r w:rsidR="0048797D" w:rsidRPr="007F6373">
        <w:t xml:space="preserve">(s) and relative volumes for the different </w:t>
      </w:r>
      <w:r w:rsidR="00386242" w:rsidRPr="007F6373">
        <w:t xml:space="preserve">food </w:t>
      </w:r>
      <w:r w:rsidR="0048797D" w:rsidRPr="007F6373">
        <w:t>packaging materials used in your business</w:t>
      </w:r>
      <w:r w:rsidR="00C37D8B" w:rsidRPr="007F6373">
        <w:t xml:space="preserve"> and whether </w:t>
      </w:r>
      <w:r w:rsidR="00386242" w:rsidRPr="007F6373">
        <w:t xml:space="preserve">the main component </w:t>
      </w:r>
      <w:r w:rsidR="00C37D8B" w:rsidRPr="007F6373">
        <w:t xml:space="preserve">is imported or made </w:t>
      </w:r>
      <w:r w:rsidR="00386242" w:rsidRPr="007F6373">
        <w:t>locally (</w:t>
      </w:r>
      <w:r w:rsidR="00C37D8B" w:rsidRPr="007F6373">
        <w:t>in Australia or New Zealand</w:t>
      </w:r>
      <w:r w:rsidR="00B40523" w:rsidRPr="007F6373">
        <w:t>)</w:t>
      </w:r>
      <w:r w:rsidR="0048797D" w:rsidRPr="007F6373">
        <w:t>.</w:t>
      </w:r>
    </w:p>
    <w:p w:rsidR="00B0699F" w:rsidRPr="007A7DF7" w:rsidRDefault="002A4A1D" w:rsidP="007F6373">
      <w:pPr>
        <w:pStyle w:val="Heading2"/>
      </w:pPr>
      <w:bookmarkStart w:id="214" w:name="_Toc403377545"/>
      <w:bookmarkStart w:id="215" w:name="_Toc403394310"/>
      <w:r>
        <w:t>4.1</w:t>
      </w:r>
      <w:r>
        <w:tab/>
      </w:r>
      <w:r w:rsidR="00B0699F" w:rsidRPr="007A7DF7">
        <w:t>Outcomes of industry surveys</w:t>
      </w:r>
      <w:bookmarkEnd w:id="213"/>
      <w:bookmarkEnd w:id="214"/>
      <w:bookmarkEnd w:id="215"/>
      <w:r w:rsidR="00B0699F" w:rsidRPr="007A7DF7">
        <w:t xml:space="preserve"> </w:t>
      </w:r>
    </w:p>
    <w:p w:rsidR="00292C61" w:rsidRDefault="00B0699F" w:rsidP="007F6373">
      <w:r w:rsidRPr="00B0699F">
        <w:t xml:space="preserve">In order to consider possible implications </w:t>
      </w:r>
      <w:r w:rsidR="00AB069A">
        <w:t xml:space="preserve">to industry </w:t>
      </w:r>
      <w:r w:rsidRPr="00B0699F">
        <w:t xml:space="preserve">of any </w:t>
      </w:r>
      <w:r w:rsidR="00AB069A">
        <w:t xml:space="preserve">additional measures to manage the </w:t>
      </w:r>
      <w:r w:rsidRPr="00B0699F">
        <w:t xml:space="preserve">risk </w:t>
      </w:r>
      <w:r w:rsidR="00AB069A">
        <w:t xml:space="preserve">from </w:t>
      </w:r>
      <w:r w:rsidRPr="00B0699F">
        <w:t>food contact packaging materials, food packaging manufacturers and the food industry were surveyed to establish current industry practices.</w:t>
      </w:r>
      <w:r w:rsidR="007A7DF7">
        <w:t xml:space="preserve"> </w:t>
      </w:r>
      <w:r w:rsidRPr="00B0699F">
        <w:t xml:space="preserve">Two online surveys were developed to target both packaging manufacturers and the food industry. The surveys were developed with input from the IAG and were distributed through the Australian and New Zealand Food and Grocery Councils and packaging councils. </w:t>
      </w:r>
      <w:r w:rsidR="00292C61">
        <w:br w:type="page"/>
      </w:r>
    </w:p>
    <w:p w:rsidR="00B0699F" w:rsidRPr="00B0699F" w:rsidRDefault="00B0699F" w:rsidP="007F6373">
      <w:pPr>
        <w:rPr>
          <w:rFonts w:cs="Arial"/>
        </w:rPr>
      </w:pPr>
      <w:r w:rsidRPr="00B0699F">
        <w:lastRenderedPageBreak/>
        <w:t xml:space="preserve">A summary table of responses, survey questions and detailed responses for both surveys are provided at </w:t>
      </w:r>
      <w:r w:rsidR="00FD58F5">
        <w:t>SD6</w:t>
      </w:r>
      <w:r w:rsidR="00505BAC">
        <w:t xml:space="preserve">. </w:t>
      </w:r>
    </w:p>
    <w:p w:rsidR="0032012D" w:rsidRPr="007A7DF7" w:rsidRDefault="0032012D" w:rsidP="007F6373"/>
    <w:p w:rsidR="00B0699F" w:rsidRPr="00B0699F" w:rsidRDefault="00B0699F" w:rsidP="007F6373">
      <w:r w:rsidRPr="00B0699F">
        <w:t>The main messages collated from survey respondents are summarised below.</w:t>
      </w:r>
    </w:p>
    <w:p w:rsidR="00B0699F" w:rsidRPr="00B0699F" w:rsidRDefault="00B0699F" w:rsidP="007F6373"/>
    <w:p w:rsidR="00B0699F" w:rsidRDefault="00B0699F" w:rsidP="007F6373">
      <w:pPr>
        <w:pStyle w:val="FSBullet1"/>
      </w:pPr>
      <w:r w:rsidRPr="00B0699F">
        <w:t>The packaging materials mostly manufactured by Australian and New Zealand manufacturers are plastic mono-layers, co-extruded plastic, rigid plastic, plastic multi-layers, cardboard/paper (virgin) carton board (folding) and glass.</w:t>
      </w:r>
    </w:p>
    <w:p w:rsidR="002A4A1D" w:rsidRPr="002A4A1D" w:rsidRDefault="002A4A1D" w:rsidP="007F6373">
      <w:pPr>
        <w:rPr>
          <w:lang w:bidi="ar-SA"/>
        </w:rPr>
      </w:pPr>
    </w:p>
    <w:p w:rsidR="00B0699F" w:rsidRDefault="00B0699F" w:rsidP="007F6373">
      <w:pPr>
        <w:pStyle w:val="FSBullet1"/>
      </w:pPr>
      <w:r w:rsidRPr="00B0699F">
        <w:t>Approximately 50% of plastic-based materials are manufactured in Australia or New Zealand using imported materials.</w:t>
      </w:r>
    </w:p>
    <w:p w:rsidR="002A4A1D" w:rsidRPr="002A4A1D" w:rsidRDefault="002A4A1D" w:rsidP="007F6373">
      <w:pPr>
        <w:rPr>
          <w:lang w:bidi="ar-SA"/>
        </w:rPr>
      </w:pPr>
    </w:p>
    <w:p w:rsidR="00B0699F" w:rsidRDefault="00B0699F" w:rsidP="007F6373">
      <w:pPr>
        <w:pStyle w:val="FSBullet1"/>
      </w:pPr>
      <w:r w:rsidRPr="00B0699F">
        <w:t>The majority of recycled cardboard/paper packaging is manufactured and sourced within Australia or New Zealand, whereas more than 50% of virgin cardboard/paper packaging is imported or manufactured/sourced in Australia or New Zealand using imported materials.</w:t>
      </w:r>
    </w:p>
    <w:p w:rsidR="002A4A1D" w:rsidRPr="002A4A1D" w:rsidRDefault="002A4A1D" w:rsidP="007F6373">
      <w:pPr>
        <w:rPr>
          <w:lang w:bidi="ar-SA"/>
        </w:rPr>
      </w:pPr>
    </w:p>
    <w:p w:rsidR="00B0699F" w:rsidRDefault="00B0699F" w:rsidP="007F6373">
      <w:pPr>
        <w:pStyle w:val="FSBullet1"/>
      </w:pPr>
      <w:r w:rsidRPr="00B0699F">
        <w:t xml:space="preserve">Approximately half of the companies surveyed anticipate changes to the types of packaging materials used in the next </w:t>
      </w:r>
      <w:r w:rsidR="002A4A1D">
        <w:t>five</w:t>
      </w:r>
      <w:r w:rsidRPr="00B0699F">
        <w:t xml:space="preserve"> years, particularly with regards to uptake of active and intelligent packaging</w:t>
      </w:r>
      <w:r w:rsidR="00505BAC">
        <w:t xml:space="preserve">. </w:t>
      </w:r>
    </w:p>
    <w:p w:rsidR="002A4A1D" w:rsidRPr="002A4A1D" w:rsidRDefault="002A4A1D" w:rsidP="007F6373">
      <w:pPr>
        <w:rPr>
          <w:lang w:bidi="ar-SA"/>
        </w:rPr>
      </w:pPr>
    </w:p>
    <w:p w:rsidR="001842DC" w:rsidRDefault="007A7DF7" w:rsidP="001842DC">
      <w:pPr>
        <w:pStyle w:val="FSBullet1"/>
      </w:pPr>
      <w:r>
        <w:t xml:space="preserve">Whilst </w:t>
      </w:r>
      <w:r w:rsidR="00B0699F" w:rsidRPr="00B0699F">
        <w:t xml:space="preserve">businesses are not currently using nanotechnology in packaging, some </w:t>
      </w:r>
      <w:r>
        <w:t xml:space="preserve">businesses </w:t>
      </w:r>
      <w:r w:rsidR="00B0699F" w:rsidRPr="00B0699F">
        <w:t>are investigating potential future uses, such as barrier improvements.</w:t>
      </w:r>
    </w:p>
    <w:p w:rsidR="001842DC" w:rsidRPr="001842DC" w:rsidRDefault="001842DC" w:rsidP="006D653B"/>
    <w:p w:rsidR="00B0699F" w:rsidRDefault="00B0699F" w:rsidP="007F6373">
      <w:pPr>
        <w:pStyle w:val="FSBullet1"/>
      </w:pPr>
      <w:r w:rsidRPr="00B0699F">
        <w:t xml:space="preserve">The majority of respondents indicated that the current requirements for packaging in the Code </w:t>
      </w:r>
      <w:r w:rsidR="007A7DF7">
        <w:t>do not suit their requirements</w:t>
      </w:r>
      <w:r w:rsidRPr="00B0699F">
        <w:t>.</w:t>
      </w:r>
    </w:p>
    <w:p w:rsidR="002A4A1D" w:rsidRPr="002A4A1D" w:rsidRDefault="002A4A1D" w:rsidP="007F6373">
      <w:pPr>
        <w:rPr>
          <w:lang w:bidi="ar-SA"/>
        </w:rPr>
      </w:pPr>
    </w:p>
    <w:p w:rsidR="00B0699F" w:rsidRDefault="00B0699F" w:rsidP="007F6373">
      <w:pPr>
        <w:pStyle w:val="FSBullet1"/>
      </w:pPr>
      <w:r w:rsidRPr="00B0699F">
        <w:t>All respondents (manufacturers) refer to the EU plastics regulations and, in the majority of cases, also to the US FDA regulations.</w:t>
      </w:r>
    </w:p>
    <w:p w:rsidR="002A4A1D" w:rsidRPr="002A4A1D" w:rsidRDefault="002A4A1D" w:rsidP="007F6373">
      <w:pPr>
        <w:rPr>
          <w:lang w:bidi="ar-SA"/>
        </w:rPr>
      </w:pPr>
    </w:p>
    <w:p w:rsidR="00B0699F" w:rsidRDefault="00B0699F" w:rsidP="007F6373">
      <w:pPr>
        <w:pStyle w:val="FSBullet1"/>
      </w:pPr>
      <w:r w:rsidRPr="00B0699F">
        <w:t>There was a divergence of views regarding who bears responsibility for regulatory compliance of materials used</w:t>
      </w:r>
      <w:r w:rsidR="00505BAC">
        <w:t xml:space="preserve">. </w:t>
      </w:r>
      <w:r w:rsidRPr="00B0699F">
        <w:t xml:space="preserve">Some respondents </w:t>
      </w:r>
      <w:r w:rsidR="00C37D8B">
        <w:t xml:space="preserve">from the food industry </w:t>
      </w:r>
      <w:r w:rsidRPr="00B0699F">
        <w:t xml:space="preserve">took direct responsibility for </w:t>
      </w:r>
      <w:r w:rsidR="007A7DF7">
        <w:t>packaging material</w:t>
      </w:r>
      <w:r w:rsidRPr="00B0699F">
        <w:t xml:space="preserve"> compliance, whereas others stated that compliance is the responsibility of the manufacturer or raw material supplier.</w:t>
      </w:r>
    </w:p>
    <w:p w:rsidR="002A4A1D" w:rsidRPr="002A4A1D" w:rsidRDefault="002A4A1D" w:rsidP="007F6373">
      <w:pPr>
        <w:rPr>
          <w:lang w:bidi="ar-SA"/>
        </w:rPr>
      </w:pPr>
    </w:p>
    <w:p w:rsidR="00B0699F" w:rsidRPr="00B0699F" w:rsidRDefault="00B0699F" w:rsidP="007F6373">
      <w:pPr>
        <w:pStyle w:val="FSBullet1"/>
      </w:pPr>
      <w:r w:rsidRPr="00B0699F">
        <w:t xml:space="preserve">A range of general food safety systems and specific packaging Codes of Practice are employed by the food industry and packaging manufacturers. </w:t>
      </w:r>
    </w:p>
    <w:p w:rsidR="00AD429C" w:rsidRDefault="00AD429C" w:rsidP="007F6373"/>
    <w:p w:rsidR="001C150C" w:rsidRDefault="00D5748A" w:rsidP="007F6373">
      <w:r w:rsidRPr="007A7DF7">
        <w:t>In summary, the packaging supply chain is complex and comprises industry members both upstream (e.g. raw material producers and converters) and downstream (e</w:t>
      </w:r>
      <w:r w:rsidR="001842DC">
        <w:t>.</w:t>
      </w:r>
      <w:r w:rsidRPr="007A7DF7">
        <w:t xml:space="preserve">g. food </w:t>
      </w:r>
      <w:r w:rsidR="00C37D8B">
        <w:t xml:space="preserve">manufacturers and </w:t>
      </w:r>
      <w:r w:rsidRPr="007A7DF7">
        <w:t>retailers).</w:t>
      </w:r>
    </w:p>
    <w:p w:rsidR="00D5748A" w:rsidRPr="007A7DF7" w:rsidRDefault="00D5748A" w:rsidP="007F6373">
      <w:r w:rsidRPr="007A7DF7">
        <w:t>FSANZ consultation to date has been mainly with larger industry members of the packaging supply chain which may not be fully representative of small to medium businesses. Consultation with some food businesses and packaging manufacturers indicated that knowledge about CMPF, and associated potential risks, is variable.</w:t>
      </w:r>
    </w:p>
    <w:p w:rsidR="0075644B" w:rsidRDefault="0075644B" w:rsidP="007F6373">
      <w:pPr>
        <w:rPr>
          <w:u w:val="single"/>
        </w:rPr>
      </w:pPr>
    </w:p>
    <w:p w:rsidR="003A7416" w:rsidRPr="00DC28D2" w:rsidRDefault="005E5327" w:rsidP="00DC28D2">
      <w:pPr>
        <w:pStyle w:val="ListParagraph"/>
        <w:widowControl/>
        <w:pBdr>
          <w:top w:val="single" w:sz="4" w:space="1" w:color="auto"/>
          <w:left w:val="single" w:sz="4" w:space="0" w:color="auto"/>
          <w:bottom w:val="single" w:sz="4" w:space="1" w:color="auto"/>
          <w:right w:val="single" w:sz="4" w:space="20" w:color="auto"/>
        </w:pBdr>
        <w:shd w:val="clear" w:color="auto" w:fill="DBE5F1" w:themeFill="accent1" w:themeFillTint="33"/>
        <w:ind w:left="0"/>
        <w:rPr>
          <w:b/>
          <w:i/>
          <w:color w:val="365F91" w:themeColor="accent1" w:themeShade="BF"/>
        </w:rPr>
      </w:pPr>
      <w:r w:rsidRPr="00DC28D2">
        <w:rPr>
          <w:b/>
          <w:i/>
          <w:color w:val="365F91" w:themeColor="accent1" w:themeShade="BF"/>
        </w:rPr>
        <w:t>A response template with all questions in this document is available at Attachment A</w:t>
      </w:r>
    </w:p>
    <w:p w:rsidR="005E5327" w:rsidRPr="007F6373" w:rsidRDefault="005E5327" w:rsidP="00DC28D2">
      <w:pPr>
        <w:pStyle w:val="ListParagraph"/>
        <w:widowControl/>
        <w:pBdr>
          <w:top w:val="single" w:sz="4" w:space="1" w:color="auto"/>
          <w:left w:val="single" w:sz="4" w:space="0" w:color="auto"/>
          <w:bottom w:val="single" w:sz="4" w:space="1" w:color="auto"/>
          <w:right w:val="single" w:sz="4" w:space="20" w:color="auto"/>
        </w:pBdr>
        <w:shd w:val="clear" w:color="auto" w:fill="DBE5F1" w:themeFill="accent1" w:themeFillTint="33"/>
        <w:ind w:left="0"/>
      </w:pPr>
    </w:p>
    <w:p w:rsidR="0048797D" w:rsidRPr="007F6373" w:rsidRDefault="0029795C" w:rsidP="00DC28D2">
      <w:pPr>
        <w:pStyle w:val="ListParagraph"/>
        <w:widowControl/>
        <w:pBdr>
          <w:top w:val="single" w:sz="4" w:space="1" w:color="auto"/>
          <w:left w:val="single" w:sz="4" w:space="0" w:color="auto"/>
          <w:bottom w:val="single" w:sz="4" w:space="1" w:color="auto"/>
          <w:right w:val="single" w:sz="4" w:space="20" w:color="auto"/>
        </w:pBdr>
        <w:shd w:val="clear" w:color="auto" w:fill="DBE5F1" w:themeFill="accent1" w:themeFillTint="33"/>
        <w:ind w:left="567" w:hanging="567"/>
      </w:pPr>
      <w:r>
        <w:t>4</w:t>
      </w:r>
      <w:r w:rsidR="009D61AE" w:rsidRPr="007F6373">
        <w:t xml:space="preserve">. </w:t>
      </w:r>
      <w:r w:rsidR="002A4A1D">
        <w:tab/>
      </w:r>
      <w:r w:rsidR="00AD429C" w:rsidRPr="007F6373">
        <w:t xml:space="preserve">If you are a trade association or peak body, </w:t>
      </w:r>
      <w:r w:rsidR="00CA62B7" w:rsidRPr="007F6373">
        <w:t xml:space="preserve">if a risk is identified, </w:t>
      </w:r>
      <w:r w:rsidR="00AD429C" w:rsidRPr="007F6373">
        <w:t xml:space="preserve">do you have the expertise to offer food safety advice on chemical migration from packaging into food (CMPF) to businesses within the packaging supply chain?  </w:t>
      </w:r>
    </w:p>
    <w:p w:rsidR="007A66B2" w:rsidRPr="007F6373" w:rsidRDefault="007A66B2" w:rsidP="00DC28D2">
      <w:pPr>
        <w:pStyle w:val="ListParagraph"/>
        <w:widowControl/>
        <w:pBdr>
          <w:top w:val="single" w:sz="4" w:space="1" w:color="auto"/>
          <w:left w:val="single" w:sz="4" w:space="0" w:color="auto"/>
          <w:bottom w:val="single" w:sz="4" w:space="1" w:color="auto"/>
          <w:right w:val="single" w:sz="4" w:space="20" w:color="auto"/>
        </w:pBdr>
        <w:shd w:val="clear" w:color="auto" w:fill="DBE5F1" w:themeFill="accent1" w:themeFillTint="33"/>
        <w:ind w:left="567" w:hanging="567"/>
      </w:pPr>
    </w:p>
    <w:p w:rsidR="00AD429C" w:rsidRPr="007F6373" w:rsidRDefault="0029795C" w:rsidP="00DC28D2">
      <w:pPr>
        <w:pStyle w:val="ListParagraph"/>
        <w:widowControl/>
        <w:pBdr>
          <w:top w:val="single" w:sz="4" w:space="1" w:color="auto"/>
          <w:left w:val="single" w:sz="4" w:space="0" w:color="auto"/>
          <w:bottom w:val="single" w:sz="4" w:space="1" w:color="auto"/>
          <w:right w:val="single" w:sz="4" w:space="20" w:color="auto"/>
        </w:pBdr>
        <w:shd w:val="clear" w:color="auto" w:fill="DBE5F1" w:themeFill="accent1" w:themeFillTint="33"/>
        <w:ind w:left="567" w:hanging="567"/>
      </w:pPr>
      <w:r>
        <w:t>5</w:t>
      </w:r>
      <w:r w:rsidR="009D61AE" w:rsidRPr="007F6373">
        <w:t xml:space="preserve">. </w:t>
      </w:r>
      <w:r w:rsidR="002A4A1D">
        <w:tab/>
      </w:r>
      <w:r w:rsidR="00AD429C" w:rsidRPr="007F6373">
        <w:t>Is there a need for access to further advice on CMPF?</w:t>
      </w:r>
    </w:p>
    <w:p w:rsidR="002A4A1D" w:rsidRPr="002A4A1D" w:rsidRDefault="002A4A1D" w:rsidP="007F6373">
      <w:pPr>
        <w:rPr>
          <w:lang w:bidi="ar-SA"/>
        </w:rPr>
      </w:pPr>
    </w:p>
    <w:p w:rsidR="002F0CD6" w:rsidRPr="00283EA9" w:rsidRDefault="00D44538" w:rsidP="002A4A1D">
      <w:pPr>
        <w:pStyle w:val="Heading1"/>
      </w:pPr>
      <w:bookmarkStart w:id="216" w:name="_Toc403377546"/>
      <w:bookmarkStart w:id="217" w:name="_Toc403394311"/>
      <w:r w:rsidRPr="00283EA9">
        <w:lastRenderedPageBreak/>
        <w:t>5</w:t>
      </w:r>
      <w:r w:rsidR="00505BAC">
        <w:t>.</w:t>
      </w:r>
      <w:r w:rsidR="002A4A1D">
        <w:tab/>
      </w:r>
      <w:r w:rsidR="00475BD1" w:rsidRPr="00283EA9">
        <w:t>Regulatory and non-regulatory control measures</w:t>
      </w:r>
      <w:bookmarkEnd w:id="212"/>
      <w:bookmarkEnd w:id="216"/>
      <w:bookmarkEnd w:id="217"/>
      <w:r w:rsidR="00475BD1" w:rsidRPr="00283EA9">
        <w:t xml:space="preserve"> </w:t>
      </w:r>
    </w:p>
    <w:p w:rsidR="00AC4F80" w:rsidRDefault="00AC4F80" w:rsidP="007F6373">
      <w:bookmarkStart w:id="218" w:name="_Toc267859695"/>
      <w:r w:rsidRPr="00EB3E69">
        <w:t xml:space="preserve">As part of </w:t>
      </w:r>
      <w:r>
        <w:t>the</w:t>
      </w:r>
      <w:r w:rsidRPr="00EB3E69">
        <w:t xml:space="preserve"> consultation process</w:t>
      </w:r>
      <w:r>
        <w:t xml:space="preserve"> and as a</w:t>
      </w:r>
      <w:r w:rsidRPr="00EB3E69">
        <w:t xml:space="preserve"> preliminary </w:t>
      </w:r>
      <w:r w:rsidR="001C150C">
        <w:t xml:space="preserve">exercise </w:t>
      </w:r>
      <w:r>
        <w:t>to</w:t>
      </w:r>
      <w:r w:rsidRPr="00EB3E69">
        <w:t xml:space="preserve"> future assessment work, FSANZ </w:t>
      </w:r>
      <w:r>
        <w:t xml:space="preserve">seeks to gauge the existence and implementation of current </w:t>
      </w:r>
      <w:r w:rsidRPr="00EB3E69">
        <w:t>risk management strategies</w:t>
      </w:r>
      <w:r w:rsidR="00394022">
        <w:t xml:space="preserve"> for CMPF</w:t>
      </w:r>
      <w:r>
        <w:t>. This</w:t>
      </w:r>
      <w:r w:rsidRPr="00EB3E69">
        <w:t xml:space="preserve"> will </w:t>
      </w:r>
      <w:r>
        <w:t xml:space="preserve">help us </w:t>
      </w:r>
      <w:r w:rsidRPr="00EB3E69">
        <w:t>consider</w:t>
      </w:r>
      <w:r>
        <w:t xml:space="preserve"> any further </w:t>
      </w:r>
      <w:r w:rsidRPr="00EB3E69">
        <w:t xml:space="preserve">risk management strategies </w:t>
      </w:r>
      <w:r>
        <w:t xml:space="preserve">that may be needed </w:t>
      </w:r>
      <w:r w:rsidRPr="00EB3E69">
        <w:t xml:space="preserve">to manage any identified public health and safety risks. </w:t>
      </w:r>
      <w:r>
        <w:t>As FSANZ progresses the current Proposal</w:t>
      </w:r>
      <w:r w:rsidR="001C150C">
        <w:t>,</w:t>
      </w:r>
      <w:r>
        <w:t xml:space="preserve"> it is obliged</w:t>
      </w:r>
      <w:r w:rsidRPr="00EB3E69">
        <w:t xml:space="preserve"> to consider the potential benefits and costs that ma</w:t>
      </w:r>
      <w:r>
        <w:t xml:space="preserve">y result from any proposed control </w:t>
      </w:r>
      <w:r w:rsidRPr="00EB3E69">
        <w:t>measures (non-regulatory or regulatory)</w:t>
      </w:r>
      <w:r>
        <w:t xml:space="preserve"> for CMPF</w:t>
      </w:r>
      <w:r w:rsidRPr="00EB3E69">
        <w:t>.</w:t>
      </w:r>
      <w:r>
        <w:t xml:space="preserve"> </w:t>
      </w:r>
      <w:r w:rsidRPr="00EB3E69">
        <w:t xml:space="preserve">FSANZ </w:t>
      </w:r>
      <w:r>
        <w:t xml:space="preserve">is required to </w:t>
      </w:r>
      <w:r w:rsidRPr="00EB3E69">
        <w:t>consider all options that could achieve the desired outcome of protection of public health and safety and will examine the regulatory impacts of each option.</w:t>
      </w:r>
      <w:r>
        <w:t xml:space="preserve"> FSANZ therefore proposes that in the future it will undertake further focussed consultation with relevant stakeholders posing questions on costings to businesses. </w:t>
      </w:r>
      <w:r w:rsidRPr="00EB3E69">
        <w:t>Th</w:t>
      </w:r>
      <w:r>
        <w:t>is</w:t>
      </w:r>
      <w:r w:rsidRPr="00EB3E69">
        <w:t xml:space="preserve"> information will be used, along with that from </w:t>
      </w:r>
      <w:r>
        <w:t>other</w:t>
      </w:r>
      <w:r w:rsidRPr="00EB3E69">
        <w:t xml:space="preserve"> </w:t>
      </w:r>
      <w:r>
        <w:t xml:space="preserve">consultations with </w:t>
      </w:r>
      <w:r w:rsidRPr="00EB3E69">
        <w:t>businesses</w:t>
      </w:r>
      <w:r>
        <w:t xml:space="preserve"> (including food packaging, food manufacturing, catering etc.)</w:t>
      </w:r>
      <w:r w:rsidRPr="00EB3E69">
        <w:t xml:space="preserve"> to better understand the costs of the various regulatory and non-regulatory</w:t>
      </w:r>
      <w:r>
        <w:t xml:space="preserve"> options.</w:t>
      </w:r>
      <w:r w:rsidRPr="00EB3E69">
        <w:t xml:space="preserve"> FSANZ may need to use the information provide</w:t>
      </w:r>
      <w:r>
        <w:t>d</w:t>
      </w:r>
      <w:r w:rsidRPr="00EB3E69">
        <w:t xml:space="preserve"> to prepare a consultation Regulatory Impact Statement (RIS)</w:t>
      </w:r>
      <w:bookmarkStart w:id="219" w:name="_Ref371932700"/>
      <w:r w:rsidRPr="00EB3E69">
        <w:rPr>
          <w:rStyle w:val="FootnoteReference"/>
          <w:rFonts w:cs="Arial"/>
          <w:sz w:val="24"/>
        </w:rPr>
        <w:footnoteReference w:id="12"/>
      </w:r>
      <w:bookmarkEnd w:id="219"/>
      <w:r w:rsidRPr="00EB3E69">
        <w:t xml:space="preserve">. </w:t>
      </w:r>
    </w:p>
    <w:p w:rsidR="00AC4F80" w:rsidRDefault="00AC4F80" w:rsidP="007F6373"/>
    <w:p w:rsidR="00DE0085" w:rsidRPr="0078541C" w:rsidRDefault="00531026" w:rsidP="007F6373">
      <w:r>
        <w:t>On a global scale</w:t>
      </w:r>
      <w:r w:rsidR="001C150C">
        <w:t>,</w:t>
      </w:r>
      <w:r>
        <w:t xml:space="preserve"> f</w:t>
      </w:r>
      <w:r w:rsidR="00DF3341">
        <w:t>ood p</w:t>
      </w:r>
      <w:r w:rsidR="00DE0085" w:rsidRPr="0078541C">
        <w:t xml:space="preserve">ackaging is increasingly </w:t>
      </w:r>
      <w:r>
        <w:t xml:space="preserve">becoming a more </w:t>
      </w:r>
      <w:r w:rsidR="00DE0085" w:rsidRPr="0078541C">
        <w:t xml:space="preserve">competitive business with demands on both Australian and New Zealand companies to meet international best practice standards (PCA, 2005). </w:t>
      </w:r>
      <w:r w:rsidR="00D125D1">
        <w:t xml:space="preserve">In addition, </w:t>
      </w:r>
      <w:r w:rsidR="00DE0085" w:rsidRPr="0078541C">
        <w:t xml:space="preserve">Australia and New Zealand need to </w:t>
      </w:r>
      <w:r>
        <w:t xml:space="preserve">be equipped with an appropriate level of measures and strategies throughout the industry to help prevent </w:t>
      </w:r>
      <w:r w:rsidR="00DE0085" w:rsidRPr="0078541C">
        <w:t xml:space="preserve">any </w:t>
      </w:r>
      <w:r>
        <w:t xml:space="preserve">potential food safety risks arising from </w:t>
      </w:r>
      <w:r w:rsidR="00DE0085" w:rsidRPr="0078541C">
        <w:t>CMPF.</w:t>
      </w:r>
      <w:r>
        <w:t xml:space="preserve"> The extent of</w:t>
      </w:r>
      <w:r w:rsidR="00D125D1">
        <w:t xml:space="preserve"> regulatory and non-regulatory control measures </w:t>
      </w:r>
      <w:r>
        <w:t xml:space="preserve">and the degree of prescriptiveness of any standards </w:t>
      </w:r>
      <w:r w:rsidR="00D125D1">
        <w:t xml:space="preserve">aimed </w:t>
      </w:r>
      <w:r>
        <w:t xml:space="preserve">at mitigating the </w:t>
      </w:r>
      <w:r w:rsidR="00D125D1">
        <w:t>risks from CMPF</w:t>
      </w:r>
      <w:r>
        <w:t xml:space="preserve"> will be determined </w:t>
      </w:r>
      <w:r w:rsidR="001475DD">
        <w:t>by analysing</w:t>
      </w:r>
      <w:r>
        <w:t xml:space="preserve"> the current situation in Australia and New Zealand and </w:t>
      </w:r>
      <w:r w:rsidR="001475DD">
        <w:t xml:space="preserve">will be </w:t>
      </w:r>
      <w:r>
        <w:t>informed by responses to this paper.</w:t>
      </w:r>
    </w:p>
    <w:p w:rsidR="00D5748A" w:rsidRPr="00526191" w:rsidRDefault="00251C52" w:rsidP="007F6373">
      <w:pPr>
        <w:pStyle w:val="Heading2"/>
      </w:pPr>
      <w:bookmarkStart w:id="220" w:name="_Toc396315623"/>
      <w:bookmarkStart w:id="221" w:name="_Toc403377547"/>
      <w:bookmarkStart w:id="222" w:name="_Toc403394312"/>
      <w:r>
        <w:t>5.1</w:t>
      </w:r>
      <w:r>
        <w:tab/>
      </w:r>
      <w:r w:rsidR="00D5748A" w:rsidRPr="00526191">
        <w:t>Ways of mitigating risk</w:t>
      </w:r>
      <w:bookmarkEnd w:id="220"/>
      <w:bookmarkEnd w:id="221"/>
      <w:bookmarkEnd w:id="222"/>
    </w:p>
    <w:p w:rsidR="00BA14BF" w:rsidRPr="0078541C" w:rsidRDefault="00BA14BF" w:rsidP="00251C52">
      <w:r w:rsidRPr="0078541C">
        <w:t xml:space="preserve">In order to reduce the </w:t>
      </w:r>
      <w:r w:rsidR="00D125D1">
        <w:t>likelihood</w:t>
      </w:r>
      <w:r w:rsidRPr="0078541C">
        <w:t xml:space="preserve"> or severity of </w:t>
      </w:r>
      <w:r w:rsidR="00AF0F5A">
        <w:t xml:space="preserve">food safety </w:t>
      </w:r>
      <w:r w:rsidRPr="0078541C">
        <w:t xml:space="preserve">risks </w:t>
      </w:r>
      <w:r w:rsidR="00AF0F5A">
        <w:t xml:space="preserve">that may arise </w:t>
      </w:r>
      <w:r w:rsidRPr="0078541C">
        <w:t>from CM</w:t>
      </w:r>
      <w:r w:rsidR="001807AC" w:rsidRPr="0078541C">
        <w:t>PF</w:t>
      </w:r>
      <w:r w:rsidR="001C150C">
        <w:t>,</w:t>
      </w:r>
      <w:r w:rsidRPr="0078541C">
        <w:t xml:space="preserve"> it is important to firstly understand the </w:t>
      </w:r>
      <w:r w:rsidR="00AF0F5A">
        <w:t xml:space="preserve">hazards that may be present in these materials, their potential risks </w:t>
      </w:r>
      <w:r w:rsidRPr="0078541C">
        <w:t xml:space="preserve">and then </w:t>
      </w:r>
      <w:r w:rsidR="00AF0F5A">
        <w:t xml:space="preserve">assess a range of </w:t>
      </w:r>
      <w:r w:rsidRPr="0078541C">
        <w:t xml:space="preserve">options </w:t>
      </w:r>
      <w:r w:rsidR="00AF0F5A">
        <w:t xml:space="preserve">that may be implemented to </w:t>
      </w:r>
      <w:r w:rsidRPr="0078541C">
        <w:t>mitigate those risks.</w:t>
      </w:r>
      <w:r w:rsidR="00AF0F5A">
        <w:t xml:space="preserve"> T</w:t>
      </w:r>
      <w:r w:rsidRPr="0078541C">
        <w:t xml:space="preserve">here may be different mitigation measures needed for </w:t>
      </w:r>
      <w:r w:rsidR="00AF0F5A">
        <w:t>different packaging materials</w:t>
      </w:r>
      <w:r w:rsidR="00C53E18">
        <w:t xml:space="preserve"> and at different points in the production process. For example</w:t>
      </w:r>
      <w:r w:rsidR="001C150C">
        <w:t>,</w:t>
      </w:r>
      <w:r w:rsidR="00C53E18">
        <w:t xml:space="preserve"> </w:t>
      </w:r>
      <w:r w:rsidR="00AF0F5A">
        <w:t xml:space="preserve">managing the risks arising from </w:t>
      </w:r>
      <w:r w:rsidRPr="0078541C">
        <w:t xml:space="preserve">virgin </w:t>
      </w:r>
      <w:r w:rsidR="00AF0F5A">
        <w:t xml:space="preserve">packaging materials </w:t>
      </w:r>
      <w:r w:rsidRPr="0078541C">
        <w:t xml:space="preserve">compared to </w:t>
      </w:r>
      <w:r w:rsidR="00AF0F5A">
        <w:t xml:space="preserve">those from </w:t>
      </w:r>
      <w:r w:rsidRPr="0078541C">
        <w:t>recycled materials</w:t>
      </w:r>
      <w:r w:rsidR="00C53E18">
        <w:t xml:space="preserve"> could be different</w:t>
      </w:r>
      <w:r w:rsidRPr="0078541C">
        <w:t xml:space="preserve">. </w:t>
      </w:r>
    </w:p>
    <w:p w:rsidR="00BA14BF" w:rsidRPr="0078541C" w:rsidRDefault="00BA14BF" w:rsidP="00251C52">
      <w:r w:rsidRPr="0078541C">
        <w:t xml:space="preserve">Therefore, depending on the nature of the risk, </w:t>
      </w:r>
      <w:r w:rsidR="00AF0F5A">
        <w:t xml:space="preserve">risk </w:t>
      </w:r>
      <w:r w:rsidRPr="0078541C">
        <w:t xml:space="preserve">mitigation may consist of one or more of the following: </w:t>
      </w:r>
    </w:p>
    <w:p w:rsidR="00BA14BF" w:rsidRPr="0078541C" w:rsidRDefault="00BA14BF" w:rsidP="00251C52"/>
    <w:p w:rsidR="00BA14BF" w:rsidRDefault="00255B1A" w:rsidP="007F6373">
      <w:pPr>
        <w:pStyle w:val="FSBullet1"/>
        <w:rPr>
          <w:rFonts w:eastAsia="Calibri"/>
        </w:rPr>
      </w:pPr>
      <w:r>
        <w:rPr>
          <w:rFonts w:eastAsia="Calibri"/>
        </w:rPr>
        <w:t>a</w:t>
      </w:r>
      <w:r w:rsidR="00BA14BF" w:rsidRPr="0078541C">
        <w:rPr>
          <w:rFonts w:eastAsia="Calibri"/>
        </w:rPr>
        <w:t xml:space="preserve">dherence to </w:t>
      </w:r>
      <w:r w:rsidR="00666363" w:rsidRPr="0078541C">
        <w:rPr>
          <w:rFonts w:eastAsia="Calibri"/>
        </w:rPr>
        <w:t xml:space="preserve">either a mandatory or voluntary </w:t>
      </w:r>
      <w:r w:rsidR="00251C52">
        <w:rPr>
          <w:rFonts w:eastAsia="Calibri"/>
        </w:rPr>
        <w:t>s</w:t>
      </w:r>
      <w:r w:rsidR="00DE47EC" w:rsidRPr="0078541C">
        <w:rPr>
          <w:rFonts w:eastAsia="Calibri"/>
        </w:rPr>
        <w:t xml:space="preserve">tandard, </w:t>
      </w:r>
      <w:r w:rsidR="00251C52">
        <w:rPr>
          <w:rFonts w:eastAsia="Calibri"/>
        </w:rPr>
        <w:t>c</w:t>
      </w:r>
      <w:r w:rsidR="00F32CE0" w:rsidRPr="0078541C">
        <w:rPr>
          <w:rFonts w:eastAsia="Calibri"/>
        </w:rPr>
        <w:t>ode</w:t>
      </w:r>
      <w:r w:rsidR="00DE47EC" w:rsidRPr="0078541C">
        <w:rPr>
          <w:rFonts w:eastAsia="Calibri"/>
        </w:rPr>
        <w:t xml:space="preserve"> </w:t>
      </w:r>
      <w:r w:rsidR="00DF3341">
        <w:rPr>
          <w:rFonts w:eastAsia="Calibri"/>
        </w:rPr>
        <w:t>o</w:t>
      </w:r>
      <w:r w:rsidR="00DF3341" w:rsidRPr="0078541C">
        <w:rPr>
          <w:rFonts w:eastAsia="Calibri"/>
        </w:rPr>
        <w:t xml:space="preserve">f </w:t>
      </w:r>
      <w:r w:rsidR="00251C52">
        <w:rPr>
          <w:rFonts w:eastAsia="Calibri"/>
        </w:rPr>
        <w:t>p</w:t>
      </w:r>
      <w:r w:rsidR="00F32CE0" w:rsidRPr="0078541C">
        <w:rPr>
          <w:rFonts w:eastAsia="Calibri"/>
        </w:rPr>
        <w:t>ractice</w:t>
      </w:r>
      <w:r w:rsidR="00DE47EC" w:rsidRPr="0078541C">
        <w:rPr>
          <w:rFonts w:eastAsia="Calibri"/>
        </w:rPr>
        <w:t xml:space="preserve"> (</w:t>
      </w:r>
      <w:r w:rsidR="00BA14BF" w:rsidRPr="0078541C">
        <w:rPr>
          <w:rFonts w:eastAsia="Calibri"/>
        </w:rPr>
        <w:t>C</w:t>
      </w:r>
      <w:r w:rsidR="00293862">
        <w:rPr>
          <w:rFonts w:eastAsia="Calibri"/>
        </w:rPr>
        <w:t>o</w:t>
      </w:r>
      <w:r w:rsidR="00BA14BF" w:rsidRPr="0078541C">
        <w:rPr>
          <w:rFonts w:eastAsia="Calibri"/>
        </w:rPr>
        <w:t>P</w:t>
      </w:r>
      <w:r w:rsidR="00DE47EC" w:rsidRPr="0078541C">
        <w:rPr>
          <w:rFonts w:eastAsia="Calibri"/>
        </w:rPr>
        <w:t xml:space="preserve">), handbook or </w:t>
      </w:r>
      <w:r w:rsidR="00F32CE0" w:rsidRPr="0078541C">
        <w:rPr>
          <w:rFonts w:eastAsia="Calibri"/>
        </w:rPr>
        <w:t>guideline</w:t>
      </w:r>
      <w:r w:rsidR="00BA14BF" w:rsidRPr="0078541C">
        <w:rPr>
          <w:rFonts w:eastAsia="Calibri"/>
        </w:rPr>
        <w:t xml:space="preserve"> that provides guidance </w:t>
      </w:r>
      <w:r w:rsidR="001807AC" w:rsidRPr="0078541C">
        <w:rPr>
          <w:rFonts w:eastAsia="Calibri"/>
        </w:rPr>
        <w:t xml:space="preserve">on </w:t>
      </w:r>
      <w:r w:rsidR="00CA62B7">
        <w:rPr>
          <w:rFonts w:eastAsia="Calibri"/>
        </w:rPr>
        <w:t xml:space="preserve">identifying, characterising and </w:t>
      </w:r>
      <w:r w:rsidR="00BA14BF" w:rsidRPr="0078541C">
        <w:rPr>
          <w:rFonts w:eastAsia="Calibri"/>
        </w:rPr>
        <w:t>mitigati</w:t>
      </w:r>
      <w:r w:rsidR="00CA62B7">
        <w:rPr>
          <w:rFonts w:eastAsia="Calibri"/>
        </w:rPr>
        <w:t>ng</w:t>
      </w:r>
      <w:r w:rsidR="00BA14BF" w:rsidRPr="0078541C">
        <w:rPr>
          <w:rFonts w:eastAsia="Calibri"/>
        </w:rPr>
        <w:t xml:space="preserve"> </w:t>
      </w:r>
      <w:r w:rsidR="001807AC" w:rsidRPr="0078541C">
        <w:rPr>
          <w:rFonts w:eastAsia="Calibri"/>
        </w:rPr>
        <w:t xml:space="preserve">potential </w:t>
      </w:r>
      <w:r w:rsidR="00BA14BF" w:rsidRPr="0078541C">
        <w:rPr>
          <w:rFonts w:eastAsia="Calibri"/>
        </w:rPr>
        <w:t>risks</w:t>
      </w:r>
      <w:r w:rsidR="001807AC" w:rsidRPr="0078541C">
        <w:rPr>
          <w:rFonts w:eastAsia="Calibri"/>
        </w:rPr>
        <w:t xml:space="preserve"> associated with CMPF</w:t>
      </w:r>
    </w:p>
    <w:p w:rsidR="00251C52" w:rsidRPr="00251C52" w:rsidRDefault="00251C52" w:rsidP="007F6373">
      <w:pPr>
        <w:rPr>
          <w:rFonts w:eastAsia="Calibri"/>
          <w:lang w:bidi="ar-SA"/>
        </w:rPr>
      </w:pPr>
    </w:p>
    <w:p w:rsidR="00BA14BF" w:rsidRDefault="00255B1A" w:rsidP="007F6373">
      <w:pPr>
        <w:pStyle w:val="FSBullet1"/>
        <w:rPr>
          <w:rFonts w:eastAsia="Calibri"/>
        </w:rPr>
      </w:pPr>
      <w:r>
        <w:rPr>
          <w:rFonts w:eastAsia="Calibri"/>
        </w:rPr>
        <w:t>p</w:t>
      </w:r>
      <w:r w:rsidR="00BA14BF" w:rsidRPr="0078541C">
        <w:rPr>
          <w:rFonts w:eastAsia="Calibri"/>
        </w:rPr>
        <w:t xml:space="preserve">rohibition </w:t>
      </w:r>
      <w:r w:rsidR="00B556EC" w:rsidRPr="0078541C">
        <w:rPr>
          <w:rFonts w:eastAsia="Calibri"/>
        </w:rPr>
        <w:t xml:space="preserve">of </w:t>
      </w:r>
      <w:r w:rsidR="00BA14BF" w:rsidRPr="0078541C">
        <w:rPr>
          <w:rFonts w:eastAsia="Calibri"/>
        </w:rPr>
        <w:t xml:space="preserve">specific chemicals that should </w:t>
      </w:r>
      <w:r w:rsidR="00B556EC" w:rsidRPr="0078541C">
        <w:rPr>
          <w:rFonts w:eastAsia="Calibri"/>
        </w:rPr>
        <w:t xml:space="preserve">not </w:t>
      </w:r>
      <w:r w:rsidR="00BA14BF" w:rsidRPr="0078541C">
        <w:rPr>
          <w:rFonts w:eastAsia="Calibri"/>
        </w:rPr>
        <w:t xml:space="preserve">be present in food </w:t>
      </w:r>
      <w:r w:rsidR="00F42DDC" w:rsidRPr="0078541C">
        <w:rPr>
          <w:rFonts w:eastAsia="Calibri"/>
        </w:rPr>
        <w:t xml:space="preserve">if it is determined that they </w:t>
      </w:r>
      <w:r w:rsidR="006E15DA" w:rsidRPr="0078541C">
        <w:rPr>
          <w:rFonts w:eastAsia="Calibri"/>
        </w:rPr>
        <w:t xml:space="preserve">may </w:t>
      </w:r>
      <w:r w:rsidR="00F42DDC" w:rsidRPr="0078541C">
        <w:rPr>
          <w:rFonts w:eastAsia="Calibri"/>
        </w:rPr>
        <w:t xml:space="preserve">migrate into food and present a </w:t>
      </w:r>
      <w:r w:rsidR="00345DF7" w:rsidRPr="0078541C">
        <w:rPr>
          <w:rFonts w:eastAsia="Calibri"/>
        </w:rPr>
        <w:t xml:space="preserve">significant </w:t>
      </w:r>
      <w:r w:rsidR="00F42DDC" w:rsidRPr="0078541C">
        <w:rPr>
          <w:rFonts w:eastAsia="Calibri"/>
        </w:rPr>
        <w:t>risk</w:t>
      </w:r>
    </w:p>
    <w:p w:rsidR="00251C52" w:rsidRPr="00251C52" w:rsidRDefault="00251C52" w:rsidP="007F6373">
      <w:pPr>
        <w:rPr>
          <w:rFonts w:eastAsia="Calibri"/>
          <w:lang w:bidi="ar-SA"/>
        </w:rPr>
      </w:pPr>
    </w:p>
    <w:p w:rsidR="00F42DDC" w:rsidRDefault="00255B1A" w:rsidP="007F6373">
      <w:pPr>
        <w:pStyle w:val="FSBullet1"/>
        <w:rPr>
          <w:rFonts w:eastAsia="Calibri"/>
        </w:rPr>
      </w:pPr>
      <w:r>
        <w:rPr>
          <w:rFonts w:eastAsia="Calibri"/>
        </w:rPr>
        <w:t>p</w:t>
      </w:r>
      <w:r w:rsidR="00BA14BF" w:rsidRPr="0078541C">
        <w:rPr>
          <w:rFonts w:eastAsia="Calibri"/>
        </w:rPr>
        <w:t xml:space="preserve">rescriptive regulatory requirements for CMPF to address identified risks (e.g. maximum limits, </w:t>
      </w:r>
      <w:r w:rsidR="008F11D9" w:rsidRPr="0078541C">
        <w:rPr>
          <w:rFonts w:eastAsia="Calibri"/>
        </w:rPr>
        <w:t>migrat</w:t>
      </w:r>
      <w:r w:rsidR="008F11D9">
        <w:rPr>
          <w:rFonts w:eastAsia="Calibri"/>
        </w:rPr>
        <w:t>ion</w:t>
      </w:r>
      <w:r w:rsidR="008F11D9" w:rsidRPr="0078541C">
        <w:rPr>
          <w:rFonts w:eastAsia="Calibri"/>
        </w:rPr>
        <w:t xml:space="preserve"> </w:t>
      </w:r>
      <w:r w:rsidR="00BA14BF" w:rsidRPr="0078541C">
        <w:rPr>
          <w:rFonts w:eastAsia="Calibri"/>
        </w:rPr>
        <w:t>limits)</w:t>
      </w:r>
    </w:p>
    <w:p w:rsidR="00251C52" w:rsidRPr="00251C52" w:rsidRDefault="00251C52" w:rsidP="007F6373">
      <w:pPr>
        <w:rPr>
          <w:rFonts w:eastAsia="Calibri"/>
          <w:lang w:bidi="ar-SA"/>
        </w:rPr>
      </w:pPr>
    </w:p>
    <w:p w:rsidR="00BA14BF" w:rsidRDefault="00255B1A" w:rsidP="007F6373">
      <w:pPr>
        <w:pStyle w:val="FSBullet1"/>
        <w:rPr>
          <w:rFonts w:eastAsia="Calibri"/>
        </w:rPr>
      </w:pPr>
      <w:r>
        <w:rPr>
          <w:rFonts w:eastAsia="Calibri"/>
        </w:rPr>
        <w:lastRenderedPageBreak/>
        <w:t>r</w:t>
      </w:r>
      <w:r w:rsidR="00BA14BF" w:rsidRPr="0078541C">
        <w:rPr>
          <w:rFonts w:eastAsia="Calibri"/>
        </w:rPr>
        <w:t>ecognition of other countries</w:t>
      </w:r>
      <w:r w:rsidR="00B556EC" w:rsidRPr="0078541C">
        <w:rPr>
          <w:rFonts w:eastAsia="Calibri"/>
        </w:rPr>
        <w:t>’</w:t>
      </w:r>
      <w:r w:rsidR="00BA14BF" w:rsidRPr="0078541C">
        <w:rPr>
          <w:rFonts w:eastAsia="Calibri"/>
        </w:rPr>
        <w:t xml:space="preserve"> approach</w:t>
      </w:r>
      <w:r w:rsidR="00DF3341">
        <w:rPr>
          <w:rFonts w:eastAsia="Calibri"/>
        </w:rPr>
        <w:t>es</w:t>
      </w:r>
      <w:r w:rsidR="00BA14BF" w:rsidRPr="0078541C">
        <w:rPr>
          <w:rFonts w:eastAsia="Calibri"/>
        </w:rPr>
        <w:t xml:space="preserve"> and/or requirements used to mitigate risk an</w:t>
      </w:r>
      <w:r w:rsidR="00F42DDC" w:rsidRPr="0078541C">
        <w:rPr>
          <w:rFonts w:eastAsia="Calibri"/>
        </w:rPr>
        <w:t>d</w:t>
      </w:r>
      <w:r w:rsidR="00BA14BF" w:rsidRPr="0078541C">
        <w:rPr>
          <w:rFonts w:eastAsia="Calibri"/>
        </w:rPr>
        <w:t xml:space="preserve"> adopting </w:t>
      </w:r>
      <w:r w:rsidR="00F42DDC" w:rsidRPr="0078541C">
        <w:rPr>
          <w:rFonts w:eastAsia="Calibri"/>
        </w:rPr>
        <w:t xml:space="preserve">these </w:t>
      </w:r>
      <w:r w:rsidR="00BA14BF" w:rsidRPr="0078541C">
        <w:rPr>
          <w:rFonts w:eastAsia="Calibri"/>
        </w:rPr>
        <w:t xml:space="preserve">for use in Australia/New Zealand </w:t>
      </w:r>
    </w:p>
    <w:p w:rsidR="00251C52" w:rsidRPr="00251C52" w:rsidRDefault="00251C52" w:rsidP="007F6373">
      <w:pPr>
        <w:rPr>
          <w:rFonts w:eastAsia="Calibri"/>
          <w:lang w:bidi="ar-SA"/>
        </w:rPr>
      </w:pPr>
    </w:p>
    <w:p w:rsidR="00BA14BF" w:rsidRDefault="00255B1A" w:rsidP="007F6373">
      <w:pPr>
        <w:pStyle w:val="FSBullet1"/>
        <w:rPr>
          <w:rFonts w:eastAsia="Calibri"/>
        </w:rPr>
      </w:pPr>
      <w:r>
        <w:rPr>
          <w:rFonts w:eastAsia="Calibri"/>
        </w:rPr>
        <w:t>u</w:t>
      </w:r>
      <w:r w:rsidR="00BA14BF" w:rsidRPr="0078541C">
        <w:rPr>
          <w:rFonts w:eastAsia="Calibri"/>
        </w:rPr>
        <w:t xml:space="preserve">se of certificates of compliance confirming that packaging </w:t>
      </w:r>
      <w:r w:rsidR="00B556EC" w:rsidRPr="0078541C">
        <w:rPr>
          <w:rFonts w:eastAsia="Calibri"/>
        </w:rPr>
        <w:t xml:space="preserve">and packaging inputs </w:t>
      </w:r>
      <w:r w:rsidR="00BA14BF" w:rsidRPr="0078541C">
        <w:rPr>
          <w:rFonts w:eastAsia="Calibri"/>
        </w:rPr>
        <w:t>adhere to a specific C</w:t>
      </w:r>
      <w:r w:rsidR="00293862">
        <w:rPr>
          <w:rFonts w:eastAsia="Calibri"/>
        </w:rPr>
        <w:t>o</w:t>
      </w:r>
      <w:r w:rsidR="00BA14BF" w:rsidRPr="0078541C">
        <w:rPr>
          <w:rFonts w:eastAsia="Calibri"/>
        </w:rPr>
        <w:t xml:space="preserve">P, </w:t>
      </w:r>
      <w:r w:rsidR="006E15DA" w:rsidRPr="0078541C">
        <w:rPr>
          <w:rFonts w:eastAsia="Calibri"/>
        </w:rPr>
        <w:t xml:space="preserve">industry </w:t>
      </w:r>
      <w:r w:rsidR="00BA14BF" w:rsidRPr="0078541C">
        <w:rPr>
          <w:rFonts w:eastAsia="Calibri"/>
        </w:rPr>
        <w:t xml:space="preserve">standard or regulation </w:t>
      </w:r>
    </w:p>
    <w:p w:rsidR="00251C52" w:rsidRPr="00251C52" w:rsidRDefault="00251C52" w:rsidP="007F6373">
      <w:pPr>
        <w:rPr>
          <w:rFonts w:eastAsia="Calibri"/>
          <w:lang w:bidi="ar-SA"/>
        </w:rPr>
      </w:pPr>
    </w:p>
    <w:p w:rsidR="003F7125" w:rsidRDefault="00255B1A" w:rsidP="007F6373">
      <w:pPr>
        <w:pStyle w:val="FSBullet1"/>
        <w:rPr>
          <w:rFonts w:eastAsia="Calibri"/>
        </w:rPr>
      </w:pPr>
      <w:r>
        <w:rPr>
          <w:rFonts w:eastAsia="Calibri"/>
        </w:rPr>
        <w:t>i</w:t>
      </w:r>
      <w:r w:rsidR="00BA14BF" w:rsidRPr="0078541C">
        <w:rPr>
          <w:rFonts w:eastAsia="Calibri"/>
        </w:rPr>
        <w:t>nstructions in the form of labelling requirements to mitigate risks at the consumer level (e.g. preparation instructions)</w:t>
      </w:r>
    </w:p>
    <w:p w:rsidR="00251C52" w:rsidRPr="00251C52" w:rsidRDefault="00251C52" w:rsidP="007F6373">
      <w:pPr>
        <w:rPr>
          <w:rFonts w:eastAsia="Calibri"/>
          <w:lang w:bidi="ar-SA"/>
        </w:rPr>
      </w:pPr>
    </w:p>
    <w:p w:rsidR="00D5748A" w:rsidRDefault="00255B1A" w:rsidP="007F6373">
      <w:pPr>
        <w:pStyle w:val="FSBullet1"/>
        <w:rPr>
          <w:rFonts w:eastAsia="Calibri"/>
        </w:rPr>
      </w:pPr>
      <w:r>
        <w:rPr>
          <w:rFonts w:eastAsia="Calibri"/>
        </w:rPr>
        <w:t>i</w:t>
      </w:r>
      <w:r w:rsidR="003F7125" w:rsidRPr="003F7125">
        <w:rPr>
          <w:rFonts w:eastAsia="Calibri"/>
        </w:rPr>
        <w:t xml:space="preserve">ntroduction of a post-market incident response mechanism </w:t>
      </w:r>
      <w:r w:rsidR="003F7125">
        <w:rPr>
          <w:rFonts w:eastAsia="Calibri"/>
        </w:rPr>
        <w:t xml:space="preserve">(for example, </w:t>
      </w:r>
      <w:r w:rsidR="003F7125" w:rsidRPr="003F7125">
        <w:rPr>
          <w:rFonts w:eastAsia="Calibri"/>
        </w:rPr>
        <w:t xml:space="preserve">to </w:t>
      </w:r>
      <w:r w:rsidR="003F7125">
        <w:rPr>
          <w:rFonts w:eastAsia="Calibri"/>
        </w:rPr>
        <w:t>review poor or lack of application of Good Manufacturing Practice (GMP)</w:t>
      </w:r>
    </w:p>
    <w:p w:rsidR="001475DD" w:rsidRPr="001475DD" w:rsidRDefault="001475DD" w:rsidP="006D653B">
      <w:pPr>
        <w:rPr>
          <w:rFonts w:eastAsia="Calibri"/>
        </w:rPr>
      </w:pPr>
    </w:p>
    <w:p w:rsidR="003A7416" w:rsidRDefault="00255B1A" w:rsidP="007F6373">
      <w:pPr>
        <w:pStyle w:val="FSBullet1"/>
        <w:rPr>
          <w:rFonts w:eastAsia="Calibri"/>
        </w:rPr>
      </w:pPr>
      <w:proofErr w:type="gramStart"/>
      <w:r>
        <w:rPr>
          <w:rFonts w:eastAsia="Calibri"/>
        </w:rPr>
        <w:t>e</w:t>
      </w:r>
      <w:r w:rsidR="0063698E">
        <w:rPr>
          <w:rFonts w:eastAsia="Calibri"/>
        </w:rPr>
        <w:t>stablishment</w:t>
      </w:r>
      <w:proofErr w:type="gramEnd"/>
      <w:r w:rsidR="001C150C">
        <w:rPr>
          <w:rFonts w:eastAsia="Calibri"/>
        </w:rPr>
        <w:t>,</w:t>
      </w:r>
      <w:r w:rsidR="0063698E">
        <w:rPr>
          <w:rFonts w:eastAsia="Calibri"/>
        </w:rPr>
        <w:t xml:space="preserve"> by packaging and food manufacturing c</w:t>
      </w:r>
      <w:r w:rsidR="00C37D8B">
        <w:rPr>
          <w:rFonts w:eastAsia="Calibri"/>
        </w:rPr>
        <w:t>ompanies</w:t>
      </w:r>
      <w:r w:rsidR="001C150C">
        <w:rPr>
          <w:rFonts w:eastAsia="Calibri"/>
        </w:rPr>
        <w:t>,</w:t>
      </w:r>
      <w:r w:rsidR="00C37D8B">
        <w:rPr>
          <w:rFonts w:eastAsia="Calibri"/>
        </w:rPr>
        <w:t xml:space="preserve"> </w:t>
      </w:r>
      <w:r w:rsidR="0063698E">
        <w:rPr>
          <w:rFonts w:eastAsia="Calibri"/>
        </w:rPr>
        <w:t>of</w:t>
      </w:r>
      <w:r w:rsidR="00C37D8B">
        <w:rPr>
          <w:rFonts w:eastAsia="Calibri"/>
        </w:rPr>
        <w:t xml:space="preserve"> internal specifications </w:t>
      </w:r>
      <w:r w:rsidR="0063698E">
        <w:rPr>
          <w:rFonts w:eastAsia="Calibri"/>
        </w:rPr>
        <w:t xml:space="preserve">and due diligence systems </w:t>
      </w:r>
      <w:r w:rsidR="00C37D8B">
        <w:rPr>
          <w:rFonts w:eastAsia="Calibri"/>
        </w:rPr>
        <w:t xml:space="preserve">for packaging </w:t>
      </w:r>
      <w:r w:rsidR="0063698E">
        <w:rPr>
          <w:rFonts w:eastAsia="Calibri"/>
        </w:rPr>
        <w:t>supply/use</w:t>
      </w:r>
      <w:r w:rsidR="00C37D8B">
        <w:rPr>
          <w:rFonts w:eastAsia="Calibri"/>
        </w:rPr>
        <w:t>.</w:t>
      </w:r>
    </w:p>
    <w:p w:rsidR="00AC4F80" w:rsidRPr="007F6373" w:rsidRDefault="00AC4F80" w:rsidP="007F6373">
      <w:pPr>
        <w:rPr>
          <w:rFonts w:eastAsia="Calibri"/>
          <w:sz w:val="20"/>
          <w:lang w:bidi="ar-SA"/>
        </w:rPr>
      </w:pPr>
      <w:bookmarkStart w:id="223" w:name="_Toc396315624"/>
      <w:bookmarkStart w:id="224" w:name="_Toc396732670"/>
      <w:bookmarkStart w:id="225" w:name="_Toc397520944"/>
      <w:bookmarkStart w:id="226" w:name="_Toc398192229"/>
      <w:bookmarkStart w:id="227" w:name="_Toc398192318"/>
      <w:bookmarkStart w:id="228" w:name="_Toc402281368"/>
    </w:p>
    <w:p w:rsidR="0011367D" w:rsidRPr="00DC28D2" w:rsidRDefault="005E5327" w:rsidP="00DC28D2">
      <w:pPr>
        <w:pStyle w:val="Heading3"/>
        <w:pBdr>
          <w:top w:val="single" w:sz="4" w:space="1" w:color="auto"/>
          <w:left w:val="single" w:sz="4" w:space="4" w:color="auto"/>
          <w:bottom w:val="single" w:sz="4" w:space="1" w:color="auto"/>
          <w:right w:val="single" w:sz="4" w:space="4" w:color="auto"/>
        </w:pBdr>
        <w:shd w:val="clear" w:color="auto" w:fill="DBE5F1" w:themeFill="accent1" w:themeFillTint="33"/>
        <w:spacing w:before="0" w:after="0"/>
        <w:ind w:left="0" w:firstLine="0"/>
        <w:rPr>
          <w:color w:val="365F91" w:themeColor="accent1" w:themeShade="BF"/>
        </w:rPr>
      </w:pPr>
      <w:bookmarkStart w:id="229" w:name="_Toc403377548"/>
      <w:bookmarkStart w:id="230" w:name="_Toc403394313"/>
      <w:bookmarkStart w:id="231" w:name="_Toc402367241"/>
      <w:r w:rsidRPr="00DC28D2">
        <w:rPr>
          <w:i/>
          <w:color w:val="365F91" w:themeColor="accent1" w:themeShade="BF"/>
        </w:rPr>
        <w:t>A response template with all questions in this document is available at Attachment A</w:t>
      </w:r>
      <w:bookmarkEnd w:id="229"/>
      <w:bookmarkEnd w:id="230"/>
      <w:r w:rsidR="0011367D" w:rsidRPr="00DC28D2">
        <w:rPr>
          <w:color w:val="365F91" w:themeColor="accent1" w:themeShade="BF"/>
        </w:rPr>
        <w:t xml:space="preserve"> </w:t>
      </w:r>
    </w:p>
    <w:p w:rsidR="0011367D" w:rsidRDefault="0011367D" w:rsidP="00DC28D2">
      <w:pPr>
        <w:pStyle w:val="Heading3"/>
        <w:pBdr>
          <w:top w:val="single" w:sz="4" w:space="1" w:color="auto"/>
          <w:left w:val="single" w:sz="4" w:space="4" w:color="auto"/>
          <w:bottom w:val="single" w:sz="4" w:space="1" w:color="auto"/>
          <w:right w:val="single" w:sz="4" w:space="4" w:color="auto"/>
        </w:pBdr>
        <w:shd w:val="clear" w:color="auto" w:fill="DBE5F1" w:themeFill="accent1" w:themeFillTint="33"/>
        <w:spacing w:before="0" w:after="0"/>
        <w:ind w:left="0" w:firstLine="0"/>
        <w:rPr>
          <w:i/>
          <w:color w:val="0070C0"/>
        </w:rPr>
      </w:pPr>
    </w:p>
    <w:p w:rsidR="00AC4F80" w:rsidRPr="00D168EA" w:rsidRDefault="0011367D" w:rsidP="00DC28D2">
      <w:pPr>
        <w:pStyle w:val="Heading3"/>
        <w:pBdr>
          <w:top w:val="single" w:sz="4" w:space="1" w:color="auto"/>
          <w:left w:val="single" w:sz="4" w:space="4" w:color="auto"/>
          <w:bottom w:val="single" w:sz="4" w:space="1" w:color="auto"/>
          <w:right w:val="single" w:sz="4" w:space="4" w:color="auto"/>
        </w:pBdr>
        <w:shd w:val="clear" w:color="auto" w:fill="DBE5F1" w:themeFill="accent1" w:themeFillTint="33"/>
        <w:spacing w:before="0" w:after="0"/>
        <w:ind w:left="0" w:firstLine="0"/>
        <w:rPr>
          <w:b w:val="0"/>
          <w:color w:val="auto"/>
        </w:rPr>
      </w:pPr>
      <w:bookmarkStart w:id="232" w:name="_Toc403377549"/>
      <w:bookmarkStart w:id="233" w:name="_Toc403394314"/>
      <w:r w:rsidRPr="00D168EA">
        <w:rPr>
          <w:b w:val="0"/>
          <w:color w:val="auto"/>
        </w:rPr>
        <w:t>If you</w:t>
      </w:r>
      <w:r w:rsidR="00EF00C7" w:rsidRPr="00D168EA">
        <w:rPr>
          <w:b w:val="0"/>
          <w:color w:val="auto"/>
        </w:rPr>
        <w:t>r business plays a role in the packaging supply chain</w:t>
      </w:r>
      <w:r w:rsidRPr="00D168EA">
        <w:rPr>
          <w:b w:val="0"/>
          <w:color w:val="auto"/>
        </w:rPr>
        <w:t>:</w:t>
      </w:r>
      <w:bookmarkEnd w:id="232"/>
      <w:bookmarkEnd w:id="233"/>
    </w:p>
    <w:p w:rsidR="00251C52" w:rsidRPr="007F6373" w:rsidRDefault="00251C52" w:rsidP="00DC28D2">
      <w:pPr>
        <w:pStyle w:val="Heading3"/>
        <w:pBdr>
          <w:top w:val="single" w:sz="4" w:space="1" w:color="auto"/>
          <w:left w:val="single" w:sz="4" w:space="4" w:color="auto"/>
          <w:bottom w:val="single" w:sz="4" w:space="1" w:color="auto"/>
          <w:right w:val="single" w:sz="4" w:space="4" w:color="auto"/>
        </w:pBdr>
        <w:shd w:val="clear" w:color="auto" w:fill="DBE5F1" w:themeFill="accent1" w:themeFillTint="33"/>
        <w:spacing w:before="0" w:after="0"/>
        <w:ind w:left="0" w:firstLine="0"/>
      </w:pPr>
      <w:bookmarkStart w:id="234" w:name="_Toc402450625"/>
    </w:p>
    <w:p w:rsidR="00AD429C" w:rsidRPr="007F6373" w:rsidRDefault="00714353" w:rsidP="00DC28D2">
      <w:pPr>
        <w:pStyle w:val="Heading3"/>
        <w:pBdr>
          <w:top w:val="single" w:sz="4" w:space="1" w:color="auto"/>
          <w:left w:val="single" w:sz="4" w:space="4" w:color="auto"/>
          <w:bottom w:val="single" w:sz="4" w:space="1" w:color="auto"/>
          <w:right w:val="single" w:sz="4" w:space="4" w:color="auto"/>
        </w:pBdr>
        <w:shd w:val="clear" w:color="auto" w:fill="DBE5F1" w:themeFill="accent1" w:themeFillTint="33"/>
        <w:spacing w:before="0" w:after="0"/>
        <w:ind w:left="567" w:hanging="567"/>
        <w:rPr>
          <w:b w:val="0"/>
        </w:rPr>
      </w:pPr>
      <w:bookmarkStart w:id="235" w:name="_Toc403377550"/>
      <w:bookmarkStart w:id="236" w:name="_Toc403394315"/>
      <w:r>
        <w:rPr>
          <w:b w:val="0"/>
        </w:rPr>
        <w:t>6</w:t>
      </w:r>
      <w:r w:rsidR="009D61AE" w:rsidRPr="007F6373">
        <w:rPr>
          <w:b w:val="0"/>
        </w:rPr>
        <w:t xml:space="preserve">. </w:t>
      </w:r>
      <w:r w:rsidR="00251C52">
        <w:rPr>
          <w:b w:val="0"/>
        </w:rPr>
        <w:tab/>
      </w:r>
      <w:r w:rsidR="00AD429C" w:rsidRPr="007F6373">
        <w:rPr>
          <w:b w:val="0"/>
        </w:rPr>
        <w:t xml:space="preserve">Can you </w:t>
      </w:r>
      <w:r w:rsidR="00840BCC" w:rsidRPr="007F6373">
        <w:rPr>
          <w:b w:val="0"/>
        </w:rPr>
        <w:t xml:space="preserve">please </w:t>
      </w:r>
      <w:r w:rsidR="00AD429C" w:rsidRPr="007F6373">
        <w:rPr>
          <w:b w:val="0"/>
        </w:rPr>
        <w:t xml:space="preserve">identify </w:t>
      </w:r>
      <w:r w:rsidR="00C97D23" w:rsidRPr="007F6373">
        <w:rPr>
          <w:b w:val="0"/>
        </w:rPr>
        <w:t>the</w:t>
      </w:r>
      <w:r w:rsidR="00840BCC" w:rsidRPr="007F6373">
        <w:rPr>
          <w:b w:val="0"/>
        </w:rPr>
        <w:t xml:space="preserve"> </w:t>
      </w:r>
      <w:r w:rsidR="00AD429C" w:rsidRPr="007F6373">
        <w:rPr>
          <w:b w:val="0"/>
        </w:rPr>
        <w:t xml:space="preserve">risk </w:t>
      </w:r>
      <w:r w:rsidR="00FC2DB8" w:rsidRPr="007F6373">
        <w:rPr>
          <w:b w:val="0"/>
        </w:rPr>
        <w:t xml:space="preserve">identification, characterisation and </w:t>
      </w:r>
      <w:r w:rsidR="00AD429C" w:rsidRPr="007F6373">
        <w:rPr>
          <w:b w:val="0"/>
        </w:rPr>
        <w:t>mitigation strategies</w:t>
      </w:r>
      <w:r w:rsidR="00840BCC" w:rsidRPr="007F6373">
        <w:rPr>
          <w:b w:val="0"/>
        </w:rPr>
        <w:t xml:space="preserve"> that your business uses and </w:t>
      </w:r>
      <w:r w:rsidR="00255B1A" w:rsidRPr="007F6373">
        <w:rPr>
          <w:b w:val="0"/>
        </w:rPr>
        <w:t>whether you use any others</w:t>
      </w:r>
      <w:r w:rsidR="00AD429C" w:rsidRPr="007F6373">
        <w:rPr>
          <w:b w:val="0"/>
        </w:rPr>
        <w:t>?</w:t>
      </w:r>
      <w:bookmarkEnd w:id="223"/>
      <w:bookmarkEnd w:id="224"/>
      <w:bookmarkEnd w:id="225"/>
      <w:bookmarkEnd w:id="226"/>
      <w:bookmarkEnd w:id="227"/>
      <w:bookmarkEnd w:id="228"/>
      <w:bookmarkEnd w:id="231"/>
      <w:bookmarkEnd w:id="234"/>
      <w:bookmarkEnd w:id="235"/>
      <w:bookmarkEnd w:id="236"/>
      <w:r w:rsidR="006A71BE" w:rsidRPr="007F6373">
        <w:rPr>
          <w:sz w:val="20"/>
        </w:rPr>
        <w:t xml:space="preserve"> </w:t>
      </w:r>
    </w:p>
    <w:p w:rsidR="00D1709B" w:rsidRPr="0078541C" w:rsidRDefault="00251C52" w:rsidP="007F6373">
      <w:pPr>
        <w:pStyle w:val="Heading2"/>
      </w:pPr>
      <w:bookmarkStart w:id="237" w:name="_Toc396315625"/>
      <w:bookmarkStart w:id="238" w:name="_Toc397520945"/>
      <w:bookmarkStart w:id="239" w:name="_Toc403377551"/>
      <w:bookmarkStart w:id="240" w:name="_Toc403394316"/>
      <w:r>
        <w:t>5.2</w:t>
      </w:r>
      <w:r>
        <w:tab/>
      </w:r>
      <w:r w:rsidR="00D1709B" w:rsidRPr="0078541C">
        <w:t>Regulatory control measures</w:t>
      </w:r>
      <w:bookmarkEnd w:id="237"/>
      <w:bookmarkEnd w:id="238"/>
      <w:bookmarkEnd w:id="239"/>
      <w:bookmarkEnd w:id="240"/>
    </w:p>
    <w:p w:rsidR="00526191" w:rsidRPr="0078541C" w:rsidRDefault="00526191" w:rsidP="007F6373">
      <w:r w:rsidRPr="0078541C">
        <w:rPr>
          <w:rFonts w:cs="Arial"/>
          <w:lang w:val="en-AU" w:bidi="ar-SA"/>
        </w:rPr>
        <w:t xml:space="preserve">The current regulatory environment needs to be robust to </w:t>
      </w:r>
      <w:r>
        <w:rPr>
          <w:rFonts w:cs="Arial"/>
          <w:lang w:val="en-AU" w:bidi="ar-SA"/>
        </w:rPr>
        <w:t>manage</w:t>
      </w:r>
      <w:r w:rsidRPr="0078541C">
        <w:rPr>
          <w:rFonts w:cs="Arial"/>
          <w:lang w:val="en-AU" w:bidi="ar-SA"/>
        </w:rPr>
        <w:t xml:space="preserve"> </w:t>
      </w:r>
      <w:r w:rsidRPr="0078541C">
        <w:t>any public health and safety issues</w:t>
      </w:r>
      <w:r>
        <w:t xml:space="preserve"> potentially arising through </w:t>
      </w:r>
      <w:r w:rsidRPr="0078541C">
        <w:t xml:space="preserve">CMPF. Although the magnitude of the </w:t>
      </w:r>
      <w:r>
        <w:t xml:space="preserve">risk </w:t>
      </w:r>
      <w:r w:rsidRPr="0078541C">
        <w:t xml:space="preserve">is still uncertain, there is some evidence from recent surveys and international incidents that there may be a risk from dietary exposure </w:t>
      </w:r>
      <w:r>
        <w:t>to</w:t>
      </w:r>
      <w:r w:rsidRPr="0078541C">
        <w:t xml:space="preserve"> CMPF</w:t>
      </w:r>
      <w:r>
        <w:t xml:space="preserve"> if risk mitigation strategies are not implemented comprehensively across the packaging production supply chain</w:t>
      </w:r>
      <w:r w:rsidRPr="0078541C">
        <w:t xml:space="preserve">. Therefore, FSANZ </w:t>
      </w:r>
      <w:r>
        <w:t xml:space="preserve">is aiming to establish the nature and extent of </w:t>
      </w:r>
      <w:r w:rsidRPr="0078541C">
        <w:t xml:space="preserve">risk mitigation measures in place </w:t>
      </w:r>
      <w:r>
        <w:t xml:space="preserve">in Australia and New Zealand to determine </w:t>
      </w:r>
      <w:r w:rsidRPr="0078541C">
        <w:t xml:space="preserve">whether </w:t>
      </w:r>
      <w:r>
        <w:t>further and/</w:t>
      </w:r>
      <w:r w:rsidRPr="0078541C">
        <w:t xml:space="preserve">or </w:t>
      </w:r>
      <w:r>
        <w:t xml:space="preserve">revised </w:t>
      </w:r>
      <w:r w:rsidRPr="0078541C">
        <w:t xml:space="preserve">measures </w:t>
      </w:r>
      <w:r>
        <w:t xml:space="preserve">are </w:t>
      </w:r>
      <w:r w:rsidRPr="0078541C">
        <w:t>need</w:t>
      </w:r>
      <w:r w:rsidR="003C26DA">
        <w:t>ed</w:t>
      </w:r>
      <w:r w:rsidRPr="0078541C">
        <w:t xml:space="preserve"> to </w:t>
      </w:r>
      <w:r>
        <w:t>manage potential</w:t>
      </w:r>
      <w:r w:rsidRPr="0078541C">
        <w:t xml:space="preserve"> risk</w:t>
      </w:r>
      <w:r>
        <w:t xml:space="preserve">s </w:t>
      </w:r>
      <w:r w:rsidRPr="0078541C">
        <w:t xml:space="preserve">from CMPF. </w:t>
      </w:r>
    </w:p>
    <w:p w:rsidR="00926F1E" w:rsidRPr="0078541C" w:rsidRDefault="00251C52" w:rsidP="007F6373">
      <w:pPr>
        <w:pStyle w:val="Heading3"/>
      </w:pPr>
      <w:bookmarkStart w:id="241" w:name="_Toc403377552"/>
      <w:bookmarkStart w:id="242" w:name="_Toc403394317"/>
      <w:r>
        <w:t>5.2.1</w:t>
      </w:r>
      <w:r>
        <w:tab/>
      </w:r>
      <w:r w:rsidR="00926F1E" w:rsidRPr="0078541C">
        <w:t>The regulatory framework</w:t>
      </w:r>
      <w:bookmarkEnd w:id="218"/>
      <w:r w:rsidR="00C67DB7" w:rsidRPr="0078541C">
        <w:rPr>
          <w:lang w:val="en-AU"/>
        </w:rPr>
        <w:t xml:space="preserve"> in Australia/New Zealand</w:t>
      </w:r>
      <w:bookmarkEnd w:id="241"/>
      <w:bookmarkEnd w:id="242"/>
    </w:p>
    <w:p w:rsidR="001C150C" w:rsidRDefault="00237BEB" w:rsidP="007F6373">
      <w:pPr>
        <w:rPr>
          <w:lang w:val="en-AU" w:eastAsia="en-AU" w:bidi="ar-SA"/>
        </w:rPr>
      </w:pPr>
      <w:r w:rsidRPr="0078541C">
        <w:rPr>
          <w:lang w:val="en-AU" w:eastAsia="en-AU" w:bidi="ar-SA"/>
        </w:rPr>
        <w:t>In Australia, t</w:t>
      </w:r>
      <w:r w:rsidR="00C11FDE" w:rsidRPr="0078541C">
        <w:rPr>
          <w:lang w:val="en-AU" w:eastAsia="en-AU" w:bidi="ar-SA"/>
        </w:rPr>
        <w:t xml:space="preserve">he </w:t>
      </w:r>
      <w:r w:rsidR="005E2158" w:rsidRPr="0078541C">
        <w:rPr>
          <w:lang w:val="en-AU" w:eastAsia="en-AU" w:bidi="ar-SA"/>
        </w:rPr>
        <w:t xml:space="preserve">state and territory </w:t>
      </w:r>
      <w:r w:rsidR="00C11FDE" w:rsidRPr="0078541C">
        <w:rPr>
          <w:lang w:val="en-AU" w:eastAsia="en-AU" w:bidi="ar-SA"/>
        </w:rPr>
        <w:t xml:space="preserve">Food Acts have general provisions for packaging which </w:t>
      </w:r>
      <w:r w:rsidR="00255B1A">
        <w:rPr>
          <w:lang w:val="en-AU" w:eastAsia="en-AU" w:bidi="ar-SA"/>
        </w:rPr>
        <w:t xml:space="preserve">make it </w:t>
      </w:r>
      <w:r w:rsidR="00C11FDE" w:rsidRPr="0078541C">
        <w:rPr>
          <w:lang w:val="en-AU" w:eastAsia="en-AU" w:bidi="ar-SA"/>
        </w:rPr>
        <w:t xml:space="preserve">a criminal offence </w:t>
      </w:r>
      <w:r w:rsidR="00526191">
        <w:rPr>
          <w:lang w:val="en-AU" w:eastAsia="en-AU" w:bidi="ar-SA"/>
        </w:rPr>
        <w:t>to</w:t>
      </w:r>
      <w:r w:rsidR="00C11FDE" w:rsidRPr="0078541C">
        <w:rPr>
          <w:lang w:val="en-AU" w:eastAsia="en-AU" w:bidi="ar-SA"/>
        </w:rPr>
        <w:t xml:space="preserve"> sell food packaging or handling materials that are unsafe</w:t>
      </w:r>
      <w:r w:rsidR="00DF3341">
        <w:rPr>
          <w:lang w:val="en-AU" w:eastAsia="en-AU" w:bidi="ar-SA"/>
        </w:rPr>
        <w:t xml:space="preserve"> or will make the food unsafe. </w:t>
      </w:r>
      <w:r w:rsidRPr="0078541C">
        <w:rPr>
          <w:lang w:val="en-AU" w:eastAsia="en-AU" w:bidi="ar-SA"/>
        </w:rPr>
        <w:t>Food businesses must also comply with requirements in the Code.</w:t>
      </w:r>
    </w:p>
    <w:p w:rsidR="001C150C" w:rsidRDefault="001C150C" w:rsidP="007F6373">
      <w:pPr>
        <w:rPr>
          <w:lang w:val="en-AU" w:eastAsia="en-AU" w:bidi="ar-SA"/>
        </w:rPr>
      </w:pPr>
    </w:p>
    <w:p w:rsidR="0056712F" w:rsidRDefault="0056712F" w:rsidP="007F6373">
      <w:pPr>
        <w:rPr>
          <w:lang w:val="en-AU" w:eastAsia="en-AU" w:bidi="ar-SA"/>
        </w:rPr>
      </w:pPr>
      <w:r w:rsidRPr="00CB3150">
        <w:rPr>
          <w:lang w:val="en-AU" w:eastAsia="en-AU" w:bidi="ar-SA"/>
        </w:rPr>
        <w:t>In New Zealand</w:t>
      </w:r>
      <w:r w:rsidR="001C150C">
        <w:rPr>
          <w:lang w:val="en-AU" w:eastAsia="en-AU" w:bidi="ar-SA"/>
        </w:rPr>
        <w:t>,</w:t>
      </w:r>
      <w:r w:rsidRPr="0056712F">
        <w:rPr>
          <w:lang w:val="en-AU" w:eastAsia="en-AU" w:bidi="ar-SA"/>
        </w:rPr>
        <w:t xml:space="preserve"> there is no approval system for packaging materials under the </w:t>
      </w:r>
      <w:r w:rsidRPr="0056712F">
        <w:rPr>
          <w:i/>
          <w:lang w:val="en-AU" w:eastAsia="en-AU" w:bidi="ar-SA"/>
        </w:rPr>
        <w:t>Food Act 2014</w:t>
      </w:r>
      <w:r>
        <w:rPr>
          <w:lang w:val="en-AU" w:eastAsia="en-AU" w:bidi="ar-SA"/>
        </w:rPr>
        <w:t xml:space="preserve">, </w:t>
      </w:r>
      <w:r w:rsidR="00526191">
        <w:rPr>
          <w:lang w:val="en-AU" w:eastAsia="en-AU" w:bidi="ar-SA"/>
        </w:rPr>
        <w:t xml:space="preserve">although </w:t>
      </w:r>
      <w:r>
        <w:rPr>
          <w:lang w:val="en-AU" w:eastAsia="en-AU" w:bidi="ar-SA"/>
        </w:rPr>
        <w:t xml:space="preserve">there is a mechanism </w:t>
      </w:r>
      <w:r w:rsidRPr="0056712F">
        <w:rPr>
          <w:lang w:val="en-AU" w:eastAsia="en-AU" w:bidi="ar-SA"/>
        </w:rPr>
        <w:t>for adopting a joint food standard</w:t>
      </w:r>
      <w:r>
        <w:rPr>
          <w:lang w:val="en-AU" w:eastAsia="en-AU" w:bidi="ar-SA"/>
        </w:rPr>
        <w:t xml:space="preserve">. The </w:t>
      </w:r>
      <w:r w:rsidRPr="0056712F">
        <w:rPr>
          <w:i/>
          <w:lang w:val="en-AU" w:eastAsia="en-AU" w:bidi="ar-SA"/>
        </w:rPr>
        <w:t>Food Act 2014</w:t>
      </w:r>
      <w:r>
        <w:rPr>
          <w:lang w:val="en-AU" w:eastAsia="en-AU" w:bidi="ar-SA"/>
        </w:rPr>
        <w:t xml:space="preserve"> also </w:t>
      </w:r>
      <w:r w:rsidR="00255B1A">
        <w:rPr>
          <w:lang w:val="en-AU" w:eastAsia="en-AU" w:bidi="ar-SA"/>
        </w:rPr>
        <w:t>gives</w:t>
      </w:r>
      <w:r w:rsidRPr="0056712F">
        <w:rPr>
          <w:lang w:val="en-AU" w:eastAsia="en-AU" w:bidi="ar-SA"/>
        </w:rPr>
        <w:t xml:space="preserve"> </w:t>
      </w:r>
      <w:r>
        <w:rPr>
          <w:lang w:val="en-AU" w:eastAsia="en-AU" w:bidi="ar-SA"/>
        </w:rPr>
        <w:t xml:space="preserve">the </w:t>
      </w:r>
      <w:r w:rsidR="003C3ED0">
        <w:rPr>
          <w:lang w:val="en-AU" w:eastAsia="en-AU" w:bidi="ar-SA"/>
        </w:rPr>
        <w:t xml:space="preserve">New Zealand </w:t>
      </w:r>
      <w:r>
        <w:rPr>
          <w:lang w:val="en-AU" w:eastAsia="en-AU" w:bidi="ar-SA"/>
        </w:rPr>
        <w:t>Ministry for Primary Industries</w:t>
      </w:r>
      <w:r w:rsidRPr="0056712F">
        <w:rPr>
          <w:lang w:val="en-AU" w:eastAsia="en-AU" w:bidi="ar-SA"/>
        </w:rPr>
        <w:t xml:space="preserve"> </w:t>
      </w:r>
      <w:r w:rsidR="00905017">
        <w:rPr>
          <w:lang w:val="en-AU" w:eastAsia="en-AU" w:bidi="ar-SA"/>
        </w:rPr>
        <w:t xml:space="preserve">(MPI) </w:t>
      </w:r>
      <w:r w:rsidRPr="0056712F">
        <w:rPr>
          <w:lang w:val="en-AU" w:eastAsia="en-AU" w:bidi="ar-SA"/>
        </w:rPr>
        <w:t>the ability to issue a comprehensive range of notices relating to specifications or requirements for specific matters. These include, for example, controls, restrictions, requirements and prohibitions in relation to a food sector, including how a food sector must manage or deal with risks that arise from trading in food.</w:t>
      </w:r>
    </w:p>
    <w:p w:rsidR="0056712F" w:rsidRDefault="0056712F" w:rsidP="00237BEB">
      <w:pPr>
        <w:widowControl/>
      </w:pPr>
    </w:p>
    <w:p w:rsidR="00D01E59" w:rsidRDefault="00C11FDE" w:rsidP="007F6373">
      <w:pPr>
        <w:rPr>
          <w:lang w:val="en-AU" w:eastAsia="en-AU" w:bidi="ar-SA"/>
        </w:rPr>
      </w:pPr>
      <w:r w:rsidRPr="0078541C">
        <w:rPr>
          <w:lang w:val="en-AU" w:eastAsia="en-AU" w:bidi="ar-SA"/>
        </w:rPr>
        <w:t>Relevant requirements in the Code</w:t>
      </w:r>
      <w:r w:rsidR="00237BEB" w:rsidRPr="0078541C">
        <w:rPr>
          <w:lang w:val="en-AU" w:eastAsia="en-AU" w:bidi="ar-SA"/>
        </w:rPr>
        <w:t xml:space="preserve"> pertinent to Australia and New Zealand</w:t>
      </w:r>
      <w:r w:rsidRPr="0078541C">
        <w:rPr>
          <w:lang w:val="en-AU" w:eastAsia="en-AU" w:bidi="ar-SA"/>
        </w:rPr>
        <w:t xml:space="preserve"> include Standard 1.4.3 – Articles in</w:t>
      </w:r>
      <w:r w:rsidR="00237BEB" w:rsidRPr="0078541C">
        <w:rPr>
          <w:lang w:val="en-AU" w:eastAsia="en-AU" w:bidi="ar-SA"/>
        </w:rPr>
        <w:t xml:space="preserve"> Contact with Food and </w:t>
      </w:r>
      <w:r w:rsidRPr="0078541C">
        <w:rPr>
          <w:lang w:val="en-AU" w:eastAsia="en-AU" w:bidi="ar-SA"/>
        </w:rPr>
        <w:t>Standard 1.4.1 – Contaminants and Natural Toxicants</w:t>
      </w:r>
      <w:r w:rsidR="00237BEB" w:rsidRPr="0078541C">
        <w:rPr>
          <w:lang w:val="en-AU" w:eastAsia="en-AU" w:bidi="ar-SA"/>
        </w:rPr>
        <w:t>.</w:t>
      </w:r>
      <w:r w:rsidR="00D01E59" w:rsidRPr="00D01E59">
        <w:t xml:space="preserve"> </w:t>
      </w:r>
      <w:r w:rsidR="00D01E59" w:rsidRPr="00D01E59">
        <w:rPr>
          <w:lang w:val="en-AU" w:eastAsia="en-AU" w:bidi="ar-SA"/>
        </w:rPr>
        <w:t>Risks associated with the presence of a chemical contaminant in a food may be managed by establishing a maximum level (ML) for the substance. As defined in Standard 1.4.1, an ML is the maximum level of a contaminant or natural toxicant which is permitted to be present in a nominated food, typically expressed in milligrams per kilogram of food (mg/kg).</w:t>
      </w:r>
      <w:r w:rsidR="00D01E59">
        <w:rPr>
          <w:lang w:val="en-AU" w:eastAsia="en-AU" w:bidi="ar-SA"/>
        </w:rPr>
        <w:t xml:space="preserve"> </w:t>
      </w:r>
      <w:r w:rsidR="00D01E59" w:rsidRPr="00D01E59">
        <w:rPr>
          <w:lang w:val="en-AU" w:eastAsia="en-AU" w:bidi="ar-SA"/>
        </w:rPr>
        <w:t xml:space="preserve">An ML is established only when it serves an effective risk management function. </w:t>
      </w:r>
      <w:r w:rsidR="00D01E59" w:rsidRPr="00D01E59">
        <w:rPr>
          <w:lang w:val="en-AU" w:eastAsia="en-AU" w:bidi="ar-SA"/>
        </w:rPr>
        <w:lastRenderedPageBreak/>
        <w:t>When established, MLs for contaminants are set at levels which are reasonably achievable from sound production and natural resource management practices. Regardless of whether or not an ML exists in the Code, the levels of contamin</w:t>
      </w:r>
      <w:r w:rsidR="00D01E59">
        <w:rPr>
          <w:lang w:val="en-AU" w:eastAsia="en-AU" w:bidi="ar-SA"/>
        </w:rPr>
        <w:t xml:space="preserve">ants </w:t>
      </w:r>
      <w:r w:rsidR="00D01E59" w:rsidRPr="00D01E59">
        <w:rPr>
          <w:lang w:val="en-AU" w:eastAsia="en-AU" w:bidi="ar-SA"/>
        </w:rPr>
        <w:t xml:space="preserve">in all foods should be kept </w:t>
      </w:r>
      <w:r w:rsidR="00D01E59" w:rsidRPr="0095204B">
        <w:rPr>
          <w:i/>
          <w:lang w:val="en-AU" w:eastAsia="en-AU" w:bidi="ar-SA"/>
        </w:rPr>
        <w:t xml:space="preserve">As Low </w:t>
      </w:r>
      <w:proofErr w:type="gramStart"/>
      <w:r w:rsidR="00D01E59" w:rsidRPr="0095204B">
        <w:rPr>
          <w:i/>
          <w:lang w:val="en-AU" w:eastAsia="en-AU" w:bidi="ar-SA"/>
        </w:rPr>
        <w:t>As</w:t>
      </w:r>
      <w:proofErr w:type="gramEnd"/>
      <w:r w:rsidR="00D01E59" w:rsidRPr="0095204B">
        <w:rPr>
          <w:i/>
          <w:lang w:val="en-AU" w:eastAsia="en-AU" w:bidi="ar-SA"/>
        </w:rPr>
        <w:t xml:space="preserve"> Reasonably Achievable</w:t>
      </w:r>
      <w:r w:rsidR="00D01E59" w:rsidRPr="00D01E59">
        <w:rPr>
          <w:lang w:val="en-AU" w:eastAsia="en-AU" w:bidi="ar-SA"/>
        </w:rPr>
        <w:t xml:space="preserve"> (the ALARA principle)</w:t>
      </w:r>
      <w:r w:rsidR="00D01E59">
        <w:rPr>
          <w:lang w:val="en-AU" w:eastAsia="en-AU" w:bidi="ar-SA"/>
        </w:rPr>
        <w:t>.</w:t>
      </w:r>
    </w:p>
    <w:p w:rsidR="00D01E59" w:rsidRDefault="00D01E59" w:rsidP="007F6373">
      <w:pPr>
        <w:rPr>
          <w:lang w:val="en-AU" w:eastAsia="en-AU" w:bidi="ar-SA"/>
        </w:rPr>
      </w:pPr>
    </w:p>
    <w:p w:rsidR="00E64C99" w:rsidRPr="00D01E59" w:rsidRDefault="0063698E" w:rsidP="007F6373">
      <w:pPr>
        <w:rPr>
          <w:lang w:val="en-AU" w:eastAsia="en-AU" w:bidi="ar-SA"/>
        </w:rPr>
      </w:pPr>
      <w:r>
        <w:rPr>
          <w:lang w:val="en-AU" w:eastAsia="en-AU" w:bidi="ar-SA"/>
        </w:rPr>
        <w:t xml:space="preserve">For Australia, </w:t>
      </w:r>
      <w:r w:rsidR="00E15506">
        <w:rPr>
          <w:lang w:val="en-AU" w:eastAsia="en-AU" w:bidi="ar-SA"/>
        </w:rPr>
        <w:t xml:space="preserve">Standard </w:t>
      </w:r>
      <w:r w:rsidR="0056712F">
        <w:rPr>
          <w:lang w:val="en-AU" w:eastAsia="en-AU" w:bidi="ar-SA"/>
        </w:rPr>
        <w:t xml:space="preserve">2.6.2 also has requirements </w:t>
      </w:r>
      <w:r w:rsidR="00E15506" w:rsidRPr="00E15506">
        <w:rPr>
          <w:lang w:val="en-AU" w:eastAsia="en-AU" w:bidi="ar-SA"/>
        </w:rPr>
        <w:t xml:space="preserve">for chemical </w:t>
      </w:r>
      <w:r w:rsidR="0056712F">
        <w:rPr>
          <w:lang w:val="en-AU" w:eastAsia="en-AU" w:bidi="ar-SA"/>
        </w:rPr>
        <w:t>l</w:t>
      </w:r>
      <w:r w:rsidR="0056712F" w:rsidRPr="00E15506">
        <w:rPr>
          <w:lang w:val="en-AU" w:eastAsia="en-AU" w:bidi="ar-SA"/>
        </w:rPr>
        <w:t>imits</w:t>
      </w:r>
      <w:r w:rsidR="0056712F">
        <w:rPr>
          <w:lang w:val="en-AU" w:eastAsia="en-AU" w:bidi="ar-SA"/>
        </w:rPr>
        <w:t xml:space="preserve"> </w:t>
      </w:r>
      <w:r w:rsidR="00E15506" w:rsidRPr="00E15506">
        <w:rPr>
          <w:lang w:val="en-AU" w:eastAsia="en-AU" w:bidi="ar-SA"/>
        </w:rPr>
        <w:t>in packaged water</w:t>
      </w:r>
      <w:r w:rsidR="00E15506">
        <w:rPr>
          <w:lang w:val="en-AU" w:eastAsia="en-AU" w:bidi="ar-SA"/>
        </w:rPr>
        <w:t xml:space="preserve"> which align with World Health Organi</w:t>
      </w:r>
      <w:r w:rsidR="001C150C">
        <w:rPr>
          <w:lang w:val="en-AU" w:eastAsia="en-AU" w:bidi="ar-SA"/>
        </w:rPr>
        <w:t>z</w:t>
      </w:r>
      <w:r w:rsidR="00E15506">
        <w:rPr>
          <w:lang w:val="en-AU" w:eastAsia="en-AU" w:bidi="ar-SA"/>
        </w:rPr>
        <w:t xml:space="preserve">ation drinking water guidelines (WHO, 2011). </w:t>
      </w:r>
      <w:r>
        <w:rPr>
          <w:lang w:val="en-AU" w:eastAsia="en-AU" w:bidi="ar-SA"/>
        </w:rPr>
        <w:t>Also for</w:t>
      </w:r>
      <w:r w:rsidR="00237BEB" w:rsidRPr="0078541C">
        <w:rPr>
          <w:lang w:val="en-AU" w:eastAsia="en-AU" w:bidi="ar-SA"/>
        </w:rPr>
        <w:t xml:space="preserve"> Australia,</w:t>
      </w:r>
      <w:r w:rsidR="00C11FDE" w:rsidRPr="0078541C">
        <w:rPr>
          <w:lang w:val="en-AU" w:eastAsia="en-AU" w:bidi="ar-SA"/>
        </w:rPr>
        <w:t xml:space="preserve"> Standard 3.2.2 - Food Safety Practices and Gener</w:t>
      </w:r>
      <w:bookmarkStart w:id="243" w:name="_GoBack"/>
      <w:bookmarkEnd w:id="243"/>
      <w:r w:rsidR="00C11FDE" w:rsidRPr="0078541C">
        <w:rPr>
          <w:lang w:val="en-AU" w:eastAsia="en-AU" w:bidi="ar-SA"/>
        </w:rPr>
        <w:t>al Requirements</w:t>
      </w:r>
      <w:r w:rsidR="00237BEB" w:rsidRPr="0078541C">
        <w:rPr>
          <w:lang w:val="en-AU" w:eastAsia="en-AU" w:bidi="ar-SA"/>
        </w:rPr>
        <w:t xml:space="preserve">, contains requirements for food businesses </w:t>
      </w:r>
      <w:r w:rsidR="006E15DA" w:rsidRPr="0078541C">
        <w:rPr>
          <w:lang w:val="en-AU" w:eastAsia="en-AU" w:bidi="ar-SA"/>
        </w:rPr>
        <w:t xml:space="preserve">(including manufacturers, importers and retailers) </w:t>
      </w:r>
      <w:r w:rsidR="00DF3341">
        <w:rPr>
          <w:lang w:val="en-AU" w:eastAsia="en-AU" w:bidi="ar-SA"/>
        </w:rPr>
        <w:t>regarding</w:t>
      </w:r>
      <w:r w:rsidR="00573F98">
        <w:rPr>
          <w:lang w:val="en-AU" w:eastAsia="en-AU" w:bidi="ar-SA"/>
        </w:rPr>
        <w:t xml:space="preserve"> the safety of</w:t>
      </w:r>
      <w:r w:rsidR="00DF3341">
        <w:rPr>
          <w:lang w:val="en-AU" w:eastAsia="en-AU" w:bidi="ar-SA"/>
        </w:rPr>
        <w:t xml:space="preserve"> packaging</w:t>
      </w:r>
      <w:r w:rsidR="00CB3150">
        <w:rPr>
          <w:lang w:val="en-AU" w:eastAsia="en-AU" w:bidi="ar-SA"/>
        </w:rPr>
        <w:t xml:space="preserve"> </w:t>
      </w:r>
      <w:r w:rsidR="00FA0138" w:rsidRPr="0078541C">
        <w:rPr>
          <w:lang w:val="en-US"/>
        </w:rPr>
        <w:t xml:space="preserve">(Attachment </w:t>
      </w:r>
      <w:r w:rsidR="007E5AE6">
        <w:rPr>
          <w:lang w:val="en-US"/>
        </w:rPr>
        <w:t>1</w:t>
      </w:r>
      <w:r w:rsidR="00FA0138" w:rsidRPr="0078541C">
        <w:rPr>
          <w:lang w:val="en-US"/>
        </w:rPr>
        <w:t>).</w:t>
      </w:r>
    </w:p>
    <w:p w:rsidR="00EC05B7" w:rsidRPr="0078541C" w:rsidRDefault="00EC05B7" w:rsidP="007F6373">
      <w:pPr>
        <w:rPr>
          <w:lang w:val="en-US"/>
        </w:rPr>
      </w:pPr>
    </w:p>
    <w:p w:rsidR="0076063E" w:rsidRDefault="00DE0085" w:rsidP="00251C52">
      <w:r w:rsidRPr="0078541C">
        <w:t xml:space="preserve">The Code currently makes no specific reference to the use of recycled materials in packaging; rather, there is a general requirement in Standard 1.4.3 that food packaging should be safe. This may be an area that needs addressing in order to </w:t>
      </w:r>
      <w:r w:rsidR="00526191">
        <w:t>better manage</w:t>
      </w:r>
      <w:r w:rsidRPr="0078541C">
        <w:t xml:space="preserve"> potential risks from CMPF </w:t>
      </w:r>
      <w:r w:rsidR="00526191">
        <w:t>through the use of</w:t>
      </w:r>
      <w:r w:rsidRPr="0078541C">
        <w:t xml:space="preserve"> recycled materials. </w:t>
      </w:r>
    </w:p>
    <w:p w:rsidR="00EC05B7" w:rsidRDefault="00EC05B7" w:rsidP="00251C52"/>
    <w:p w:rsidR="003A7416" w:rsidRPr="00DC28D2" w:rsidRDefault="005E5327"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b/>
          <w:i/>
          <w:color w:val="365F91" w:themeColor="accent1" w:themeShade="BF"/>
          <w:lang w:bidi="ar-SA"/>
        </w:rPr>
      </w:pPr>
      <w:r w:rsidRPr="00DC28D2">
        <w:rPr>
          <w:rFonts w:eastAsia="Calibri"/>
          <w:b/>
          <w:i/>
          <w:color w:val="365F91" w:themeColor="accent1" w:themeShade="BF"/>
          <w:lang w:bidi="ar-SA"/>
        </w:rPr>
        <w:t>A response template with all questions in this document is available at Attachment A</w:t>
      </w:r>
    </w:p>
    <w:p w:rsidR="007E515C" w:rsidRPr="007F6373" w:rsidRDefault="007E515C"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b/>
          <w:i/>
          <w:color w:val="4F81BD" w:themeColor="accent1"/>
          <w:lang w:bidi="ar-SA"/>
        </w:rPr>
      </w:pPr>
    </w:p>
    <w:p w:rsidR="007E515C" w:rsidRDefault="00AC00A3"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lang w:bidi="ar-SA"/>
        </w:rPr>
      </w:pPr>
      <w:r>
        <w:rPr>
          <w:rFonts w:eastAsia="Calibri"/>
          <w:lang w:bidi="ar-SA"/>
        </w:rPr>
        <w:t>If you are a food business</w:t>
      </w:r>
      <w:r w:rsidR="007E515C" w:rsidRPr="007F6373">
        <w:rPr>
          <w:rFonts w:eastAsia="Calibri"/>
          <w:lang w:bidi="ar-SA"/>
        </w:rPr>
        <w:t xml:space="preserve"> (manufacturer/importer/brand owner/retailer):</w:t>
      </w:r>
    </w:p>
    <w:p w:rsidR="00251C52" w:rsidRPr="007F6373" w:rsidRDefault="00251C52"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lang w:bidi="ar-SA"/>
        </w:rPr>
      </w:pPr>
    </w:p>
    <w:p w:rsidR="007E515C" w:rsidRDefault="00714353"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r>
        <w:rPr>
          <w:rFonts w:eastAsia="Calibri"/>
          <w:lang w:bidi="ar-SA"/>
        </w:rPr>
        <w:t>7</w:t>
      </w:r>
      <w:r w:rsidR="00505BAC" w:rsidRPr="007F6373">
        <w:rPr>
          <w:rFonts w:eastAsia="Calibri"/>
          <w:lang w:bidi="ar-SA"/>
        </w:rPr>
        <w:t xml:space="preserve">. </w:t>
      </w:r>
      <w:r w:rsidR="00251C52">
        <w:rPr>
          <w:rFonts w:eastAsia="Calibri"/>
          <w:lang w:bidi="ar-SA"/>
        </w:rPr>
        <w:tab/>
      </w:r>
      <w:r w:rsidR="00FA3E8F" w:rsidRPr="007F6373">
        <w:rPr>
          <w:rFonts w:eastAsia="Calibri"/>
          <w:lang w:bidi="ar-SA"/>
        </w:rPr>
        <w:t xml:space="preserve">Is information readily available on whether or not </w:t>
      </w:r>
      <w:r w:rsidR="00EF00C7" w:rsidRPr="007F6373">
        <w:rPr>
          <w:rFonts w:eastAsia="Calibri"/>
          <w:lang w:bidi="ar-SA"/>
        </w:rPr>
        <w:t xml:space="preserve">food </w:t>
      </w:r>
      <w:r w:rsidR="00FA3E8F" w:rsidRPr="007F6373">
        <w:rPr>
          <w:rFonts w:eastAsia="Calibri"/>
          <w:lang w:bidi="ar-SA"/>
        </w:rPr>
        <w:t xml:space="preserve">packaging </w:t>
      </w:r>
      <w:r w:rsidR="00EF00C7">
        <w:rPr>
          <w:rFonts w:eastAsia="Calibri"/>
          <w:lang w:bidi="ar-SA"/>
        </w:rPr>
        <w:t xml:space="preserve">(including for </w:t>
      </w:r>
      <w:r w:rsidR="00FA3E8F" w:rsidRPr="007F6373">
        <w:rPr>
          <w:rFonts w:eastAsia="Calibri"/>
          <w:lang w:bidi="ar-SA"/>
        </w:rPr>
        <w:t>home brand products</w:t>
      </w:r>
      <w:r w:rsidR="00EF00C7">
        <w:rPr>
          <w:rFonts w:eastAsia="Calibri"/>
          <w:lang w:bidi="ar-SA"/>
        </w:rPr>
        <w:t>)</w:t>
      </w:r>
      <w:r w:rsidR="00FA3E8F" w:rsidRPr="007F6373">
        <w:rPr>
          <w:rFonts w:eastAsia="Calibri"/>
          <w:lang w:bidi="ar-SA"/>
        </w:rPr>
        <w:t xml:space="preserve"> is made from recycled materials?</w:t>
      </w:r>
    </w:p>
    <w:p w:rsidR="00251C52" w:rsidRPr="007F6373" w:rsidRDefault="00251C52"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p>
    <w:p w:rsidR="002420C7" w:rsidRPr="007F6373" w:rsidRDefault="00714353" w:rsidP="00DC28D2">
      <w:pPr>
        <w:pStyle w:val="Heading4"/>
        <w:pBdr>
          <w:top w:val="single" w:sz="4" w:space="1" w:color="auto"/>
          <w:left w:val="single" w:sz="4" w:space="4" w:color="auto"/>
          <w:bottom w:val="single" w:sz="4" w:space="1" w:color="auto"/>
          <w:right w:val="single" w:sz="4" w:space="4" w:color="auto"/>
        </w:pBdr>
        <w:shd w:val="clear" w:color="auto" w:fill="DBE5F1" w:themeFill="accent1" w:themeFillTint="33"/>
        <w:spacing w:before="0" w:after="0"/>
        <w:ind w:left="567" w:hanging="567"/>
        <w:rPr>
          <w:b w:val="0"/>
          <w:i w:val="0"/>
          <w:szCs w:val="24"/>
          <w:lang w:val="en-AU"/>
        </w:rPr>
      </w:pPr>
      <w:r>
        <w:rPr>
          <w:b w:val="0"/>
          <w:i w:val="0"/>
          <w:szCs w:val="24"/>
          <w:lang w:val="en-AU"/>
        </w:rPr>
        <w:t>8</w:t>
      </w:r>
      <w:r w:rsidR="009D61AE" w:rsidRPr="007F6373">
        <w:rPr>
          <w:b w:val="0"/>
          <w:i w:val="0"/>
          <w:szCs w:val="24"/>
          <w:lang w:val="en-AU"/>
        </w:rPr>
        <w:t xml:space="preserve">. </w:t>
      </w:r>
      <w:r w:rsidR="00251C52">
        <w:rPr>
          <w:b w:val="0"/>
          <w:i w:val="0"/>
          <w:szCs w:val="24"/>
          <w:lang w:val="en-AU"/>
        </w:rPr>
        <w:tab/>
      </w:r>
      <w:r w:rsidR="002420C7" w:rsidRPr="007F6373">
        <w:rPr>
          <w:b w:val="0"/>
          <w:i w:val="0"/>
          <w:szCs w:val="24"/>
          <w:lang w:val="en-AU"/>
        </w:rPr>
        <w:t xml:space="preserve">If yes, how do you ensure that packaging manufactured from recycled materials does not contain chemicals that could migrate into food at levels of potential concern? </w:t>
      </w:r>
    </w:p>
    <w:p w:rsidR="009365E0" w:rsidRPr="0078541C" w:rsidRDefault="00251C52" w:rsidP="007F6373">
      <w:pPr>
        <w:pStyle w:val="Heading3"/>
        <w:rPr>
          <w:lang w:val="en-AU"/>
        </w:rPr>
      </w:pPr>
      <w:bookmarkStart w:id="244" w:name="_Toc403377553"/>
      <w:bookmarkStart w:id="245" w:name="_Toc403394318"/>
      <w:r>
        <w:rPr>
          <w:lang w:val="en-AU"/>
        </w:rPr>
        <w:t>5.2.2</w:t>
      </w:r>
      <w:r>
        <w:rPr>
          <w:lang w:val="en-AU"/>
        </w:rPr>
        <w:tab/>
      </w:r>
      <w:r w:rsidR="00D41215" w:rsidRPr="0078541C">
        <w:rPr>
          <w:lang w:val="en-AU"/>
        </w:rPr>
        <w:t>Transitional arrangements for Code Revision</w:t>
      </w:r>
      <w:r w:rsidR="009365E0">
        <w:rPr>
          <w:lang w:val="en-AU"/>
        </w:rPr>
        <w:t xml:space="preserve"> and i</w:t>
      </w:r>
      <w:r w:rsidR="009365E0" w:rsidRPr="0078541C">
        <w:rPr>
          <w:lang w:val="en-AU"/>
        </w:rPr>
        <w:t>mplications for Standard 1.4.3</w:t>
      </w:r>
      <w:bookmarkEnd w:id="244"/>
      <w:bookmarkEnd w:id="245"/>
      <w:r w:rsidR="009365E0" w:rsidRPr="0078541C">
        <w:rPr>
          <w:lang w:val="en-AU"/>
        </w:rPr>
        <w:t xml:space="preserve"> </w:t>
      </w:r>
    </w:p>
    <w:p w:rsidR="00D41215" w:rsidRDefault="00D41215" w:rsidP="007F6373">
      <w:pPr>
        <w:rPr>
          <w:lang w:val="en-AU" w:bidi="ar-SA"/>
        </w:rPr>
      </w:pPr>
      <w:r w:rsidRPr="0078541C">
        <w:rPr>
          <w:lang w:val="en-AU" w:bidi="ar-SA"/>
        </w:rPr>
        <w:t xml:space="preserve">FSANZ is </w:t>
      </w:r>
      <w:r w:rsidR="00C67DB7" w:rsidRPr="0078541C">
        <w:rPr>
          <w:lang w:val="en-AU" w:bidi="ar-SA"/>
        </w:rPr>
        <w:t xml:space="preserve">currently </w:t>
      </w:r>
      <w:r w:rsidRPr="0078541C">
        <w:rPr>
          <w:lang w:val="en-AU" w:bidi="ar-SA"/>
        </w:rPr>
        <w:t xml:space="preserve">reviewing the Code in order to improve its clarity </w:t>
      </w:r>
      <w:r w:rsidR="001253CB" w:rsidRPr="0078541C">
        <w:rPr>
          <w:lang w:val="en-AU" w:bidi="ar-SA"/>
        </w:rPr>
        <w:t xml:space="preserve">and enable </w:t>
      </w:r>
      <w:r w:rsidR="001253CB" w:rsidRPr="0078541C">
        <w:t xml:space="preserve">consistency </w:t>
      </w:r>
      <w:r w:rsidR="00992242">
        <w:t>in</w:t>
      </w:r>
      <w:r w:rsidR="001253CB" w:rsidRPr="0078541C">
        <w:t xml:space="preserve"> </w:t>
      </w:r>
      <w:r w:rsidR="00992242">
        <w:t xml:space="preserve">its </w:t>
      </w:r>
      <w:r w:rsidR="001253CB" w:rsidRPr="0078541C">
        <w:t>application</w:t>
      </w:r>
      <w:r w:rsidRPr="0078541C">
        <w:rPr>
          <w:lang w:val="en-AU" w:bidi="ar-SA"/>
        </w:rPr>
        <w:t>. This review is being undertaken through Proposal P1025</w:t>
      </w:r>
      <w:r w:rsidR="006E15DA" w:rsidRPr="0078541C">
        <w:rPr>
          <w:rStyle w:val="FootnoteReference"/>
          <w:rFonts w:cs="Arial"/>
          <w:sz w:val="24"/>
          <w:lang w:val="en-AU" w:bidi="ar-SA"/>
        </w:rPr>
        <w:footnoteReference w:id="13"/>
      </w:r>
      <w:r w:rsidR="006E15DA" w:rsidRPr="0078541C">
        <w:rPr>
          <w:lang w:val="en-AU" w:bidi="ar-SA"/>
        </w:rPr>
        <w:t>.</w:t>
      </w:r>
      <w:r w:rsidRPr="0078541C">
        <w:rPr>
          <w:lang w:val="en-AU" w:bidi="ar-SA"/>
        </w:rPr>
        <w:t xml:space="preserve"> FSANZ released a draft revision of the Code for public comment in May 2013 </w:t>
      </w:r>
      <w:r w:rsidR="006E15DA" w:rsidRPr="0078541C">
        <w:rPr>
          <w:lang w:val="en-AU" w:bidi="ar-SA"/>
        </w:rPr>
        <w:t xml:space="preserve">which </w:t>
      </w:r>
      <w:r w:rsidRPr="0078541C">
        <w:rPr>
          <w:lang w:val="en-AU" w:bidi="ar-SA"/>
        </w:rPr>
        <w:t xml:space="preserve">changed the Code’s structure and format. A </w:t>
      </w:r>
      <w:r w:rsidR="006E15DA" w:rsidRPr="0078541C">
        <w:rPr>
          <w:lang w:val="en-AU" w:bidi="ar-SA"/>
        </w:rPr>
        <w:t xml:space="preserve">subsequent </w:t>
      </w:r>
      <w:r w:rsidRPr="0078541C">
        <w:rPr>
          <w:lang w:val="en-AU" w:bidi="ar-SA"/>
        </w:rPr>
        <w:t xml:space="preserve">draft revision of the Code and call for submissions </w:t>
      </w:r>
      <w:r w:rsidR="007C3886" w:rsidRPr="0078541C">
        <w:rPr>
          <w:lang w:val="en-AU" w:bidi="ar-SA"/>
        </w:rPr>
        <w:t>was released</w:t>
      </w:r>
      <w:r w:rsidRPr="0078541C">
        <w:rPr>
          <w:lang w:val="en-AU" w:bidi="ar-SA"/>
        </w:rPr>
        <w:t xml:space="preserve"> </w:t>
      </w:r>
      <w:r w:rsidR="007C3886" w:rsidRPr="0078541C">
        <w:rPr>
          <w:lang w:val="en-AU" w:bidi="ar-SA"/>
        </w:rPr>
        <w:t>in Ju</w:t>
      </w:r>
      <w:r w:rsidR="00D77D38" w:rsidRPr="0078541C">
        <w:rPr>
          <w:lang w:val="en-AU" w:bidi="ar-SA"/>
        </w:rPr>
        <w:t>ly</w:t>
      </w:r>
      <w:r w:rsidR="007C3886" w:rsidRPr="0078541C">
        <w:rPr>
          <w:lang w:val="en-AU" w:bidi="ar-SA"/>
        </w:rPr>
        <w:t xml:space="preserve"> 2014</w:t>
      </w:r>
      <w:r w:rsidR="00FA0138" w:rsidRPr="0078541C">
        <w:rPr>
          <w:rStyle w:val="FootnoteReference"/>
          <w:rFonts w:cs="Arial"/>
          <w:sz w:val="24"/>
          <w:lang w:val="en-AU" w:bidi="ar-SA"/>
        </w:rPr>
        <w:footnoteReference w:id="14"/>
      </w:r>
      <w:r w:rsidR="00505BAC">
        <w:rPr>
          <w:lang w:val="en-AU" w:bidi="ar-SA"/>
        </w:rPr>
        <w:t xml:space="preserve">. </w:t>
      </w:r>
    </w:p>
    <w:p w:rsidR="00251C52" w:rsidRDefault="00251C52" w:rsidP="007F6373">
      <w:pPr>
        <w:rPr>
          <w:lang w:val="en-AU" w:bidi="ar-SA"/>
        </w:rPr>
      </w:pPr>
    </w:p>
    <w:p w:rsidR="005A6CFF" w:rsidRDefault="00D77D38" w:rsidP="00251C52">
      <w:pPr>
        <w:rPr>
          <w:lang w:val="en-AU" w:bidi="ar-SA"/>
        </w:rPr>
      </w:pPr>
      <w:r w:rsidRPr="0078541C">
        <w:rPr>
          <w:lang w:val="en-AU" w:bidi="ar-SA"/>
        </w:rPr>
        <w:t xml:space="preserve">In the draft revision of the Code, the requirements currently under Standard 1.4.3 have been brought under general </w:t>
      </w:r>
      <w:r w:rsidR="00ED77BC" w:rsidRPr="0078541C">
        <w:rPr>
          <w:lang w:val="en-AU" w:bidi="ar-SA"/>
        </w:rPr>
        <w:t>packaging requir</w:t>
      </w:r>
      <w:r w:rsidR="009365E0">
        <w:rPr>
          <w:lang w:val="en-AU" w:bidi="ar-SA"/>
        </w:rPr>
        <w:t xml:space="preserve">ements relating to food items. </w:t>
      </w:r>
      <w:r w:rsidR="001253CB" w:rsidRPr="0078541C">
        <w:rPr>
          <w:lang w:val="en-AU" w:bidi="ar-SA"/>
        </w:rPr>
        <w:t>Through P1025</w:t>
      </w:r>
      <w:r w:rsidR="001C150C">
        <w:rPr>
          <w:lang w:val="en-AU" w:bidi="ar-SA"/>
        </w:rPr>
        <w:t>,</w:t>
      </w:r>
      <w:r w:rsidR="001253CB" w:rsidRPr="0078541C">
        <w:rPr>
          <w:lang w:val="en-AU" w:bidi="ar-SA"/>
        </w:rPr>
        <w:t xml:space="preserve"> </w:t>
      </w:r>
      <w:r w:rsidR="001253CB" w:rsidRPr="0078541C">
        <w:t xml:space="preserve">FSANZ </w:t>
      </w:r>
      <w:r w:rsidR="001C150C">
        <w:t>is also seeking</w:t>
      </w:r>
      <w:r w:rsidR="001253CB" w:rsidRPr="0078541C">
        <w:t xml:space="preserve"> to reduce the number of editorial notes in the Code. Editorial notes are not legally binding and should not contain substantive provisions. </w:t>
      </w:r>
      <w:r w:rsidR="006548A4">
        <w:rPr>
          <w:lang w:val="en-AU" w:bidi="ar-SA"/>
        </w:rPr>
        <w:t xml:space="preserve">P1025 </w:t>
      </w:r>
      <w:r w:rsidR="000270DB" w:rsidRPr="0078541C">
        <w:rPr>
          <w:lang w:val="en-AU" w:bidi="ar-SA"/>
        </w:rPr>
        <w:t xml:space="preserve">therefore </w:t>
      </w:r>
      <w:r w:rsidR="006548A4">
        <w:rPr>
          <w:lang w:val="en-AU" w:bidi="ar-SA"/>
        </w:rPr>
        <w:t>proposes</w:t>
      </w:r>
      <w:r w:rsidR="000270DB" w:rsidRPr="0078541C">
        <w:rPr>
          <w:lang w:val="en-AU" w:bidi="ar-SA"/>
        </w:rPr>
        <w:t xml:space="preserve"> the removal of</w:t>
      </w:r>
      <w:r w:rsidR="004B4E62" w:rsidRPr="0078541C">
        <w:rPr>
          <w:lang w:val="en-AU" w:bidi="ar-SA"/>
        </w:rPr>
        <w:t xml:space="preserve"> </w:t>
      </w:r>
      <w:r w:rsidR="00ED77BC" w:rsidRPr="0078541C">
        <w:rPr>
          <w:lang w:val="en-AU" w:bidi="ar-SA"/>
        </w:rPr>
        <w:t>the editorial note to</w:t>
      </w:r>
      <w:r w:rsidRPr="0078541C">
        <w:rPr>
          <w:lang w:val="en-AU" w:bidi="ar-SA"/>
        </w:rPr>
        <w:t xml:space="preserve"> Standard 1.4.3 – Articles and Materials in Contact with Food </w:t>
      </w:r>
      <w:r w:rsidR="00ED77BC" w:rsidRPr="0078541C">
        <w:rPr>
          <w:lang w:val="en-AU" w:bidi="ar-SA"/>
        </w:rPr>
        <w:t>which</w:t>
      </w:r>
      <w:r w:rsidRPr="0078541C">
        <w:rPr>
          <w:lang w:val="en-AU" w:bidi="ar-SA"/>
        </w:rPr>
        <w:t xml:space="preserve"> refers to the Australian Standard for Plastic Materials for</w:t>
      </w:r>
      <w:r w:rsidR="00ED77BC" w:rsidRPr="0078541C">
        <w:rPr>
          <w:lang w:val="en-AU" w:bidi="ar-SA"/>
        </w:rPr>
        <w:t xml:space="preserve"> Food Contact Use, AS 2070-1999.</w:t>
      </w:r>
    </w:p>
    <w:p w:rsidR="00153D35" w:rsidRDefault="00251C52" w:rsidP="007F6373">
      <w:pPr>
        <w:pStyle w:val="Heading3"/>
        <w:rPr>
          <w:rFonts w:eastAsia="Calibri"/>
        </w:rPr>
      </w:pPr>
      <w:bookmarkStart w:id="246" w:name="_Toc403377554"/>
      <w:bookmarkStart w:id="247" w:name="_Toc403394319"/>
      <w:bookmarkStart w:id="248" w:name="_Toc267859697"/>
      <w:r>
        <w:rPr>
          <w:rFonts w:eastAsia="Calibri"/>
        </w:rPr>
        <w:t>5.2.3</w:t>
      </w:r>
      <w:r>
        <w:rPr>
          <w:rFonts w:eastAsia="Calibri"/>
        </w:rPr>
        <w:tab/>
      </w:r>
      <w:r w:rsidR="00153D35">
        <w:rPr>
          <w:rFonts w:eastAsia="Calibri"/>
        </w:rPr>
        <w:t>Who regulates what in Australia and New Zealand?</w:t>
      </w:r>
      <w:bookmarkEnd w:id="246"/>
      <w:bookmarkEnd w:id="247"/>
    </w:p>
    <w:p w:rsidR="00153D35" w:rsidRPr="00127734" w:rsidRDefault="00153D35" w:rsidP="00251C52">
      <w:pPr>
        <w:rPr>
          <w:rFonts w:eastAsia="Calibri"/>
          <w:lang w:bidi="ar-SA"/>
        </w:rPr>
      </w:pPr>
      <w:r w:rsidRPr="00127734">
        <w:rPr>
          <w:rFonts w:eastAsia="Calibri"/>
          <w:lang w:bidi="ar-SA"/>
        </w:rPr>
        <w:t xml:space="preserve">In Australia, the regulation of chemicals in articles for food use is shared </w:t>
      </w:r>
      <w:r w:rsidR="00255B1A">
        <w:rPr>
          <w:rFonts w:eastAsia="Calibri"/>
          <w:lang w:bidi="ar-SA"/>
        </w:rPr>
        <w:t>by</w:t>
      </w:r>
      <w:r w:rsidRPr="00127734">
        <w:rPr>
          <w:rFonts w:eastAsia="Calibri"/>
          <w:lang w:bidi="ar-SA"/>
        </w:rPr>
        <w:t xml:space="preserve"> several Australian Government regulatory agencies; FSANZ</w:t>
      </w:r>
      <w:r w:rsidR="00370F07">
        <w:rPr>
          <w:rFonts w:eastAsia="Calibri"/>
          <w:lang w:bidi="ar-SA"/>
        </w:rPr>
        <w:t xml:space="preserve"> and the state/territory food authorities</w:t>
      </w:r>
      <w:r w:rsidRPr="00127734">
        <w:rPr>
          <w:rFonts w:eastAsia="Calibri"/>
          <w:lang w:bidi="ar-SA"/>
        </w:rPr>
        <w:t xml:space="preserve"> for the food sold in </w:t>
      </w:r>
      <w:r w:rsidR="00127734">
        <w:rPr>
          <w:rFonts w:eastAsia="Calibri"/>
          <w:lang w:bidi="ar-SA"/>
        </w:rPr>
        <w:t>packaging</w:t>
      </w:r>
      <w:r w:rsidRPr="00127734">
        <w:rPr>
          <w:rFonts w:eastAsia="Calibri"/>
          <w:lang w:bidi="ar-SA"/>
        </w:rPr>
        <w:t xml:space="preserve">; the </w:t>
      </w:r>
      <w:r w:rsidR="00C50678" w:rsidRPr="00127734">
        <w:rPr>
          <w:rFonts w:eastAsia="Calibri"/>
          <w:lang w:bidi="ar-SA"/>
        </w:rPr>
        <w:t>NICNAS</w:t>
      </w:r>
      <w:r w:rsidRPr="00127734">
        <w:rPr>
          <w:rFonts w:eastAsia="Calibri"/>
          <w:lang w:bidi="ar-SA"/>
        </w:rPr>
        <w:t xml:space="preserve"> for the safety of the industrial chemicals used; and the </w:t>
      </w:r>
      <w:r w:rsidR="00C50678" w:rsidRPr="00127734">
        <w:rPr>
          <w:rFonts w:eastAsia="Calibri"/>
          <w:lang w:bidi="ar-SA"/>
        </w:rPr>
        <w:t>ACCC</w:t>
      </w:r>
      <w:r w:rsidRPr="00127734">
        <w:rPr>
          <w:rFonts w:eastAsia="Calibri"/>
          <w:lang w:bidi="ar-SA"/>
        </w:rPr>
        <w:t xml:space="preserve"> for the safety of the packaging articles themselves.</w:t>
      </w:r>
    </w:p>
    <w:p w:rsidR="00153D35" w:rsidRPr="00127734" w:rsidRDefault="00153D35" w:rsidP="00251C52">
      <w:pPr>
        <w:rPr>
          <w:rFonts w:eastAsia="Calibri"/>
          <w:lang w:bidi="ar-SA"/>
        </w:rPr>
      </w:pPr>
    </w:p>
    <w:p w:rsidR="00153D35" w:rsidRPr="00127734" w:rsidRDefault="00153D35" w:rsidP="00251C52">
      <w:pPr>
        <w:rPr>
          <w:rFonts w:eastAsia="Calibri"/>
          <w:lang w:bidi="ar-SA"/>
        </w:rPr>
      </w:pPr>
      <w:r w:rsidRPr="00127734">
        <w:rPr>
          <w:rFonts w:eastAsia="Calibri"/>
          <w:lang w:bidi="ar-SA"/>
        </w:rPr>
        <w:lastRenderedPageBreak/>
        <w:t>In New Zealand</w:t>
      </w:r>
      <w:r w:rsidR="001C150C">
        <w:rPr>
          <w:rFonts w:eastAsia="Calibri"/>
          <w:lang w:bidi="ar-SA"/>
        </w:rPr>
        <w:t>,</w:t>
      </w:r>
      <w:r w:rsidRPr="00127734">
        <w:rPr>
          <w:rFonts w:eastAsia="Calibri"/>
          <w:lang w:bidi="ar-SA"/>
        </w:rPr>
        <w:t xml:space="preserve"> chemicals in packaging are regulated by </w:t>
      </w:r>
      <w:r w:rsidR="003C26DA">
        <w:rPr>
          <w:rFonts w:eastAsia="Calibri"/>
          <w:lang w:bidi="ar-SA"/>
        </w:rPr>
        <w:t xml:space="preserve">the </w:t>
      </w:r>
      <w:r w:rsidRPr="00127734">
        <w:rPr>
          <w:rFonts w:eastAsia="Calibri"/>
          <w:lang w:bidi="ar-SA"/>
        </w:rPr>
        <w:t xml:space="preserve">Environmental Risk Management Authority (ERMA) and consumer products by the New Zealand Ministry of Consumer Affairs. The New Zealand MPI </w:t>
      </w:r>
      <w:r w:rsidR="00E27D26" w:rsidRPr="00127734">
        <w:rPr>
          <w:rFonts w:eastAsia="Calibri"/>
          <w:lang w:bidi="ar-SA"/>
        </w:rPr>
        <w:t xml:space="preserve">also </w:t>
      </w:r>
      <w:r w:rsidR="003C26DA">
        <w:rPr>
          <w:rFonts w:eastAsia="Calibri"/>
          <w:lang w:bidi="ar-SA"/>
        </w:rPr>
        <w:t>undertakes</w:t>
      </w:r>
      <w:r w:rsidR="003C26DA" w:rsidRPr="00127734">
        <w:rPr>
          <w:rFonts w:eastAsia="Calibri"/>
          <w:lang w:bidi="ar-SA"/>
        </w:rPr>
        <w:t xml:space="preserve"> </w:t>
      </w:r>
      <w:r w:rsidR="00E27D26" w:rsidRPr="00127734">
        <w:rPr>
          <w:rFonts w:eastAsia="Calibri"/>
          <w:lang w:bidi="ar-SA"/>
        </w:rPr>
        <w:t>dietary surveys and safety assessments and manages and enforces chemical contaminants in domestic and imported food.</w:t>
      </w:r>
    </w:p>
    <w:p w:rsidR="0078541C" w:rsidRPr="0078541C" w:rsidRDefault="00251C52" w:rsidP="007F6373">
      <w:pPr>
        <w:pStyle w:val="Heading3"/>
        <w:rPr>
          <w:rFonts w:eastAsia="Calibri"/>
        </w:rPr>
      </w:pPr>
      <w:bookmarkStart w:id="249" w:name="_Toc403377555"/>
      <w:bookmarkStart w:id="250" w:name="_Toc403394320"/>
      <w:r>
        <w:rPr>
          <w:rFonts w:eastAsia="Calibri"/>
        </w:rPr>
        <w:t xml:space="preserve">5.2.4 </w:t>
      </w:r>
      <w:r>
        <w:rPr>
          <w:rFonts w:eastAsia="Calibri"/>
        </w:rPr>
        <w:tab/>
      </w:r>
      <w:r w:rsidR="0078541C" w:rsidRPr="0078541C">
        <w:rPr>
          <w:rFonts w:eastAsia="Calibri"/>
        </w:rPr>
        <w:t>International requirements</w:t>
      </w:r>
      <w:bookmarkEnd w:id="249"/>
      <w:bookmarkEnd w:id="250"/>
      <w:r w:rsidR="0078541C" w:rsidRPr="0078541C">
        <w:rPr>
          <w:rFonts w:eastAsia="Calibri"/>
        </w:rPr>
        <w:t xml:space="preserve"> </w:t>
      </w:r>
    </w:p>
    <w:p w:rsidR="0078541C" w:rsidRPr="0078541C" w:rsidRDefault="0078541C" w:rsidP="007F6373">
      <w:pPr>
        <w:rPr>
          <w:rFonts w:eastAsia="Calibri"/>
          <w:lang w:bidi="ar-SA"/>
        </w:rPr>
      </w:pPr>
      <w:r w:rsidRPr="0078541C">
        <w:rPr>
          <w:rFonts w:eastAsia="Calibri"/>
          <w:lang w:bidi="ar-SA"/>
        </w:rPr>
        <w:t>Internationally, systems regulating CMPF include one or more of the following: general safety requirements, mandatory</w:t>
      </w:r>
      <w:r w:rsidR="00E50E4B">
        <w:rPr>
          <w:rFonts w:eastAsia="Calibri"/>
          <w:lang w:bidi="ar-SA"/>
        </w:rPr>
        <w:t>/voluntary</w:t>
      </w:r>
      <w:r w:rsidRPr="0078541C">
        <w:rPr>
          <w:rFonts w:eastAsia="Calibri"/>
          <w:lang w:bidi="ar-SA"/>
        </w:rPr>
        <w:t xml:space="preserve"> positive lists</w:t>
      </w:r>
      <w:r w:rsidR="009365E0">
        <w:rPr>
          <w:rFonts w:eastAsia="Calibri"/>
          <w:lang w:bidi="ar-SA"/>
        </w:rPr>
        <w:t xml:space="preserve"> </w:t>
      </w:r>
      <w:r w:rsidR="00E50E4B">
        <w:rPr>
          <w:rFonts w:eastAsia="Calibri"/>
          <w:lang w:bidi="ar-SA"/>
        </w:rPr>
        <w:t xml:space="preserve">that allow the use </w:t>
      </w:r>
      <w:r w:rsidR="009365E0">
        <w:rPr>
          <w:rFonts w:eastAsia="Calibri"/>
          <w:lang w:bidi="ar-SA"/>
        </w:rPr>
        <w:t>of chemicals</w:t>
      </w:r>
      <w:r w:rsidR="00E50E4B">
        <w:rPr>
          <w:rFonts w:eastAsia="Calibri"/>
          <w:lang w:bidi="ar-SA"/>
        </w:rPr>
        <w:t xml:space="preserve"> at particular levels in packaging or migrating to foods</w:t>
      </w:r>
      <w:r w:rsidRPr="0078541C">
        <w:rPr>
          <w:rFonts w:eastAsia="Calibri"/>
          <w:lang w:bidi="ar-SA"/>
        </w:rPr>
        <w:t>, pre</w:t>
      </w:r>
      <w:r w:rsidR="001C150C">
        <w:rPr>
          <w:rFonts w:eastAsia="Calibri"/>
          <w:lang w:bidi="ar-SA"/>
        </w:rPr>
        <w:t>-</w:t>
      </w:r>
      <w:r w:rsidRPr="0078541C">
        <w:rPr>
          <w:rFonts w:eastAsia="Calibri"/>
          <w:lang w:bidi="ar-SA"/>
        </w:rPr>
        <w:t>clearance requirements</w:t>
      </w:r>
      <w:r w:rsidR="00E50E4B">
        <w:rPr>
          <w:rFonts w:eastAsia="Calibri"/>
          <w:lang w:bidi="ar-SA"/>
        </w:rPr>
        <w:t xml:space="preserve"> for the use of chemicals in packaging;</w:t>
      </w:r>
      <w:r w:rsidRPr="0078541C">
        <w:rPr>
          <w:rFonts w:eastAsia="Calibri"/>
          <w:lang w:bidi="ar-SA"/>
        </w:rPr>
        <w:t xml:space="preserve"> no-objection letters and licensing and</w:t>
      </w:r>
      <w:r w:rsidR="009365E0">
        <w:rPr>
          <w:rFonts w:eastAsia="Calibri"/>
          <w:lang w:bidi="ar-SA"/>
        </w:rPr>
        <w:t>/or registration requirements</w:t>
      </w:r>
      <w:r w:rsidR="00E50E4B">
        <w:rPr>
          <w:rFonts w:eastAsia="Calibri"/>
          <w:lang w:bidi="ar-SA"/>
        </w:rPr>
        <w:t xml:space="preserve"> regulating the use of chemicals in packaging</w:t>
      </w:r>
      <w:r w:rsidR="009365E0">
        <w:rPr>
          <w:rFonts w:eastAsia="Calibri"/>
          <w:lang w:bidi="ar-SA"/>
        </w:rPr>
        <w:t xml:space="preserve">. </w:t>
      </w:r>
      <w:r w:rsidRPr="0078541C">
        <w:rPr>
          <w:rFonts w:eastAsia="Calibri"/>
          <w:lang w:bidi="ar-SA"/>
        </w:rPr>
        <w:t>The physical, chemical and sanitary integrity of food packaging is covered by general safety requirements</w:t>
      </w:r>
      <w:r w:rsidR="00505BAC">
        <w:rPr>
          <w:rFonts w:eastAsia="Calibri"/>
          <w:lang w:bidi="ar-SA"/>
        </w:rPr>
        <w:t xml:space="preserve">. </w:t>
      </w:r>
      <w:r w:rsidRPr="0078541C">
        <w:rPr>
          <w:rFonts w:eastAsia="Calibri"/>
          <w:lang w:bidi="ar-SA"/>
        </w:rPr>
        <w:t xml:space="preserve">The overall tenet </w:t>
      </w:r>
      <w:r w:rsidR="00E50E4B">
        <w:rPr>
          <w:rFonts w:eastAsia="Calibri"/>
          <w:lang w:bidi="ar-SA"/>
        </w:rPr>
        <w:t xml:space="preserve">of general requirements </w:t>
      </w:r>
      <w:r w:rsidRPr="0078541C">
        <w:rPr>
          <w:rFonts w:eastAsia="Calibri"/>
          <w:lang w:bidi="ar-SA"/>
        </w:rPr>
        <w:t>aims to prevent the transfer of substances</w:t>
      </w:r>
      <w:r w:rsidR="00E50E4B">
        <w:rPr>
          <w:rFonts w:eastAsia="Calibri"/>
          <w:lang w:bidi="ar-SA"/>
        </w:rPr>
        <w:t xml:space="preserve"> from packaging to food that may be</w:t>
      </w:r>
      <w:r w:rsidRPr="0078541C">
        <w:rPr>
          <w:rFonts w:eastAsia="Calibri"/>
          <w:lang w:bidi="ar-SA"/>
        </w:rPr>
        <w:t xml:space="preserve"> </w:t>
      </w:r>
      <w:r w:rsidR="009365E0" w:rsidRPr="0078541C">
        <w:rPr>
          <w:rFonts w:eastAsia="Calibri"/>
          <w:lang w:bidi="ar-SA"/>
        </w:rPr>
        <w:t xml:space="preserve">harmful </w:t>
      </w:r>
      <w:r w:rsidRPr="0078541C">
        <w:rPr>
          <w:rFonts w:eastAsia="Calibri"/>
          <w:lang w:bidi="ar-SA"/>
        </w:rPr>
        <w:t xml:space="preserve">to human health or </w:t>
      </w:r>
      <w:r w:rsidR="006548A4">
        <w:rPr>
          <w:rFonts w:eastAsia="Calibri"/>
          <w:lang w:bidi="ar-SA"/>
        </w:rPr>
        <w:t xml:space="preserve">which </w:t>
      </w:r>
      <w:r w:rsidRPr="0078541C">
        <w:rPr>
          <w:rFonts w:eastAsia="Calibri"/>
          <w:lang w:bidi="ar-SA"/>
        </w:rPr>
        <w:t xml:space="preserve">cause unacceptable changes in composition, taste or odour of </w:t>
      </w:r>
      <w:r w:rsidR="00E50E4B">
        <w:rPr>
          <w:rFonts w:eastAsia="Calibri"/>
          <w:lang w:bidi="ar-SA"/>
        </w:rPr>
        <w:t xml:space="preserve">the </w:t>
      </w:r>
      <w:r w:rsidRPr="0078541C">
        <w:rPr>
          <w:rFonts w:eastAsia="Calibri"/>
          <w:lang w:bidi="ar-SA"/>
        </w:rPr>
        <w:t>food</w:t>
      </w:r>
      <w:r w:rsidR="00E50E4B">
        <w:rPr>
          <w:rFonts w:eastAsia="Calibri"/>
          <w:lang w:bidi="ar-SA"/>
        </w:rPr>
        <w:t xml:space="preserve"> in contact with the packaging</w:t>
      </w:r>
      <w:r w:rsidR="00505BAC">
        <w:rPr>
          <w:rFonts w:eastAsia="Calibri"/>
          <w:lang w:bidi="ar-SA"/>
        </w:rPr>
        <w:t xml:space="preserve">. </w:t>
      </w:r>
    </w:p>
    <w:p w:rsidR="0078541C" w:rsidRPr="0078541C" w:rsidRDefault="0078541C" w:rsidP="007F6373">
      <w:pPr>
        <w:rPr>
          <w:rFonts w:eastAsia="Calibri"/>
          <w:lang w:bidi="ar-SA"/>
        </w:rPr>
      </w:pPr>
    </w:p>
    <w:p w:rsidR="0078541C" w:rsidRPr="0078541C" w:rsidRDefault="00E50E4B" w:rsidP="007F6373">
      <w:pPr>
        <w:rPr>
          <w:rFonts w:eastAsia="Calibri"/>
          <w:lang w:bidi="ar-SA"/>
        </w:rPr>
      </w:pPr>
      <w:r>
        <w:rPr>
          <w:rFonts w:eastAsia="Calibri"/>
          <w:lang w:bidi="ar-SA"/>
        </w:rPr>
        <w:t xml:space="preserve">A </w:t>
      </w:r>
      <w:r w:rsidR="0078541C" w:rsidRPr="0078541C">
        <w:rPr>
          <w:rFonts w:eastAsia="Calibri"/>
          <w:lang w:bidi="ar-SA"/>
        </w:rPr>
        <w:t xml:space="preserve">more rigorous and prescriptive </w:t>
      </w:r>
      <w:r>
        <w:rPr>
          <w:rFonts w:eastAsia="Calibri"/>
          <w:lang w:bidi="ar-SA"/>
        </w:rPr>
        <w:t xml:space="preserve">approach to the control of chemicals that may migrate from packaging into foods is adopted by the </w:t>
      </w:r>
      <w:r w:rsidR="0078541C" w:rsidRPr="0078541C">
        <w:rPr>
          <w:rFonts w:eastAsia="Calibri"/>
          <w:lang w:bidi="ar-SA"/>
        </w:rPr>
        <w:t xml:space="preserve">US and EU </w:t>
      </w:r>
      <w:r>
        <w:rPr>
          <w:rFonts w:eastAsia="Calibri"/>
          <w:lang w:bidi="ar-SA"/>
        </w:rPr>
        <w:t xml:space="preserve">in their legislative requirements. </w:t>
      </w:r>
      <w:proofErr w:type="gramStart"/>
      <w:r>
        <w:rPr>
          <w:rFonts w:eastAsia="Calibri"/>
          <w:lang w:bidi="ar-SA"/>
        </w:rPr>
        <w:t>US</w:t>
      </w:r>
      <w:proofErr w:type="gramEnd"/>
      <w:r>
        <w:rPr>
          <w:rFonts w:eastAsia="Calibri"/>
          <w:lang w:bidi="ar-SA"/>
        </w:rPr>
        <w:t xml:space="preserve"> and EU legislation tends to </w:t>
      </w:r>
      <w:r w:rsidR="0078541C" w:rsidRPr="0078541C">
        <w:rPr>
          <w:rFonts w:eastAsia="Calibri"/>
          <w:lang w:bidi="ar-SA"/>
        </w:rPr>
        <w:t xml:space="preserve">form the basis for </w:t>
      </w:r>
      <w:r>
        <w:rPr>
          <w:rFonts w:eastAsia="Calibri"/>
          <w:lang w:bidi="ar-SA"/>
        </w:rPr>
        <w:t xml:space="preserve">other countries’ and </w:t>
      </w:r>
      <w:r w:rsidR="0078541C" w:rsidRPr="0078541C">
        <w:rPr>
          <w:rFonts w:eastAsia="Calibri"/>
          <w:lang w:bidi="ar-SA"/>
        </w:rPr>
        <w:t>international legislation for CMPF. An overview of international requiremen</w:t>
      </w:r>
      <w:r w:rsidR="007E5AE6">
        <w:rPr>
          <w:rFonts w:eastAsia="Calibri"/>
          <w:lang w:bidi="ar-SA"/>
        </w:rPr>
        <w:t xml:space="preserve">ts </w:t>
      </w:r>
      <w:r>
        <w:rPr>
          <w:rFonts w:eastAsia="Calibri"/>
          <w:lang w:bidi="ar-SA"/>
        </w:rPr>
        <w:t xml:space="preserve">in this area </w:t>
      </w:r>
      <w:r w:rsidR="007E5AE6">
        <w:rPr>
          <w:rFonts w:eastAsia="Calibri"/>
          <w:lang w:bidi="ar-SA"/>
        </w:rPr>
        <w:t xml:space="preserve">is provided in </w:t>
      </w:r>
      <w:r w:rsidR="009B48BC">
        <w:rPr>
          <w:rFonts w:eastAsia="Calibri"/>
          <w:lang w:bidi="ar-SA"/>
        </w:rPr>
        <w:t>SD</w:t>
      </w:r>
      <w:r w:rsidR="007E5AE6">
        <w:rPr>
          <w:rFonts w:eastAsia="Calibri"/>
          <w:lang w:bidi="ar-SA"/>
        </w:rPr>
        <w:t>2</w:t>
      </w:r>
      <w:r w:rsidR="0078541C" w:rsidRPr="0078541C">
        <w:rPr>
          <w:rFonts w:eastAsia="Calibri"/>
          <w:lang w:bidi="ar-SA"/>
        </w:rPr>
        <w:t xml:space="preserve">. </w:t>
      </w:r>
    </w:p>
    <w:p w:rsidR="0078541C" w:rsidRPr="0078541C" w:rsidRDefault="0078541C" w:rsidP="007F6373">
      <w:pPr>
        <w:rPr>
          <w:rFonts w:eastAsia="Calibri"/>
          <w:lang w:bidi="ar-SA"/>
        </w:rPr>
      </w:pPr>
    </w:p>
    <w:p w:rsidR="000A6D7F" w:rsidRDefault="00CE4B7B" w:rsidP="007F6373">
      <w:pPr>
        <w:rPr>
          <w:rFonts w:eastAsia="Calibri"/>
          <w:lang w:bidi="ar-SA"/>
        </w:rPr>
      </w:pPr>
      <w:r>
        <w:rPr>
          <w:rFonts w:eastAsia="Calibri"/>
          <w:lang w:bidi="ar-SA"/>
        </w:rPr>
        <w:t xml:space="preserve">There is </w:t>
      </w:r>
      <w:r w:rsidR="005C5859">
        <w:rPr>
          <w:rFonts w:eastAsia="Calibri"/>
          <w:lang w:bidi="ar-SA"/>
        </w:rPr>
        <w:t xml:space="preserve">a </w:t>
      </w:r>
      <w:r>
        <w:rPr>
          <w:rFonts w:eastAsia="Calibri"/>
          <w:lang w:bidi="ar-SA"/>
        </w:rPr>
        <w:t xml:space="preserve">limited </w:t>
      </w:r>
      <w:r w:rsidR="005C5859">
        <w:rPr>
          <w:rFonts w:eastAsia="Calibri"/>
          <w:lang w:bidi="ar-SA"/>
        </w:rPr>
        <w:t xml:space="preserve">amount of </w:t>
      </w:r>
      <w:r>
        <w:rPr>
          <w:rFonts w:eastAsia="Calibri"/>
          <w:lang w:bidi="ar-SA"/>
        </w:rPr>
        <w:t>guidance on CMPF</w:t>
      </w:r>
      <w:r w:rsidR="005C5859">
        <w:rPr>
          <w:rFonts w:eastAsia="Calibri"/>
          <w:lang w:bidi="ar-SA"/>
        </w:rPr>
        <w:t xml:space="preserve"> through the standards and guidelines developed through the Codex Alimentarius Commission (Codex), which establishes international food standards and guidelines to protect public health and safety and facilitate trade in food</w:t>
      </w:r>
      <w:r>
        <w:rPr>
          <w:rFonts w:eastAsia="Calibri"/>
          <w:lang w:bidi="ar-SA"/>
        </w:rPr>
        <w:t>. T</w:t>
      </w:r>
      <w:r w:rsidR="000A6D7F">
        <w:rPr>
          <w:rFonts w:eastAsia="Calibri"/>
          <w:lang w:bidi="ar-SA"/>
        </w:rPr>
        <w:t>he Codex General Standard for Contaminants and Toxins in Food and Feed</w:t>
      </w:r>
      <w:r>
        <w:rPr>
          <w:rStyle w:val="FootnoteReference"/>
          <w:rFonts w:eastAsia="Calibri" w:cs="Arial"/>
          <w:sz w:val="24"/>
          <w:lang w:bidi="ar-SA"/>
        </w:rPr>
        <w:footnoteReference w:id="15"/>
      </w:r>
      <w:r>
        <w:rPr>
          <w:rFonts w:eastAsia="Calibri"/>
          <w:lang w:bidi="ar-SA"/>
        </w:rPr>
        <w:t xml:space="preserve"> includes</w:t>
      </w:r>
      <w:r w:rsidRPr="00CE4B7B">
        <w:rPr>
          <w:rFonts w:eastAsia="Calibri"/>
          <w:lang w:bidi="ar-SA"/>
        </w:rPr>
        <w:t xml:space="preserve"> maximum levels </w:t>
      </w:r>
      <w:r>
        <w:rPr>
          <w:rFonts w:eastAsia="Calibri"/>
          <w:lang w:bidi="ar-SA"/>
        </w:rPr>
        <w:t xml:space="preserve">for tin, vinyl chloride and acrylonitrile. </w:t>
      </w:r>
      <w:r w:rsidRPr="0078541C">
        <w:rPr>
          <w:rFonts w:eastAsia="Calibri"/>
          <w:lang w:bidi="ar-SA"/>
        </w:rPr>
        <w:t xml:space="preserve">General packaging requirements are referred to in the Recommended International Code of Practice- General Principles of </w:t>
      </w:r>
      <w:r>
        <w:rPr>
          <w:rFonts w:eastAsia="Calibri"/>
          <w:lang w:bidi="ar-SA"/>
        </w:rPr>
        <w:t>Food Hygiene (</w:t>
      </w:r>
      <w:r w:rsidRPr="000A6D7F">
        <w:rPr>
          <w:rFonts w:eastAsia="Calibri"/>
          <w:lang w:bidi="ar-SA"/>
        </w:rPr>
        <w:t>CAC/RCP 1-1969, Rev. 4-2003</w:t>
      </w:r>
      <w:r>
        <w:rPr>
          <w:rFonts w:eastAsia="Calibri"/>
          <w:lang w:bidi="ar-SA"/>
        </w:rPr>
        <w:t>)</w:t>
      </w:r>
      <w:r w:rsidR="00CE5E61" w:rsidRPr="00CE5E61">
        <w:rPr>
          <w:rStyle w:val="FootnoteReference"/>
          <w:rFonts w:eastAsia="Calibri" w:cs="Arial"/>
          <w:sz w:val="24"/>
          <w:lang w:bidi="ar-SA"/>
        </w:rPr>
        <w:t xml:space="preserve"> </w:t>
      </w:r>
      <w:r w:rsidR="00CE5E61">
        <w:rPr>
          <w:rStyle w:val="FootnoteReference"/>
          <w:rFonts w:eastAsia="Calibri" w:cs="Arial"/>
          <w:sz w:val="24"/>
          <w:lang w:bidi="ar-SA"/>
        </w:rPr>
        <w:footnoteReference w:id="16"/>
      </w:r>
      <w:r>
        <w:rPr>
          <w:rFonts w:eastAsia="Calibri"/>
          <w:lang w:bidi="ar-SA"/>
        </w:rPr>
        <w:t>.</w:t>
      </w:r>
    </w:p>
    <w:p w:rsidR="002420C7" w:rsidRDefault="002420C7" w:rsidP="007F6373">
      <w:pPr>
        <w:rPr>
          <w:rFonts w:eastAsia="Calibri"/>
          <w:lang w:bidi="ar-SA"/>
        </w:rPr>
      </w:pPr>
    </w:p>
    <w:p w:rsidR="0063698E" w:rsidRDefault="0063698E" w:rsidP="00251C52">
      <w:r w:rsidRPr="0078541C">
        <w:t xml:space="preserve">A range of regulations and guidelines for recycled materials exist at the international level for plastics and paper and cardboard </w:t>
      </w:r>
      <w:r>
        <w:t xml:space="preserve">and were </w:t>
      </w:r>
      <w:r w:rsidRPr="0078541C">
        <w:t>reviewed by the A</w:t>
      </w:r>
      <w:r>
        <w:t xml:space="preserve">ustralian </w:t>
      </w:r>
      <w:r w:rsidRPr="0078541C">
        <w:t>P</w:t>
      </w:r>
      <w:r>
        <w:t xml:space="preserve">ackaging </w:t>
      </w:r>
      <w:r w:rsidRPr="0078541C">
        <w:t>C</w:t>
      </w:r>
      <w:r>
        <w:t xml:space="preserve">ovenant (APC, see </w:t>
      </w:r>
      <w:r w:rsidR="00AB2667">
        <w:t>Section 5.2.5</w:t>
      </w:r>
      <w:r>
        <w:t>)</w:t>
      </w:r>
      <w:r w:rsidRPr="0078541C">
        <w:t xml:space="preserve"> </w:t>
      </w:r>
      <w:r>
        <w:t xml:space="preserve">in </w:t>
      </w:r>
      <w:r w:rsidRPr="0078541C">
        <w:t>2014. Th</w:t>
      </w:r>
      <w:r w:rsidR="00733AB5">
        <w:t xml:space="preserve">e review </w:t>
      </w:r>
      <w:r w:rsidRPr="0078541C">
        <w:t xml:space="preserve">suggests that other countries (particularly the US and </w:t>
      </w:r>
      <w:r>
        <w:t xml:space="preserve">the </w:t>
      </w:r>
      <w:r w:rsidRPr="0078541C">
        <w:t>E</w:t>
      </w:r>
      <w:r>
        <w:t>U</w:t>
      </w:r>
      <w:r w:rsidRPr="0078541C">
        <w:t xml:space="preserve">) have </w:t>
      </w:r>
      <w:r w:rsidR="00733AB5">
        <w:t xml:space="preserve">seen the </w:t>
      </w:r>
      <w:r w:rsidRPr="0078541C">
        <w:t xml:space="preserve">need to address the safety of recycled materials used in food applications </w:t>
      </w:r>
      <w:r w:rsidR="00733AB5">
        <w:t xml:space="preserve">by establishing </w:t>
      </w:r>
      <w:r w:rsidRPr="0078541C">
        <w:t>processes to conduct risk assessment</w:t>
      </w:r>
      <w:r>
        <w:t xml:space="preserve">s and enact </w:t>
      </w:r>
      <w:r w:rsidRPr="0078541C">
        <w:t>legislation</w:t>
      </w:r>
      <w:r w:rsidR="00733AB5">
        <w:t>,</w:t>
      </w:r>
      <w:r w:rsidRPr="0078541C">
        <w:t xml:space="preserve"> </w:t>
      </w:r>
      <w:r>
        <w:t>when necessary</w:t>
      </w:r>
      <w:r w:rsidR="00733AB5">
        <w:t>,</w:t>
      </w:r>
      <w:r>
        <w:t xml:space="preserve"> </w:t>
      </w:r>
      <w:r w:rsidRPr="0078541C">
        <w:t xml:space="preserve">to ensure </w:t>
      </w:r>
      <w:r>
        <w:t xml:space="preserve">the management of risks to consumers that may arise from </w:t>
      </w:r>
      <w:r w:rsidRPr="0078541C">
        <w:t>CM</w:t>
      </w:r>
      <w:r w:rsidR="001D6EC5">
        <w:t>PF</w:t>
      </w:r>
      <w:r w:rsidRPr="0078541C">
        <w:t xml:space="preserve">. </w:t>
      </w:r>
    </w:p>
    <w:p w:rsidR="00251C52" w:rsidRDefault="00251C52" w:rsidP="0078541C">
      <w:pPr>
        <w:widowControl/>
        <w:rPr>
          <w:rFonts w:eastAsia="Calibri" w:cs="Arial"/>
          <w:sz w:val="24"/>
          <w:lang w:bidi="ar-SA"/>
        </w:rPr>
      </w:pPr>
    </w:p>
    <w:p w:rsidR="003A7416" w:rsidRPr="00DC28D2" w:rsidRDefault="005E5327" w:rsidP="00DC28D2">
      <w:pPr>
        <w:pStyle w:val="ListParagraph"/>
        <w:widowControl/>
        <w:pBdr>
          <w:top w:val="single" w:sz="4" w:space="1" w:color="auto"/>
          <w:left w:val="single" w:sz="4" w:space="4" w:color="auto"/>
          <w:bottom w:val="single" w:sz="4" w:space="1" w:color="auto"/>
          <w:right w:val="single" w:sz="4" w:space="4" w:color="auto"/>
        </w:pBdr>
        <w:shd w:val="clear" w:color="auto" w:fill="DBE5F1" w:themeFill="accent1" w:themeFillTint="33"/>
        <w:ind w:left="0"/>
        <w:rPr>
          <w:rFonts w:eastAsia="Calibri"/>
          <w:b/>
          <w:i/>
          <w:color w:val="365F91" w:themeColor="accent1" w:themeShade="BF"/>
          <w:lang w:bidi="ar-SA"/>
        </w:rPr>
      </w:pPr>
      <w:r w:rsidRPr="00DC28D2">
        <w:rPr>
          <w:rFonts w:eastAsia="Calibri"/>
          <w:b/>
          <w:i/>
          <w:color w:val="365F91" w:themeColor="accent1" w:themeShade="BF"/>
          <w:lang w:bidi="ar-SA"/>
        </w:rPr>
        <w:t>A response template with all questions in this document is available at Attachment A</w:t>
      </w:r>
    </w:p>
    <w:p w:rsidR="005E5327" w:rsidRPr="007F6373" w:rsidRDefault="005E5327" w:rsidP="00DC28D2">
      <w:pPr>
        <w:pStyle w:val="ListParagraph"/>
        <w:widowControl/>
        <w:pBdr>
          <w:top w:val="single" w:sz="4" w:space="1" w:color="auto"/>
          <w:left w:val="single" w:sz="4" w:space="4" w:color="auto"/>
          <w:bottom w:val="single" w:sz="4" w:space="1" w:color="auto"/>
          <w:right w:val="single" w:sz="4" w:space="4" w:color="auto"/>
        </w:pBdr>
        <w:shd w:val="clear" w:color="auto" w:fill="DBE5F1" w:themeFill="accent1" w:themeFillTint="33"/>
        <w:ind w:left="0" w:firstLine="567"/>
        <w:rPr>
          <w:rFonts w:eastAsia="Calibri"/>
        </w:rPr>
      </w:pPr>
    </w:p>
    <w:p w:rsidR="006A71BE" w:rsidRPr="007F6373" w:rsidRDefault="00714353" w:rsidP="00DC28D2">
      <w:pPr>
        <w:pStyle w:val="ListParagraph"/>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sz w:val="20"/>
        </w:rPr>
      </w:pPr>
      <w:r>
        <w:rPr>
          <w:rFonts w:eastAsia="Calibri"/>
        </w:rPr>
        <w:t>9</w:t>
      </w:r>
      <w:r w:rsidR="009D61AE" w:rsidRPr="007F6373">
        <w:rPr>
          <w:rFonts w:eastAsia="Calibri"/>
        </w:rPr>
        <w:t xml:space="preserve">. </w:t>
      </w:r>
      <w:r w:rsidR="00251C52">
        <w:rPr>
          <w:rFonts w:eastAsia="Calibri"/>
        </w:rPr>
        <w:tab/>
      </w:r>
      <w:r w:rsidR="00DC1882" w:rsidRPr="007F6373">
        <w:rPr>
          <w:rFonts w:eastAsia="Calibri"/>
        </w:rPr>
        <w:t>If you are a packaging or food manufacturer, or industry body</w:t>
      </w:r>
      <w:r w:rsidR="001475DD">
        <w:rPr>
          <w:rFonts w:eastAsia="Calibri"/>
        </w:rPr>
        <w:t>;</w:t>
      </w:r>
      <w:r w:rsidR="002420C7" w:rsidRPr="007F6373">
        <w:rPr>
          <w:rFonts w:eastAsia="Calibri" w:cs="Arial"/>
          <w:lang w:bidi="ar-SA"/>
        </w:rPr>
        <w:t xml:space="preserve"> is </w:t>
      </w:r>
      <w:r w:rsidR="00CB0A13" w:rsidRPr="007F6373">
        <w:rPr>
          <w:rFonts w:eastAsia="Calibri" w:cs="Arial"/>
          <w:lang w:bidi="ar-SA"/>
        </w:rPr>
        <w:t xml:space="preserve">using </w:t>
      </w:r>
      <w:r w:rsidR="002420C7" w:rsidRPr="007F6373">
        <w:rPr>
          <w:rFonts w:eastAsia="Calibri" w:cs="Arial"/>
          <w:lang w:bidi="ar-SA"/>
        </w:rPr>
        <w:t>another</w:t>
      </w:r>
      <w:r w:rsidR="00B40523" w:rsidRPr="007F6373">
        <w:rPr>
          <w:rFonts w:eastAsia="Calibri" w:cs="Arial"/>
          <w:lang w:bidi="ar-SA"/>
        </w:rPr>
        <w:t xml:space="preserve"> countries’ </w:t>
      </w:r>
      <w:r w:rsidR="002420C7" w:rsidRPr="007F6373">
        <w:rPr>
          <w:rFonts w:eastAsia="Calibri" w:cs="Arial"/>
          <w:lang w:bidi="ar-SA"/>
        </w:rPr>
        <w:t>legislation (eg US/EU) suitable to ensure compliance with your customer’s needs?</w:t>
      </w:r>
      <w:r w:rsidR="006A71BE" w:rsidRPr="007F6373">
        <w:rPr>
          <w:sz w:val="20"/>
        </w:rPr>
        <w:t xml:space="preserve"> </w:t>
      </w:r>
    </w:p>
    <w:p w:rsidR="006A71BE" w:rsidRPr="007F6373" w:rsidRDefault="006A71BE" w:rsidP="00DC28D2">
      <w:pPr>
        <w:pStyle w:val="ListParagraph"/>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sz w:val="20"/>
        </w:rPr>
      </w:pPr>
    </w:p>
    <w:p w:rsidR="002420C7" w:rsidRPr="007F6373" w:rsidRDefault="00714353" w:rsidP="00DC28D2">
      <w:pPr>
        <w:pStyle w:val="ListParagraph"/>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cs="Arial"/>
          <w:lang w:bidi="ar-SA"/>
        </w:rPr>
      </w:pPr>
      <w:r>
        <w:rPr>
          <w:rFonts w:eastAsia="Calibri" w:cs="Arial"/>
          <w:lang w:bidi="ar-SA"/>
        </w:rPr>
        <w:t>10</w:t>
      </w:r>
      <w:r w:rsidR="009D61AE" w:rsidRPr="007F6373">
        <w:rPr>
          <w:rFonts w:eastAsia="Calibri" w:cs="Arial"/>
          <w:lang w:bidi="ar-SA"/>
        </w:rPr>
        <w:t xml:space="preserve">. </w:t>
      </w:r>
      <w:r w:rsidR="00251C52">
        <w:rPr>
          <w:rFonts w:eastAsia="Calibri" w:cs="Arial"/>
          <w:lang w:bidi="ar-SA"/>
        </w:rPr>
        <w:tab/>
      </w:r>
      <w:r w:rsidR="002420C7" w:rsidRPr="007F6373">
        <w:rPr>
          <w:rFonts w:eastAsia="Calibri" w:cs="Arial"/>
          <w:lang w:bidi="ar-SA"/>
        </w:rPr>
        <w:t xml:space="preserve">As a packaging manufacturer or food business, in your experience do </w:t>
      </w:r>
      <w:r w:rsidR="005C5859" w:rsidRPr="007F6373">
        <w:rPr>
          <w:rFonts w:eastAsia="Calibri" w:cs="Arial"/>
          <w:lang w:bidi="ar-SA"/>
        </w:rPr>
        <w:t xml:space="preserve">the </w:t>
      </w:r>
      <w:r w:rsidR="002420C7" w:rsidRPr="007F6373">
        <w:rPr>
          <w:rFonts w:eastAsia="Calibri" w:cs="Arial"/>
          <w:lang w:bidi="ar-SA"/>
        </w:rPr>
        <w:t xml:space="preserve">EU or US requirements or guidelines and CoPs adequately manage risks from CMPF from all recycled materials? </w:t>
      </w:r>
    </w:p>
    <w:p w:rsidR="00292C61" w:rsidRDefault="00292C61" w:rsidP="007F6373">
      <w:pPr>
        <w:pStyle w:val="Heading3"/>
        <w:rPr>
          <w:rFonts w:eastAsia="Calibri"/>
        </w:rPr>
      </w:pPr>
      <w:bookmarkStart w:id="251" w:name="_Toc403377556"/>
      <w:bookmarkStart w:id="252" w:name="_Toc403394321"/>
      <w:r>
        <w:rPr>
          <w:rFonts w:eastAsia="Calibri"/>
        </w:rPr>
        <w:br w:type="page"/>
      </w:r>
    </w:p>
    <w:p w:rsidR="0078541C" w:rsidRPr="0078541C" w:rsidRDefault="00251C52" w:rsidP="007F6373">
      <w:pPr>
        <w:pStyle w:val="Heading3"/>
        <w:rPr>
          <w:rFonts w:eastAsia="Calibri"/>
        </w:rPr>
      </w:pPr>
      <w:r>
        <w:rPr>
          <w:rFonts w:eastAsia="Calibri"/>
        </w:rPr>
        <w:lastRenderedPageBreak/>
        <w:t>5.2.5</w:t>
      </w:r>
      <w:r>
        <w:rPr>
          <w:rFonts w:eastAsia="Calibri"/>
        </w:rPr>
        <w:tab/>
      </w:r>
      <w:r w:rsidR="0078541C" w:rsidRPr="0078541C">
        <w:rPr>
          <w:rFonts w:eastAsia="Calibri"/>
        </w:rPr>
        <w:t>Co-regulatory approach</w:t>
      </w:r>
      <w:r w:rsidR="0078541C" w:rsidRPr="0078541C">
        <w:t xml:space="preserve"> - The </w:t>
      </w:r>
      <w:r w:rsidR="0078541C" w:rsidRPr="0078541C">
        <w:rPr>
          <w:rFonts w:eastAsia="Calibri"/>
        </w:rPr>
        <w:t>Australian Packaging Covenant</w:t>
      </w:r>
      <w:bookmarkEnd w:id="251"/>
      <w:bookmarkEnd w:id="252"/>
      <w:r w:rsidR="0078541C" w:rsidRPr="0078541C">
        <w:rPr>
          <w:rFonts w:eastAsia="Calibri"/>
        </w:rPr>
        <w:t xml:space="preserve"> </w:t>
      </w:r>
    </w:p>
    <w:p w:rsidR="0078541C" w:rsidRDefault="0078541C" w:rsidP="007F6373">
      <w:pPr>
        <w:rPr>
          <w:rFonts w:eastAsia="Calibri"/>
          <w:lang w:bidi="ar-SA"/>
        </w:rPr>
      </w:pPr>
      <w:r w:rsidRPr="0078541C">
        <w:rPr>
          <w:lang w:val="en"/>
        </w:rPr>
        <w:t xml:space="preserve">Co-regulation is an </w:t>
      </w:r>
      <w:r w:rsidRPr="0078541C">
        <w:rPr>
          <w:color w:val="222222"/>
        </w:rPr>
        <w:t>agreement between government, industry and community groups which can provide a</w:t>
      </w:r>
      <w:r w:rsidRPr="0078541C">
        <w:rPr>
          <w:lang w:val="en"/>
        </w:rPr>
        <w:t xml:space="preserve"> more flexible way for industry to achieve </w:t>
      </w:r>
      <w:r w:rsidR="00205792">
        <w:rPr>
          <w:lang w:val="en"/>
        </w:rPr>
        <w:t xml:space="preserve">compliance with </w:t>
      </w:r>
      <w:r w:rsidRPr="0078541C">
        <w:rPr>
          <w:lang w:val="en"/>
        </w:rPr>
        <w:t>best practice standards</w:t>
      </w:r>
      <w:r w:rsidR="0088161A">
        <w:rPr>
          <w:rStyle w:val="FootnoteReference"/>
          <w:rFonts w:cs="Arial"/>
          <w:color w:val="000000"/>
          <w:sz w:val="24"/>
          <w:lang w:val="en"/>
        </w:rPr>
        <w:footnoteReference w:id="17"/>
      </w:r>
      <w:r w:rsidRPr="0078541C">
        <w:rPr>
          <w:lang w:val="en"/>
        </w:rPr>
        <w:t xml:space="preserve">. The </w:t>
      </w:r>
      <w:r w:rsidR="00DD1AA1">
        <w:rPr>
          <w:lang w:val="en"/>
        </w:rPr>
        <w:t>Australian Packaging Covenant (</w:t>
      </w:r>
      <w:r w:rsidRPr="0078541C">
        <w:rPr>
          <w:rFonts w:eastAsia="Calibri"/>
          <w:lang w:bidi="ar-SA"/>
        </w:rPr>
        <w:t>APC</w:t>
      </w:r>
      <w:r w:rsidR="00DD1AA1">
        <w:rPr>
          <w:rFonts w:eastAsia="Calibri"/>
          <w:lang w:bidi="ar-SA"/>
        </w:rPr>
        <w:t>)</w:t>
      </w:r>
      <w:r w:rsidRPr="0078541C">
        <w:rPr>
          <w:rStyle w:val="FootnoteReference"/>
          <w:rFonts w:eastAsia="Calibri"/>
          <w:i/>
          <w:sz w:val="24"/>
          <w:lang w:bidi="ar-SA"/>
        </w:rPr>
        <w:footnoteReference w:id="18"/>
      </w:r>
      <w:r w:rsidRPr="0078541C">
        <w:rPr>
          <w:rFonts w:eastAsia="Calibri"/>
          <w:i/>
          <w:lang w:bidi="ar-SA"/>
        </w:rPr>
        <w:t xml:space="preserve"> </w:t>
      </w:r>
      <w:r w:rsidRPr="0078541C">
        <w:rPr>
          <w:lang w:val="en"/>
        </w:rPr>
        <w:t xml:space="preserve">is an example of </w:t>
      </w:r>
      <w:r w:rsidR="0063698E">
        <w:rPr>
          <w:lang w:val="en"/>
        </w:rPr>
        <w:t>a co-regulatory approach</w:t>
      </w:r>
      <w:r w:rsidRPr="0078541C">
        <w:rPr>
          <w:lang w:val="en"/>
        </w:rPr>
        <w:t xml:space="preserve">. </w:t>
      </w:r>
      <w:r w:rsidRPr="0078541C">
        <w:rPr>
          <w:rFonts w:eastAsia="Calibri"/>
          <w:lang w:bidi="ar-SA"/>
        </w:rPr>
        <w:t xml:space="preserve">The APC is a sustainable packaging initiative </w:t>
      </w:r>
      <w:r w:rsidR="006548A4">
        <w:rPr>
          <w:rFonts w:eastAsia="Calibri"/>
          <w:lang w:bidi="ar-SA"/>
        </w:rPr>
        <w:t xml:space="preserve">developed </w:t>
      </w:r>
      <w:r w:rsidR="00B31AD7">
        <w:rPr>
          <w:rFonts w:eastAsia="Calibri"/>
          <w:lang w:bidi="ar-SA"/>
        </w:rPr>
        <w:t xml:space="preserve">collaboratively </w:t>
      </w:r>
      <w:r w:rsidR="006548A4">
        <w:rPr>
          <w:rFonts w:eastAsia="Calibri"/>
          <w:lang w:bidi="ar-SA"/>
        </w:rPr>
        <w:t xml:space="preserve">by </w:t>
      </w:r>
      <w:r w:rsidR="00B31AD7">
        <w:rPr>
          <w:rFonts w:eastAsia="Calibri"/>
          <w:lang w:bidi="ar-SA"/>
        </w:rPr>
        <w:t xml:space="preserve">industry, non-government organisations and </w:t>
      </w:r>
      <w:r w:rsidR="006548A4">
        <w:rPr>
          <w:rFonts w:eastAsia="Calibri"/>
          <w:lang w:bidi="ar-SA"/>
        </w:rPr>
        <w:t xml:space="preserve">local, state and </w:t>
      </w:r>
      <w:r w:rsidR="00B31AD7">
        <w:rPr>
          <w:rFonts w:eastAsia="Calibri"/>
          <w:lang w:bidi="ar-SA"/>
        </w:rPr>
        <w:t>federal</w:t>
      </w:r>
      <w:r w:rsidR="006548A4">
        <w:rPr>
          <w:rFonts w:eastAsia="Calibri"/>
          <w:lang w:bidi="ar-SA"/>
        </w:rPr>
        <w:t xml:space="preserve"> government </w:t>
      </w:r>
      <w:r w:rsidR="00B31AD7">
        <w:rPr>
          <w:rFonts w:eastAsia="Calibri"/>
          <w:lang w:bidi="ar-SA"/>
        </w:rPr>
        <w:t>(environment) agencies and departments. It</w:t>
      </w:r>
      <w:r w:rsidRPr="0078541C">
        <w:rPr>
          <w:rFonts w:eastAsia="Calibri"/>
          <w:lang w:bidi="ar-SA"/>
        </w:rPr>
        <w:t xml:space="preserve"> aims to change the culture of business to design more sustainable packaging, increase recycling rates and reduce packaging litter. The APC provides useful general guidance on the use of recycled materials in food contact applications</w:t>
      </w:r>
      <w:r w:rsidRPr="0078541C">
        <w:rPr>
          <w:rStyle w:val="FootnoteReference"/>
          <w:rFonts w:eastAsia="Calibri"/>
          <w:sz w:val="24"/>
          <w:lang w:bidi="ar-SA"/>
        </w:rPr>
        <w:footnoteReference w:id="19"/>
      </w:r>
      <w:r w:rsidRPr="0078541C">
        <w:rPr>
          <w:rFonts w:eastAsia="Calibri"/>
          <w:lang w:bidi="ar-SA"/>
        </w:rPr>
        <w:t>. However, there are no specific recommendations regarding CMPF</w:t>
      </w:r>
      <w:r w:rsidR="00205792">
        <w:rPr>
          <w:rFonts w:eastAsia="Calibri"/>
          <w:lang w:bidi="ar-SA"/>
        </w:rPr>
        <w:t xml:space="preserve"> and </w:t>
      </w:r>
      <w:r w:rsidR="00DD1AA1">
        <w:rPr>
          <w:rFonts w:eastAsia="Calibri"/>
          <w:lang w:bidi="ar-SA"/>
        </w:rPr>
        <w:t xml:space="preserve">managing </w:t>
      </w:r>
      <w:r w:rsidR="00205792">
        <w:rPr>
          <w:rFonts w:eastAsia="Calibri"/>
          <w:lang w:bidi="ar-SA"/>
        </w:rPr>
        <w:t>their food safety risks</w:t>
      </w:r>
      <w:r w:rsidRPr="0078541C">
        <w:rPr>
          <w:rFonts w:eastAsia="Calibri"/>
          <w:lang w:bidi="ar-SA"/>
        </w:rPr>
        <w:t xml:space="preserve">. </w:t>
      </w:r>
    </w:p>
    <w:p w:rsidR="006D653B" w:rsidRDefault="006D653B" w:rsidP="00251C52">
      <w:pPr>
        <w:rPr>
          <w:rFonts w:eastAsia="Calibri"/>
          <w:lang w:bidi="ar-SA"/>
        </w:rPr>
      </w:pPr>
    </w:p>
    <w:p w:rsidR="0078541C" w:rsidRPr="0078541C" w:rsidRDefault="0078541C" w:rsidP="00251C52">
      <w:r w:rsidRPr="0078541C">
        <w:t>A recent guide</w:t>
      </w:r>
      <w:r w:rsidRPr="0078541C">
        <w:rPr>
          <w:rStyle w:val="FootnoteReference"/>
          <w:sz w:val="24"/>
        </w:rPr>
        <w:footnoteReference w:id="20"/>
      </w:r>
      <w:r w:rsidRPr="0078541C">
        <w:t xml:space="preserve"> on the use of recycled materials in food contact applications was produced under the auspices of the APC which focused on:</w:t>
      </w:r>
    </w:p>
    <w:p w:rsidR="0078541C" w:rsidRPr="0078541C" w:rsidRDefault="0078541C" w:rsidP="00251C52"/>
    <w:p w:rsidR="0078541C" w:rsidRPr="0078541C" w:rsidRDefault="00DD1AA1" w:rsidP="007F6373">
      <w:pPr>
        <w:pStyle w:val="FSBullet1"/>
      </w:pPr>
      <w:r>
        <w:t>p</w:t>
      </w:r>
      <w:r w:rsidR="0078541C" w:rsidRPr="0078541C">
        <w:t xml:space="preserve">otential opportunities and barriers to the use of recycled materials in primary, secondary and tertiary packaging </w:t>
      </w:r>
    </w:p>
    <w:p w:rsidR="0078541C" w:rsidRPr="0078541C" w:rsidRDefault="00DD1AA1" w:rsidP="007F6373">
      <w:pPr>
        <w:pStyle w:val="FSBullet1"/>
      </w:pPr>
      <w:r>
        <w:t>c</w:t>
      </w:r>
      <w:r w:rsidR="0078541C" w:rsidRPr="0078541C">
        <w:t>onsiderations and issues when using recycled materials</w:t>
      </w:r>
    </w:p>
    <w:p w:rsidR="0078541C" w:rsidRPr="0078541C" w:rsidRDefault="00DD1AA1" w:rsidP="007F6373">
      <w:pPr>
        <w:pStyle w:val="FSBullet1"/>
      </w:pPr>
      <w:proofErr w:type="gramStart"/>
      <w:r>
        <w:t>s</w:t>
      </w:r>
      <w:r w:rsidR="0078541C" w:rsidRPr="0078541C">
        <w:t>tandards</w:t>
      </w:r>
      <w:proofErr w:type="gramEnd"/>
      <w:r w:rsidR="0078541C" w:rsidRPr="0078541C">
        <w:t xml:space="preserve"> and guidelines for recycled materials. </w:t>
      </w:r>
    </w:p>
    <w:p w:rsidR="0078541C" w:rsidRPr="007F6373" w:rsidRDefault="0078541C" w:rsidP="00251C52">
      <w:pPr>
        <w:rPr>
          <w:rStyle w:val="Hyperlink"/>
          <w:color w:val="auto"/>
          <w:u w:val="none"/>
        </w:rPr>
      </w:pPr>
    </w:p>
    <w:p w:rsidR="00EC05B7" w:rsidRDefault="00073A02" w:rsidP="00251C52">
      <w:r>
        <w:t>T</w:t>
      </w:r>
      <w:r w:rsidR="0078541C" w:rsidRPr="0078541C">
        <w:t>he APC</w:t>
      </w:r>
      <w:r w:rsidR="00293862">
        <w:t xml:space="preserve"> </w:t>
      </w:r>
      <w:r>
        <w:t xml:space="preserve">also </w:t>
      </w:r>
      <w:r w:rsidR="0078541C" w:rsidRPr="0078541C">
        <w:t xml:space="preserve">identified a range of issues to consider when incorporating recycled materials into food packaging. These consisted of consideration of the chemical composition of packaging materials, source of recycled material, the process of recycling, percentage of recycled product, packaging production process, filling process, type of food product, product application and use, storage conditions and knowledge of methodologies to ensure food safety for the selected packaging. </w:t>
      </w:r>
    </w:p>
    <w:p w:rsidR="008271A2" w:rsidRDefault="008271A2" w:rsidP="00251C52"/>
    <w:p w:rsidR="003A7416" w:rsidRPr="00DC28D2" w:rsidRDefault="005E5327"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b/>
          <w:i/>
          <w:color w:val="365F91" w:themeColor="accent1" w:themeShade="BF"/>
          <w:lang w:bidi="ar-SA"/>
        </w:rPr>
      </w:pPr>
      <w:bookmarkStart w:id="253" w:name="_Toc396315626"/>
      <w:bookmarkStart w:id="254" w:name="_Toc396732672"/>
      <w:bookmarkStart w:id="255" w:name="_Toc397520946"/>
      <w:bookmarkStart w:id="256" w:name="_Toc398192231"/>
      <w:bookmarkStart w:id="257" w:name="_Toc398192320"/>
      <w:bookmarkStart w:id="258" w:name="_Toc402281370"/>
      <w:r w:rsidRPr="00DC28D2">
        <w:rPr>
          <w:rFonts w:eastAsia="Calibri"/>
          <w:b/>
          <w:i/>
          <w:color w:val="365F91" w:themeColor="accent1" w:themeShade="BF"/>
          <w:lang w:bidi="ar-SA"/>
        </w:rPr>
        <w:t>A response template with</w:t>
      </w:r>
      <w:r w:rsidR="003A7416" w:rsidRPr="00DC28D2">
        <w:rPr>
          <w:rFonts w:eastAsia="Calibri"/>
          <w:b/>
          <w:i/>
          <w:color w:val="365F91" w:themeColor="accent1" w:themeShade="BF"/>
          <w:lang w:bidi="ar-SA"/>
        </w:rPr>
        <w:t xml:space="preserve"> all questions in this document is available at Attachment </w:t>
      </w:r>
      <w:r w:rsidR="009B48BC" w:rsidRPr="00DC28D2">
        <w:rPr>
          <w:rFonts w:eastAsia="Calibri"/>
          <w:b/>
          <w:i/>
          <w:color w:val="365F91" w:themeColor="accent1" w:themeShade="BF"/>
          <w:lang w:bidi="ar-SA"/>
        </w:rPr>
        <w:t>A</w:t>
      </w:r>
    </w:p>
    <w:p w:rsidR="008271A2" w:rsidRPr="007F6373" w:rsidRDefault="008271A2"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i/>
          <w:color w:val="4F81BD" w:themeColor="accent1"/>
          <w:lang w:bidi="ar-SA"/>
        </w:rPr>
      </w:pPr>
    </w:p>
    <w:p w:rsidR="002420C7" w:rsidRPr="007F6373" w:rsidRDefault="009D61AE" w:rsidP="00DC28D2">
      <w:pPr>
        <w:pStyle w:val="Heading3"/>
        <w:pBdr>
          <w:top w:val="single" w:sz="4" w:space="1" w:color="auto"/>
          <w:left w:val="single" w:sz="4" w:space="4" w:color="auto"/>
          <w:bottom w:val="single" w:sz="4" w:space="1" w:color="auto"/>
          <w:right w:val="single" w:sz="4" w:space="4" w:color="auto"/>
        </w:pBdr>
        <w:shd w:val="clear" w:color="auto" w:fill="DBE5F1" w:themeFill="accent1" w:themeFillTint="33"/>
        <w:spacing w:before="0" w:after="0"/>
        <w:ind w:left="567" w:hanging="567"/>
        <w:rPr>
          <w:b w:val="0"/>
          <w:lang w:val="en-AU"/>
        </w:rPr>
      </w:pPr>
      <w:bookmarkStart w:id="259" w:name="_Toc402367243"/>
      <w:bookmarkStart w:id="260" w:name="_Toc402450627"/>
      <w:bookmarkStart w:id="261" w:name="_Toc403377557"/>
      <w:bookmarkStart w:id="262" w:name="_Toc403394322"/>
      <w:r w:rsidRPr="007F6373">
        <w:rPr>
          <w:b w:val="0"/>
          <w:lang w:val="en-AU"/>
        </w:rPr>
        <w:t>1</w:t>
      </w:r>
      <w:r w:rsidR="00714353">
        <w:rPr>
          <w:b w:val="0"/>
          <w:lang w:val="en-AU"/>
        </w:rPr>
        <w:t>1</w:t>
      </w:r>
      <w:r w:rsidRPr="007F6373">
        <w:rPr>
          <w:b w:val="0"/>
          <w:lang w:val="en-AU"/>
        </w:rPr>
        <w:t>.</w:t>
      </w:r>
      <w:r w:rsidR="008271A2">
        <w:rPr>
          <w:b w:val="0"/>
          <w:lang w:val="en-AU"/>
        </w:rPr>
        <w:tab/>
      </w:r>
      <w:r w:rsidR="00865A68" w:rsidRPr="007F6373">
        <w:rPr>
          <w:b w:val="0"/>
          <w:lang w:val="en-AU"/>
        </w:rPr>
        <w:t>W</w:t>
      </w:r>
      <w:r w:rsidR="002420C7" w:rsidRPr="007F6373">
        <w:rPr>
          <w:b w:val="0"/>
          <w:lang w:val="en-AU"/>
        </w:rPr>
        <w:t>hat would you see as the advantages and disadvantages of a co-regulatory approach to managing CMPF?</w:t>
      </w:r>
      <w:bookmarkEnd w:id="253"/>
      <w:bookmarkEnd w:id="254"/>
      <w:bookmarkEnd w:id="255"/>
      <w:bookmarkEnd w:id="256"/>
      <w:bookmarkEnd w:id="257"/>
      <w:bookmarkEnd w:id="258"/>
      <w:bookmarkEnd w:id="259"/>
      <w:bookmarkEnd w:id="260"/>
      <w:bookmarkEnd w:id="261"/>
      <w:bookmarkEnd w:id="262"/>
    </w:p>
    <w:p w:rsidR="00E64C99" w:rsidRPr="0078541C" w:rsidRDefault="00251C52" w:rsidP="007F6373">
      <w:pPr>
        <w:pStyle w:val="Heading2"/>
        <w:rPr>
          <w:lang w:val="en-AU"/>
        </w:rPr>
      </w:pPr>
      <w:bookmarkStart w:id="263" w:name="_Toc396315627"/>
      <w:bookmarkStart w:id="264" w:name="_Toc397520947"/>
      <w:bookmarkStart w:id="265" w:name="_Toc403377558"/>
      <w:bookmarkStart w:id="266" w:name="_Toc403394323"/>
      <w:r>
        <w:rPr>
          <w:lang w:val="en-AU"/>
        </w:rPr>
        <w:t>5.3</w:t>
      </w:r>
      <w:r>
        <w:rPr>
          <w:lang w:val="en-AU"/>
        </w:rPr>
        <w:tab/>
      </w:r>
      <w:r w:rsidR="00E64C99" w:rsidRPr="0078541C">
        <w:rPr>
          <w:lang w:val="en-AU"/>
        </w:rPr>
        <w:t>Non-regulatory control measures</w:t>
      </w:r>
      <w:bookmarkEnd w:id="248"/>
      <w:bookmarkEnd w:id="263"/>
      <w:bookmarkEnd w:id="264"/>
      <w:bookmarkEnd w:id="265"/>
      <w:bookmarkEnd w:id="266"/>
    </w:p>
    <w:p w:rsidR="00DE47EC" w:rsidRDefault="009365E0" w:rsidP="007F6373">
      <w:pPr>
        <w:rPr>
          <w:rFonts w:eastAsia="Calibri"/>
          <w:lang w:bidi="ar-SA"/>
        </w:rPr>
      </w:pPr>
      <w:r>
        <w:rPr>
          <w:lang w:val="en-US" w:eastAsia="en-GB" w:bidi="ar-SA"/>
        </w:rPr>
        <w:t xml:space="preserve">Voluntary </w:t>
      </w:r>
      <w:r w:rsidR="00DD1AA1">
        <w:rPr>
          <w:lang w:val="en-US" w:eastAsia="en-GB" w:bidi="ar-SA"/>
        </w:rPr>
        <w:t>s</w:t>
      </w:r>
      <w:r w:rsidR="00DE47EC" w:rsidRPr="0078541C">
        <w:rPr>
          <w:lang w:val="en-US" w:eastAsia="en-GB" w:bidi="ar-SA"/>
        </w:rPr>
        <w:t xml:space="preserve">tandards are voluntary consensus documents </w:t>
      </w:r>
      <w:r w:rsidR="00865BA0">
        <w:rPr>
          <w:lang w:val="en-US" w:eastAsia="en-GB" w:bidi="ar-SA"/>
        </w:rPr>
        <w:t xml:space="preserve">developed by industry sectors that </w:t>
      </w:r>
      <w:r w:rsidR="00DE47EC" w:rsidRPr="0078541C">
        <w:rPr>
          <w:lang w:val="en-US" w:eastAsia="en-GB" w:bidi="ar-SA"/>
        </w:rPr>
        <w:t xml:space="preserve">provide another </w:t>
      </w:r>
      <w:r w:rsidR="00733AB5">
        <w:rPr>
          <w:lang w:val="en-US" w:eastAsia="en-GB" w:bidi="ar-SA"/>
        </w:rPr>
        <w:t xml:space="preserve">risk </w:t>
      </w:r>
      <w:r w:rsidR="00865BA0">
        <w:rPr>
          <w:lang w:val="en-US" w:eastAsia="en-GB" w:bidi="ar-SA"/>
        </w:rPr>
        <w:t xml:space="preserve">management </w:t>
      </w:r>
      <w:r w:rsidR="00DE47EC" w:rsidRPr="0078541C">
        <w:rPr>
          <w:lang w:val="en-US" w:eastAsia="en-GB" w:bidi="ar-SA"/>
        </w:rPr>
        <w:t>too</w:t>
      </w:r>
      <w:r>
        <w:rPr>
          <w:lang w:val="en-US" w:eastAsia="en-GB" w:bidi="ar-SA"/>
        </w:rPr>
        <w:t xml:space="preserve">l. </w:t>
      </w:r>
      <w:r w:rsidR="003C7CCE" w:rsidRPr="0078541C">
        <w:rPr>
          <w:lang w:val="en-US" w:eastAsia="en-GB" w:bidi="ar-SA"/>
        </w:rPr>
        <w:t xml:space="preserve">A range of </w:t>
      </w:r>
      <w:r w:rsidR="0076063E" w:rsidRPr="0078541C">
        <w:rPr>
          <w:lang w:val="en-US" w:eastAsia="en-GB" w:bidi="ar-SA"/>
        </w:rPr>
        <w:t xml:space="preserve">specific </w:t>
      </w:r>
      <w:r w:rsidR="00DD1AA1">
        <w:rPr>
          <w:lang w:val="en-US" w:eastAsia="en-GB" w:bidi="ar-SA"/>
        </w:rPr>
        <w:t>s</w:t>
      </w:r>
      <w:r w:rsidR="0076063E" w:rsidRPr="0078541C">
        <w:rPr>
          <w:lang w:val="en-US" w:eastAsia="en-GB" w:bidi="ar-SA"/>
        </w:rPr>
        <w:t>tandards for packaging of food exist</w:t>
      </w:r>
      <w:r w:rsidR="0076063E" w:rsidRPr="0078541C">
        <w:rPr>
          <w:rStyle w:val="FootnoteReference"/>
          <w:rFonts w:cs="Arial"/>
          <w:color w:val="343434"/>
          <w:sz w:val="24"/>
          <w:lang w:val="en-US" w:eastAsia="en-GB" w:bidi="ar-SA"/>
        </w:rPr>
        <w:footnoteReference w:id="21"/>
      </w:r>
      <w:r w:rsidR="0076063E" w:rsidRPr="0078541C">
        <w:rPr>
          <w:lang w:val="en-US" w:eastAsia="en-GB" w:bidi="ar-SA"/>
        </w:rPr>
        <w:t xml:space="preserve">, such as </w:t>
      </w:r>
      <w:r w:rsidR="00B65676">
        <w:rPr>
          <w:lang w:val="en-US" w:eastAsia="en-GB" w:bidi="ar-SA"/>
        </w:rPr>
        <w:t xml:space="preserve">the </w:t>
      </w:r>
      <w:r w:rsidR="00B65676" w:rsidRPr="00C54DEC">
        <w:t>Australian Standard for Plastic Materials for Food Contact Use</w:t>
      </w:r>
      <w:r w:rsidR="00B65676">
        <w:t xml:space="preserve"> </w:t>
      </w:r>
      <w:proofErr w:type="gramStart"/>
      <w:r w:rsidR="00B65676">
        <w:t xml:space="preserve">- </w:t>
      </w:r>
      <w:r w:rsidR="00B65676" w:rsidRPr="0078541C">
        <w:rPr>
          <w:lang w:val="en-US" w:eastAsia="en-GB" w:bidi="ar-SA"/>
        </w:rPr>
        <w:t xml:space="preserve"> </w:t>
      </w:r>
      <w:r w:rsidR="0076063E" w:rsidRPr="0078541C">
        <w:rPr>
          <w:lang w:val="en-US" w:eastAsia="en-GB" w:bidi="ar-SA"/>
        </w:rPr>
        <w:t>AS2070</w:t>
      </w:r>
      <w:proofErr w:type="gramEnd"/>
      <w:r w:rsidR="0076063E" w:rsidRPr="0078541C">
        <w:rPr>
          <w:lang w:val="en-US" w:eastAsia="en-GB" w:bidi="ar-SA"/>
        </w:rPr>
        <w:t>-1999</w:t>
      </w:r>
      <w:r w:rsidR="00B65676">
        <w:rPr>
          <w:lang w:val="en-US" w:eastAsia="en-GB" w:bidi="ar-SA"/>
        </w:rPr>
        <w:t xml:space="preserve"> </w:t>
      </w:r>
      <w:r w:rsidR="0076063E" w:rsidRPr="0078541C">
        <w:rPr>
          <w:lang w:val="en-US" w:eastAsia="en-GB" w:bidi="ar-SA"/>
        </w:rPr>
        <w:t xml:space="preserve"> and </w:t>
      </w:r>
      <w:r w:rsidR="00B65676">
        <w:rPr>
          <w:lang w:val="en-US" w:eastAsia="en-GB" w:bidi="ar-SA"/>
        </w:rPr>
        <w:t xml:space="preserve">Publically Available </w:t>
      </w:r>
      <w:r w:rsidR="00BD5E14">
        <w:rPr>
          <w:lang w:val="en-US" w:eastAsia="en-GB" w:bidi="ar-SA"/>
        </w:rPr>
        <w:t>Specification</w:t>
      </w:r>
      <w:r w:rsidR="00B65676">
        <w:rPr>
          <w:lang w:val="en-US" w:eastAsia="en-GB" w:bidi="ar-SA"/>
        </w:rPr>
        <w:t xml:space="preserve"> (</w:t>
      </w:r>
      <w:r w:rsidR="0076063E" w:rsidRPr="0078541C">
        <w:rPr>
          <w:rFonts w:eastAsia="Calibri"/>
          <w:lang w:bidi="ar-SA"/>
        </w:rPr>
        <w:t>PAS</w:t>
      </w:r>
      <w:r w:rsidR="00B65676">
        <w:rPr>
          <w:rFonts w:eastAsia="Calibri"/>
          <w:lang w:bidi="ar-SA"/>
        </w:rPr>
        <w:t>)</w:t>
      </w:r>
      <w:r w:rsidR="0076063E" w:rsidRPr="0078541C">
        <w:rPr>
          <w:rFonts w:eastAsia="Calibri"/>
          <w:lang w:bidi="ar-SA"/>
        </w:rPr>
        <w:t xml:space="preserve"> 223</w:t>
      </w:r>
      <w:r w:rsidR="00B65676">
        <w:rPr>
          <w:rFonts w:eastAsia="Calibri"/>
          <w:lang w:bidi="ar-SA"/>
        </w:rPr>
        <w:t>:</w:t>
      </w:r>
      <w:r w:rsidR="00BD5E14">
        <w:rPr>
          <w:rFonts w:eastAsia="Calibri"/>
          <w:lang w:bidi="ar-SA"/>
        </w:rPr>
        <w:t xml:space="preserve"> Managing Food Safety for </w:t>
      </w:r>
      <w:r w:rsidR="00C728AF">
        <w:rPr>
          <w:rFonts w:eastAsia="Calibri"/>
          <w:lang w:bidi="ar-SA"/>
        </w:rPr>
        <w:t>Packaging</w:t>
      </w:r>
      <w:r w:rsidR="0076063E" w:rsidRPr="0078541C">
        <w:rPr>
          <w:rFonts w:eastAsia="Calibri"/>
          <w:vertAlign w:val="superscript"/>
          <w:lang w:bidi="ar-SA"/>
        </w:rPr>
        <w:footnoteReference w:id="22"/>
      </w:r>
      <w:r w:rsidR="0078541C">
        <w:rPr>
          <w:rFonts w:eastAsia="Calibri"/>
          <w:lang w:bidi="ar-SA"/>
        </w:rPr>
        <w:t xml:space="preserve"> (</w:t>
      </w:r>
      <w:r w:rsidR="00C728AF">
        <w:rPr>
          <w:rFonts w:eastAsia="Calibri"/>
          <w:lang w:bidi="ar-SA"/>
        </w:rPr>
        <w:t>SD7</w:t>
      </w:r>
      <w:r w:rsidR="0078541C">
        <w:rPr>
          <w:rFonts w:eastAsia="Calibri"/>
          <w:lang w:bidi="ar-SA"/>
        </w:rPr>
        <w:t>).</w:t>
      </w:r>
    </w:p>
    <w:p w:rsidR="00292C61" w:rsidRDefault="00292C61" w:rsidP="007F6373">
      <w:pPr>
        <w:rPr>
          <w:rFonts w:eastAsia="Calibri"/>
          <w:lang w:bidi="ar-SA"/>
        </w:rPr>
      </w:pPr>
      <w:r>
        <w:rPr>
          <w:rFonts w:eastAsia="Calibri"/>
          <w:lang w:bidi="ar-SA"/>
        </w:rPr>
        <w:br w:type="page"/>
      </w:r>
    </w:p>
    <w:p w:rsidR="008271A2" w:rsidRDefault="008271A2" w:rsidP="007F6373">
      <w:pPr>
        <w:rPr>
          <w:rFonts w:eastAsia="Calibri"/>
          <w:lang w:bidi="ar-SA"/>
        </w:rPr>
      </w:pPr>
    </w:p>
    <w:p w:rsidR="007866D3" w:rsidRPr="00DC28D2" w:rsidRDefault="005E5327" w:rsidP="008271A2">
      <w:pPr>
        <w:widowControl/>
        <w:pBdr>
          <w:top w:val="single" w:sz="4" w:space="1" w:color="auto"/>
          <w:left w:val="single" w:sz="4" w:space="4" w:color="auto"/>
          <w:bottom w:val="single" w:sz="4" w:space="1" w:color="auto"/>
          <w:right w:val="single" w:sz="4" w:space="4" w:color="auto"/>
        </w:pBdr>
        <w:shd w:val="clear" w:color="auto" w:fill="B6DDE8" w:themeFill="accent5" w:themeFillTint="66"/>
        <w:rPr>
          <w:rFonts w:eastAsia="Calibri"/>
          <w:b/>
          <w:i/>
          <w:color w:val="365F91" w:themeColor="accent1" w:themeShade="BF"/>
          <w:lang w:bidi="ar-SA"/>
        </w:rPr>
      </w:pPr>
      <w:r w:rsidRPr="00DC28D2">
        <w:rPr>
          <w:rFonts w:eastAsia="Calibri"/>
          <w:b/>
          <w:i/>
          <w:color w:val="365F91" w:themeColor="accent1" w:themeShade="BF"/>
          <w:lang w:bidi="ar-SA"/>
        </w:rPr>
        <w:t>A response template with all questions in this document is available at Attachment A</w:t>
      </w:r>
    </w:p>
    <w:p w:rsidR="005E5327" w:rsidRPr="007F6373" w:rsidRDefault="005E5327"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lang w:bidi="ar-SA"/>
        </w:rPr>
      </w:pPr>
    </w:p>
    <w:p w:rsidR="004F6DC8" w:rsidRDefault="009D61AE" w:rsidP="00DC28D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ind w:left="567" w:hanging="567"/>
        <w:rPr>
          <w:rFonts w:eastAsia="Calibri"/>
          <w:lang w:bidi="ar-SA"/>
        </w:rPr>
      </w:pPr>
      <w:r w:rsidRPr="007F6373">
        <w:rPr>
          <w:rFonts w:eastAsia="Calibri"/>
          <w:lang w:bidi="ar-SA"/>
        </w:rPr>
        <w:t>1</w:t>
      </w:r>
      <w:r w:rsidR="00714353">
        <w:rPr>
          <w:rFonts w:eastAsia="Calibri"/>
          <w:lang w:bidi="ar-SA"/>
        </w:rPr>
        <w:t>2</w:t>
      </w:r>
      <w:r w:rsidRPr="007F6373">
        <w:rPr>
          <w:rFonts w:eastAsia="Calibri"/>
          <w:lang w:bidi="ar-SA"/>
        </w:rPr>
        <w:t xml:space="preserve">. </w:t>
      </w:r>
      <w:r w:rsidR="008271A2">
        <w:rPr>
          <w:rFonts w:eastAsia="Calibri"/>
          <w:lang w:bidi="ar-SA"/>
        </w:rPr>
        <w:tab/>
      </w:r>
      <w:r w:rsidR="00865A68" w:rsidRPr="007F6373">
        <w:rPr>
          <w:rFonts w:eastAsia="Calibri"/>
          <w:lang w:bidi="ar-SA"/>
        </w:rPr>
        <w:t>D</w:t>
      </w:r>
      <w:r w:rsidR="004F6DC8" w:rsidRPr="007F6373">
        <w:rPr>
          <w:rFonts w:eastAsia="Calibri"/>
          <w:lang w:bidi="ar-SA"/>
        </w:rPr>
        <w:t xml:space="preserve">oes </w:t>
      </w:r>
      <w:r w:rsidR="00C728AF" w:rsidRPr="007F6373">
        <w:t xml:space="preserve">Australian Standard for Plastic Materials for Food Contact Use - </w:t>
      </w:r>
      <w:r w:rsidR="004F6DC8" w:rsidRPr="007F6373">
        <w:rPr>
          <w:rFonts w:eastAsia="Calibri"/>
          <w:lang w:bidi="ar-SA"/>
        </w:rPr>
        <w:t xml:space="preserve">AS2070-1999 supply useful guidance to industry? </w:t>
      </w:r>
    </w:p>
    <w:p w:rsidR="008271A2" w:rsidRPr="007F6373" w:rsidRDefault="008271A2" w:rsidP="00DC28D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ind w:left="567" w:hanging="567"/>
        <w:rPr>
          <w:rFonts w:cs="Arial"/>
          <w:color w:val="343434"/>
          <w:lang w:val="en-US" w:eastAsia="en-GB" w:bidi="ar-SA"/>
        </w:rPr>
      </w:pPr>
    </w:p>
    <w:p w:rsidR="004F6DC8" w:rsidRPr="007F6373" w:rsidRDefault="009D61AE" w:rsidP="00DC28D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ind w:left="567" w:hanging="567"/>
        <w:rPr>
          <w:rFonts w:cs="Arial"/>
          <w:color w:val="343434"/>
          <w:lang w:val="en-US" w:eastAsia="en-GB" w:bidi="ar-SA"/>
        </w:rPr>
      </w:pPr>
      <w:r w:rsidRPr="007F6373">
        <w:rPr>
          <w:rFonts w:eastAsia="Calibri"/>
          <w:lang w:bidi="ar-SA"/>
        </w:rPr>
        <w:t>1</w:t>
      </w:r>
      <w:r w:rsidR="00714353">
        <w:rPr>
          <w:rFonts w:eastAsia="Calibri"/>
          <w:lang w:bidi="ar-SA"/>
        </w:rPr>
        <w:t>3</w:t>
      </w:r>
      <w:r w:rsidRPr="007F6373">
        <w:rPr>
          <w:rFonts w:eastAsia="Calibri"/>
          <w:lang w:bidi="ar-SA"/>
        </w:rPr>
        <w:t xml:space="preserve">. </w:t>
      </w:r>
      <w:r w:rsidR="008271A2">
        <w:rPr>
          <w:rFonts w:eastAsia="Calibri"/>
          <w:lang w:bidi="ar-SA"/>
        </w:rPr>
        <w:tab/>
      </w:r>
      <w:r w:rsidR="004F6DC8" w:rsidRPr="007F6373">
        <w:rPr>
          <w:rFonts w:eastAsia="Calibri"/>
          <w:lang w:bidi="ar-SA"/>
        </w:rPr>
        <w:t xml:space="preserve">For food businesses, are there other pertinent </w:t>
      </w:r>
      <w:r w:rsidR="00D65858" w:rsidRPr="007F6373">
        <w:rPr>
          <w:rFonts w:eastAsia="Calibri"/>
          <w:lang w:bidi="ar-SA"/>
        </w:rPr>
        <w:t xml:space="preserve">voluntary </w:t>
      </w:r>
      <w:r w:rsidR="004F6DC8" w:rsidRPr="007F6373">
        <w:rPr>
          <w:rFonts w:eastAsia="Calibri"/>
          <w:lang w:bidi="ar-SA"/>
        </w:rPr>
        <w:t xml:space="preserve">industry standards </w:t>
      </w:r>
      <w:r w:rsidR="00D65858" w:rsidRPr="007F6373">
        <w:rPr>
          <w:rFonts w:eastAsia="Calibri"/>
          <w:lang w:bidi="ar-SA"/>
        </w:rPr>
        <w:t xml:space="preserve">or similar </w:t>
      </w:r>
      <w:r w:rsidR="004F6DC8" w:rsidRPr="007F6373">
        <w:rPr>
          <w:rFonts w:eastAsia="Calibri"/>
          <w:lang w:bidi="ar-SA"/>
        </w:rPr>
        <w:t xml:space="preserve">(Australian/New Zealand or International) that you reference and adhere to regularly? </w:t>
      </w:r>
    </w:p>
    <w:p w:rsidR="008271A2" w:rsidRDefault="008271A2" w:rsidP="007F6373">
      <w:pPr>
        <w:rPr>
          <w:rFonts w:eastAsia="Calibri"/>
          <w:lang w:bidi="ar-SA"/>
        </w:rPr>
      </w:pPr>
    </w:p>
    <w:p w:rsidR="00E64C99" w:rsidRPr="0078541C" w:rsidRDefault="0050144C" w:rsidP="007F6373">
      <w:pPr>
        <w:rPr>
          <w:rFonts w:cs="Arial"/>
          <w:lang w:val="en-AU" w:bidi="ar-SA"/>
        </w:rPr>
      </w:pPr>
      <w:r>
        <w:rPr>
          <w:rFonts w:eastAsia="Calibri"/>
          <w:lang w:bidi="ar-SA"/>
        </w:rPr>
        <w:t>C</w:t>
      </w:r>
      <w:r w:rsidR="008271A2">
        <w:rPr>
          <w:rFonts w:eastAsia="Calibri"/>
          <w:lang w:bidi="ar-SA"/>
        </w:rPr>
        <w:t>oPs</w:t>
      </w:r>
      <w:r w:rsidRPr="0078541C">
        <w:rPr>
          <w:rFonts w:eastAsia="Calibri"/>
          <w:lang w:bidi="ar-SA"/>
        </w:rPr>
        <w:t xml:space="preserve"> </w:t>
      </w:r>
      <w:r>
        <w:rPr>
          <w:rFonts w:eastAsia="Calibri"/>
          <w:lang w:bidi="ar-SA"/>
        </w:rPr>
        <w:t xml:space="preserve">and voluntary standards </w:t>
      </w:r>
      <w:r w:rsidR="00E64C99" w:rsidRPr="0078541C">
        <w:rPr>
          <w:rFonts w:eastAsia="Calibri"/>
          <w:lang w:bidi="ar-SA"/>
        </w:rPr>
        <w:t xml:space="preserve">may </w:t>
      </w:r>
      <w:r w:rsidR="0078541C">
        <w:rPr>
          <w:rFonts w:eastAsia="Calibri"/>
          <w:lang w:bidi="ar-SA"/>
        </w:rPr>
        <w:t xml:space="preserve">also </w:t>
      </w:r>
      <w:r w:rsidR="00E64C99" w:rsidRPr="0078541C">
        <w:rPr>
          <w:rFonts w:eastAsia="Calibri"/>
          <w:lang w:bidi="ar-SA"/>
        </w:rPr>
        <w:t>be u</w:t>
      </w:r>
      <w:r w:rsidR="00DD1AA1">
        <w:rPr>
          <w:rFonts w:eastAsia="Calibri"/>
          <w:lang w:bidi="ar-SA"/>
        </w:rPr>
        <w:t xml:space="preserve">sed </w:t>
      </w:r>
      <w:r w:rsidR="00E64C99" w:rsidRPr="0078541C">
        <w:rPr>
          <w:rFonts w:eastAsia="Calibri"/>
          <w:lang w:bidi="ar-SA"/>
        </w:rPr>
        <w:t xml:space="preserve">by </w:t>
      </w:r>
      <w:r w:rsidR="00894E21">
        <w:rPr>
          <w:rFonts w:eastAsia="Calibri"/>
          <w:lang w:bidi="ar-SA"/>
        </w:rPr>
        <w:t xml:space="preserve">food packaging </w:t>
      </w:r>
      <w:r w:rsidR="00E64C99" w:rsidRPr="0078541C">
        <w:rPr>
          <w:rFonts w:eastAsia="Calibri"/>
          <w:lang w:bidi="ar-SA"/>
        </w:rPr>
        <w:t>business</w:t>
      </w:r>
      <w:r w:rsidR="00894E21">
        <w:rPr>
          <w:rFonts w:eastAsia="Calibri"/>
          <w:lang w:bidi="ar-SA"/>
        </w:rPr>
        <w:t>es</w:t>
      </w:r>
      <w:r w:rsidR="00DC1882">
        <w:rPr>
          <w:rFonts w:eastAsia="Calibri"/>
          <w:lang w:bidi="ar-SA"/>
        </w:rPr>
        <w:t xml:space="preserve">, including the Australian Standard – Plastics materials for food contact use (AS 2070-1999), the APC and the Publically </w:t>
      </w:r>
      <w:r w:rsidR="00D65858">
        <w:rPr>
          <w:rFonts w:eastAsia="Calibri"/>
          <w:lang w:bidi="ar-SA"/>
        </w:rPr>
        <w:t>Available</w:t>
      </w:r>
      <w:r w:rsidR="00DC1882">
        <w:rPr>
          <w:rFonts w:eastAsia="Calibri"/>
          <w:lang w:bidi="ar-SA"/>
        </w:rPr>
        <w:t xml:space="preserve"> </w:t>
      </w:r>
      <w:r w:rsidR="00D65858">
        <w:rPr>
          <w:rFonts w:eastAsia="Calibri"/>
          <w:lang w:bidi="ar-SA"/>
        </w:rPr>
        <w:t>Specification</w:t>
      </w:r>
      <w:r w:rsidR="00DC1882">
        <w:rPr>
          <w:rFonts w:eastAsia="Calibri"/>
          <w:lang w:bidi="ar-SA"/>
        </w:rPr>
        <w:t xml:space="preserve"> (PAS) 223:  Managing Food Safety for </w:t>
      </w:r>
      <w:r w:rsidR="00D65858">
        <w:rPr>
          <w:rFonts w:eastAsia="Calibri"/>
          <w:lang w:bidi="ar-SA"/>
        </w:rPr>
        <w:t>Packaging</w:t>
      </w:r>
      <w:r w:rsidR="00E64C99" w:rsidRPr="0078541C">
        <w:rPr>
          <w:rFonts w:eastAsia="Calibri"/>
          <w:lang w:bidi="ar-SA"/>
        </w:rPr>
        <w:t xml:space="preserve"> (</w:t>
      </w:r>
      <w:r w:rsidR="000D095A">
        <w:rPr>
          <w:rFonts w:eastAsia="Calibri"/>
          <w:lang w:bidi="ar-SA"/>
        </w:rPr>
        <w:t xml:space="preserve">see </w:t>
      </w:r>
      <w:r w:rsidR="009B48BC">
        <w:rPr>
          <w:rFonts w:eastAsia="Calibri"/>
          <w:lang w:bidi="ar-SA"/>
        </w:rPr>
        <w:t>SD</w:t>
      </w:r>
      <w:r w:rsidR="00C463B0">
        <w:rPr>
          <w:rFonts w:eastAsia="Calibri"/>
          <w:lang w:bidi="ar-SA"/>
        </w:rPr>
        <w:t>7</w:t>
      </w:r>
      <w:r w:rsidR="00E64C99" w:rsidRPr="0078541C">
        <w:rPr>
          <w:rFonts w:eastAsia="Calibri"/>
          <w:lang w:bidi="ar-SA"/>
        </w:rPr>
        <w:t xml:space="preserve">). </w:t>
      </w:r>
      <w:r w:rsidR="00E64C99" w:rsidRPr="0078541C">
        <w:rPr>
          <w:rFonts w:cs="Arial"/>
          <w:lang w:val="en-AU" w:bidi="ar-SA"/>
        </w:rPr>
        <w:t xml:space="preserve">From industry consultations to date, </w:t>
      </w:r>
      <w:r w:rsidR="00894E21">
        <w:rPr>
          <w:rFonts w:cs="Arial"/>
          <w:lang w:val="en-AU" w:bidi="ar-SA"/>
        </w:rPr>
        <w:t xml:space="preserve">FSANZ </w:t>
      </w:r>
      <w:r w:rsidR="00E64C99" w:rsidRPr="0078541C">
        <w:rPr>
          <w:rFonts w:cs="Arial"/>
          <w:lang w:val="en-AU" w:bidi="ar-SA"/>
        </w:rPr>
        <w:t>understand</w:t>
      </w:r>
      <w:r w:rsidR="00DD1AA1">
        <w:rPr>
          <w:rFonts w:cs="Arial"/>
          <w:lang w:val="en-AU" w:bidi="ar-SA"/>
        </w:rPr>
        <w:t>s</w:t>
      </w:r>
      <w:r w:rsidR="00E64C99" w:rsidRPr="0078541C">
        <w:rPr>
          <w:rFonts w:cs="Arial"/>
          <w:lang w:val="en-AU" w:bidi="ar-SA"/>
        </w:rPr>
        <w:t xml:space="preserve"> that some parts of industry (i.e. larger packaging manufacturers and food businesses) observe legislative requirements in other countries and voluntary </w:t>
      </w:r>
      <w:r w:rsidR="00DD1AA1">
        <w:rPr>
          <w:rFonts w:cs="Arial"/>
          <w:lang w:val="en-AU" w:bidi="ar-SA"/>
        </w:rPr>
        <w:t>c</w:t>
      </w:r>
      <w:r w:rsidR="00E64C99" w:rsidRPr="0078541C">
        <w:rPr>
          <w:rFonts w:cs="Arial"/>
          <w:lang w:val="en-AU" w:bidi="ar-SA"/>
        </w:rPr>
        <w:t xml:space="preserve">odes of </w:t>
      </w:r>
      <w:r w:rsidR="00DD1AA1">
        <w:rPr>
          <w:rFonts w:cs="Arial"/>
          <w:lang w:val="en-AU" w:bidi="ar-SA"/>
        </w:rPr>
        <w:t>p</w:t>
      </w:r>
      <w:r w:rsidR="00E64C99" w:rsidRPr="0078541C">
        <w:rPr>
          <w:rFonts w:cs="Arial"/>
          <w:lang w:val="en-AU" w:bidi="ar-SA"/>
        </w:rPr>
        <w:t>ractice and guidelines</w:t>
      </w:r>
      <w:r w:rsidR="00894E21">
        <w:rPr>
          <w:rFonts w:cs="Arial"/>
          <w:lang w:val="en-AU" w:bidi="ar-SA"/>
        </w:rPr>
        <w:t xml:space="preserve"> to ensure a</w:t>
      </w:r>
      <w:r w:rsidR="00E64C99" w:rsidRPr="0078541C">
        <w:rPr>
          <w:rFonts w:cs="Arial"/>
          <w:lang w:val="en-AU" w:bidi="ar-SA"/>
        </w:rPr>
        <w:t xml:space="preserve"> tightly controlled environment. However, smaller, less experienced businesses may not necessarily be aware of these </w:t>
      </w:r>
      <w:r w:rsidR="001841E9">
        <w:rPr>
          <w:rFonts w:cs="Arial"/>
          <w:lang w:val="en-AU" w:bidi="ar-SA"/>
        </w:rPr>
        <w:t xml:space="preserve">measures </w:t>
      </w:r>
      <w:r w:rsidR="00E64C99" w:rsidRPr="0078541C">
        <w:rPr>
          <w:rFonts w:cs="Arial"/>
          <w:lang w:val="en-AU" w:bidi="ar-SA"/>
        </w:rPr>
        <w:t xml:space="preserve">that are available to mitigate </w:t>
      </w:r>
      <w:r w:rsidR="00894E21">
        <w:rPr>
          <w:rFonts w:cs="Arial"/>
          <w:lang w:val="en-AU" w:bidi="ar-SA"/>
        </w:rPr>
        <w:t xml:space="preserve">the </w:t>
      </w:r>
      <w:r w:rsidR="00E64C99" w:rsidRPr="0078541C">
        <w:rPr>
          <w:rFonts w:cs="Arial"/>
          <w:lang w:val="en-AU" w:bidi="ar-SA"/>
        </w:rPr>
        <w:t xml:space="preserve">risks from CMPF. </w:t>
      </w:r>
    </w:p>
    <w:p w:rsidR="00E64C99" w:rsidRPr="0078541C" w:rsidRDefault="00E64C99" w:rsidP="007F6373">
      <w:pPr>
        <w:rPr>
          <w:rFonts w:cs="Arial"/>
          <w:lang w:val="en-AU" w:bidi="ar-SA"/>
        </w:rPr>
      </w:pPr>
    </w:p>
    <w:p w:rsidR="00E64C99" w:rsidRPr="0078541C" w:rsidRDefault="00894E21" w:rsidP="007F6373">
      <w:pPr>
        <w:rPr>
          <w:rFonts w:eastAsia="Calibri"/>
          <w:lang w:bidi="ar-SA"/>
        </w:rPr>
      </w:pPr>
      <w:r>
        <w:rPr>
          <w:rFonts w:eastAsia="Calibri"/>
          <w:lang w:bidi="ar-SA"/>
        </w:rPr>
        <w:t xml:space="preserve">A recent survey undertaken by </w:t>
      </w:r>
      <w:r w:rsidR="00E64C99" w:rsidRPr="0078541C">
        <w:rPr>
          <w:rFonts w:eastAsia="Calibri"/>
          <w:lang w:bidi="ar-SA"/>
        </w:rPr>
        <w:t xml:space="preserve">FSANZ </w:t>
      </w:r>
      <w:r>
        <w:rPr>
          <w:rFonts w:eastAsia="Calibri"/>
          <w:lang w:bidi="ar-SA"/>
        </w:rPr>
        <w:t xml:space="preserve">shows that </w:t>
      </w:r>
      <w:r w:rsidR="00E64C99" w:rsidRPr="0078541C">
        <w:rPr>
          <w:rFonts w:eastAsia="Calibri"/>
          <w:lang w:bidi="ar-SA"/>
        </w:rPr>
        <w:t xml:space="preserve">the manufacturing and food industry sectors </w:t>
      </w:r>
      <w:r>
        <w:rPr>
          <w:rFonts w:eastAsia="Calibri"/>
          <w:lang w:bidi="ar-SA"/>
        </w:rPr>
        <w:t xml:space="preserve">can </w:t>
      </w:r>
      <w:r w:rsidR="00E64C99" w:rsidRPr="0078541C">
        <w:rPr>
          <w:rFonts w:eastAsia="Calibri"/>
          <w:lang w:bidi="ar-SA"/>
        </w:rPr>
        <w:t>implement a range of general food safety systems which document the processes and checks required to manage all quality and food safety risks/hazards related to the use and manufacture of packaging. In addition, depending on the type of material produced, some manufacturers refer to specific</w:t>
      </w:r>
      <w:r w:rsidR="0078541C">
        <w:rPr>
          <w:rFonts w:eastAsia="Calibri"/>
          <w:lang w:bidi="ar-SA"/>
        </w:rPr>
        <w:t xml:space="preserve"> international</w:t>
      </w:r>
      <w:r w:rsidR="00E64C99" w:rsidRPr="0078541C">
        <w:rPr>
          <w:rFonts w:eastAsia="Calibri"/>
          <w:lang w:bidi="ar-SA"/>
        </w:rPr>
        <w:t xml:space="preserve"> packaging codes of practice, for example: CEPI</w:t>
      </w:r>
      <w:r w:rsidR="00E64C99" w:rsidRPr="0078541C">
        <w:rPr>
          <w:rFonts w:eastAsia="Calibri"/>
          <w:vertAlign w:val="superscript"/>
          <w:lang w:bidi="ar-SA"/>
        </w:rPr>
        <w:footnoteReference w:id="23"/>
      </w:r>
      <w:r w:rsidR="00E64C99" w:rsidRPr="0078541C">
        <w:rPr>
          <w:rFonts w:eastAsia="Calibri"/>
          <w:lang w:bidi="ar-SA"/>
        </w:rPr>
        <w:t xml:space="preserve">, </w:t>
      </w:r>
      <w:proofErr w:type="spellStart"/>
      <w:r w:rsidR="00E64C99" w:rsidRPr="0078541C">
        <w:rPr>
          <w:rFonts w:eastAsia="Calibri"/>
          <w:lang w:bidi="ar-SA"/>
        </w:rPr>
        <w:t>EuPIA</w:t>
      </w:r>
      <w:proofErr w:type="spellEnd"/>
      <w:r w:rsidR="00E64C99" w:rsidRPr="0078541C">
        <w:rPr>
          <w:rFonts w:eastAsia="Calibri"/>
          <w:vertAlign w:val="superscript"/>
          <w:lang w:bidi="ar-SA"/>
        </w:rPr>
        <w:footnoteReference w:id="24"/>
      </w:r>
      <w:r w:rsidR="00A17CAA">
        <w:rPr>
          <w:rFonts w:eastAsia="Calibri"/>
          <w:lang w:bidi="ar-SA"/>
        </w:rPr>
        <w:t xml:space="preserve"> </w:t>
      </w:r>
      <w:r w:rsidR="00E64C99" w:rsidRPr="0078541C">
        <w:rPr>
          <w:rFonts w:eastAsia="Calibri"/>
          <w:lang w:bidi="ar-SA"/>
        </w:rPr>
        <w:t>or their own global companies’ specific standards.</w:t>
      </w:r>
    </w:p>
    <w:p w:rsidR="00703EA9" w:rsidRDefault="008271A2" w:rsidP="007F6373">
      <w:pPr>
        <w:pStyle w:val="Heading2"/>
        <w:rPr>
          <w:rFonts w:eastAsia="Calibri"/>
        </w:rPr>
      </w:pPr>
      <w:bookmarkStart w:id="267" w:name="_Toc403377559"/>
      <w:bookmarkStart w:id="268" w:name="_Toc403394324"/>
      <w:r>
        <w:rPr>
          <w:rFonts w:eastAsia="Calibri"/>
        </w:rPr>
        <w:t>5.4</w:t>
      </w:r>
      <w:r>
        <w:rPr>
          <w:rFonts w:eastAsia="Calibri"/>
        </w:rPr>
        <w:tab/>
      </w:r>
      <w:r w:rsidR="00703EA9">
        <w:rPr>
          <w:rFonts w:eastAsia="Calibri"/>
        </w:rPr>
        <w:t>Understanding current industry practices</w:t>
      </w:r>
      <w:bookmarkEnd w:id="267"/>
      <w:bookmarkEnd w:id="268"/>
    </w:p>
    <w:p w:rsidR="00AC4F80" w:rsidRDefault="00703EA9" w:rsidP="007F6373">
      <w:pPr>
        <w:rPr>
          <w:rFonts w:eastAsia="Calibri" w:cs="Arial"/>
          <w:lang w:bidi="ar-SA"/>
        </w:rPr>
      </w:pPr>
      <w:r>
        <w:rPr>
          <w:rFonts w:eastAsia="Calibri"/>
          <w:lang w:bidi="ar-SA"/>
        </w:rPr>
        <w:t xml:space="preserve">FSANZ </w:t>
      </w:r>
      <w:r w:rsidR="00DD1AA1">
        <w:rPr>
          <w:rFonts w:eastAsia="Calibri"/>
          <w:lang w:bidi="ar-SA"/>
        </w:rPr>
        <w:t xml:space="preserve">is seeking </w:t>
      </w:r>
      <w:r>
        <w:rPr>
          <w:rFonts w:eastAsia="Calibri"/>
          <w:lang w:bidi="ar-SA"/>
        </w:rPr>
        <w:t xml:space="preserve">from all members of the packaging supply chain a </w:t>
      </w:r>
      <w:r w:rsidR="00835665">
        <w:rPr>
          <w:rFonts w:eastAsia="Calibri"/>
          <w:lang w:bidi="ar-SA"/>
        </w:rPr>
        <w:t xml:space="preserve">better </w:t>
      </w:r>
      <w:r>
        <w:rPr>
          <w:rFonts w:eastAsia="Calibri"/>
          <w:lang w:bidi="ar-SA"/>
        </w:rPr>
        <w:t xml:space="preserve">understanding of </w:t>
      </w:r>
      <w:r>
        <w:rPr>
          <w:rFonts w:cs="Arial"/>
          <w:color w:val="000000"/>
          <w:lang w:val="en-AU" w:eastAsia="en-AU" w:bidi="ar-SA"/>
        </w:rPr>
        <w:t xml:space="preserve">current practices </w:t>
      </w:r>
      <w:r w:rsidRPr="00183CF0">
        <w:rPr>
          <w:rFonts w:cs="Arial"/>
          <w:color w:val="000000"/>
          <w:lang w:val="en-AU" w:eastAsia="en-AU" w:bidi="ar-SA"/>
        </w:rPr>
        <w:t>to m</w:t>
      </w:r>
      <w:r w:rsidR="00733AB5">
        <w:rPr>
          <w:rFonts w:cs="Arial"/>
          <w:color w:val="000000"/>
          <w:lang w:val="en-AU" w:eastAsia="en-AU" w:bidi="ar-SA"/>
        </w:rPr>
        <w:t>itigate</w:t>
      </w:r>
      <w:r w:rsidRPr="00183CF0">
        <w:rPr>
          <w:rFonts w:cs="Arial"/>
          <w:color w:val="000000"/>
          <w:lang w:val="en-AU" w:eastAsia="en-AU" w:bidi="ar-SA"/>
        </w:rPr>
        <w:t xml:space="preserve"> risks</w:t>
      </w:r>
      <w:r>
        <w:rPr>
          <w:rFonts w:cs="Arial"/>
          <w:color w:val="000000"/>
          <w:lang w:val="en-AU" w:eastAsia="en-AU" w:bidi="ar-SA"/>
        </w:rPr>
        <w:t xml:space="preserve"> associated with CMPF</w:t>
      </w:r>
      <w:r w:rsidR="00505BAC">
        <w:rPr>
          <w:rFonts w:cs="Arial"/>
          <w:color w:val="000000"/>
          <w:lang w:val="en-AU" w:eastAsia="en-AU" w:bidi="ar-SA"/>
        </w:rPr>
        <w:t xml:space="preserve">. </w:t>
      </w:r>
      <w:r w:rsidR="00DD1AA1">
        <w:rPr>
          <w:rFonts w:cs="Arial"/>
          <w:color w:val="000000"/>
          <w:lang w:val="en-AU" w:eastAsia="en-AU" w:bidi="ar-SA"/>
        </w:rPr>
        <w:t xml:space="preserve">This information will be vital </w:t>
      </w:r>
      <w:r w:rsidR="00733AB5">
        <w:rPr>
          <w:rFonts w:cs="Arial"/>
          <w:color w:val="000000"/>
          <w:lang w:val="en-AU" w:eastAsia="en-AU" w:bidi="ar-SA"/>
        </w:rPr>
        <w:t xml:space="preserve">to further work that will be undertaken </w:t>
      </w:r>
      <w:r w:rsidR="00DD1AA1">
        <w:rPr>
          <w:rFonts w:cs="Arial"/>
          <w:color w:val="000000"/>
          <w:lang w:val="en-AU" w:eastAsia="en-AU" w:bidi="ar-SA"/>
        </w:rPr>
        <w:t xml:space="preserve">for </w:t>
      </w:r>
      <w:r w:rsidR="00733AB5">
        <w:rPr>
          <w:rFonts w:cs="Arial"/>
          <w:color w:val="000000"/>
          <w:lang w:val="en-AU" w:eastAsia="en-AU" w:bidi="ar-SA"/>
        </w:rPr>
        <w:t>this</w:t>
      </w:r>
      <w:r w:rsidR="00DD1AA1">
        <w:rPr>
          <w:rFonts w:cs="Arial"/>
          <w:color w:val="000000"/>
          <w:lang w:val="en-AU" w:eastAsia="en-AU" w:bidi="ar-SA"/>
        </w:rPr>
        <w:t xml:space="preserve"> Proposal. </w:t>
      </w:r>
      <w:r w:rsidR="003A7416">
        <w:t xml:space="preserve">FSANZ has asked a number of questions throughout this document. These questions are summarised in a response template at </w:t>
      </w:r>
      <w:r w:rsidR="003A7416" w:rsidRPr="00DE1786">
        <w:rPr>
          <w:rFonts w:eastAsia="Calibri" w:cs="Arial"/>
          <w:lang w:bidi="ar-SA"/>
        </w:rPr>
        <w:t>Attachment</w:t>
      </w:r>
      <w:r w:rsidR="009B48BC">
        <w:rPr>
          <w:rFonts w:eastAsia="Calibri" w:cs="Arial"/>
          <w:lang w:bidi="ar-SA"/>
        </w:rPr>
        <w:t xml:space="preserve"> A</w:t>
      </w:r>
      <w:r w:rsidR="003A7416" w:rsidRPr="00DE1786">
        <w:rPr>
          <w:rFonts w:eastAsia="Calibri" w:cs="Arial"/>
          <w:lang w:bidi="ar-SA"/>
        </w:rPr>
        <w:t>.</w:t>
      </w:r>
      <w:r w:rsidR="003A7416">
        <w:rPr>
          <w:rFonts w:eastAsia="Calibri" w:cs="Arial"/>
          <w:lang w:bidi="ar-SA"/>
        </w:rPr>
        <w:t xml:space="preserve"> You can use this writable PDF to make your submission. </w:t>
      </w:r>
    </w:p>
    <w:p w:rsidR="008271A2" w:rsidRPr="007F6373" w:rsidRDefault="008271A2" w:rsidP="008271A2">
      <w:pPr>
        <w:rPr>
          <w:rFonts w:eastAsia="Calibri"/>
          <w:sz w:val="20"/>
          <w:lang w:bidi="ar-SA"/>
        </w:rPr>
      </w:pPr>
    </w:p>
    <w:p w:rsidR="00865A68" w:rsidRPr="00DC28D2" w:rsidRDefault="005E5327"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b/>
          <w:i/>
          <w:color w:val="365F91" w:themeColor="accent1" w:themeShade="BF"/>
          <w:lang w:bidi="ar-SA"/>
        </w:rPr>
      </w:pPr>
      <w:r w:rsidRPr="00DC28D2">
        <w:rPr>
          <w:rFonts w:eastAsia="Calibri"/>
          <w:b/>
          <w:i/>
          <w:color w:val="365F91" w:themeColor="accent1" w:themeShade="BF"/>
          <w:lang w:bidi="ar-SA"/>
        </w:rPr>
        <w:t>A response template with all questions in this document is available at Attachment A</w:t>
      </w:r>
    </w:p>
    <w:p w:rsidR="005E5327" w:rsidRPr="007F6373" w:rsidRDefault="005E5327"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lang w:bidi="ar-SA"/>
        </w:rPr>
      </w:pPr>
    </w:p>
    <w:p w:rsidR="00865A68" w:rsidRPr="007F6373" w:rsidRDefault="00865A68"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r w:rsidRPr="007F6373">
        <w:rPr>
          <w:rFonts w:eastAsia="Calibri"/>
          <w:lang w:bidi="ar-SA"/>
        </w:rPr>
        <w:t>1</w:t>
      </w:r>
      <w:r w:rsidR="00714353">
        <w:rPr>
          <w:rFonts w:eastAsia="Calibri"/>
          <w:lang w:bidi="ar-SA"/>
        </w:rPr>
        <w:t>4</w:t>
      </w:r>
      <w:r w:rsidRPr="007F6373">
        <w:rPr>
          <w:rFonts w:eastAsia="Calibri"/>
          <w:lang w:bidi="ar-SA"/>
        </w:rPr>
        <w:t xml:space="preserve">. </w:t>
      </w:r>
      <w:r w:rsidR="008271A2">
        <w:rPr>
          <w:rFonts w:eastAsia="Calibri"/>
          <w:lang w:bidi="ar-SA"/>
        </w:rPr>
        <w:tab/>
      </w:r>
      <w:r w:rsidRPr="007F6373">
        <w:rPr>
          <w:rFonts w:eastAsia="Calibri"/>
          <w:lang w:bidi="ar-SA"/>
        </w:rPr>
        <w:t xml:space="preserve">Would you see </w:t>
      </w:r>
      <w:proofErr w:type="gramStart"/>
      <w:r w:rsidRPr="007F6373">
        <w:rPr>
          <w:rFonts w:eastAsia="Calibri"/>
          <w:lang w:bidi="ar-SA"/>
        </w:rPr>
        <w:t>benefits if a more prescriptive approach to packaging regulations was</w:t>
      </w:r>
      <w:proofErr w:type="gramEnd"/>
      <w:r w:rsidRPr="007F6373">
        <w:rPr>
          <w:rFonts w:eastAsia="Calibri"/>
          <w:lang w:bidi="ar-SA"/>
        </w:rPr>
        <w:t xml:space="preserve"> introduced?</w:t>
      </w:r>
    </w:p>
    <w:p w:rsidR="003A7416" w:rsidRPr="007F6373" w:rsidRDefault="003A7416"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p>
    <w:p w:rsidR="00424F59" w:rsidRPr="007F6373" w:rsidRDefault="00973BA8"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r w:rsidRPr="007F6373">
        <w:rPr>
          <w:rFonts w:eastAsia="Calibri"/>
          <w:lang w:bidi="ar-SA"/>
        </w:rPr>
        <w:t>1</w:t>
      </w:r>
      <w:r w:rsidR="00714353">
        <w:rPr>
          <w:rFonts w:eastAsia="Calibri"/>
          <w:lang w:bidi="ar-SA"/>
        </w:rPr>
        <w:t>5</w:t>
      </w:r>
      <w:r w:rsidRPr="007F6373">
        <w:rPr>
          <w:rFonts w:eastAsia="Calibri"/>
          <w:lang w:bidi="ar-SA"/>
        </w:rPr>
        <w:t xml:space="preserve">. </w:t>
      </w:r>
      <w:r w:rsidR="008271A2">
        <w:rPr>
          <w:rFonts w:eastAsia="Calibri"/>
          <w:lang w:bidi="ar-SA"/>
        </w:rPr>
        <w:tab/>
      </w:r>
      <w:r w:rsidR="003A7416" w:rsidRPr="007F6373">
        <w:rPr>
          <w:rFonts w:eastAsia="Calibri"/>
          <w:lang w:bidi="ar-SA"/>
        </w:rPr>
        <w:t>Regardless of whether you buy or manufacture packaging, d</w:t>
      </w:r>
      <w:r w:rsidR="00424F59" w:rsidRPr="007F6373">
        <w:rPr>
          <w:rFonts w:eastAsia="Calibri"/>
          <w:lang w:bidi="ar-SA"/>
        </w:rPr>
        <w:t xml:space="preserve">o you have a food safety or quality management program </w:t>
      </w:r>
      <w:r w:rsidR="003A7416" w:rsidRPr="007F6373">
        <w:rPr>
          <w:rFonts w:eastAsia="Calibri"/>
          <w:lang w:bidi="ar-SA"/>
        </w:rPr>
        <w:t>for that p</w:t>
      </w:r>
      <w:r w:rsidR="00424F59" w:rsidRPr="007F6373">
        <w:rPr>
          <w:rFonts w:eastAsia="Calibri"/>
          <w:lang w:bidi="ar-SA"/>
        </w:rPr>
        <w:t>ackaging?</w:t>
      </w:r>
    </w:p>
    <w:p w:rsidR="0061600B" w:rsidRPr="007F6373" w:rsidRDefault="0061600B"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p>
    <w:p w:rsidR="0061600B" w:rsidRPr="007F6373" w:rsidRDefault="00973BA8"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r w:rsidRPr="007F6373">
        <w:rPr>
          <w:rFonts w:eastAsia="Calibri"/>
          <w:lang w:bidi="ar-SA"/>
        </w:rPr>
        <w:t>1</w:t>
      </w:r>
      <w:r w:rsidR="00714353">
        <w:rPr>
          <w:rFonts w:eastAsia="Calibri"/>
          <w:lang w:bidi="ar-SA"/>
        </w:rPr>
        <w:t>6</w:t>
      </w:r>
      <w:r w:rsidRPr="007F6373">
        <w:rPr>
          <w:rFonts w:eastAsia="Calibri"/>
          <w:lang w:bidi="ar-SA"/>
        </w:rPr>
        <w:t xml:space="preserve">. </w:t>
      </w:r>
      <w:r w:rsidR="008271A2">
        <w:rPr>
          <w:rFonts w:eastAsia="Calibri"/>
          <w:lang w:bidi="ar-SA"/>
        </w:rPr>
        <w:tab/>
      </w:r>
      <w:r w:rsidR="00424F59" w:rsidRPr="007F6373">
        <w:rPr>
          <w:rFonts w:eastAsia="Calibri"/>
          <w:lang w:bidi="ar-SA"/>
        </w:rPr>
        <w:t xml:space="preserve">What are the key elements </w:t>
      </w:r>
      <w:r w:rsidR="00D65858" w:rsidRPr="007F6373">
        <w:rPr>
          <w:rFonts w:eastAsia="Calibri"/>
          <w:lang w:bidi="ar-SA"/>
        </w:rPr>
        <w:t xml:space="preserve">pertaining to chemical migration from packaging </w:t>
      </w:r>
      <w:r w:rsidR="00424F59" w:rsidRPr="007F6373">
        <w:rPr>
          <w:rFonts w:eastAsia="Calibri"/>
          <w:lang w:bidi="ar-SA"/>
        </w:rPr>
        <w:t xml:space="preserve">of this program (if you have one)?  For example, do you comply with </w:t>
      </w:r>
      <w:r w:rsidR="00F147EE" w:rsidRPr="007F6373">
        <w:rPr>
          <w:rFonts w:eastAsia="Calibri"/>
          <w:lang w:bidi="ar-SA"/>
        </w:rPr>
        <w:t>a</w:t>
      </w:r>
      <w:r w:rsidR="00424F59" w:rsidRPr="007F6373">
        <w:rPr>
          <w:rFonts w:eastAsia="Calibri"/>
          <w:lang w:bidi="ar-SA"/>
        </w:rPr>
        <w:t xml:space="preserve"> </w:t>
      </w:r>
      <w:r w:rsidR="003A7416" w:rsidRPr="007F6373">
        <w:rPr>
          <w:rFonts w:eastAsia="Calibri"/>
          <w:lang w:bidi="ar-SA"/>
        </w:rPr>
        <w:t>c</w:t>
      </w:r>
      <w:r w:rsidR="00424F59" w:rsidRPr="007F6373">
        <w:rPr>
          <w:rFonts w:eastAsia="Calibri"/>
          <w:lang w:bidi="ar-SA"/>
        </w:rPr>
        <w:t xml:space="preserve">ode of </w:t>
      </w:r>
      <w:r w:rsidR="003A7416" w:rsidRPr="007F6373">
        <w:rPr>
          <w:rFonts w:eastAsia="Calibri"/>
          <w:lang w:bidi="ar-SA"/>
        </w:rPr>
        <w:t>p</w:t>
      </w:r>
      <w:r w:rsidR="00424F59" w:rsidRPr="007F6373">
        <w:rPr>
          <w:rFonts w:eastAsia="Calibri"/>
          <w:lang w:bidi="ar-SA"/>
        </w:rPr>
        <w:t>ractice(s)</w:t>
      </w:r>
      <w:r w:rsidR="006D7808" w:rsidRPr="007F6373">
        <w:rPr>
          <w:rFonts w:eastAsia="Calibri"/>
          <w:lang w:bidi="ar-SA"/>
        </w:rPr>
        <w:t xml:space="preserve"> or a speciali</w:t>
      </w:r>
      <w:r w:rsidR="00E77B74" w:rsidRPr="007F6373">
        <w:rPr>
          <w:rFonts w:eastAsia="Calibri"/>
          <w:lang w:bidi="ar-SA"/>
        </w:rPr>
        <w:t>st customised in-house program?</w:t>
      </w:r>
    </w:p>
    <w:p w:rsidR="00AC4F80" w:rsidRPr="007F6373" w:rsidRDefault="00AC4F80">
      <w:pPr>
        <w:widowControl/>
        <w:rPr>
          <w:rFonts w:cs="Arial"/>
        </w:rPr>
      </w:pPr>
      <w:bookmarkStart w:id="269" w:name="_Toc267859700"/>
    </w:p>
    <w:p w:rsidR="00AC4F80" w:rsidRPr="007F6373" w:rsidRDefault="00AC4F80"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i/>
          <w:lang w:bidi="ar-SA"/>
        </w:rPr>
      </w:pPr>
      <w:r w:rsidRPr="007F6373">
        <w:rPr>
          <w:rFonts w:eastAsia="Calibri"/>
          <w:i/>
          <w:lang w:bidi="ar-SA"/>
        </w:rPr>
        <w:t xml:space="preserve">For consideration </w:t>
      </w:r>
      <w:r w:rsidR="00EE157D" w:rsidRPr="007F6373">
        <w:rPr>
          <w:rFonts w:eastAsia="Calibri"/>
          <w:i/>
          <w:lang w:bidi="ar-SA"/>
        </w:rPr>
        <w:t xml:space="preserve">by </w:t>
      </w:r>
      <w:r w:rsidRPr="007F6373">
        <w:rPr>
          <w:rFonts w:eastAsia="Calibri"/>
          <w:i/>
          <w:lang w:bidi="ar-SA"/>
        </w:rPr>
        <w:t>food businesses:</w:t>
      </w:r>
    </w:p>
    <w:p w:rsidR="00AC4F80" w:rsidRPr="007F6373" w:rsidRDefault="00AC4F80"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lang w:bidi="ar-SA"/>
        </w:rPr>
      </w:pPr>
    </w:p>
    <w:p w:rsidR="00AC4F80" w:rsidRPr="007F6373" w:rsidRDefault="00973BA8"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r w:rsidRPr="007F6373">
        <w:rPr>
          <w:rFonts w:eastAsia="Calibri"/>
          <w:lang w:bidi="ar-SA"/>
        </w:rPr>
        <w:t>1</w:t>
      </w:r>
      <w:r w:rsidR="00714353">
        <w:rPr>
          <w:rFonts w:eastAsia="Calibri"/>
          <w:lang w:bidi="ar-SA"/>
        </w:rPr>
        <w:t>7</w:t>
      </w:r>
      <w:r w:rsidRPr="007F6373">
        <w:rPr>
          <w:rFonts w:eastAsia="Calibri"/>
          <w:lang w:bidi="ar-SA"/>
        </w:rPr>
        <w:t xml:space="preserve">. </w:t>
      </w:r>
      <w:r w:rsidR="008271A2">
        <w:rPr>
          <w:rFonts w:eastAsia="Calibri"/>
          <w:lang w:bidi="ar-SA"/>
        </w:rPr>
        <w:tab/>
      </w:r>
      <w:r w:rsidR="00AC4F80" w:rsidRPr="007F6373">
        <w:rPr>
          <w:rFonts w:eastAsia="Calibri"/>
          <w:lang w:bidi="ar-SA"/>
        </w:rPr>
        <w:t xml:space="preserve">What quality assurance and quality controls do you currently use to mitigate risks from CMPF?  </w:t>
      </w:r>
    </w:p>
    <w:p w:rsidR="00AC4F80" w:rsidRPr="007F6373" w:rsidRDefault="00AC4F80"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p>
    <w:p w:rsidR="00AC4F80" w:rsidRPr="007F6373" w:rsidRDefault="00973BA8"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r w:rsidRPr="007F6373">
        <w:rPr>
          <w:rFonts w:eastAsia="Calibri"/>
          <w:lang w:bidi="ar-SA"/>
        </w:rPr>
        <w:t>1</w:t>
      </w:r>
      <w:r w:rsidR="00714353">
        <w:rPr>
          <w:rFonts w:eastAsia="Calibri"/>
          <w:lang w:bidi="ar-SA"/>
        </w:rPr>
        <w:t>8</w:t>
      </w:r>
      <w:r w:rsidRPr="007F6373">
        <w:rPr>
          <w:rFonts w:eastAsia="Calibri"/>
          <w:lang w:bidi="ar-SA"/>
        </w:rPr>
        <w:t xml:space="preserve">. </w:t>
      </w:r>
      <w:r w:rsidR="008271A2">
        <w:rPr>
          <w:rFonts w:eastAsia="Calibri"/>
          <w:lang w:bidi="ar-SA"/>
        </w:rPr>
        <w:tab/>
      </w:r>
      <w:r w:rsidR="00AC4F80" w:rsidRPr="007F6373">
        <w:rPr>
          <w:rFonts w:eastAsia="Calibri"/>
          <w:lang w:bidi="ar-SA"/>
        </w:rPr>
        <w:t>Do you have in-house technical capacity or expertise related to packaging?</w:t>
      </w:r>
    </w:p>
    <w:p w:rsidR="00AC4F80" w:rsidRPr="007F6373" w:rsidRDefault="00AC4F80">
      <w:pPr>
        <w:widowControl/>
        <w:rPr>
          <w:rFonts w:cs="Arial"/>
        </w:rPr>
      </w:pPr>
    </w:p>
    <w:p w:rsidR="00AC4F80" w:rsidRPr="007F6373" w:rsidRDefault="00AC4F80"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i/>
          <w:lang w:bidi="ar-SA"/>
        </w:rPr>
      </w:pPr>
      <w:r w:rsidRPr="007F6373">
        <w:rPr>
          <w:rFonts w:eastAsia="Calibri"/>
          <w:i/>
          <w:lang w:bidi="ar-SA"/>
        </w:rPr>
        <w:t>For</w:t>
      </w:r>
      <w:r w:rsidR="00EE157D" w:rsidRPr="007F6373">
        <w:rPr>
          <w:rFonts w:eastAsia="Calibri"/>
          <w:i/>
          <w:lang w:bidi="ar-SA"/>
        </w:rPr>
        <w:t xml:space="preserve"> consideration by </w:t>
      </w:r>
      <w:r w:rsidRPr="007F6373">
        <w:rPr>
          <w:rFonts w:eastAsia="Calibri"/>
          <w:i/>
          <w:lang w:bidi="ar-SA"/>
        </w:rPr>
        <w:t>pa</w:t>
      </w:r>
      <w:r w:rsidR="00973BA8" w:rsidRPr="007F6373">
        <w:rPr>
          <w:rFonts w:eastAsia="Calibri"/>
          <w:i/>
          <w:lang w:bidi="ar-SA"/>
        </w:rPr>
        <w:t xml:space="preserve">ckaging manufacturer/converters/ suppliers (including importers of packaging) </w:t>
      </w:r>
    </w:p>
    <w:p w:rsidR="00AC4F80" w:rsidRPr="007F6373" w:rsidRDefault="00AC4F80"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rPr>
          <w:rFonts w:eastAsia="Calibri"/>
          <w:lang w:bidi="ar-SA"/>
        </w:rPr>
      </w:pPr>
    </w:p>
    <w:p w:rsidR="00AC4F80" w:rsidRPr="007F6373" w:rsidRDefault="00973BA8"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r w:rsidRPr="007F6373">
        <w:rPr>
          <w:rFonts w:eastAsia="Calibri"/>
          <w:lang w:bidi="ar-SA"/>
        </w:rPr>
        <w:t>1</w:t>
      </w:r>
      <w:r w:rsidR="00714353">
        <w:rPr>
          <w:rFonts w:eastAsia="Calibri"/>
          <w:lang w:bidi="ar-SA"/>
        </w:rPr>
        <w:t>9</w:t>
      </w:r>
      <w:r w:rsidRPr="007F6373">
        <w:rPr>
          <w:rFonts w:eastAsia="Calibri"/>
          <w:lang w:bidi="ar-SA"/>
        </w:rPr>
        <w:t xml:space="preserve">. </w:t>
      </w:r>
      <w:r w:rsidR="008271A2">
        <w:rPr>
          <w:rFonts w:eastAsia="Calibri"/>
          <w:lang w:bidi="ar-SA"/>
        </w:rPr>
        <w:tab/>
      </w:r>
      <w:r w:rsidR="00AC4F80" w:rsidRPr="007F6373">
        <w:rPr>
          <w:rFonts w:eastAsia="Calibri"/>
          <w:lang w:bidi="ar-SA"/>
        </w:rPr>
        <w:t xml:space="preserve">If you print on the materials that you produce, do you have a quality assurance and quality control system (or similar) which includes printing inks and related products (eg. resins, adjuvants, mineral oil)?  </w:t>
      </w:r>
    </w:p>
    <w:p w:rsidR="00AC4F80" w:rsidRPr="007F6373" w:rsidRDefault="00AC4F80"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p>
    <w:p w:rsidR="00AC4F80" w:rsidRPr="007F6373" w:rsidRDefault="00714353"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r>
        <w:rPr>
          <w:rFonts w:eastAsia="Calibri"/>
          <w:lang w:bidi="ar-SA"/>
        </w:rPr>
        <w:t>20</w:t>
      </w:r>
      <w:r w:rsidR="00973BA8" w:rsidRPr="007F6373">
        <w:rPr>
          <w:rFonts w:eastAsia="Calibri"/>
          <w:lang w:bidi="ar-SA"/>
        </w:rPr>
        <w:t xml:space="preserve">. </w:t>
      </w:r>
      <w:r w:rsidR="008271A2">
        <w:rPr>
          <w:rFonts w:eastAsia="Calibri"/>
          <w:lang w:bidi="ar-SA"/>
        </w:rPr>
        <w:tab/>
      </w:r>
      <w:r w:rsidR="00AC4F80" w:rsidRPr="007F6373">
        <w:rPr>
          <w:rFonts w:eastAsia="Calibri"/>
          <w:lang w:bidi="ar-SA"/>
        </w:rPr>
        <w:t>Do your quality assurance/quality control systems consider the end uses of the packa</w:t>
      </w:r>
      <w:r w:rsidR="00973BA8" w:rsidRPr="007F6373">
        <w:rPr>
          <w:rFonts w:eastAsia="Calibri"/>
          <w:lang w:bidi="ar-SA"/>
        </w:rPr>
        <w:t>ging</w:t>
      </w:r>
      <w:r w:rsidR="00AC4F80" w:rsidRPr="007F6373">
        <w:rPr>
          <w:rFonts w:eastAsia="Calibri"/>
          <w:lang w:bidi="ar-SA"/>
        </w:rPr>
        <w:t>?</w:t>
      </w:r>
    </w:p>
    <w:p w:rsidR="00AC4F80" w:rsidRPr="007F6373" w:rsidRDefault="00AC4F80"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p>
    <w:p w:rsidR="00AC4F80" w:rsidRPr="007F6373" w:rsidRDefault="00973BA8"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r w:rsidRPr="007F6373">
        <w:rPr>
          <w:rFonts w:eastAsia="Calibri"/>
          <w:lang w:bidi="ar-SA"/>
        </w:rPr>
        <w:t>2</w:t>
      </w:r>
      <w:r w:rsidR="00714353">
        <w:rPr>
          <w:rFonts w:eastAsia="Calibri"/>
          <w:lang w:bidi="ar-SA"/>
        </w:rPr>
        <w:t>1</w:t>
      </w:r>
      <w:r w:rsidRPr="007F6373">
        <w:rPr>
          <w:rFonts w:eastAsia="Calibri"/>
          <w:lang w:bidi="ar-SA"/>
        </w:rPr>
        <w:t xml:space="preserve">. </w:t>
      </w:r>
      <w:r w:rsidR="008271A2">
        <w:rPr>
          <w:rFonts w:eastAsia="Calibri"/>
          <w:lang w:bidi="ar-SA"/>
        </w:rPr>
        <w:tab/>
      </w:r>
      <w:r w:rsidR="00AC4F80" w:rsidRPr="007F6373">
        <w:rPr>
          <w:rFonts w:eastAsia="Calibri"/>
          <w:lang w:bidi="ar-SA"/>
        </w:rPr>
        <w:t>Do you always prepare a Declaration of Compliance with existing legislation in order to meet your customers’ needs?</w:t>
      </w:r>
    </w:p>
    <w:p w:rsidR="00393855" w:rsidRPr="007F6373" w:rsidRDefault="00393855"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p>
    <w:p w:rsidR="00393855" w:rsidRPr="007F6373" w:rsidRDefault="00973BA8"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r w:rsidRPr="007F6373">
        <w:t>2</w:t>
      </w:r>
      <w:r w:rsidR="00714353">
        <w:t>2</w:t>
      </w:r>
      <w:r w:rsidRPr="007F6373">
        <w:t xml:space="preserve">. </w:t>
      </w:r>
      <w:r w:rsidR="008271A2">
        <w:tab/>
      </w:r>
      <w:r w:rsidR="00393855" w:rsidRPr="007F6373">
        <w:t>As a result of international responses to issues with CMPF (eg. di-2-ethylhexyl adipate (DEHA)), and management measures undertaken by overseas manufacturers (eg. reformulation), have you adopted similar mitigation measures?</w:t>
      </w:r>
    </w:p>
    <w:p w:rsidR="00393855" w:rsidRPr="007F6373" w:rsidRDefault="00393855"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lang w:bidi="ar-SA"/>
        </w:rPr>
      </w:pPr>
    </w:p>
    <w:p w:rsidR="00393855" w:rsidRDefault="00973BA8" w:rsidP="00DC28D2">
      <w:pPr>
        <w:widowControl/>
        <w:pBdr>
          <w:top w:val="single" w:sz="4" w:space="1" w:color="auto"/>
          <w:left w:val="single" w:sz="4" w:space="4" w:color="auto"/>
          <w:bottom w:val="single" w:sz="4" w:space="1" w:color="auto"/>
          <w:right w:val="single" w:sz="4" w:space="4" w:color="auto"/>
        </w:pBdr>
        <w:shd w:val="clear" w:color="auto" w:fill="DBE5F1" w:themeFill="accent1" w:themeFillTint="33"/>
        <w:ind w:left="567" w:hanging="567"/>
        <w:rPr>
          <w:rFonts w:eastAsia="Calibri"/>
          <w:sz w:val="24"/>
          <w:lang w:bidi="ar-SA"/>
        </w:rPr>
      </w:pPr>
      <w:r w:rsidRPr="007F6373">
        <w:t>2</w:t>
      </w:r>
      <w:r w:rsidR="00714353">
        <w:t>3</w:t>
      </w:r>
      <w:r w:rsidRPr="007F6373">
        <w:t xml:space="preserve">. </w:t>
      </w:r>
      <w:r w:rsidR="008271A2">
        <w:tab/>
      </w:r>
      <w:r w:rsidR="00393855" w:rsidRPr="007F6373">
        <w:t xml:space="preserve">Are you aware if semicarbazide is still used in manufacturing of food packaging materials in Australia and/or New Zealand? </w:t>
      </w:r>
    </w:p>
    <w:p w:rsidR="003246A1" w:rsidRDefault="003246A1">
      <w:pPr>
        <w:widowControl/>
        <w:rPr>
          <w:rFonts w:cs="Arial"/>
          <w:sz w:val="24"/>
        </w:rPr>
      </w:pPr>
    </w:p>
    <w:p w:rsidR="00E55393" w:rsidRPr="00D22323" w:rsidRDefault="008271A2" w:rsidP="007F6373">
      <w:pPr>
        <w:pStyle w:val="Heading1"/>
      </w:pPr>
      <w:bookmarkStart w:id="270" w:name="_Toc403377560"/>
      <w:bookmarkStart w:id="271" w:name="_Toc403394325"/>
      <w:r>
        <w:t>6</w:t>
      </w:r>
      <w:r>
        <w:tab/>
      </w:r>
      <w:r w:rsidR="003A7416">
        <w:t>Next steps</w:t>
      </w:r>
      <w:bookmarkEnd w:id="270"/>
      <w:bookmarkEnd w:id="271"/>
      <w:r w:rsidR="003A7416">
        <w:t xml:space="preserve"> </w:t>
      </w:r>
    </w:p>
    <w:p w:rsidR="004773EF" w:rsidRPr="00915EF7" w:rsidRDefault="004773EF" w:rsidP="008271A2">
      <w:r w:rsidRPr="00915EF7">
        <w:t xml:space="preserve">The questions posed in this paper are part of the consultation process to </w:t>
      </w:r>
      <w:r w:rsidR="00151CBD">
        <w:t>help F</w:t>
      </w:r>
      <w:r w:rsidRPr="00915EF7">
        <w:t xml:space="preserve">SANZ </w:t>
      </w:r>
      <w:r w:rsidR="00E83AB2">
        <w:t xml:space="preserve">increase its </w:t>
      </w:r>
      <w:r w:rsidR="00151CBD">
        <w:t>understand</w:t>
      </w:r>
      <w:r w:rsidR="00E83AB2">
        <w:t xml:space="preserve">ing of the food packaging industry, </w:t>
      </w:r>
      <w:r w:rsidR="00151CBD">
        <w:t>w</w:t>
      </w:r>
      <w:r w:rsidRPr="00915EF7">
        <w:t xml:space="preserve">hat </w:t>
      </w:r>
      <w:r w:rsidR="002E4739">
        <w:t xml:space="preserve">risk management </w:t>
      </w:r>
      <w:r w:rsidRPr="00915EF7">
        <w:t>option(s) are the most appropriate for industry and the wider community</w:t>
      </w:r>
      <w:r w:rsidR="002E4739">
        <w:t xml:space="preserve"> in relation to CMPF</w:t>
      </w:r>
      <w:r w:rsidRPr="00915EF7">
        <w:t xml:space="preserve">. </w:t>
      </w:r>
      <w:r w:rsidR="00A37637">
        <w:t>FSANZ</w:t>
      </w:r>
      <w:r w:rsidRPr="00915EF7">
        <w:t xml:space="preserve"> also welcome</w:t>
      </w:r>
      <w:r w:rsidR="00A37637">
        <w:t>s</w:t>
      </w:r>
      <w:r w:rsidRPr="00915EF7">
        <w:t xml:space="preserve"> any other information that </w:t>
      </w:r>
      <w:r w:rsidR="00A37637">
        <w:t xml:space="preserve">stakeholders </w:t>
      </w:r>
      <w:r w:rsidRPr="00915EF7">
        <w:t xml:space="preserve">think would be useful to </w:t>
      </w:r>
      <w:r w:rsidR="00151CBD">
        <w:t xml:space="preserve">further consider </w:t>
      </w:r>
      <w:r w:rsidRPr="00915EF7">
        <w:t>this matter</w:t>
      </w:r>
      <w:r w:rsidR="00505BAC">
        <w:t xml:space="preserve">. </w:t>
      </w:r>
      <w:r w:rsidRPr="00915EF7">
        <w:t xml:space="preserve"> </w:t>
      </w:r>
    </w:p>
    <w:p w:rsidR="004773EF" w:rsidRPr="00915EF7" w:rsidRDefault="004773EF" w:rsidP="008271A2"/>
    <w:p w:rsidR="004773EF" w:rsidRDefault="00A37637" w:rsidP="007F6373">
      <w:pPr>
        <w:rPr>
          <w:rFonts w:eastAsia="Calibri"/>
          <w:lang w:bidi="ar-SA"/>
        </w:rPr>
      </w:pPr>
      <w:r>
        <w:rPr>
          <w:rFonts w:eastAsia="Calibri"/>
          <w:lang w:bidi="ar-SA"/>
        </w:rPr>
        <w:t>FSANZ</w:t>
      </w:r>
      <w:r w:rsidR="004773EF" w:rsidRPr="00915EF7">
        <w:rPr>
          <w:rFonts w:eastAsia="Calibri"/>
          <w:lang w:bidi="ar-SA"/>
        </w:rPr>
        <w:t xml:space="preserve"> will then consider all </w:t>
      </w:r>
      <w:r>
        <w:rPr>
          <w:rFonts w:eastAsia="Calibri"/>
          <w:lang w:bidi="ar-SA"/>
        </w:rPr>
        <w:t xml:space="preserve">of </w:t>
      </w:r>
      <w:r w:rsidR="004773EF" w:rsidRPr="00915EF7">
        <w:rPr>
          <w:rFonts w:eastAsia="Calibri"/>
          <w:lang w:bidi="ar-SA"/>
        </w:rPr>
        <w:t xml:space="preserve">the </w:t>
      </w:r>
      <w:r>
        <w:rPr>
          <w:rFonts w:eastAsia="Calibri"/>
          <w:lang w:bidi="ar-SA"/>
        </w:rPr>
        <w:t xml:space="preserve">available </w:t>
      </w:r>
      <w:r w:rsidR="004773EF" w:rsidRPr="00915EF7">
        <w:rPr>
          <w:rFonts w:eastAsia="Calibri"/>
          <w:lang w:bidi="ar-SA"/>
        </w:rPr>
        <w:t>views</w:t>
      </w:r>
      <w:r>
        <w:rPr>
          <w:rFonts w:eastAsia="Calibri"/>
          <w:lang w:bidi="ar-SA"/>
        </w:rPr>
        <w:t xml:space="preserve"> and evidence and based on this,</w:t>
      </w:r>
      <w:r w:rsidR="004773EF" w:rsidRPr="00915EF7">
        <w:rPr>
          <w:rFonts w:eastAsia="Calibri"/>
          <w:lang w:bidi="ar-SA"/>
        </w:rPr>
        <w:t xml:space="preserve"> identify </w:t>
      </w:r>
      <w:r w:rsidR="004773EF" w:rsidRPr="004773EF">
        <w:rPr>
          <w:rFonts w:eastAsia="Calibri"/>
          <w:lang w:bidi="ar-SA"/>
        </w:rPr>
        <w:t xml:space="preserve">any </w:t>
      </w:r>
      <w:r>
        <w:rPr>
          <w:rFonts w:eastAsia="Calibri"/>
          <w:lang w:bidi="ar-SA"/>
        </w:rPr>
        <w:t xml:space="preserve">public health </w:t>
      </w:r>
      <w:r w:rsidR="004773EF" w:rsidRPr="004773EF">
        <w:rPr>
          <w:rFonts w:eastAsia="Calibri"/>
          <w:lang w:bidi="ar-SA"/>
        </w:rPr>
        <w:t>issues associated with CMPF</w:t>
      </w:r>
      <w:r>
        <w:rPr>
          <w:rFonts w:eastAsia="Calibri"/>
          <w:lang w:bidi="ar-SA"/>
        </w:rPr>
        <w:t xml:space="preserve"> and</w:t>
      </w:r>
      <w:r w:rsidR="004773EF" w:rsidRPr="00915EF7">
        <w:rPr>
          <w:rFonts w:eastAsia="Calibri"/>
          <w:lang w:bidi="ar-SA"/>
        </w:rPr>
        <w:t xml:space="preserve"> </w:t>
      </w:r>
      <w:r>
        <w:rPr>
          <w:rFonts w:eastAsia="Calibri"/>
          <w:lang w:bidi="ar-SA"/>
        </w:rPr>
        <w:t>whether these issues need to be managed through additional measures</w:t>
      </w:r>
      <w:r w:rsidR="004773EF" w:rsidRPr="00915EF7">
        <w:rPr>
          <w:rFonts w:eastAsia="Calibri"/>
          <w:lang w:bidi="ar-SA"/>
        </w:rPr>
        <w:t xml:space="preserve">. If it is decided that </w:t>
      </w:r>
      <w:r w:rsidR="002E4739">
        <w:rPr>
          <w:rFonts w:eastAsia="Calibri"/>
          <w:lang w:bidi="ar-SA"/>
        </w:rPr>
        <w:t>additional</w:t>
      </w:r>
      <w:r w:rsidR="002E4739" w:rsidRPr="004773EF">
        <w:rPr>
          <w:rFonts w:eastAsia="Calibri"/>
          <w:lang w:bidi="ar-SA"/>
        </w:rPr>
        <w:t xml:space="preserve"> </w:t>
      </w:r>
      <w:r w:rsidR="004773EF" w:rsidRPr="004773EF">
        <w:rPr>
          <w:rFonts w:eastAsia="Calibri"/>
          <w:lang w:bidi="ar-SA"/>
        </w:rPr>
        <w:t>regulatory or non-regulatory measures</w:t>
      </w:r>
      <w:r>
        <w:rPr>
          <w:rFonts w:eastAsia="Calibri"/>
          <w:lang w:bidi="ar-SA"/>
        </w:rPr>
        <w:t xml:space="preserve"> are required</w:t>
      </w:r>
      <w:r w:rsidR="004773EF" w:rsidRPr="00915EF7">
        <w:rPr>
          <w:rFonts w:eastAsia="Calibri"/>
          <w:lang w:bidi="ar-SA"/>
        </w:rPr>
        <w:t xml:space="preserve">, </w:t>
      </w:r>
      <w:r>
        <w:rPr>
          <w:rFonts w:eastAsia="Calibri"/>
          <w:lang w:bidi="ar-SA"/>
        </w:rPr>
        <w:t xml:space="preserve">FSANZ </w:t>
      </w:r>
      <w:r w:rsidR="004773EF" w:rsidRPr="00915EF7">
        <w:rPr>
          <w:rFonts w:eastAsia="Calibri"/>
          <w:lang w:bidi="ar-SA"/>
        </w:rPr>
        <w:t xml:space="preserve">will </w:t>
      </w:r>
      <w:r w:rsidR="008737A6">
        <w:rPr>
          <w:rFonts w:eastAsia="Calibri"/>
          <w:lang w:bidi="ar-SA"/>
        </w:rPr>
        <w:t>write</w:t>
      </w:r>
      <w:r>
        <w:rPr>
          <w:rFonts w:eastAsia="Calibri"/>
          <w:lang w:bidi="ar-SA"/>
        </w:rPr>
        <w:t xml:space="preserve"> a detailed report</w:t>
      </w:r>
      <w:r w:rsidR="00376153">
        <w:rPr>
          <w:rFonts w:eastAsia="Calibri"/>
          <w:lang w:bidi="ar-SA"/>
        </w:rPr>
        <w:t xml:space="preserve"> outlining the proposed measures</w:t>
      </w:r>
      <w:r>
        <w:rPr>
          <w:rFonts w:eastAsia="Calibri"/>
          <w:lang w:bidi="ar-SA"/>
        </w:rPr>
        <w:t xml:space="preserve"> that </w:t>
      </w:r>
      <w:r w:rsidR="004773EF" w:rsidRPr="00915EF7">
        <w:rPr>
          <w:rFonts w:eastAsia="Calibri"/>
          <w:lang w:bidi="ar-SA"/>
        </w:rPr>
        <w:t xml:space="preserve">will be released </w:t>
      </w:r>
      <w:r>
        <w:rPr>
          <w:rFonts w:eastAsia="Calibri"/>
          <w:lang w:bidi="ar-SA"/>
        </w:rPr>
        <w:t xml:space="preserve">to the </w:t>
      </w:r>
      <w:r w:rsidR="004773EF" w:rsidRPr="00915EF7">
        <w:rPr>
          <w:rFonts w:eastAsia="Calibri"/>
          <w:lang w:bidi="ar-SA"/>
        </w:rPr>
        <w:t xml:space="preserve">public </w:t>
      </w:r>
      <w:r>
        <w:rPr>
          <w:rFonts w:eastAsia="Calibri"/>
          <w:lang w:bidi="ar-SA"/>
        </w:rPr>
        <w:t xml:space="preserve">for </w:t>
      </w:r>
      <w:r w:rsidR="004773EF" w:rsidRPr="00915EF7">
        <w:rPr>
          <w:rFonts w:eastAsia="Calibri"/>
          <w:lang w:bidi="ar-SA"/>
        </w:rPr>
        <w:t>comment</w:t>
      </w:r>
      <w:r w:rsidR="00E83AB2">
        <w:rPr>
          <w:rFonts w:eastAsia="Calibri"/>
          <w:lang w:bidi="ar-SA"/>
        </w:rPr>
        <w:t>, as part of our statutory process</w:t>
      </w:r>
    </w:p>
    <w:p w:rsidR="00C0271D" w:rsidRPr="00915EF7" w:rsidRDefault="00C0271D" w:rsidP="007F6373">
      <w:pPr>
        <w:rPr>
          <w:rFonts w:eastAsia="Calibri"/>
          <w:lang w:bidi="ar-SA"/>
        </w:rPr>
      </w:pPr>
    </w:p>
    <w:p w:rsidR="007B77D6" w:rsidRDefault="004773EF" w:rsidP="007F6373">
      <w:pPr>
        <w:rPr>
          <w:rFonts w:eastAsia="Calibri"/>
          <w:lang w:bidi="ar-SA"/>
        </w:rPr>
      </w:pPr>
      <w:r w:rsidRPr="00915EF7">
        <w:rPr>
          <w:rFonts w:eastAsia="Calibri"/>
          <w:lang w:bidi="ar-SA"/>
        </w:rPr>
        <w:t xml:space="preserve">In addition, </w:t>
      </w:r>
      <w:r w:rsidR="00A37637">
        <w:rPr>
          <w:rFonts w:eastAsia="Calibri"/>
          <w:lang w:bidi="ar-SA"/>
        </w:rPr>
        <w:t xml:space="preserve">FSANZ </w:t>
      </w:r>
      <w:r w:rsidRPr="00915EF7">
        <w:rPr>
          <w:rFonts w:eastAsia="Calibri"/>
          <w:lang w:bidi="ar-SA"/>
        </w:rPr>
        <w:t xml:space="preserve">will </w:t>
      </w:r>
      <w:r w:rsidRPr="004773EF">
        <w:rPr>
          <w:rFonts w:eastAsia="Calibri"/>
          <w:lang w:bidi="ar-SA"/>
        </w:rPr>
        <w:t xml:space="preserve">continue </w:t>
      </w:r>
      <w:r w:rsidR="00F36F3C">
        <w:rPr>
          <w:rFonts w:eastAsia="Calibri"/>
          <w:lang w:bidi="ar-SA"/>
        </w:rPr>
        <w:t xml:space="preserve">to </w:t>
      </w:r>
      <w:r w:rsidRPr="004773EF">
        <w:rPr>
          <w:rFonts w:eastAsia="Calibri"/>
          <w:lang w:bidi="ar-SA"/>
        </w:rPr>
        <w:t>cons</w:t>
      </w:r>
      <w:r w:rsidR="007E5AE6">
        <w:rPr>
          <w:rFonts w:eastAsia="Calibri"/>
          <w:lang w:bidi="ar-SA"/>
        </w:rPr>
        <w:t>ult</w:t>
      </w:r>
      <w:r w:rsidR="00F36F3C">
        <w:rPr>
          <w:rFonts w:eastAsia="Calibri"/>
          <w:lang w:bidi="ar-SA"/>
        </w:rPr>
        <w:t xml:space="preserve"> with stakeholders</w:t>
      </w:r>
      <w:r w:rsidR="007E5AE6">
        <w:rPr>
          <w:rFonts w:eastAsia="Calibri"/>
          <w:lang w:bidi="ar-SA"/>
        </w:rPr>
        <w:t xml:space="preserve"> through the PAG, </w:t>
      </w:r>
      <w:r w:rsidRPr="004773EF">
        <w:rPr>
          <w:rFonts w:eastAsia="Calibri"/>
          <w:lang w:bidi="ar-SA"/>
        </w:rPr>
        <w:t xml:space="preserve">industry sectors (in particular SMEs), </w:t>
      </w:r>
      <w:r w:rsidR="00151CBD">
        <w:rPr>
          <w:rFonts w:eastAsia="Calibri"/>
          <w:lang w:bidi="ar-SA"/>
        </w:rPr>
        <w:t>s</w:t>
      </w:r>
      <w:r w:rsidRPr="00915EF7">
        <w:rPr>
          <w:rFonts w:eastAsia="Calibri"/>
          <w:lang w:bidi="ar-SA"/>
        </w:rPr>
        <w:t xml:space="preserve">tate and </w:t>
      </w:r>
      <w:r w:rsidR="00151CBD">
        <w:rPr>
          <w:rFonts w:eastAsia="Calibri"/>
          <w:lang w:bidi="ar-SA"/>
        </w:rPr>
        <w:t>t</w:t>
      </w:r>
      <w:r w:rsidRPr="00915EF7">
        <w:rPr>
          <w:rFonts w:eastAsia="Calibri"/>
          <w:lang w:bidi="ar-SA"/>
        </w:rPr>
        <w:t xml:space="preserve">erritories </w:t>
      </w:r>
      <w:r w:rsidR="002A67CE">
        <w:rPr>
          <w:rFonts w:eastAsia="Calibri"/>
          <w:lang w:bidi="ar-SA"/>
        </w:rPr>
        <w:t xml:space="preserve">and New Zealand </w:t>
      </w:r>
      <w:r w:rsidR="00F36F3C">
        <w:rPr>
          <w:rFonts w:eastAsia="Calibri"/>
          <w:lang w:bidi="ar-SA"/>
        </w:rPr>
        <w:t xml:space="preserve">jurisdictions, </w:t>
      </w:r>
      <w:r w:rsidRPr="00915EF7">
        <w:rPr>
          <w:rFonts w:eastAsia="Calibri"/>
          <w:lang w:bidi="ar-SA"/>
        </w:rPr>
        <w:t xml:space="preserve">as well as other </w:t>
      </w:r>
      <w:r w:rsidR="00733AB5">
        <w:rPr>
          <w:rFonts w:eastAsia="Calibri"/>
          <w:lang w:bidi="ar-SA"/>
        </w:rPr>
        <w:t>g</w:t>
      </w:r>
      <w:r w:rsidRPr="00915EF7">
        <w:rPr>
          <w:rFonts w:eastAsia="Calibri"/>
          <w:lang w:bidi="ar-SA"/>
        </w:rPr>
        <w:t>overnment departments and consumers</w:t>
      </w:r>
      <w:r w:rsidR="00505BAC">
        <w:rPr>
          <w:rFonts w:eastAsia="Calibri"/>
          <w:lang w:bidi="ar-SA"/>
        </w:rPr>
        <w:t xml:space="preserve">. </w:t>
      </w:r>
    </w:p>
    <w:p w:rsidR="008271A2" w:rsidRPr="00915EF7" w:rsidRDefault="008271A2" w:rsidP="007F6373">
      <w:pPr>
        <w:rPr>
          <w:rFonts w:eastAsia="Calibri"/>
          <w:lang w:bidi="ar-SA"/>
        </w:rPr>
      </w:pPr>
    </w:p>
    <w:p w:rsidR="008271A2" w:rsidRDefault="00EC1D4A" w:rsidP="00EE157D">
      <w:pPr>
        <w:pStyle w:val="Heading1"/>
        <w:ind w:left="0" w:firstLine="0"/>
      </w:pPr>
      <w:bookmarkStart w:id="272" w:name="_Toc402450631"/>
      <w:bookmarkStart w:id="273" w:name="_Toc403377561"/>
      <w:bookmarkStart w:id="274" w:name="_Toc403394326"/>
      <w:r>
        <w:t>Thank you</w:t>
      </w:r>
      <w:bookmarkEnd w:id="272"/>
      <w:r w:rsidR="002A2C26">
        <w:t>.</w:t>
      </w:r>
      <w:bookmarkEnd w:id="273"/>
      <w:bookmarkEnd w:id="274"/>
    </w:p>
    <w:p w:rsidR="00DE1786" w:rsidRDefault="00DE1786" w:rsidP="00EE157D">
      <w:pPr>
        <w:pStyle w:val="Heading1"/>
        <w:ind w:left="0" w:firstLine="0"/>
      </w:pPr>
      <w:r>
        <w:br w:type="page"/>
      </w:r>
    </w:p>
    <w:p w:rsidR="009179AB" w:rsidRPr="00D22323" w:rsidRDefault="0056040A" w:rsidP="007F6373">
      <w:pPr>
        <w:pStyle w:val="Heading1"/>
        <w:ind w:left="0" w:firstLine="0"/>
      </w:pPr>
      <w:bookmarkStart w:id="275" w:name="_Toc403377562"/>
      <w:bookmarkStart w:id="276" w:name="_Toc403394327"/>
      <w:r>
        <w:lastRenderedPageBreak/>
        <w:t>7</w:t>
      </w:r>
      <w:r>
        <w:tab/>
      </w:r>
      <w:r w:rsidR="009179AB" w:rsidRPr="00D22323">
        <w:t>References</w:t>
      </w:r>
      <w:bookmarkEnd w:id="269"/>
      <w:bookmarkEnd w:id="275"/>
      <w:bookmarkEnd w:id="276"/>
    </w:p>
    <w:p w:rsidR="00A43115" w:rsidRPr="007F6373" w:rsidRDefault="00A43115" w:rsidP="00A43115">
      <w:pPr>
        <w:rPr>
          <w:rFonts w:cs="Arial"/>
          <w:sz w:val="20"/>
          <w:szCs w:val="20"/>
        </w:rPr>
      </w:pPr>
      <w:r w:rsidRPr="007F6373">
        <w:rPr>
          <w:rFonts w:cs="Arial"/>
          <w:sz w:val="20"/>
          <w:szCs w:val="20"/>
        </w:rPr>
        <w:t xml:space="preserve">Australian Plastics and Chemical Industries Association (2013) Australian Plastics and Chemical Industries Association </w:t>
      </w:r>
      <w:hyperlink r:id="rId27" w:history="1">
        <w:r w:rsidR="0056040A" w:rsidRPr="007F6373">
          <w:rPr>
            <w:rStyle w:val="Hyperlink"/>
            <w:sz w:val="20"/>
            <w:szCs w:val="20"/>
          </w:rPr>
          <w:t>http://www.pacia.org.au/aboutus/business_of_chemistry</w:t>
        </w:r>
      </w:hyperlink>
      <w:r w:rsidR="0056040A">
        <w:rPr>
          <w:rFonts w:cs="Arial"/>
          <w:sz w:val="20"/>
          <w:szCs w:val="20"/>
        </w:rPr>
        <w:t xml:space="preserve"> </w:t>
      </w:r>
      <w:r w:rsidRPr="007F6373">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 xml:space="preserve">Barlow SM (2009) Risk assessment of food-contact materials: past experience and future challenges. Food </w:t>
      </w:r>
      <w:proofErr w:type="spellStart"/>
      <w:r w:rsidRPr="007F6373">
        <w:rPr>
          <w:rFonts w:cs="Arial"/>
          <w:sz w:val="20"/>
          <w:szCs w:val="20"/>
        </w:rPr>
        <w:t>Addit</w:t>
      </w:r>
      <w:proofErr w:type="spellEnd"/>
      <w:r w:rsidRPr="007F6373">
        <w:rPr>
          <w:rFonts w:cs="Arial"/>
          <w:sz w:val="20"/>
          <w:szCs w:val="20"/>
        </w:rPr>
        <w:t xml:space="preserve"> </w:t>
      </w:r>
      <w:proofErr w:type="spellStart"/>
      <w:r w:rsidRPr="007F6373">
        <w:rPr>
          <w:rFonts w:cs="Arial"/>
          <w:sz w:val="20"/>
          <w:szCs w:val="20"/>
        </w:rPr>
        <w:t>Contam</w:t>
      </w:r>
      <w:proofErr w:type="spellEnd"/>
      <w:r w:rsidRPr="007F6373">
        <w:rPr>
          <w:rFonts w:cs="Arial"/>
          <w:sz w:val="20"/>
          <w:szCs w:val="20"/>
        </w:rPr>
        <w:t xml:space="preserve"> Part A, 26(12):1526-33.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spellStart"/>
      <w:r w:rsidRPr="007F6373">
        <w:rPr>
          <w:rFonts w:cs="Arial"/>
          <w:sz w:val="20"/>
          <w:szCs w:val="20"/>
        </w:rPr>
        <w:t>Biedermann</w:t>
      </w:r>
      <w:proofErr w:type="spellEnd"/>
      <w:r w:rsidRPr="007F6373">
        <w:rPr>
          <w:rFonts w:cs="Arial"/>
          <w:sz w:val="20"/>
          <w:szCs w:val="20"/>
        </w:rPr>
        <w:t xml:space="preserve"> M, </w:t>
      </w:r>
      <w:proofErr w:type="spellStart"/>
      <w:r w:rsidRPr="007F6373">
        <w:rPr>
          <w:rFonts w:cs="Arial"/>
          <w:sz w:val="20"/>
          <w:szCs w:val="20"/>
        </w:rPr>
        <w:t>Grob</w:t>
      </w:r>
      <w:proofErr w:type="spellEnd"/>
      <w:r w:rsidRPr="007F6373">
        <w:rPr>
          <w:rFonts w:cs="Arial"/>
          <w:sz w:val="20"/>
          <w:szCs w:val="20"/>
        </w:rPr>
        <w:t xml:space="preserve"> K (2013) Assurance of safety of recycled paperboard for food packaging through comprehensive analysis of potential migrants is unrealistic. J </w:t>
      </w:r>
      <w:proofErr w:type="spellStart"/>
      <w:r w:rsidRPr="007F6373">
        <w:rPr>
          <w:rFonts w:cs="Arial"/>
          <w:sz w:val="20"/>
          <w:szCs w:val="20"/>
        </w:rPr>
        <w:t>Chromatogr</w:t>
      </w:r>
      <w:proofErr w:type="spellEnd"/>
      <w:r w:rsidRPr="007F6373">
        <w:rPr>
          <w:rFonts w:cs="Arial"/>
          <w:sz w:val="20"/>
          <w:szCs w:val="20"/>
        </w:rPr>
        <w:t xml:space="preserve"> A. 1293:107-19.</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gramStart"/>
      <w:r w:rsidRPr="007F6373">
        <w:rPr>
          <w:rFonts w:cs="Arial"/>
          <w:sz w:val="20"/>
          <w:szCs w:val="20"/>
        </w:rPr>
        <w:t xml:space="preserve">Blackburn K, </w:t>
      </w:r>
      <w:proofErr w:type="spellStart"/>
      <w:r w:rsidRPr="007F6373">
        <w:rPr>
          <w:rFonts w:cs="Arial"/>
          <w:sz w:val="20"/>
          <w:szCs w:val="20"/>
        </w:rPr>
        <w:t>Stuard</w:t>
      </w:r>
      <w:proofErr w:type="spellEnd"/>
      <w:r w:rsidRPr="007F6373">
        <w:rPr>
          <w:rFonts w:cs="Arial"/>
          <w:sz w:val="20"/>
          <w:szCs w:val="20"/>
        </w:rPr>
        <w:t xml:space="preserve"> SB (2014) A framework to facilitate consistent characterization of read across uncertainty.</w:t>
      </w:r>
      <w:proofErr w:type="gramEnd"/>
      <w:r w:rsidRPr="007F6373">
        <w:rPr>
          <w:rFonts w:cs="Arial"/>
          <w:sz w:val="20"/>
          <w:szCs w:val="20"/>
        </w:rPr>
        <w:t xml:space="preserve"> </w:t>
      </w:r>
      <w:proofErr w:type="spellStart"/>
      <w:r w:rsidRPr="007F6373">
        <w:rPr>
          <w:rFonts w:cs="Arial"/>
          <w:sz w:val="20"/>
          <w:szCs w:val="20"/>
        </w:rPr>
        <w:t>Regul</w:t>
      </w:r>
      <w:proofErr w:type="spellEnd"/>
      <w:r w:rsidRPr="007F6373">
        <w:rPr>
          <w:rFonts w:cs="Arial"/>
          <w:sz w:val="20"/>
          <w:szCs w:val="20"/>
        </w:rPr>
        <w:t xml:space="preserve"> </w:t>
      </w:r>
      <w:proofErr w:type="spellStart"/>
      <w:r w:rsidRPr="007F6373">
        <w:rPr>
          <w:rFonts w:cs="Arial"/>
          <w:sz w:val="20"/>
          <w:szCs w:val="20"/>
        </w:rPr>
        <w:t>Toxicol</w:t>
      </w:r>
      <w:proofErr w:type="spellEnd"/>
      <w:r w:rsidRPr="007F6373">
        <w:rPr>
          <w:rFonts w:cs="Arial"/>
          <w:sz w:val="20"/>
          <w:szCs w:val="20"/>
        </w:rPr>
        <w:t xml:space="preserve"> </w:t>
      </w:r>
      <w:proofErr w:type="spellStart"/>
      <w:r w:rsidRPr="007F6373">
        <w:rPr>
          <w:rFonts w:cs="Arial"/>
          <w:sz w:val="20"/>
          <w:szCs w:val="20"/>
        </w:rPr>
        <w:t>Pharmacol</w:t>
      </w:r>
      <w:proofErr w:type="spellEnd"/>
      <w:r w:rsidRPr="007F6373">
        <w:rPr>
          <w:rFonts w:cs="Arial"/>
          <w:sz w:val="20"/>
          <w:szCs w:val="20"/>
        </w:rPr>
        <w:t>. 68(3):353-62.</w:t>
      </w:r>
    </w:p>
    <w:p w:rsidR="00A43115" w:rsidRPr="007F6373" w:rsidRDefault="00A43115" w:rsidP="00A43115">
      <w:pPr>
        <w:rPr>
          <w:rFonts w:cs="Arial"/>
          <w:sz w:val="20"/>
          <w:szCs w:val="20"/>
        </w:rPr>
      </w:pPr>
    </w:p>
    <w:p w:rsidR="00A43115" w:rsidRDefault="00A43115" w:rsidP="00A43115">
      <w:pPr>
        <w:rPr>
          <w:rFonts w:cs="Arial"/>
          <w:sz w:val="20"/>
          <w:szCs w:val="20"/>
        </w:rPr>
      </w:pPr>
      <w:r w:rsidRPr="007F6373">
        <w:rPr>
          <w:rFonts w:cs="Arial"/>
          <w:sz w:val="20"/>
          <w:szCs w:val="20"/>
        </w:rPr>
        <w:t>Bradley, E.L., Stratton, J.S., Leak, J., Lister L. and Castle L</w:t>
      </w:r>
      <w:r w:rsidR="00505BAC" w:rsidRPr="007F6373">
        <w:rPr>
          <w:rFonts w:cs="Arial"/>
          <w:sz w:val="20"/>
          <w:szCs w:val="20"/>
        </w:rPr>
        <w:t xml:space="preserve">. </w:t>
      </w:r>
      <w:r w:rsidRPr="007F6373">
        <w:rPr>
          <w:rFonts w:cs="Arial"/>
          <w:sz w:val="20"/>
          <w:szCs w:val="20"/>
        </w:rPr>
        <w:t>(2013a</w:t>
      </w:r>
      <w:proofErr w:type="gramStart"/>
      <w:r w:rsidRPr="007F6373">
        <w:rPr>
          <w:rFonts w:cs="Arial"/>
          <w:sz w:val="20"/>
          <w:szCs w:val="20"/>
        </w:rPr>
        <w:t>)  Printing</w:t>
      </w:r>
      <w:proofErr w:type="gramEnd"/>
      <w:r w:rsidRPr="007F6373">
        <w:rPr>
          <w:rFonts w:cs="Arial"/>
          <w:sz w:val="20"/>
          <w:szCs w:val="20"/>
        </w:rPr>
        <w:t xml:space="preserve"> ink compounds in foods: UK survey results</w:t>
      </w:r>
      <w:r w:rsidR="00505BAC" w:rsidRPr="007F6373">
        <w:rPr>
          <w:rFonts w:cs="Arial"/>
          <w:sz w:val="20"/>
          <w:szCs w:val="20"/>
        </w:rPr>
        <w:t xml:space="preserve">. </w:t>
      </w:r>
      <w:r w:rsidRPr="007F6373">
        <w:rPr>
          <w:rFonts w:cs="Arial"/>
          <w:sz w:val="20"/>
          <w:szCs w:val="20"/>
        </w:rPr>
        <w:t>Food Additives and Contaminants: Part B 6(2): 73 – 83.</w:t>
      </w:r>
    </w:p>
    <w:p w:rsidR="003D138D" w:rsidRPr="007F6373" w:rsidRDefault="003D138D" w:rsidP="00A43115">
      <w:pPr>
        <w:rPr>
          <w:rFonts w:cs="Arial"/>
          <w:sz w:val="20"/>
          <w:szCs w:val="20"/>
        </w:rPr>
      </w:pPr>
    </w:p>
    <w:p w:rsidR="00A43115" w:rsidRDefault="003D138D" w:rsidP="00A43115">
      <w:pPr>
        <w:rPr>
          <w:rFonts w:cs="Arial"/>
          <w:sz w:val="20"/>
          <w:szCs w:val="20"/>
        </w:rPr>
      </w:pPr>
      <w:r w:rsidRPr="007F6373">
        <w:rPr>
          <w:rFonts w:cs="Arial"/>
          <w:sz w:val="20"/>
          <w:szCs w:val="20"/>
        </w:rPr>
        <w:t xml:space="preserve">Canady R, Lane R, Paoli G, Wilson M, </w:t>
      </w:r>
      <w:proofErr w:type="spellStart"/>
      <w:r w:rsidRPr="007F6373">
        <w:rPr>
          <w:rFonts w:cs="Arial"/>
          <w:sz w:val="20"/>
          <w:szCs w:val="20"/>
        </w:rPr>
        <w:t>Bialk</w:t>
      </w:r>
      <w:proofErr w:type="spellEnd"/>
      <w:r w:rsidRPr="007F6373">
        <w:rPr>
          <w:rFonts w:cs="Arial"/>
          <w:sz w:val="20"/>
          <w:szCs w:val="20"/>
        </w:rPr>
        <w:t xml:space="preserve"> H, </w:t>
      </w:r>
      <w:proofErr w:type="spellStart"/>
      <w:r w:rsidRPr="007F6373">
        <w:rPr>
          <w:rFonts w:cs="Arial"/>
          <w:sz w:val="20"/>
          <w:szCs w:val="20"/>
        </w:rPr>
        <w:t>Hermansky</w:t>
      </w:r>
      <w:proofErr w:type="spellEnd"/>
      <w:r w:rsidRPr="007F6373">
        <w:rPr>
          <w:rFonts w:cs="Arial"/>
          <w:sz w:val="20"/>
          <w:szCs w:val="20"/>
        </w:rPr>
        <w:t xml:space="preserve"> S, </w:t>
      </w:r>
      <w:proofErr w:type="spellStart"/>
      <w:r w:rsidRPr="007F6373">
        <w:rPr>
          <w:rFonts w:cs="Arial"/>
          <w:sz w:val="20"/>
          <w:szCs w:val="20"/>
        </w:rPr>
        <w:t>Kobielush</w:t>
      </w:r>
      <w:proofErr w:type="spellEnd"/>
      <w:r w:rsidRPr="007F6373">
        <w:rPr>
          <w:rFonts w:cs="Arial"/>
          <w:sz w:val="20"/>
          <w:szCs w:val="20"/>
        </w:rPr>
        <w:t xml:space="preserve"> B, Lee JE, Llewellyn C, </w:t>
      </w:r>
      <w:proofErr w:type="spellStart"/>
      <w:r w:rsidRPr="007F6373">
        <w:rPr>
          <w:rFonts w:cs="Arial"/>
          <w:sz w:val="20"/>
          <w:szCs w:val="20"/>
        </w:rPr>
        <w:t>Scimeca</w:t>
      </w:r>
      <w:proofErr w:type="spellEnd"/>
      <w:r w:rsidRPr="007F6373">
        <w:rPr>
          <w:rFonts w:cs="Arial"/>
          <w:sz w:val="20"/>
          <w:szCs w:val="20"/>
        </w:rPr>
        <w:t xml:space="preserve"> J (2013) Determining the applicability of threshold of toxicological concern approaches to substances found in foods. </w:t>
      </w:r>
      <w:proofErr w:type="spellStart"/>
      <w:proofErr w:type="gramStart"/>
      <w:r w:rsidRPr="007F6373">
        <w:rPr>
          <w:rFonts w:cs="Arial"/>
          <w:sz w:val="20"/>
          <w:szCs w:val="20"/>
        </w:rPr>
        <w:t>Crit</w:t>
      </w:r>
      <w:proofErr w:type="spellEnd"/>
      <w:r w:rsidRPr="007F6373">
        <w:rPr>
          <w:rFonts w:cs="Arial"/>
          <w:sz w:val="20"/>
          <w:szCs w:val="20"/>
        </w:rPr>
        <w:t xml:space="preserve"> Rev Food </w:t>
      </w:r>
      <w:proofErr w:type="spellStart"/>
      <w:r w:rsidRPr="007F6373">
        <w:rPr>
          <w:rFonts w:cs="Arial"/>
          <w:sz w:val="20"/>
          <w:szCs w:val="20"/>
        </w:rPr>
        <w:t>Sci</w:t>
      </w:r>
      <w:proofErr w:type="spellEnd"/>
      <w:r w:rsidRPr="007F6373">
        <w:rPr>
          <w:rFonts w:cs="Arial"/>
          <w:sz w:val="20"/>
          <w:szCs w:val="20"/>
        </w:rPr>
        <w:t xml:space="preserve"> </w:t>
      </w:r>
      <w:proofErr w:type="spellStart"/>
      <w:r w:rsidRPr="007F6373">
        <w:rPr>
          <w:rFonts w:cs="Arial"/>
          <w:sz w:val="20"/>
          <w:szCs w:val="20"/>
        </w:rPr>
        <w:t>Nutr</w:t>
      </w:r>
      <w:proofErr w:type="spellEnd"/>
      <w:r w:rsidRPr="007F6373">
        <w:rPr>
          <w:rFonts w:cs="Arial"/>
          <w:sz w:val="20"/>
          <w:szCs w:val="20"/>
        </w:rPr>
        <w:t>.</w:t>
      </w:r>
      <w:proofErr w:type="gramEnd"/>
      <w:r w:rsidRPr="007F6373">
        <w:rPr>
          <w:rFonts w:cs="Arial"/>
          <w:sz w:val="20"/>
          <w:szCs w:val="20"/>
        </w:rPr>
        <w:t xml:space="preserve"> 53(12):1239-49.</w:t>
      </w:r>
    </w:p>
    <w:p w:rsidR="003D138D" w:rsidRPr="007F6373" w:rsidRDefault="003D138D"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 xml:space="preserve">Castle, L., </w:t>
      </w:r>
      <w:proofErr w:type="spellStart"/>
      <w:r w:rsidRPr="007F6373">
        <w:rPr>
          <w:rFonts w:cs="Arial"/>
          <w:sz w:val="20"/>
          <w:szCs w:val="20"/>
        </w:rPr>
        <w:t>Damant</w:t>
      </w:r>
      <w:proofErr w:type="spellEnd"/>
      <w:r w:rsidRPr="007F6373">
        <w:rPr>
          <w:rFonts w:cs="Arial"/>
          <w:sz w:val="20"/>
          <w:szCs w:val="20"/>
        </w:rPr>
        <w:t xml:space="preserve">, A.P., </w:t>
      </w:r>
      <w:proofErr w:type="spellStart"/>
      <w:r w:rsidRPr="007F6373">
        <w:rPr>
          <w:rFonts w:cs="Arial"/>
          <w:sz w:val="20"/>
          <w:szCs w:val="20"/>
        </w:rPr>
        <w:t>Honeybone</w:t>
      </w:r>
      <w:proofErr w:type="spellEnd"/>
      <w:r w:rsidRPr="007F6373">
        <w:rPr>
          <w:rFonts w:cs="Arial"/>
          <w:sz w:val="20"/>
          <w:szCs w:val="20"/>
        </w:rPr>
        <w:t xml:space="preserve">, C.A., Johns S.M., </w:t>
      </w:r>
      <w:proofErr w:type="spellStart"/>
      <w:r w:rsidRPr="007F6373">
        <w:rPr>
          <w:rFonts w:cs="Arial"/>
          <w:sz w:val="20"/>
          <w:szCs w:val="20"/>
        </w:rPr>
        <w:t>Jickerlss</w:t>
      </w:r>
      <w:proofErr w:type="spellEnd"/>
      <w:r w:rsidRPr="007F6373">
        <w:rPr>
          <w:rFonts w:cs="Arial"/>
          <w:sz w:val="20"/>
          <w:szCs w:val="20"/>
        </w:rPr>
        <w:t>, S.M., Sharman, M. and Gilbert, J. (1997</w:t>
      </w:r>
      <w:proofErr w:type="gramStart"/>
      <w:r w:rsidRPr="007F6373">
        <w:rPr>
          <w:rFonts w:cs="Arial"/>
          <w:sz w:val="20"/>
          <w:szCs w:val="20"/>
        </w:rPr>
        <w:t>)  Migration</w:t>
      </w:r>
      <w:proofErr w:type="gramEnd"/>
      <w:r w:rsidRPr="007F6373">
        <w:rPr>
          <w:rFonts w:cs="Arial"/>
          <w:sz w:val="20"/>
          <w:szCs w:val="20"/>
        </w:rPr>
        <w:t xml:space="preserve"> studies from paper and board food </w:t>
      </w:r>
      <w:proofErr w:type="spellStart"/>
      <w:r w:rsidRPr="007F6373">
        <w:rPr>
          <w:rFonts w:cs="Arial"/>
          <w:sz w:val="20"/>
          <w:szCs w:val="20"/>
        </w:rPr>
        <w:t>packaing</w:t>
      </w:r>
      <w:proofErr w:type="spellEnd"/>
      <w:r w:rsidRPr="007F6373">
        <w:rPr>
          <w:rFonts w:cs="Arial"/>
          <w:sz w:val="20"/>
          <w:szCs w:val="20"/>
        </w:rPr>
        <w:t xml:space="preserve"> materials. </w:t>
      </w:r>
      <w:proofErr w:type="gramStart"/>
      <w:r w:rsidRPr="007F6373">
        <w:rPr>
          <w:rFonts w:cs="Arial"/>
          <w:sz w:val="20"/>
          <w:szCs w:val="20"/>
        </w:rPr>
        <w:t>Part 2.</w:t>
      </w:r>
      <w:proofErr w:type="gramEnd"/>
      <w:r w:rsidRPr="007F6373">
        <w:rPr>
          <w:rFonts w:cs="Arial"/>
          <w:sz w:val="20"/>
          <w:szCs w:val="20"/>
        </w:rPr>
        <w:t xml:space="preserve"> </w:t>
      </w:r>
      <w:proofErr w:type="gramStart"/>
      <w:r w:rsidRPr="007F6373">
        <w:rPr>
          <w:rFonts w:cs="Arial"/>
          <w:sz w:val="20"/>
          <w:szCs w:val="20"/>
        </w:rPr>
        <w:t xml:space="preserve">Survey for residues of </w:t>
      </w:r>
      <w:proofErr w:type="spellStart"/>
      <w:r w:rsidRPr="007F6373">
        <w:rPr>
          <w:rFonts w:cs="Arial"/>
          <w:sz w:val="20"/>
          <w:szCs w:val="20"/>
        </w:rPr>
        <w:t>dialkylamino</w:t>
      </w:r>
      <w:proofErr w:type="spellEnd"/>
      <w:r w:rsidRPr="007F6373">
        <w:rPr>
          <w:rFonts w:cs="Arial"/>
          <w:sz w:val="20"/>
          <w:szCs w:val="20"/>
        </w:rPr>
        <w:t xml:space="preserve"> benzophenone UV-cure ink photoinitiators</w:t>
      </w:r>
      <w:r w:rsidR="00505BAC" w:rsidRPr="007F6373">
        <w:rPr>
          <w:rFonts w:cs="Arial"/>
          <w:sz w:val="20"/>
          <w:szCs w:val="20"/>
        </w:rPr>
        <w:t>.</w:t>
      </w:r>
      <w:proofErr w:type="gramEnd"/>
      <w:r w:rsidR="00505BAC" w:rsidRPr="007F6373">
        <w:rPr>
          <w:rFonts w:cs="Arial"/>
          <w:sz w:val="20"/>
          <w:szCs w:val="20"/>
        </w:rPr>
        <w:t xml:space="preserve"> </w:t>
      </w:r>
      <w:r w:rsidRPr="007F6373">
        <w:rPr>
          <w:rFonts w:cs="Arial"/>
          <w:sz w:val="20"/>
          <w:szCs w:val="20"/>
        </w:rPr>
        <w:t>Food Additives and Contaminants 14: 45 – 52.</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spellStart"/>
      <w:r w:rsidRPr="007F6373">
        <w:rPr>
          <w:rFonts w:cs="Arial"/>
          <w:sz w:val="20"/>
          <w:szCs w:val="20"/>
        </w:rPr>
        <w:t>Cirillo,T</w:t>
      </w:r>
      <w:proofErr w:type="spellEnd"/>
      <w:r w:rsidRPr="007F6373">
        <w:rPr>
          <w:rFonts w:cs="Arial"/>
          <w:sz w:val="20"/>
          <w:szCs w:val="20"/>
        </w:rPr>
        <w:t xml:space="preserve">., </w:t>
      </w:r>
      <w:proofErr w:type="spellStart"/>
      <w:r w:rsidRPr="007F6373">
        <w:rPr>
          <w:rFonts w:cs="Arial"/>
          <w:sz w:val="20"/>
          <w:szCs w:val="20"/>
        </w:rPr>
        <w:t>Fasano</w:t>
      </w:r>
      <w:proofErr w:type="spellEnd"/>
      <w:r w:rsidRPr="007F6373">
        <w:rPr>
          <w:rFonts w:cs="Arial"/>
          <w:sz w:val="20"/>
          <w:szCs w:val="20"/>
        </w:rPr>
        <w:t xml:space="preserve">, E., Esposito F., Del </w:t>
      </w:r>
      <w:proofErr w:type="spellStart"/>
      <w:r w:rsidRPr="007F6373">
        <w:rPr>
          <w:rFonts w:cs="Arial"/>
          <w:sz w:val="20"/>
          <w:szCs w:val="20"/>
        </w:rPr>
        <w:t>Prete</w:t>
      </w:r>
      <w:proofErr w:type="spellEnd"/>
      <w:r w:rsidRPr="007F6373">
        <w:rPr>
          <w:rFonts w:cs="Arial"/>
          <w:sz w:val="20"/>
          <w:szCs w:val="20"/>
        </w:rPr>
        <w:t xml:space="preserve">, E. &amp; </w:t>
      </w:r>
      <w:proofErr w:type="spellStart"/>
      <w:r w:rsidRPr="007F6373">
        <w:rPr>
          <w:rFonts w:cs="Arial"/>
          <w:sz w:val="20"/>
          <w:szCs w:val="20"/>
        </w:rPr>
        <w:t>Amodio</w:t>
      </w:r>
      <w:proofErr w:type="spellEnd"/>
      <w:r w:rsidRPr="007F6373">
        <w:rPr>
          <w:rFonts w:cs="Arial"/>
          <w:sz w:val="20"/>
          <w:szCs w:val="20"/>
        </w:rPr>
        <w:t xml:space="preserve"> </w:t>
      </w:r>
      <w:proofErr w:type="spellStart"/>
      <w:r w:rsidRPr="007F6373">
        <w:rPr>
          <w:rFonts w:cs="Arial"/>
          <w:sz w:val="20"/>
          <w:szCs w:val="20"/>
        </w:rPr>
        <w:t>Cocchieri</w:t>
      </w:r>
      <w:proofErr w:type="spellEnd"/>
      <w:r w:rsidRPr="007F6373">
        <w:rPr>
          <w:rFonts w:cs="Arial"/>
          <w:sz w:val="20"/>
          <w:szCs w:val="20"/>
        </w:rPr>
        <w:t>, R. (2013) Study on the influence of temperature, storage time and packaging type on di-n-</w:t>
      </w:r>
      <w:proofErr w:type="spellStart"/>
      <w:r w:rsidRPr="007F6373">
        <w:rPr>
          <w:rFonts w:cs="Arial"/>
          <w:sz w:val="20"/>
          <w:szCs w:val="20"/>
        </w:rPr>
        <w:t>butylphthalate</w:t>
      </w:r>
      <w:proofErr w:type="spellEnd"/>
      <w:r w:rsidRPr="007F6373">
        <w:rPr>
          <w:rFonts w:cs="Arial"/>
          <w:sz w:val="20"/>
          <w:szCs w:val="20"/>
        </w:rPr>
        <w:t xml:space="preserve"> and di(2-ethylhexyl)phthalate release into packed meals, Food Additives &amp; Contaminants: Part A, 30:2, 403-411 </w:t>
      </w:r>
      <w:hyperlink r:id="rId28" w:history="1">
        <w:r w:rsidR="0056040A" w:rsidRPr="007F6373">
          <w:rPr>
            <w:rStyle w:val="Hyperlink"/>
            <w:sz w:val="20"/>
            <w:szCs w:val="20"/>
          </w:rPr>
          <w:t>http://dx.doi.org/10.1080/19440049.2012.745198</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 xml:space="preserve">EC (2011) COMMISSION REGULATION (EU) No 10/2011 of 14 January 2011 on plastic materials and articles intended to come into contact with food. Available at: </w:t>
      </w:r>
    </w:p>
    <w:p w:rsidR="00A43115" w:rsidRPr="007F6373" w:rsidRDefault="005A60B4" w:rsidP="00A43115">
      <w:pPr>
        <w:rPr>
          <w:rFonts w:cs="Arial"/>
          <w:sz w:val="20"/>
          <w:szCs w:val="20"/>
        </w:rPr>
      </w:pPr>
      <w:hyperlink r:id="rId29" w:history="1">
        <w:r w:rsidR="0056040A" w:rsidRPr="007F6373">
          <w:rPr>
            <w:rStyle w:val="Hyperlink"/>
            <w:sz w:val="20"/>
            <w:szCs w:val="20"/>
          </w:rPr>
          <w:t>http://ec.europa.eu/food/food/chemicalsafety/foodcontact/legisl_list_en.htm</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 xml:space="preserve">EC (2012) Food Contact Materials - Specific provisions for materials other than plastics. </w:t>
      </w:r>
      <w:proofErr w:type="gramStart"/>
      <w:r w:rsidRPr="007F6373">
        <w:rPr>
          <w:rFonts w:cs="Arial"/>
          <w:sz w:val="20"/>
          <w:szCs w:val="20"/>
        </w:rPr>
        <w:t>European Commission.</w:t>
      </w:r>
      <w:proofErr w:type="gramEnd"/>
      <w:r w:rsidRPr="007F6373">
        <w:rPr>
          <w:rFonts w:cs="Arial"/>
          <w:sz w:val="20"/>
          <w:szCs w:val="20"/>
        </w:rPr>
        <w:t xml:space="preserve"> Available at:</w:t>
      </w:r>
    </w:p>
    <w:p w:rsidR="00A43115" w:rsidRPr="007F6373" w:rsidRDefault="005A60B4" w:rsidP="00A43115">
      <w:pPr>
        <w:rPr>
          <w:rFonts w:cs="Arial"/>
          <w:sz w:val="20"/>
          <w:szCs w:val="20"/>
        </w:rPr>
      </w:pPr>
      <w:hyperlink r:id="rId30" w:history="1">
        <w:r w:rsidR="0056040A" w:rsidRPr="007F6373">
          <w:rPr>
            <w:rStyle w:val="Hyperlink"/>
            <w:sz w:val="20"/>
            <w:szCs w:val="20"/>
          </w:rPr>
          <w:t>http://ec.europa.eu/smart-regulation/impact/planned_ia/docs /2014_sanco_005_fcm_specific_provisions_for_materials_other_than_plastics_en.pdf</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 xml:space="preserve">EFSA (2005) Opinion of the Scientific Panel on Food Additives, Flavourings, Processing Aids and Materials in Contact with Food (AFC) on a request from the Commission related to </w:t>
      </w:r>
      <w:proofErr w:type="gramStart"/>
      <w:r w:rsidRPr="007F6373">
        <w:rPr>
          <w:rFonts w:cs="Arial"/>
          <w:sz w:val="20"/>
          <w:szCs w:val="20"/>
        </w:rPr>
        <w:t>Bis(</w:t>
      </w:r>
      <w:proofErr w:type="gramEnd"/>
      <w:r w:rsidRPr="007F6373">
        <w:rPr>
          <w:rFonts w:cs="Arial"/>
          <w:sz w:val="20"/>
          <w:szCs w:val="20"/>
        </w:rPr>
        <w:t xml:space="preserve">2-ethylhexyl)phthalate (DEHP) for use in food contact materials. Available at: </w:t>
      </w:r>
    </w:p>
    <w:p w:rsidR="00A43115" w:rsidRPr="007F6373" w:rsidRDefault="005A60B4" w:rsidP="00A43115">
      <w:pPr>
        <w:rPr>
          <w:rFonts w:cs="Arial"/>
          <w:sz w:val="20"/>
          <w:szCs w:val="20"/>
        </w:rPr>
      </w:pPr>
      <w:hyperlink r:id="rId31" w:history="1">
        <w:r w:rsidR="0056040A" w:rsidRPr="007F6373">
          <w:rPr>
            <w:rStyle w:val="Hyperlink"/>
            <w:sz w:val="20"/>
            <w:szCs w:val="20"/>
          </w:rPr>
          <w:t>http://www.efsa.europa.eu/en/efsajournal/pub/243.htm</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EFSA (2005</w:t>
      </w:r>
      <w:r w:rsidR="003D138D">
        <w:rPr>
          <w:rFonts w:cs="Arial"/>
          <w:sz w:val="20"/>
          <w:szCs w:val="20"/>
        </w:rPr>
        <w:t>a</w:t>
      </w:r>
      <w:r w:rsidRPr="007F6373">
        <w:rPr>
          <w:rFonts w:cs="Arial"/>
          <w:sz w:val="20"/>
          <w:szCs w:val="20"/>
        </w:rPr>
        <w:t xml:space="preserve">) Opinion of the Scientific Panel on Food Additives, Flavourings, Processing Aids and Materials in Contact with Food on a request from the Commission related to 2-isopropyl thioxanthone (ITX) and 2-ethylhexyl-4-dimethylaminobenzoate (EHDAB) in food contact materials. </w:t>
      </w:r>
      <w:proofErr w:type="gramStart"/>
      <w:r w:rsidRPr="007F6373">
        <w:rPr>
          <w:rFonts w:cs="Arial"/>
          <w:sz w:val="20"/>
          <w:szCs w:val="20"/>
        </w:rPr>
        <w:t>European Food Safety Authority.</w:t>
      </w:r>
      <w:proofErr w:type="gramEnd"/>
      <w:r w:rsidRPr="007F6373">
        <w:rPr>
          <w:rFonts w:cs="Arial"/>
          <w:sz w:val="20"/>
          <w:szCs w:val="20"/>
        </w:rPr>
        <w:t xml:space="preserve"> Available at: </w:t>
      </w:r>
      <w:hyperlink r:id="rId32" w:history="1">
        <w:r w:rsidR="0052714C" w:rsidRPr="002E3A88">
          <w:rPr>
            <w:rStyle w:val="Hyperlink"/>
            <w:rFonts w:cs="Arial"/>
            <w:sz w:val="20"/>
            <w:szCs w:val="20"/>
          </w:rPr>
          <w:t>http://www.efsa.europa.eu/en/efsajournal/pub/293.htm</w:t>
        </w:r>
      </w:hyperlink>
      <w:r w:rsidR="0052714C">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EFSA (2007</w:t>
      </w:r>
      <w:r w:rsidR="003D138D">
        <w:rPr>
          <w:rFonts w:cs="Arial"/>
          <w:sz w:val="20"/>
          <w:szCs w:val="20"/>
        </w:rPr>
        <w:t>b</w:t>
      </w:r>
      <w:r w:rsidRPr="007F6373">
        <w:rPr>
          <w:rFonts w:cs="Arial"/>
          <w:sz w:val="20"/>
          <w:szCs w:val="20"/>
        </w:rPr>
        <w:t xml:space="preserve">) </w:t>
      </w:r>
      <w:proofErr w:type="gramStart"/>
      <w:r w:rsidRPr="007F6373">
        <w:rPr>
          <w:rFonts w:cs="Arial"/>
          <w:sz w:val="20"/>
          <w:szCs w:val="20"/>
        </w:rPr>
        <w:t>An</w:t>
      </w:r>
      <w:proofErr w:type="gramEnd"/>
      <w:r w:rsidRPr="007F6373">
        <w:rPr>
          <w:rFonts w:cs="Arial"/>
          <w:sz w:val="20"/>
          <w:szCs w:val="20"/>
        </w:rPr>
        <w:t xml:space="preserve"> update on the hazard assessment of 2-isopropyl thioxanthone (ITX) in food contact materials</w:t>
      </w:r>
      <w:r w:rsidR="00505BAC" w:rsidRPr="007F6373">
        <w:rPr>
          <w:rFonts w:cs="Arial"/>
          <w:sz w:val="20"/>
          <w:szCs w:val="20"/>
        </w:rPr>
        <w:t xml:space="preserve">. </w:t>
      </w:r>
      <w:r w:rsidRPr="007F6373">
        <w:rPr>
          <w:rFonts w:cs="Arial"/>
          <w:sz w:val="20"/>
          <w:szCs w:val="20"/>
        </w:rPr>
        <w:t xml:space="preserve">Available at: </w:t>
      </w:r>
      <w:hyperlink r:id="rId33" w:history="1">
        <w:r w:rsidR="0056040A" w:rsidRPr="007F6373">
          <w:rPr>
            <w:rStyle w:val="Hyperlink"/>
            <w:sz w:val="20"/>
            <w:szCs w:val="20"/>
          </w:rPr>
          <w:t>http://www.efsa.europa.eu/en/efsajournal/doc/1064.pdf</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 xml:space="preserve">EFSA (2008) Food Contact Materials – Note for Guidance. </w:t>
      </w:r>
      <w:proofErr w:type="gramStart"/>
      <w:r w:rsidRPr="007F6373">
        <w:rPr>
          <w:rFonts w:cs="Arial"/>
          <w:sz w:val="20"/>
          <w:szCs w:val="20"/>
        </w:rPr>
        <w:t>European Food Safety Authority.</w:t>
      </w:r>
      <w:proofErr w:type="gramEnd"/>
      <w:r w:rsidRPr="007F6373">
        <w:rPr>
          <w:rFonts w:cs="Arial"/>
          <w:sz w:val="20"/>
          <w:szCs w:val="20"/>
        </w:rPr>
        <w:t xml:space="preserve"> Available at: </w:t>
      </w:r>
      <w:hyperlink r:id="rId34" w:history="1">
        <w:r w:rsidR="0056040A" w:rsidRPr="007F6373">
          <w:rPr>
            <w:rStyle w:val="Hyperlink"/>
            <w:sz w:val="20"/>
            <w:szCs w:val="20"/>
          </w:rPr>
          <w:t>http://www.efsa.europa.eu/en/efsajournal/doc/21r.pdf</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gramStart"/>
      <w:r w:rsidRPr="007F6373">
        <w:rPr>
          <w:rFonts w:cs="Arial"/>
          <w:sz w:val="20"/>
          <w:szCs w:val="20"/>
        </w:rPr>
        <w:t>EFSA (2009) Toxicological evaluation of benzophenone.</w:t>
      </w:r>
      <w:proofErr w:type="gramEnd"/>
      <w:r w:rsidRPr="007F6373">
        <w:rPr>
          <w:rFonts w:cs="Arial"/>
          <w:sz w:val="20"/>
          <w:szCs w:val="20"/>
        </w:rPr>
        <w:t xml:space="preserve"> </w:t>
      </w:r>
      <w:proofErr w:type="gramStart"/>
      <w:r w:rsidRPr="007F6373">
        <w:rPr>
          <w:rFonts w:cs="Arial"/>
          <w:sz w:val="20"/>
          <w:szCs w:val="20"/>
        </w:rPr>
        <w:t>EFSA Panel on Food Contact Materials, Enzymes, Flavourings and Processing Aids (CEF).</w:t>
      </w:r>
      <w:proofErr w:type="gramEnd"/>
      <w:r w:rsidRPr="007F6373">
        <w:rPr>
          <w:rFonts w:cs="Arial"/>
          <w:sz w:val="20"/>
          <w:szCs w:val="20"/>
        </w:rPr>
        <w:t xml:space="preserve"> Available at:</w:t>
      </w:r>
    </w:p>
    <w:p w:rsidR="00A43115" w:rsidRPr="007F6373" w:rsidRDefault="005A60B4" w:rsidP="00A43115">
      <w:pPr>
        <w:rPr>
          <w:rFonts w:cs="Arial"/>
          <w:sz w:val="20"/>
          <w:szCs w:val="20"/>
        </w:rPr>
      </w:pPr>
      <w:hyperlink r:id="rId35" w:history="1">
        <w:r w:rsidR="0056040A" w:rsidRPr="007F6373">
          <w:rPr>
            <w:rStyle w:val="Hyperlink"/>
            <w:sz w:val="20"/>
            <w:szCs w:val="20"/>
          </w:rPr>
          <w:t>http://www.efsa.europa.eu/en/efsajournal/pub/1104.htm</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lastRenderedPageBreak/>
        <w:t>EFSA (2012) EFSA provides guidance on possible use of the Threshold of Toxicological Concern approach in chemical risk assessment. Available at:</w:t>
      </w:r>
    </w:p>
    <w:p w:rsidR="00A43115" w:rsidRPr="007F6373" w:rsidRDefault="005A60B4" w:rsidP="00A43115">
      <w:pPr>
        <w:rPr>
          <w:rFonts w:cs="Arial"/>
          <w:sz w:val="20"/>
          <w:szCs w:val="20"/>
        </w:rPr>
      </w:pPr>
      <w:hyperlink r:id="rId36" w:history="1">
        <w:r w:rsidR="0056040A" w:rsidRPr="007F6373">
          <w:rPr>
            <w:rStyle w:val="Hyperlink"/>
            <w:sz w:val="20"/>
            <w:szCs w:val="20"/>
          </w:rPr>
          <w:t>http://www.efsa.europa.eu/en/press/news/120702.htm</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gramStart"/>
      <w:r w:rsidRPr="007F6373">
        <w:rPr>
          <w:rFonts w:cs="Arial"/>
          <w:sz w:val="20"/>
          <w:szCs w:val="20"/>
        </w:rPr>
        <w:t>EFSA (2014) Public consultation on the draft opinion on bisphenol A (BPA) – Assessment of human health risks.</w:t>
      </w:r>
      <w:proofErr w:type="gramEnd"/>
      <w:r w:rsidRPr="007F6373">
        <w:rPr>
          <w:rFonts w:cs="Arial"/>
          <w:sz w:val="20"/>
          <w:szCs w:val="20"/>
        </w:rPr>
        <w:t xml:space="preserve"> Available at: </w:t>
      </w:r>
      <w:hyperlink r:id="rId37" w:history="1">
        <w:r w:rsidR="00DD16C3" w:rsidRPr="002E3A88">
          <w:rPr>
            <w:rStyle w:val="Hyperlink"/>
            <w:rFonts w:cs="Arial"/>
            <w:sz w:val="20"/>
            <w:szCs w:val="20"/>
          </w:rPr>
          <w:t>http://www.efsa.europa.eu/en/consultationsclosed/call/140117.htm</w:t>
        </w:r>
      </w:hyperlink>
      <w:r w:rsidR="00DD16C3">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spellStart"/>
      <w:r w:rsidRPr="007F6373">
        <w:rPr>
          <w:rFonts w:cs="Arial"/>
          <w:sz w:val="20"/>
          <w:szCs w:val="20"/>
        </w:rPr>
        <w:t>Ett</w:t>
      </w:r>
      <w:r w:rsidR="00DD16C3">
        <w:rPr>
          <w:rFonts w:cs="Arial"/>
          <w:sz w:val="20"/>
          <w:szCs w:val="20"/>
        </w:rPr>
        <w:t>inger</w:t>
      </w:r>
      <w:proofErr w:type="spellEnd"/>
      <w:r w:rsidR="00DD16C3">
        <w:rPr>
          <w:rFonts w:cs="Arial"/>
          <w:sz w:val="20"/>
          <w:szCs w:val="20"/>
        </w:rPr>
        <w:t xml:space="preserve">, </w:t>
      </w:r>
      <w:proofErr w:type="spellStart"/>
      <w:r w:rsidR="00DD16C3">
        <w:rPr>
          <w:rFonts w:cs="Arial"/>
          <w:sz w:val="20"/>
          <w:szCs w:val="20"/>
        </w:rPr>
        <w:t>D.J.and</w:t>
      </w:r>
      <w:proofErr w:type="spellEnd"/>
      <w:r w:rsidR="00DD16C3">
        <w:rPr>
          <w:rFonts w:cs="Arial"/>
          <w:sz w:val="20"/>
          <w:szCs w:val="20"/>
        </w:rPr>
        <w:t xml:space="preserve"> Ng Clark (2012) </w:t>
      </w:r>
      <w:proofErr w:type="gramStart"/>
      <w:r w:rsidRPr="007F6373">
        <w:rPr>
          <w:rFonts w:cs="Arial"/>
          <w:sz w:val="20"/>
          <w:szCs w:val="20"/>
        </w:rPr>
        <w:t>The</w:t>
      </w:r>
      <w:proofErr w:type="gramEnd"/>
      <w:r w:rsidRPr="007F6373">
        <w:rPr>
          <w:rFonts w:cs="Arial"/>
          <w:sz w:val="20"/>
          <w:szCs w:val="20"/>
        </w:rPr>
        <w:t xml:space="preserve"> regulation of food packaging materials in Japan. </w:t>
      </w:r>
      <w:proofErr w:type="gramStart"/>
      <w:r w:rsidRPr="007F6373">
        <w:rPr>
          <w:rFonts w:cs="Arial"/>
          <w:sz w:val="20"/>
          <w:szCs w:val="20"/>
        </w:rPr>
        <w:t>Keller Heckman Packaging Site</w:t>
      </w:r>
      <w:r w:rsidR="00505BAC" w:rsidRPr="007F6373">
        <w:rPr>
          <w:rFonts w:cs="Arial"/>
          <w:sz w:val="20"/>
          <w:szCs w:val="20"/>
        </w:rPr>
        <w:t>.</w:t>
      </w:r>
      <w:proofErr w:type="gramEnd"/>
      <w:r w:rsidR="00505BAC" w:rsidRPr="007F6373">
        <w:rPr>
          <w:rFonts w:cs="Arial"/>
          <w:sz w:val="20"/>
          <w:szCs w:val="20"/>
        </w:rPr>
        <w:t xml:space="preserve"> </w:t>
      </w:r>
      <w:hyperlink r:id="rId38" w:history="1">
        <w:r w:rsidR="0056040A" w:rsidRPr="007F6373">
          <w:rPr>
            <w:rStyle w:val="Hyperlink"/>
            <w:sz w:val="20"/>
            <w:szCs w:val="20"/>
          </w:rPr>
          <w:t>www.packaginglaw.com</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spellStart"/>
      <w:r w:rsidRPr="007F6373">
        <w:rPr>
          <w:rFonts w:cs="Arial"/>
          <w:sz w:val="20"/>
          <w:szCs w:val="20"/>
        </w:rPr>
        <w:t>Fankhauser-Noti</w:t>
      </w:r>
      <w:proofErr w:type="spellEnd"/>
      <w:r w:rsidRPr="007F6373">
        <w:rPr>
          <w:rFonts w:cs="Arial"/>
          <w:sz w:val="20"/>
          <w:szCs w:val="20"/>
        </w:rPr>
        <w:t xml:space="preserve"> A, </w:t>
      </w:r>
      <w:proofErr w:type="spellStart"/>
      <w:r w:rsidRPr="007F6373">
        <w:rPr>
          <w:rFonts w:cs="Arial"/>
          <w:sz w:val="20"/>
          <w:szCs w:val="20"/>
        </w:rPr>
        <w:t>Biedermann-Brem</w:t>
      </w:r>
      <w:proofErr w:type="spellEnd"/>
      <w:r w:rsidRPr="007F6373">
        <w:rPr>
          <w:rFonts w:cs="Arial"/>
          <w:sz w:val="20"/>
          <w:szCs w:val="20"/>
        </w:rPr>
        <w:t xml:space="preserve"> S, </w:t>
      </w:r>
      <w:proofErr w:type="spellStart"/>
      <w:r w:rsidRPr="007F6373">
        <w:rPr>
          <w:rFonts w:cs="Arial"/>
          <w:sz w:val="20"/>
          <w:szCs w:val="20"/>
        </w:rPr>
        <w:t>Grob</w:t>
      </w:r>
      <w:proofErr w:type="spellEnd"/>
      <w:r w:rsidRPr="007F6373">
        <w:rPr>
          <w:rFonts w:cs="Arial"/>
          <w:sz w:val="20"/>
          <w:szCs w:val="20"/>
        </w:rPr>
        <w:t xml:space="preserve"> K (2006) PVC plasticizers/additives migrating from the gaskets of metal closures into oily food: Swiss market survey June 2005. European Food Research Technology, 223, 447-453.</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 xml:space="preserve">Johns, S.M., </w:t>
      </w:r>
      <w:proofErr w:type="spellStart"/>
      <w:r w:rsidRPr="007F6373">
        <w:rPr>
          <w:rFonts w:cs="Arial"/>
          <w:sz w:val="20"/>
          <w:szCs w:val="20"/>
        </w:rPr>
        <w:t>Jickelss</w:t>
      </w:r>
      <w:proofErr w:type="spellEnd"/>
      <w:r w:rsidRPr="007F6373">
        <w:rPr>
          <w:rFonts w:cs="Arial"/>
          <w:sz w:val="20"/>
          <w:szCs w:val="20"/>
        </w:rPr>
        <w:t>, S.M., Read, W.A. and Castle L. (2000)</w:t>
      </w:r>
      <w:r w:rsidR="00505BAC" w:rsidRPr="007F6373">
        <w:rPr>
          <w:rFonts w:cs="Arial"/>
          <w:sz w:val="20"/>
          <w:szCs w:val="20"/>
        </w:rPr>
        <w:t xml:space="preserve">. </w:t>
      </w:r>
      <w:proofErr w:type="gramStart"/>
      <w:r w:rsidRPr="007F6373">
        <w:rPr>
          <w:rFonts w:cs="Arial"/>
          <w:sz w:val="20"/>
          <w:szCs w:val="20"/>
        </w:rPr>
        <w:t>Studies on functional barriers to migration.</w:t>
      </w:r>
      <w:proofErr w:type="gramEnd"/>
      <w:r w:rsidRPr="007F6373">
        <w:rPr>
          <w:rFonts w:cs="Arial"/>
          <w:sz w:val="20"/>
          <w:szCs w:val="20"/>
        </w:rPr>
        <w:t xml:space="preserve"> 3. Migration of benzophenone and model ink components from </w:t>
      </w:r>
      <w:proofErr w:type="spellStart"/>
      <w:r w:rsidRPr="007F6373">
        <w:rPr>
          <w:rFonts w:cs="Arial"/>
          <w:sz w:val="20"/>
          <w:szCs w:val="20"/>
        </w:rPr>
        <w:t>cartonboard</w:t>
      </w:r>
      <w:proofErr w:type="spellEnd"/>
      <w:r w:rsidRPr="007F6373">
        <w:rPr>
          <w:rFonts w:cs="Arial"/>
          <w:sz w:val="20"/>
          <w:szCs w:val="20"/>
        </w:rPr>
        <w:t xml:space="preserve"> to food during frozen storage and microwave heating</w:t>
      </w:r>
      <w:r w:rsidR="00505BAC" w:rsidRPr="007F6373">
        <w:rPr>
          <w:rFonts w:cs="Arial"/>
          <w:sz w:val="20"/>
          <w:szCs w:val="20"/>
        </w:rPr>
        <w:t xml:space="preserve">. </w:t>
      </w:r>
      <w:proofErr w:type="spellStart"/>
      <w:proofErr w:type="gramStart"/>
      <w:r w:rsidRPr="007F6373">
        <w:rPr>
          <w:rFonts w:cs="Arial"/>
          <w:sz w:val="20"/>
          <w:szCs w:val="20"/>
        </w:rPr>
        <w:t>Packag</w:t>
      </w:r>
      <w:proofErr w:type="spellEnd"/>
      <w:r w:rsidRPr="007F6373">
        <w:rPr>
          <w:rFonts w:cs="Arial"/>
          <w:sz w:val="20"/>
          <w:szCs w:val="20"/>
        </w:rPr>
        <w:t>.</w:t>
      </w:r>
      <w:proofErr w:type="gramEnd"/>
      <w:r w:rsidRPr="007F6373">
        <w:rPr>
          <w:rFonts w:cs="Arial"/>
          <w:sz w:val="20"/>
          <w:szCs w:val="20"/>
        </w:rPr>
        <w:t xml:space="preserve"> Technol. </w:t>
      </w:r>
      <w:proofErr w:type="spellStart"/>
      <w:r w:rsidRPr="007F6373">
        <w:rPr>
          <w:rFonts w:cs="Arial"/>
          <w:sz w:val="20"/>
          <w:szCs w:val="20"/>
        </w:rPr>
        <w:t>Sci</w:t>
      </w:r>
      <w:proofErr w:type="spellEnd"/>
      <w:r w:rsidRPr="007F6373">
        <w:rPr>
          <w:rFonts w:cs="Arial"/>
          <w:sz w:val="20"/>
          <w:szCs w:val="20"/>
        </w:rPr>
        <w:t xml:space="preserve"> 13: 99 – 104.</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spellStart"/>
      <w:r w:rsidRPr="007F6373">
        <w:rPr>
          <w:rFonts w:cs="Arial"/>
          <w:sz w:val="20"/>
          <w:szCs w:val="20"/>
        </w:rPr>
        <w:t>Koster</w:t>
      </w:r>
      <w:proofErr w:type="spellEnd"/>
      <w:r w:rsidRPr="007F6373">
        <w:rPr>
          <w:rFonts w:cs="Arial"/>
          <w:sz w:val="20"/>
          <w:szCs w:val="20"/>
        </w:rPr>
        <w:t xml:space="preserve"> S, </w:t>
      </w:r>
      <w:proofErr w:type="spellStart"/>
      <w:r w:rsidRPr="007F6373">
        <w:rPr>
          <w:rFonts w:cs="Arial"/>
          <w:sz w:val="20"/>
          <w:szCs w:val="20"/>
        </w:rPr>
        <w:t>Rennen</w:t>
      </w:r>
      <w:proofErr w:type="spellEnd"/>
      <w:r w:rsidRPr="007F6373">
        <w:rPr>
          <w:rFonts w:cs="Arial"/>
          <w:sz w:val="20"/>
          <w:szCs w:val="20"/>
        </w:rPr>
        <w:t xml:space="preserve"> M, </w:t>
      </w:r>
      <w:proofErr w:type="spellStart"/>
      <w:r w:rsidRPr="007F6373">
        <w:rPr>
          <w:rFonts w:cs="Arial"/>
          <w:sz w:val="20"/>
          <w:szCs w:val="20"/>
        </w:rPr>
        <w:t>Leeman</w:t>
      </w:r>
      <w:proofErr w:type="spellEnd"/>
      <w:r w:rsidRPr="007F6373">
        <w:rPr>
          <w:rFonts w:cs="Arial"/>
          <w:sz w:val="20"/>
          <w:szCs w:val="20"/>
        </w:rPr>
        <w:t xml:space="preserve"> W, </w:t>
      </w:r>
      <w:proofErr w:type="spellStart"/>
      <w:r w:rsidRPr="007F6373">
        <w:rPr>
          <w:rFonts w:cs="Arial"/>
          <w:sz w:val="20"/>
          <w:szCs w:val="20"/>
        </w:rPr>
        <w:t>Houben</w:t>
      </w:r>
      <w:proofErr w:type="spellEnd"/>
      <w:r w:rsidRPr="007F6373">
        <w:rPr>
          <w:rFonts w:cs="Arial"/>
          <w:sz w:val="20"/>
          <w:szCs w:val="20"/>
        </w:rPr>
        <w:t xml:space="preserve"> G, </w:t>
      </w:r>
      <w:proofErr w:type="spellStart"/>
      <w:r w:rsidRPr="007F6373">
        <w:rPr>
          <w:rFonts w:cs="Arial"/>
          <w:sz w:val="20"/>
          <w:szCs w:val="20"/>
        </w:rPr>
        <w:t>Muilwijk</w:t>
      </w:r>
      <w:proofErr w:type="spellEnd"/>
      <w:r w:rsidRPr="007F6373">
        <w:rPr>
          <w:rFonts w:cs="Arial"/>
          <w:sz w:val="20"/>
          <w:szCs w:val="20"/>
        </w:rPr>
        <w:t xml:space="preserve"> B, van Acker F, </w:t>
      </w:r>
      <w:proofErr w:type="spellStart"/>
      <w:r w:rsidRPr="007F6373">
        <w:rPr>
          <w:rFonts w:cs="Arial"/>
          <w:sz w:val="20"/>
          <w:szCs w:val="20"/>
        </w:rPr>
        <w:t>Krul</w:t>
      </w:r>
      <w:proofErr w:type="spellEnd"/>
      <w:r w:rsidRPr="007F6373">
        <w:rPr>
          <w:rFonts w:cs="Arial"/>
          <w:sz w:val="20"/>
          <w:szCs w:val="20"/>
        </w:rPr>
        <w:t xml:space="preserve"> L (2014) A novel safety assessment strategy for non-intentionally added substances (NIAS) in carton food contact materials. Food </w:t>
      </w:r>
      <w:proofErr w:type="spellStart"/>
      <w:r w:rsidRPr="007F6373">
        <w:rPr>
          <w:rFonts w:cs="Arial"/>
          <w:sz w:val="20"/>
          <w:szCs w:val="20"/>
        </w:rPr>
        <w:t>Addit</w:t>
      </w:r>
      <w:proofErr w:type="spellEnd"/>
      <w:r w:rsidRPr="007F6373">
        <w:rPr>
          <w:rFonts w:cs="Arial"/>
          <w:sz w:val="20"/>
          <w:szCs w:val="20"/>
        </w:rPr>
        <w:t xml:space="preserve"> </w:t>
      </w:r>
      <w:proofErr w:type="spellStart"/>
      <w:r w:rsidRPr="007F6373">
        <w:rPr>
          <w:rFonts w:cs="Arial"/>
          <w:sz w:val="20"/>
          <w:szCs w:val="20"/>
        </w:rPr>
        <w:t>Contam</w:t>
      </w:r>
      <w:proofErr w:type="spellEnd"/>
      <w:r w:rsidRPr="007F6373">
        <w:rPr>
          <w:rFonts w:cs="Arial"/>
          <w:sz w:val="20"/>
          <w:szCs w:val="20"/>
        </w:rPr>
        <w:t xml:space="preserve"> Part A. 31(3):422-43.</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spellStart"/>
      <w:r w:rsidRPr="007F6373">
        <w:rPr>
          <w:rFonts w:cs="Arial"/>
          <w:sz w:val="20"/>
          <w:szCs w:val="20"/>
        </w:rPr>
        <w:t>Kroes</w:t>
      </w:r>
      <w:proofErr w:type="spellEnd"/>
      <w:r w:rsidRPr="007F6373">
        <w:rPr>
          <w:rFonts w:cs="Arial"/>
          <w:sz w:val="20"/>
          <w:szCs w:val="20"/>
        </w:rPr>
        <w:t xml:space="preserve"> R, Galli C, </w:t>
      </w:r>
      <w:proofErr w:type="gramStart"/>
      <w:r w:rsidRPr="007F6373">
        <w:rPr>
          <w:rFonts w:cs="Arial"/>
          <w:sz w:val="20"/>
          <w:szCs w:val="20"/>
        </w:rPr>
        <w:t>Munro</w:t>
      </w:r>
      <w:proofErr w:type="gramEnd"/>
      <w:r w:rsidRPr="007F6373">
        <w:rPr>
          <w:rFonts w:cs="Arial"/>
          <w:sz w:val="20"/>
          <w:szCs w:val="20"/>
        </w:rPr>
        <w:t xml:space="preserve"> I, </w:t>
      </w:r>
      <w:proofErr w:type="spellStart"/>
      <w:r w:rsidRPr="007F6373">
        <w:rPr>
          <w:rFonts w:cs="Arial"/>
          <w:sz w:val="20"/>
          <w:szCs w:val="20"/>
        </w:rPr>
        <w:t>Schilter</w:t>
      </w:r>
      <w:proofErr w:type="spellEnd"/>
      <w:r w:rsidRPr="007F6373">
        <w:rPr>
          <w:rFonts w:cs="Arial"/>
          <w:sz w:val="20"/>
          <w:szCs w:val="20"/>
        </w:rPr>
        <w:t xml:space="preserve"> B, Tran L, Walker R, </w:t>
      </w:r>
      <w:proofErr w:type="spellStart"/>
      <w:r w:rsidRPr="007F6373">
        <w:rPr>
          <w:rFonts w:cs="Arial"/>
          <w:sz w:val="20"/>
          <w:szCs w:val="20"/>
        </w:rPr>
        <w:t>Würtzen</w:t>
      </w:r>
      <w:proofErr w:type="spellEnd"/>
      <w:r w:rsidRPr="007F6373">
        <w:rPr>
          <w:rFonts w:cs="Arial"/>
          <w:sz w:val="20"/>
          <w:szCs w:val="20"/>
        </w:rPr>
        <w:t xml:space="preserve"> G (2000) Threshold of toxicological concern for chemical substances present in the diet: a practical tool for assessing the need for toxicity testing. </w:t>
      </w:r>
      <w:proofErr w:type="gramStart"/>
      <w:r w:rsidRPr="007F6373">
        <w:rPr>
          <w:rFonts w:cs="Arial"/>
          <w:sz w:val="20"/>
          <w:szCs w:val="20"/>
        </w:rPr>
        <w:t xml:space="preserve">Food </w:t>
      </w:r>
      <w:proofErr w:type="spellStart"/>
      <w:r w:rsidRPr="007F6373">
        <w:rPr>
          <w:rFonts w:cs="Arial"/>
          <w:sz w:val="20"/>
          <w:szCs w:val="20"/>
        </w:rPr>
        <w:t>Chem</w:t>
      </w:r>
      <w:proofErr w:type="spellEnd"/>
      <w:r w:rsidRPr="007F6373">
        <w:rPr>
          <w:rFonts w:cs="Arial"/>
          <w:sz w:val="20"/>
          <w:szCs w:val="20"/>
        </w:rPr>
        <w:t xml:space="preserve"> </w:t>
      </w:r>
      <w:proofErr w:type="spellStart"/>
      <w:r w:rsidRPr="007F6373">
        <w:rPr>
          <w:rFonts w:cs="Arial"/>
          <w:sz w:val="20"/>
          <w:szCs w:val="20"/>
        </w:rPr>
        <w:t>Toxicol</w:t>
      </w:r>
      <w:proofErr w:type="spellEnd"/>
      <w:r w:rsidRPr="007F6373">
        <w:rPr>
          <w:rFonts w:cs="Arial"/>
          <w:sz w:val="20"/>
          <w:szCs w:val="20"/>
        </w:rPr>
        <w:t>.</w:t>
      </w:r>
      <w:proofErr w:type="gramEnd"/>
      <w:r w:rsidRPr="007F6373">
        <w:rPr>
          <w:rFonts w:cs="Arial"/>
          <w:sz w:val="20"/>
          <w:szCs w:val="20"/>
        </w:rPr>
        <w:t xml:space="preserve"> 38(2-3):255-312.</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gramStart"/>
      <w:r w:rsidRPr="007F6373">
        <w:rPr>
          <w:rFonts w:cs="Arial"/>
          <w:sz w:val="20"/>
          <w:szCs w:val="20"/>
        </w:rPr>
        <w:t xml:space="preserve">Magnuson, B., Munro, I., Abbot, P., Baldwin, N., Lopez-Garcia, R., Ly K., </w:t>
      </w:r>
      <w:proofErr w:type="spellStart"/>
      <w:r w:rsidRPr="007F6373">
        <w:rPr>
          <w:rFonts w:cs="Arial"/>
          <w:sz w:val="20"/>
          <w:szCs w:val="20"/>
        </w:rPr>
        <w:t>McGirr</w:t>
      </w:r>
      <w:proofErr w:type="spellEnd"/>
      <w:r w:rsidRPr="007F6373">
        <w:rPr>
          <w:rFonts w:cs="Arial"/>
          <w:sz w:val="20"/>
          <w:szCs w:val="20"/>
        </w:rPr>
        <w:t xml:space="preserve">, L., Roberts, A and </w:t>
      </w:r>
      <w:proofErr w:type="spellStart"/>
      <w:r w:rsidRPr="007F6373">
        <w:rPr>
          <w:rFonts w:cs="Arial"/>
          <w:sz w:val="20"/>
          <w:szCs w:val="20"/>
        </w:rPr>
        <w:t>Socolovsky</w:t>
      </w:r>
      <w:proofErr w:type="spellEnd"/>
      <w:r w:rsidRPr="007F6373">
        <w:rPr>
          <w:rFonts w:cs="Arial"/>
          <w:sz w:val="20"/>
          <w:szCs w:val="20"/>
        </w:rPr>
        <w:t>, S. (2013) Review of the regulation and safety assessment of food substances in various countries and jurisdictions</w:t>
      </w:r>
      <w:r w:rsidR="00505BAC" w:rsidRPr="007F6373">
        <w:rPr>
          <w:rFonts w:cs="Arial"/>
          <w:sz w:val="20"/>
          <w:szCs w:val="20"/>
        </w:rPr>
        <w:t>.</w:t>
      </w:r>
      <w:proofErr w:type="gramEnd"/>
      <w:r w:rsidR="00505BAC" w:rsidRPr="007F6373">
        <w:rPr>
          <w:rFonts w:cs="Arial"/>
          <w:sz w:val="20"/>
          <w:szCs w:val="20"/>
        </w:rPr>
        <w:t xml:space="preserve"> </w:t>
      </w:r>
      <w:r w:rsidRPr="007F6373">
        <w:rPr>
          <w:rFonts w:cs="Arial"/>
          <w:sz w:val="20"/>
          <w:szCs w:val="20"/>
        </w:rPr>
        <w:t xml:space="preserve">Food Additives and Contaminants: Part A 30(7): 1147 – 1220.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spellStart"/>
      <w:r w:rsidRPr="007F6373">
        <w:rPr>
          <w:rFonts w:cs="Arial"/>
          <w:sz w:val="20"/>
          <w:szCs w:val="20"/>
        </w:rPr>
        <w:t>Muncke</w:t>
      </w:r>
      <w:proofErr w:type="spellEnd"/>
      <w:r w:rsidRPr="007F6373">
        <w:rPr>
          <w:rFonts w:cs="Arial"/>
          <w:sz w:val="20"/>
          <w:szCs w:val="20"/>
        </w:rPr>
        <w:t xml:space="preserve">, J (2014) Hazards in Food contact Material: Food Packaging Contaminants. In: </w:t>
      </w:r>
      <w:proofErr w:type="spellStart"/>
      <w:r w:rsidRPr="007F6373">
        <w:rPr>
          <w:rFonts w:cs="Arial"/>
          <w:sz w:val="20"/>
          <w:szCs w:val="20"/>
        </w:rPr>
        <w:t>Montarjemi</w:t>
      </w:r>
      <w:proofErr w:type="spellEnd"/>
      <w:r w:rsidRPr="007F6373">
        <w:rPr>
          <w:rFonts w:cs="Arial"/>
          <w:sz w:val="20"/>
          <w:szCs w:val="20"/>
        </w:rPr>
        <w:t xml:space="preserve"> Y, Moy GG, Todd ECD (</w:t>
      </w:r>
      <w:proofErr w:type="spellStart"/>
      <w:proofErr w:type="gramStart"/>
      <w:r w:rsidRPr="007F6373">
        <w:rPr>
          <w:rFonts w:cs="Arial"/>
          <w:sz w:val="20"/>
          <w:szCs w:val="20"/>
        </w:rPr>
        <w:t>eds</w:t>
      </w:r>
      <w:proofErr w:type="spellEnd"/>
      <w:proofErr w:type="gramEnd"/>
      <w:r w:rsidRPr="007F6373">
        <w:rPr>
          <w:rFonts w:cs="Arial"/>
          <w:sz w:val="20"/>
          <w:szCs w:val="20"/>
        </w:rPr>
        <w:t xml:space="preserve">) The </w:t>
      </w:r>
      <w:proofErr w:type="spellStart"/>
      <w:r w:rsidRPr="007F6373">
        <w:rPr>
          <w:rFonts w:cs="Arial"/>
          <w:sz w:val="20"/>
          <w:szCs w:val="20"/>
        </w:rPr>
        <w:t>Encyclopedia</w:t>
      </w:r>
      <w:proofErr w:type="spellEnd"/>
      <w:r w:rsidRPr="007F6373">
        <w:rPr>
          <w:rFonts w:cs="Arial"/>
          <w:sz w:val="20"/>
          <w:szCs w:val="20"/>
        </w:rPr>
        <w:t xml:space="preserve"> of Food Safety, Volume 2. Elsevier, Boston, p. 430 – 437.</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gramStart"/>
      <w:r w:rsidRPr="007F6373">
        <w:rPr>
          <w:rFonts w:cs="Arial"/>
          <w:sz w:val="20"/>
          <w:szCs w:val="20"/>
        </w:rPr>
        <w:t>NZMOH (2005) Ministry of Health.</w:t>
      </w:r>
      <w:proofErr w:type="gramEnd"/>
      <w:r w:rsidRPr="007F6373">
        <w:rPr>
          <w:rFonts w:cs="Arial"/>
          <w:sz w:val="20"/>
          <w:szCs w:val="20"/>
        </w:rPr>
        <w:t xml:space="preserve"> </w:t>
      </w:r>
      <w:proofErr w:type="gramStart"/>
      <w:r w:rsidRPr="007F6373">
        <w:rPr>
          <w:rFonts w:cs="Arial"/>
          <w:sz w:val="20"/>
          <w:szCs w:val="20"/>
        </w:rPr>
        <w:t>Drinking-water Standards for New Zealand 2005.</w:t>
      </w:r>
      <w:proofErr w:type="gramEnd"/>
      <w:r w:rsidRPr="007F6373">
        <w:rPr>
          <w:rFonts w:cs="Arial"/>
          <w:sz w:val="20"/>
          <w:szCs w:val="20"/>
        </w:rPr>
        <w:t xml:space="preserve"> Wellington: Ministry of Health. </w:t>
      </w:r>
      <w:hyperlink r:id="rId39" w:history="1">
        <w:r w:rsidR="0056040A" w:rsidRPr="007F6373">
          <w:rPr>
            <w:rStyle w:val="Hyperlink"/>
            <w:sz w:val="20"/>
            <w:szCs w:val="20"/>
          </w:rPr>
          <w:t>http://www.moh.govt.nz</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Nielson C. and Ng Clark M. (2004</w:t>
      </w:r>
      <w:proofErr w:type="gramStart"/>
      <w:r w:rsidRPr="007F6373">
        <w:rPr>
          <w:rFonts w:cs="Arial"/>
          <w:sz w:val="20"/>
          <w:szCs w:val="20"/>
        </w:rPr>
        <w:t>)  Update</w:t>
      </w:r>
      <w:proofErr w:type="gramEnd"/>
      <w:r w:rsidRPr="007F6373">
        <w:rPr>
          <w:rFonts w:cs="Arial"/>
          <w:sz w:val="20"/>
          <w:szCs w:val="20"/>
        </w:rPr>
        <w:t xml:space="preserve"> of regulation of food packaging in the Pacific Rim</w:t>
      </w:r>
      <w:r w:rsidR="00505BAC" w:rsidRPr="007F6373">
        <w:rPr>
          <w:rFonts w:cs="Arial"/>
          <w:sz w:val="20"/>
          <w:szCs w:val="20"/>
        </w:rPr>
        <w:t xml:space="preserve">. </w:t>
      </w:r>
      <w:proofErr w:type="gramStart"/>
      <w:r w:rsidRPr="007F6373">
        <w:rPr>
          <w:rFonts w:cs="Arial"/>
          <w:sz w:val="20"/>
          <w:szCs w:val="20"/>
        </w:rPr>
        <w:t>Keller Heckman Packaging Site</w:t>
      </w:r>
      <w:r w:rsidR="00505BAC" w:rsidRPr="007F6373">
        <w:rPr>
          <w:rFonts w:cs="Arial"/>
          <w:sz w:val="20"/>
          <w:szCs w:val="20"/>
        </w:rPr>
        <w:t>.</w:t>
      </w:r>
      <w:proofErr w:type="gramEnd"/>
      <w:r w:rsidR="00505BAC" w:rsidRPr="007F6373">
        <w:rPr>
          <w:rFonts w:cs="Arial"/>
          <w:sz w:val="20"/>
          <w:szCs w:val="20"/>
        </w:rPr>
        <w:t xml:space="preserve"> </w:t>
      </w:r>
      <w:hyperlink r:id="rId40" w:history="1">
        <w:r w:rsidR="0056040A" w:rsidRPr="007F6373">
          <w:rPr>
            <w:rStyle w:val="Hyperlink"/>
            <w:sz w:val="20"/>
            <w:szCs w:val="20"/>
          </w:rPr>
          <w:t>www.packaginglaw.com</w:t>
        </w:r>
      </w:hyperlink>
      <w:r w:rsidR="0056040A">
        <w:rPr>
          <w:rFonts w:cs="Arial"/>
          <w:sz w:val="20"/>
          <w:szCs w:val="20"/>
        </w:rPr>
        <w:t xml:space="preserve"> </w:t>
      </w:r>
      <w:r w:rsidRPr="007F6373">
        <w:rPr>
          <w:rFonts w:cs="Arial"/>
          <w:sz w:val="20"/>
          <w:szCs w:val="20"/>
        </w:rPr>
        <w:t xml:space="preserve"> </w:t>
      </w:r>
    </w:p>
    <w:p w:rsidR="00A43115" w:rsidRPr="007F6373" w:rsidRDefault="00A43115" w:rsidP="00A43115">
      <w:pPr>
        <w:rPr>
          <w:rFonts w:cs="Arial"/>
          <w:sz w:val="20"/>
          <w:szCs w:val="20"/>
        </w:rPr>
      </w:pPr>
    </w:p>
    <w:p w:rsidR="00A43115" w:rsidRDefault="00A43115" w:rsidP="00A43115">
      <w:pPr>
        <w:rPr>
          <w:rFonts w:cs="Arial"/>
          <w:sz w:val="20"/>
          <w:szCs w:val="20"/>
        </w:rPr>
      </w:pPr>
      <w:r w:rsidRPr="007F6373">
        <w:rPr>
          <w:rFonts w:cs="Arial"/>
          <w:sz w:val="20"/>
          <w:szCs w:val="20"/>
        </w:rPr>
        <w:t xml:space="preserve">Page BD1, </w:t>
      </w:r>
      <w:proofErr w:type="spellStart"/>
      <w:r w:rsidRPr="007F6373">
        <w:rPr>
          <w:rFonts w:cs="Arial"/>
          <w:sz w:val="20"/>
          <w:szCs w:val="20"/>
        </w:rPr>
        <w:t>Lacroix</w:t>
      </w:r>
      <w:proofErr w:type="spellEnd"/>
      <w:r w:rsidRPr="007F6373">
        <w:rPr>
          <w:rFonts w:cs="Arial"/>
          <w:sz w:val="20"/>
          <w:szCs w:val="20"/>
        </w:rPr>
        <w:t xml:space="preserve"> GM (1995) </w:t>
      </w:r>
      <w:proofErr w:type="gramStart"/>
      <w:r w:rsidRPr="007F6373">
        <w:rPr>
          <w:rFonts w:cs="Arial"/>
          <w:sz w:val="20"/>
          <w:szCs w:val="20"/>
        </w:rPr>
        <w:t>The</w:t>
      </w:r>
      <w:proofErr w:type="gramEnd"/>
      <w:r w:rsidRPr="007F6373">
        <w:rPr>
          <w:rFonts w:cs="Arial"/>
          <w:sz w:val="20"/>
          <w:szCs w:val="20"/>
        </w:rPr>
        <w:t xml:space="preserve"> occurrence of phthalate ester and di-2-ethylhexyl adipate plasticizers in Canadian packaging and food sampled in 1985-1989: a survey. </w:t>
      </w:r>
      <w:proofErr w:type="gramStart"/>
      <w:r w:rsidRPr="007F6373">
        <w:rPr>
          <w:rFonts w:cs="Arial"/>
          <w:sz w:val="20"/>
          <w:szCs w:val="20"/>
        </w:rPr>
        <w:t xml:space="preserve">Food </w:t>
      </w:r>
      <w:proofErr w:type="spellStart"/>
      <w:r w:rsidRPr="007F6373">
        <w:rPr>
          <w:rFonts w:cs="Arial"/>
          <w:sz w:val="20"/>
          <w:szCs w:val="20"/>
        </w:rPr>
        <w:t>Addit</w:t>
      </w:r>
      <w:proofErr w:type="spellEnd"/>
      <w:r w:rsidRPr="007F6373">
        <w:rPr>
          <w:rFonts w:cs="Arial"/>
          <w:sz w:val="20"/>
          <w:szCs w:val="20"/>
        </w:rPr>
        <w:t xml:space="preserve"> </w:t>
      </w:r>
      <w:proofErr w:type="spellStart"/>
      <w:r w:rsidRPr="007F6373">
        <w:rPr>
          <w:rFonts w:cs="Arial"/>
          <w:sz w:val="20"/>
          <w:szCs w:val="20"/>
        </w:rPr>
        <w:t>Contam</w:t>
      </w:r>
      <w:proofErr w:type="spellEnd"/>
      <w:r w:rsidRPr="007F6373">
        <w:rPr>
          <w:rFonts w:cs="Arial"/>
          <w:sz w:val="20"/>
          <w:szCs w:val="20"/>
        </w:rPr>
        <w:t>.</w:t>
      </w:r>
      <w:proofErr w:type="gramEnd"/>
      <w:r w:rsidRPr="007F6373">
        <w:rPr>
          <w:rFonts w:cs="Arial"/>
          <w:sz w:val="20"/>
          <w:szCs w:val="20"/>
        </w:rPr>
        <w:t xml:space="preserve"> 12(1):129-151.</w:t>
      </w:r>
    </w:p>
    <w:p w:rsidR="003D138D" w:rsidRPr="007F6373" w:rsidRDefault="003D138D"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 xml:space="preserve">PCA (2005) Issues Paper 18, Australian Packaging: Issues and Trends, Packaging Council of Australia </w:t>
      </w:r>
      <w:proofErr w:type="spellStart"/>
      <w:r w:rsidRPr="007F6373">
        <w:rPr>
          <w:rFonts w:cs="Arial"/>
          <w:sz w:val="20"/>
          <w:szCs w:val="20"/>
        </w:rPr>
        <w:t>Inc</w:t>
      </w:r>
      <w:proofErr w:type="spellEnd"/>
      <w:r w:rsidRPr="007F6373">
        <w:rPr>
          <w:rFonts w:cs="Arial"/>
          <w:sz w:val="20"/>
          <w:szCs w:val="20"/>
        </w:rPr>
        <w:t xml:space="preserve"> </w:t>
      </w:r>
      <w:hyperlink r:id="rId41" w:history="1">
        <w:r w:rsidR="0052714C" w:rsidRPr="002E3A88">
          <w:rPr>
            <w:rStyle w:val="Hyperlink"/>
            <w:rFonts w:cs="Arial"/>
            <w:sz w:val="20"/>
            <w:szCs w:val="20"/>
          </w:rPr>
          <w:t>http://www.pca.org.au/site/index.php/page/issues-papers</w:t>
        </w:r>
      </w:hyperlink>
      <w:r w:rsidR="0052714C">
        <w:rPr>
          <w:rFonts w:cs="Arial"/>
          <w:sz w:val="20"/>
          <w:szCs w:val="20"/>
        </w:rPr>
        <w:t xml:space="preserve"> </w:t>
      </w:r>
      <w:r w:rsidRPr="007F6373">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 xml:space="preserve">RASFF (2005) Migration of isopropyl thioxanthone </w:t>
      </w:r>
      <w:proofErr w:type="gramStart"/>
      <w:r w:rsidRPr="007F6373">
        <w:rPr>
          <w:rFonts w:cs="Arial"/>
          <w:sz w:val="20"/>
          <w:szCs w:val="20"/>
        </w:rPr>
        <w:t>(250 µg/L)</w:t>
      </w:r>
      <w:proofErr w:type="gramEnd"/>
      <w:r w:rsidRPr="007F6373">
        <w:rPr>
          <w:rFonts w:cs="Arial"/>
          <w:sz w:val="20"/>
          <w:szCs w:val="20"/>
        </w:rPr>
        <w:t xml:space="preserve"> from packaging of milk for babies. Notification details - 2005.631. </w:t>
      </w:r>
      <w:proofErr w:type="gramStart"/>
      <w:r w:rsidRPr="007F6373">
        <w:rPr>
          <w:rFonts w:cs="Arial"/>
          <w:sz w:val="20"/>
          <w:szCs w:val="20"/>
        </w:rPr>
        <w:t>EU Rapid Alert System for Food and Feed.</w:t>
      </w:r>
      <w:proofErr w:type="gramEnd"/>
      <w:r w:rsidRPr="007F6373">
        <w:rPr>
          <w:rFonts w:cs="Arial"/>
          <w:sz w:val="20"/>
          <w:szCs w:val="20"/>
        </w:rPr>
        <w:t xml:space="preserve"> Available at: </w:t>
      </w:r>
      <w:hyperlink r:id="rId42" w:history="1">
        <w:r w:rsidR="0056040A" w:rsidRPr="007F6373">
          <w:rPr>
            <w:rStyle w:val="Hyperlink"/>
            <w:sz w:val="20"/>
            <w:szCs w:val="20"/>
          </w:rPr>
          <w:t>https://webgate.ec.europa.eu/rasff-window/portal/?event=notificationDetail&amp;NOTIF_REFERENCE=2005.631</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gramStart"/>
      <w:r w:rsidRPr="007F6373">
        <w:rPr>
          <w:rFonts w:cs="Arial"/>
          <w:sz w:val="20"/>
          <w:szCs w:val="20"/>
        </w:rPr>
        <w:t>RASFF (2009) Migration of 4-methylbenzophenone (798 µg/kg - ppb) from cardboard boxes produced in the Netherlands containing chocolate crunch muesli manufactured in Belgium.</w:t>
      </w:r>
      <w:proofErr w:type="gramEnd"/>
      <w:r w:rsidRPr="007F6373">
        <w:rPr>
          <w:rFonts w:cs="Arial"/>
          <w:sz w:val="20"/>
          <w:szCs w:val="20"/>
        </w:rPr>
        <w:t xml:space="preserve"> Notification details - 2009.0118. </w:t>
      </w:r>
      <w:proofErr w:type="gramStart"/>
      <w:r w:rsidRPr="007F6373">
        <w:rPr>
          <w:rFonts w:cs="Arial"/>
          <w:sz w:val="20"/>
          <w:szCs w:val="20"/>
        </w:rPr>
        <w:t>EU Rapid Alert System for Food and Feed.</w:t>
      </w:r>
      <w:proofErr w:type="gramEnd"/>
      <w:r w:rsidRPr="007F6373">
        <w:rPr>
          <w:rFonts w:cs="Arial"/>
          <w:sz w:val="20"/>
          <w:szCs w:val="20"/>
        </w:rPr>
        <w:t xml:space="preserve"> Available at: </w:t>
      </w:r>
      <w:hyperlink r:id="rId43" w:history="1">
        <w:r w:rsidR="0056040A" w:rsidRPr="007F6373">
          <w:rPr>
            <w:rStyle w:val="Hyperlink"/>
            <w:sz w:val="20"/>
            <w:szCs w:val="20"/>
          </w:rPr>
          <w:t>https://webgate.ec.europa.eu/rasff-window/portal/?event=notificationDetail&amp;NOTIF_REFERENCE=2009.0118</w:t>
        </w:r>
      </w:hyperlink>
      <w:r w:rsidR="0056040A">
        <w:rPr>
          <w:rFonts w:cs="Arial"/>
          <w:sz w:val="20"/>
          <w:szCs w:val="20"/>
        </w:rPr>
        <w:t xml:space="preserve"> </w:t>
      </w:r>
    </w:p>
    <w:p w:rsidR="00DD16C3" w:rsidRDefault="00DD16C3" w:rsidP="00A43115">
      <w:pPr>
        <w:rPr>
          <w:rFonts w:cs="Arial"/>
          <w:sz w:val="20"/>
          <w:szCs w:val="20"/>
        </w:rPr>
      </w:pPr>
    </w:p>
    <w:p w:rsidR="00A43115" w:rsidRPr="007F6373" w:rsidRDefault="00A43115" w:rsidP="00A43115">
      <w:pPr>
        <w:rPr>
          <w:rFonts w:cs="Arial"/>
          <w:sz w:val="20"/>
          <w:szCs w:val="20"/>
        </w:rPr>
      </w:pPr>
      <w:proofErr w:type="gramStart"/>
      <w:r w:rsidRPr="007F6373">
        <w:rPr>
          <w:rFonts w:cs="Arial"/>
          <w:sz w:val="20"/>
          <w:szCs w:val="20"/>
        </w:rPr>
        <w:t>Robertson, G. L. (201</w:t>
      </w:r>
      <w:r w:rsidR="003D138D">
        <w:rPr>
          <w:rFonts w:cs="Arial"/>
          <w:sz w:val="20"/>
          <w:szCs w:val="20"/>
        </w:rPr>
        <w:t>3</w:t>
      </w:r>
      <w:r w:rsidRPr="007F6373">
        <w:rPr>
          <w:rFonts w:cs="Arial"/>
          <w:sz w:val="20"/>
          <w:szCs w:val="20"/>
        </w:rPr>
        <w:t>) Food packaging: Principles and Practice.</w:t>
      </w:r>
      <w:proofErr w:type="gramEnd"/>
      <w:r w:rsidRPr="007F6373">
        <w:rPr>
          <w:rFonts w:cs="Arial"/>
          <w:sz w:val="20"/>
          <w:szCs w:val="20"/>
        </w:rPr>
        <w:t xml:space="preserve"> </w:t>
      </w:r>
      <w:proofErr w:type="gramStart"/>
      <w:r w:rsidRPr="007F6373">
        <w:rPr>
          <w:rFonts w:cs="Arial"/>
          <w:sz w:val="20"/>
          <w:szCs w:val="20"/>
        </w:rPr>
        <w:t>3rd edition CRC Press, Boca Raton, Florida.</w:t>
      </w:r>
      <w:proofErr w:type="gramEnd"/>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spellStart"/>
      <w:r w:rsidRPr="007F6373">
        <w:rPr>
          <w:rFonts w:cs="Arial"/>
          <w:sz w:val="20"/>
          <w:szCs w:val="20"/>
        </w:rPr>
        <w:t>Schug</w:t>
      </w:r>
      <w:proofErr w:type="spellEnd"/>
      <w:r w:rsidRPr="007F6373">
        <w:rPr>
          <w:rFonts w:cs="Arial"/>
          <w:sz w:val="20"/>
          <w:szCs w:val="20"/>
        </w:rPr>
        <w:t xml:space="preserve"> TT, </w:t>
      </w:r>
      <w:proofErr w:type="spellStart"/>
      <w:r w:rsidRPr="007F6373">
        <w:rPr>
          <w:rFonts w:cs="Arial"/>
          <w:sz w:val="20"/>
          <w:szCs w:val="20"/>
        </w:rPr>
        <w:t>Heindel</w:t>
      </w:r>
      <w:proofErr w:type="spellEnd"/>
      <w:r w:rsidRPr="007F6373">
        <w:rPr>
          <w:rFonts w:cs="Arial"/>
          <w:sz w:val="20"/>
          <w:szCs w:val="20"/>
        </w:rPr>
        <w:t xml:space="preserve"> JJ, Camacho L, </w:t>
      </w:r>
      <w:proofErr w:type="spellStart"/>
      <w:r w:rsidRPr="007F6373">
        <w:rPr>
          <w:rFonts w:cs="Arial"/>
          <w:sz w:val="20"/>
          <w:szCs w:val="20"/>
        </w:rPr>
        <w:t>Delclos</w:t>
      </w:r>
      <w:proofErr w:type="spellEnd"/>
      <w:r w:rsidRPr="007F6373">
        <w:rPr>
          <w:rFonts w:cs="Arial"/>
          <w:sz w:val="20"/>
          <w:szCs w:val="20"/>
        </w:rPr>
        <w:t xml:space="preserve"> KB, Howard P, Johnson AF, </w:t>
      </w:r>
      <w:proofErr w:type="spellStart"/>
      <w:r w:rsidRPr="007F6373">
        <w:rPr>
          <w:rFonts w:cs="Arial"/>
          <w:sz w:val="20"/>
          <w:szCs w:val="20"/>
        </w:rPr>
        <w:t>Aungst</w:t>
      </w:r>
      <w:proofErr w:type="spellEnd"/>
      <w:r w:rsidRPr="007F6373">
        <w:rPr>
          <w:rFonts w:cs="Arial"/>
          <w:sz w:val="20"/>
          <w:szCs w:val="20"/>
        </w:rPr>
        <w:t xml:space="preserve"> J, Keefe D, Newbold R, Walker NJ, et al. (2013) A new approach to synergize academic and guideline-compliant research: the CLARITY-BPA research program. </w:t>
      </w:r>
      <w:proofErr w:type="spellStart"/>
      <w:r w:rsidRPr="007F6373">
        <w:rPr>
          <w:rFonts w:cs="Arial"/>
          <w:sz w:val="20"/>
          <w:szCs w:val="20"/>
        </w:rPr>
        <w:t>Reprod</w:t>
      </w:r>
      <w:proofErr w:type="spellEnd"/>
      <w:r w:rsidRPr="007F6373">
        <w:rPr>
          <w:rFonts w:cs="Arial"/>
          <w:sz w:val="20"/>
          <w:szCs w:val="20"/>
        </w:rPr>
        <w:t xml:space="preserve"> </w:t>
      </w:r>
      <w:proofErr w:type="spellStart"/>
      <w:r w:rsidRPr="007F6373">
        <w:rPr>
          <w:rFonts w:cs="Arial"/>
          <w:sz w:val="20"/>
          <w:szCs w:val="20"/>
        </w:rPr>
        <w:t>Toxicol</w:t>
      </w:r>
      <w:proofErr w:type="spellEnd"/>
      <w:r w:rsidRPr="007F6373">
        <w:rPr>
          <w:rFonts w:cs="Arial"/>
          <w:sz w:val="20"/>
          <w:szCs w:val="20"/>
        </w:rPr>
        <w:t>. 40:35–40.</w:t>
      </w:r>
    </w:p>
    <w:p w:rsidR="00A43115" w:rsidRPr="007F6373" w:rsidRDefault="00A43115" w:rsidP="00A43115">
      <w:pPr>
        <w:rPr>
          <w:rFonts w:cs="Arial"/>
          <w:sz w:val="20"/>
          <w:szCs w:val="20"/>
        </w:rPr>
      </w:pPr>
    </w:p>
    <w:p w:rsidR="00A43115" w:rsidRPr="007F6373" w:rsidRDefault="00A43115" w:rsidP="00A43115">
      <w:pPr>
        <w:rPr>
          <w:rFonts w:cs="Arial"/>
          <w:sz w:val="20"/>
          <w:szCs w:val="20"/>
        </w:rPr>
      </w:pPr>
      <w:proofErr w:type="spellStart"/>
      <w:r w:rsidRPr="007F6373">
        <w:rPr>
          <w:rFonts w:cs="Arial"/>
          <w:sz w:val="20"/>
          <w:szCs w:val="20"/>
        </w:rPr>
        <w:t>Samonsek</w:t>
      </w:r>
      <w:proofErr w:type="spellEnd"/>
      <w:r w:rsidRPr="007F6373">
        <w:rPr>
          <w:rFonts w:cs="Arial"/>
          <w:sz w:val="20"/>
          <w:szCs w:val="20"/>
        </w:rPr>
        <w:t xml:space="preserve"> J and </w:t>
      </w:r>
      <w:proofErr w:type="spellStart"/>
      <w:r w:rsidRPr="007F6373">
        <w:rPr>
          <w:rFonts w:cs="Arial"/>
          <w:sz w:val="20"/>
          <w:szCs w:val="20"/>
        </w:rPr>
        <w:t>Puype</w:t>
      </w:r>
      <w:proofErr w:type="spellEnd"/>
      <w:r w:rsidRPr="007F6373">
        <w:rPr>
          <w:rFonts w:cs="Arial"/>
          <w:sz w:val="20"/>
          <w:szCs w:val="20"/>
        </w:rPr>
        <w:t xml:space="preserve"> F (2013</w:t>
      </w:r>
      <w:proofErr w:type="gramStart"/>
      <w:r w:rsidRPr="007F6373">
        <w:rPr>
          <w:rFonts w:cs="Arial"/>
          <w:sz w:val="20"/>
          <w:szCs w:val="20"/>
        </w:rPr>
        <w:t>)  Occurrence</w:t>
      </w:r>
      <w:proofErr w:type="gramEnd"/>
      <w:r w:rsidRPr="007F6373">
        <w:rPr>
          <w:rFonts w:cs="Arial"/>
          <w:sz w:val="20"/>
          <w:szCs w:val="20"/>
        </w:rPr>
        <w:t xml:space="preserve"> of brominated flame retardants in black </w:t>
      </w:r>
      <w:proofErr w:type="spellStart"/>
      <w:r w:rsidRPr="007F6373">
        <w:rPr>
          <w:rFonts w:cs="Arial"/>
          <w:sz w:val="20"/>
          <w:szCs w:val="20"/>
        </w:rPr>
        <w:t>thermocups</w:t>
      </w:r>
      <w:proofErr w:type="spellEnd"/>
      <w:r w:rsidRPr="007F6373">
        <w:rPr>
          <w:rFonts w:cs="Arial"/>
          <w:sz w:val="20"/>
          <w:szCs w:val="20"/>
        </w:rPr>
        <w:t xml:space="preserve"> and selected kitchen utensils purchased on the European market</w:t>
      </w:r>
      <w:r w:rsidR="00505BAC" w:rsidRPr="007F6373">
        <w:rPr>
          <w:rFonts w:cs="Arial"/>
          <w:sz w:val="20"/>
          <w:szCs w:val="20"/>
        </w:rPr>
        <w:t xml:space="preserve">. </w:t>
      </w:r>
      <w:r w:rsidRPr="007F6373">
        <w:rPr>
          <w:rFonts w:cs="Arial"/>
          <w:sz w:val="20"/>
          <w:szCs w:val="20"/>
        </w:rPr>
        <w:t>Food Additives &amp; Contamination: Part A (published online July 26, 2013).</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 xml:space="preserve">Serrano SE, Braun J, </w:t>
      </w:r>
      <w:proofErr w:type="spellStart"/>
      <w:r w:rsidRPr="007F6373">
        <w:rPr>
          <w:rFonts w:cs="Arial"/>
          <w:sz w:val="20"/>
          <w:szCs w:val="20"/>
        </w:rPr>
        <w:t>Trasande</w:t>
      </w:r>
      <w:proofErr w:type="spellEnd"/>
      <w:r w:rsidRPr="007F6373">
        <w:rPr>
          <w:rFonts w:cs="Arial"/>
          <w:sz w:val="20"/>
          <w:szCs w:val="20"/>
        </w:rPr>
        <w:t xml:space="preserve"> L, Dills R, </w:t>
      </w:r>
      <w:proofErr w:type="spellStart"/>
      <w:r w:rsidRPr="007F6373">
        <w:rPr>
          <w:rFonts w:cs="Arial"/>
          <w:sz w:val="20"/>
          <w:szCs w:val="20"/>
        </w:rPr>
        <w:t>Sathyanarayana</w:t>
      </w:r>
      <w:proofErr w:type="spellEnd"/>
      <w:r w:rsidRPr="007F6373">
        <w:rPr>
          <w:rFonts w:cs="Arial"/>
          <w:sz w:val="20"/>
          <w:szCs w:val="20"/>
        </w:rPr>
        <w:t xml:space="preserve"> S (2014) Phthalates and diet: a review of the food monitoring and epidemiology data. Environ Health. 13(1):43.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USFDA (2011) List of Indirect Additives Used in Food Contact Substances. Available at:</w:t>
      </w:r>
    </w:p>
    <w:p w:rsidR="00A43115" w:rsidRPr="007F6373" w:rsidRDefault="005A60B4" w:rsidP="00A43115">
      <w:pPr>
        <w:rPr>
          <w:rFonts w:cs="Arial"/>
          <w:sz w:val="20"/>
          <w:szCs w:val="20"/>
        </w:rPr>
      </w:pPr>
      <w:hyperlink r:id="rId44" w:history="1">
        <w:r w:rsidR="0056040A" w:rsidRPr="007F6373">
          <w:rPr>
            <w:rStyle w:val="Hyperlink"/>
            <w:sz w:val="20"/>
            <w:szCs w:val="20"/>
          </w:rPr>
          <w:t>http://www.fda.gov/Food/IngredientsPackagingLabeling/PackagingFCS/IndirectAdditives/ucm115333.htm</w:t>
        </w:r>
      </w:hyperlink>
      <w:r w:rsidR="0056040A">
        <w:rPr>
          <w:rFonts w:cs="Arial"/>
          <w:sz w:val="20"/>
          <w:szCs w:val="20"/>
        </w:rPr>
        <w:t xml:space="preserve"> </w:t>
      </w:r>
    </w:p>
    <w:p w:rsidR="00A43115" w:rsidRPr="007F6373" w:rsidRDefault="00A43115" w:rsidP="00A43115">
      <w:pPr>
        <w:rPr>
          <w:rFonts w:cs="Arial"/>
          <w:sz w:val="20"/>
          <w:szCs w:val="20"/>
        </w:rPr>
      </w:pPr>
    </w:p>
    <w:p w:rsidR="00A43115" w:rsidRPr="007F6373" w:rsidRDefault="00A43115" w:rsidP="00A43115">
      <w:pPr>
        <w:rPr>
          <w:rFonts w:cs="Arial"/>
          <w:sz w:val="20"/>
          <w:szCs w:val="20"/>
        </w:rPr>
      </w:pPr>
      <w:r w:rsidRPr="007F6373">
        <w:rPr>
          <w:rFonts w:cs="Arial"/>
          <w:sz w:val="20"/>
          <w:szCs w:val="20"/>
        </w:rPr>
        <w:t xml:space="preserve">USFDA (2014) Cumulative Estimated Daily Intakes (CEDIs) for Food Contact Substances. Available at: </w:t>
      </w:r>
      <w:hyperlink r:id="rId45" w:history="1">
        <w:r w:rsidR="0056040A" w:rsidRPr="007F6373">
          <w:rPr>
            <w:rStyle w:val="Hyperlink"/>
            <w:sz w:val="20"/>
            <w:szCs w:val="20"/>
          </w:rPr>
          <w:t>http://www.fda.gov/Food/IngredientsPackagingLabeling/PackagingFCS/CEDI/default.htm</w:t>
        </w:r>
      </w:hyperlink>
      <w:r w:rsidR="0056040A">
        <w:rPr>
          <w:rFonts w:cs="Arial"/>
          <w:sz w:val="20"/>
          <w:szCs w:val="20"/>
        </w:rPr>
        <w:t xml:space="preserve"> </w:t>
      </w:r>
    </w:p>
    <w:p w:rsidR="00A43115" w:rsidRPr="007F6373" w:rsidRDefault="0056040A" w:rsidP="00A43115">
      <w:pPr>
        <w:rPr>
          <w:rFonts w:cs="Arial"/>
          <w:sz w:val="20"/>
          <w:szCs w:val="20"/>
        </w:rPr>
      </w:pPr>
      <w:r>
        <w:rPr>
          <w:rFonts w:cs="Arial"/>
          <w:sz w:val="20"/>
          <w:szCs w:val="20"/>
        </w:rPr>
        <w:t xml:space="preserve"> </w:t>
      </w:r>
    </w:p>
    <w:p w:rsidR="00A43115" w:rsidRPr="007F6373" w:rsidRDefault="00A43115" w:rsidP="00A43115">
      <w:pPr>
        <w:rPr>
          <w:rFonts w:cs="Arial"/>
          <w:sz w:val="20"/>
          <w:szCs w:val="20"/>
        </w:rPr>
      </w:pPr>
      <w:proofErr w:type="gramStart"/>
      <w:r w:rsidRPr="007F6373">
        <w:rPr>
          <w:rFonts w:cs="Arial"/>
          <w:sz w:val="20"/>
          <w:szCs w:val="20"/>
        </w:rPr>
        <w:t>WHO (2011) World Health Organization’s Guidelines for Drinking Water Quality 2011.</w:t>
      </w:r>
      <w:proofErr w:type="gramEnd"/>
      <w:r w:rsidRPr="007F6373">
        <w:rPr>
          <w:rFonts w:cs="Arial"/>
          <w:sz w:val="20"/>
          <w:szCs w:val="20"/>
        </w:rPr>
        <w:t xml:space="preserve"> Annex 3 (Chemical Summary Tables). Table A3.3 Guideline values for chemicals that are of health significance in drinking-water.</w:t>
      </w:r>
    </w:p>
    <w:p w:rsidR="00DB3E10" w:rsidRDefault="00DB3E10">
      <w:pPr>
        <w:widowControl/>
        <w:rPr>
          <w:rFonts w:cs="Arial"/>
          <w:szCs w:val="22"/>
        </w:rPr>
      </w:pPr>
      <w:r>
        <w:rPr>
          <w:rFonts w:cs="Arial"/>
          <w:szCs w:val="22"/>
        </w:rPr>
        <w:br w:type="page"/>
      </w:r>
    </w:p>
    <w:p w:rsidR="00511179" w:rsidRDefault="00511179" w:rsidP="007F6373">
      <w:pPr>
        <w:pStyle w:val="Heading2"/>
      </w:pPr>
      <w:bookmarkStart w:id="277" w:name="_Toc403377563"/>
      <w:bookmarkStart w:id="278" w:name="_Toc403394328"/>
      <w:r w:rsidRPr="00867AAE">
        <w:lastRenderedPageBreak/>
        <w:t xml:space="preserve">Attachment </w:t>
      </w:r>
      <w:r w:rsidR="000C00EA">
        <w:t>A</w:t>
      </w:r>
      <w:r w:rsidR="0056040A">
        <w:t xml:space="preserve"> – </w:t>
      </w:r>
      <w:r w:rsidRPr="00867AAE">
        <w:t>Response template</w:t>
      </w:r>
      <w:bookmarkEnd w:id="277"/>
      <w:bookmarkEnd w:id="278"/>
    </w:p>
    <w:p w:rsidR="00865A68" w:rsidRDefault="00865A68" w:rsidP="00865A68">
      <w:pPr>
        <w:rPr>
          <w:lang w:bidi="ar-SA"/>
        </w:rPr>
      </w:pPr>
      <w:r>
        <w:rPr>
          <w:lang w:bidi="ar-SA"/>
        </w:rPr>
        <w:t>All stakeholders are invited to respond to questions posed in this Consultation Paper</w:t>
      </w:r>
      <w:r w:rsidR="00950B4C">
        <w:rPr>
          <w:lang w:bidi="ar-SA"/>
        </w:rPr>
        <w:t>.</w:t>
      </w:r>
    </w:p>
    <w:p w:rsidR="00950B4C" w:rsidRDefault="00950B4C" w:rsidP="00865A68">
      <w:pPr>
        <w:rPr>
          <w:lang w:bidi="ar-SA"/>
        </w:rPr>
      </w:pPr>
    </w:p>
    <w:p w:rsidR="00865A68" w:rsidRPr="00865A68" w:rsidRDefault="00865A68" w:rsidP="00865A68">
      <w:pPr>
        <w:rPr>
          <w:lang w:bidi="ar-SA"/>
        </w:rPr>
      </w:pPr>
    </w:p>
    <w:p w:rsidR="00511179" w:rsidRPr="00867AAE" w:rsidRDefault="00511179" w:rsidP="00511179">
      <w:pPr>
        <w:rPr>
          <w:rFonts w:cs="Arial"/>
          <w:b/>
        </w:rPr>
      </w:pPr>
      <w:r w:rsidRPr="00867AAE">
        <w:rPr>
          <w:rFonts w:cs="Arial"/>
          <w:b/>
        </w:rPr>
        <w:t>Please indicate if you are</w:t>
      </w:r>
      <w:r w:rsidR="00717FD9">
        <w:rPr>
          <w:rFonts w:cs="Arial"/>
          <w:b/>
        </w:rPr>
        <w:t xml:space="preserve"> a</w:t>
      </w:r>
      <w:r w:rsidRPr="00867AAE">
        <w:rPr>
          <w:rFonts w:cs="Arial"/>
          <w:b/>
        </w:rPr>
        <w:t>:</w:t>
      </w:r>
    </w:p>
    <w:p w:rsidR="00511179" w:rsidRPr="00867AAE" w:rsidRDefault="00511179" w:rsidP="00511179">
      <w:pPr>
        <w:rPr>
          <w:rFonts w:cs="Arial"/>
        </w:rPr>
      </w:pPr>
    </w:p>
    <w:p w:rsidR="00511179" w:rsidRPr="00867AAE" w:rsidRDefault="005A60B4" w:rsidP="00511179">
      <w:pPr>
        <w:pStyle w:val="ListParagraph"/>
        <w:rPr>
          <w:rFonts w:cs="Arial"/>
        </w:rPr>
      </w:pPr>
      <w:sdt>
        <w:sdtPr>
          <w:rPr>
            <w:rFonts w:cs="Arial"/>
          </w:rPr>
          <w:id w:val="-992013769"/>
          <w14:checkbox>
            <w14:checked w14:val="0"/>
            <w14:checkedState w14:val="2612" w14:font="MS Gothic"/>
            <w14:uncheckedState w14:val="2610" w14:font="MS Gothic"/>
          </w14:checkbox>
        </w:sdtPr>
        <w:sdtEndPr/>
        <w:sdtContent>
          <w:r w:rsidR="00511179" w:rsidRPr="00867AAE">
            <w:rPr>
              <w:rFonts w:ascii="MS Gothic" w:eastAsia="MS Gothic" w:hAnsi="MS Gothic" w:cs="MS Gothic" w:hint="eastAsia"/>
            </w:rPr>
            <w:t>☐</w:t>
          </w:r>
        </w:sdtContent>
      </w:sdt>
      <w:r w:rsidR="00511179" w:rsidRPr="00867AAE">
        <w:rPr>
          <w:rFonts w:cs="Arial"/>
        </w:rPr>
        <w:t xml:space="preserve">  Raw material provider</w:t>
      </w:r>
    </w:p>
    <w:p w:rsidR="00511179" w:rsidRPr="00867AAE" w:rsidRDefault="005A60B4" w:rsidP="00511179">
      <w:pPr>
        <w:pStyle w:val="ListParagraph"/>
        <w:rPr>
          <w:rFonts w:cs="Arial"/>
        </w:rPr>
      </w:pPr>
      <w:sdt>
        <w:sdtPr>
          <w:rPr>
            <w:rFonts w:cs="Arial"/>
          </w:rPr>
          <w:id w:val="-1073044295"/>
          <w14:checkbox>
            <w14:checked w14:val="0"/>
            <w14:checkedState w14:val="2612" w14:font="MS Gothic"/>
            <w14:uncheckedState w14:val="2610" w14:font="MS Gothic"/>
          </w14:checkbox>
        </w:sdtPr>
        <w:sdtEndPr/>
        <w:sdtContent>
          <w:r w:rsidR="00511179" w:rsidRPr="00867AAE">
            <w:rPr>
              <w:rFonts w:ascii="MS Gothic" w:eastAsia="MS Gothic" w:hAnsi="MS Gothic" w:cs="MS Gothic" w:hint="eastAsia"/>
            </w:rPr>
            <w:t>☐</w:t>
          </w:r>
        </w:sdtContent>
      </w:sdt>
      <w:r w:rsidR="00511179" w:rsidRPr="00867AAE">
        <w:rPr>
          <w:rFonts w:cs="Arial"/>
        </w:rPr>
        <w:t xml:space="preserve">  Packaging manufacturer/converter/provider</w:t>
      </w:r>
    </w:p>
    <w:p w:rsidR="00511179" w:rsidRPr="00867AAE" w:rsidRDefault="005A60B4" w:rsidP="00511179">
      <w:pPr>
        <w:pStyle w:val="ListParagraph"/>
        <w:rPr>
          <w:rFonts w:cs="Arial"/>
        </w:rPr>
      </w:pPr>
      <w:sdt>
        <w:sdtPr>
          <w:rPr>
            <w:rFonts w:cs="Arial"/>
          </w:rPr>
          <w:id w:val="-2007122516"/>
          <w14:checkbox>
            <w14:checked w14:val="0"/>
            <w14:checkedState w14:val="2612" w14:font="MS Gothic"/>
            <w14:uncheckedState w14:val="2610" w14:font="MS Gothic"/>
          </w14:checkbox>
        </w:sdtPr>
        <w:sdtEndPr/>
        <w:sdtContent>
          <w:r w:rsidR="00511179" w:rsidRPr="00867AAE">
            <w:rPr>
              <w:rFonts w:ascii="MS Gothic" w:eastAsia="MS Gothic" w:hAnsi="MS Gothic" w:cs="MS Gothic" w:hint="eastAsia"/>
            </w:rPr>
            <w:t>☐</w:t>
          </w:r>
        </w:sdtContent>
      </w:sdt>
      <w:r w:rsidR="00511179" w:rsidRPr="00867AAE">
        <w:rPr>
          <w:rFonts w:cs="Arial"/>
        </w:rPr>
        <w:t xml:space="preserve">  Peak industry/trade association</w:t>
      </w:r>
    </w:p>
    <w:p w:rsidR="00511179" w:rsidRPr="00867AAE" w:rsidRDefault="005A60B4" w:rsidP="00511179">
      <w:pPr>
        <w:pStyle w:val="ListParagraph"/>
        <w:rPr>
          <w:rFonts w:cs="Arial"/>
          <w:szCs w:val="22"/>
          <w:lang w:bidi="ar-SA"/>
        </w:rPr>
      </w:pPr>
      <w:sdt>
        <w:sdtPr>
          <w:rPr>
            <w:rFonts w:cs="Arial"/>
            <w:szCs w:val="22"/>
            <w:lang w:bidi="ar-SA"/>
          </w:rPr>
          <w:id w:val="-1416709789"/>
          <w14:checkbox>
            <w14:checked w14:val="0"/>
            <w14:checkedState w14:val="2612" w14:font="MS Gothic"/>
            <w14:uncheckedState w14:val="2610" w14:font="MS Gothic"/>
          </w14:checkbox>
        </w:sdtPr>
        <w:sdtEndPr/>
        <w:sdtContent>
          <w:r w:rsidR="00511179" w:rsidRPr="00867AAE">
            <w:rPr>
              <w:rFonts w:ascii="MS Gothic" w:eastAsia="MS Gothic" w:hAnsi="MS Gothic" w:cs="MS Gothic" w:hint="eastAsia"/>
              <w:szCs w:val="22"/>
              <w:lang w:bidi="ar-SA"/>
            </w:rPr>
            <w:t>☐</w:t>
          </w:r>
        </w:sdtContent>
      </w:sdt>
      <w:r w:rsidR="00386242">
        <w:rPr>
          <w:rFonts w:cs="Arial"/>
          <w:szCs w:val="22"/>
          <w:lang w:bidi="ar-SA"/>
        </w:rPr>
        <w:t xml:space="preserve">  Food business</w:t>
      </w:r>
      <w:r w:rsidR="00511179" w:rsidRPr="00867AAE">
        <w:rPr>
          <w:rFonts w:cs="Arial"/>
          <w:szCs w:val="22"/>
          <w:lang w:bidi="ar-SA"/>
        </w:rPr>
        <w:t xml:space="preserve"> (manufacturer/importer/brand owner/retailer)</w:t>
      </w:r>
    </w:p>
    <w:p w:rsidR="00511179" w:rsidRPr="00867AAE" w:rsidRDefault="005A60B4" w:rsidP="00511179">
      <w:pPr>
        <w:pStyle w:val="ListParagraph"/>
        <w:rPr>
          <w:rFonts w:cs="Arial"/>
          <w:szCs w:val="22"/>
          <w:lang w:bidi="ar-SA"/>
        </w:rPr>
      </w:pPr>
      <w:sdt>
        <w:sdtPr>
          <w:rPr>
            <w:rFonts w:cs="Arial"/>
            <w:szCs w:val="22"/>
            <w:lang w:bidi="ar-SA"/>
          </w:rPr>
          <w:id w:val="250174926"/>
          <w14:checkbox>
            <w14:checked w14:val="0"/>
            <w14:checkedState w14:val="2612" w14:font="MS Gothic"/>
            <w14:uncheckedState w14:val="2610" w14:font="MS Gothic"/>
          </w14:checkbox>
        </w:sdtPr>
        <w:sdtEndPr/>
        <w:sdtContent>
          <w:r w:rsidR="00511179" w:rsidRPr="00867AAE">
            <w:rPr>
              <w:rFonts w:ascii="MS Gothic" w:eastAsia="MS Gothic" w:hAnsi="MS Gothic" w:cs="MS Gothic" w:hint="eastAsia"/>
              <w:szCs w:val="22"/>
              <w:lang w:bidi="ar-SA"/>
            </w:rPr>
            <w:t>☐</w:t>
          </w:r>
        </w:sdtContent>
      </w:sdt>
      <w:r w:rsidR="00511179" w:rsidRPr="00867AAE">
        <w:rPr>
          <w:rFonts w:cs="Arial"/>
          <w:szCs w:val="22"/>
          <w:lang w:bidi="ar-SA"/>
        </w:rPr>
        <w:t xml:space="preserve">  Consumer</w:t>
      </w:r>
    </w:p>
    <w:p w:rsidR="00511179" w:rsidRDefault="005A60B4" w:rsidP="00511179">
      <w:pPr>
        <w:pStyle w:val="ListParagraph"/>
        <w:rPr>
          <w:rFonts w:cs="Arial"/>
          <w:szCs w:val="22"/>
          <w:lang w:bidi="ar-SA"/>
        </w:rPr>
      </w:pPr>
      <w:sdt>
        <w:sdtPr>
          <w:rPr>
            <w:rFonts w:cs="Arial"/>
            <w:szCs w:val="22"/>
            <w:lang w:bidi="ar-SA"/>
          </w:rPr>
          <w:id w:val="531239605"/>
          <w14:checkbox>
            <w14:checked w14:val="0"/>
            <w14:checkedState w14:val="2612" w14:font="MS Gothic"/>
            <w14:uncheckedState w14:val="2610" w14:font="MS Gothic"/>
          </w14:checkbox>
        </w:sdtPr>
        <w:sdtEndPr/>
        <w:sdtContent>
          <w:r w:rsidR="00511179" w:rsidRPr="00867AAE">
            <w:rPr>
              <w:rFonts w:ascii="MS Gothic" w:eastAsia="MS Gothic" w:hAnsi="MS Gothic" w:cs="MS Gothic" w:hint="eastAsia"/>
              <w:szCs w:val="22"/>
              <w:lang w:bidi="ar-SA"/>
            </w:rPr>
            <w:t>☐</w:t>
          </w:r>
        </w:sdtContent>
      </w:sdt>
      <w:r w:rsidR="00511179" w:rsidRPr="00867AAE">
        <w:rPr>
          <w:rFonts w:cs="Arial"/>
          <w:szCs w:val="22"/>
          <w:lang w:bidi="ar-SA"/>
        </w:rPr>
        <w:t xml:space="preserve">  </w:t>
      </w:r>
      <w:r w:rsidR="00E40377">
        <w:rPr>
          <w:rFonts w:cs="Arial"/>
          <w:szCs w:val="22"/>
          <w:lang w:bidi="ar-SA"/>
        </w:rPr>
        <w:t>Government representative (S</w:t>
      </w:r>
      <w:r w:rsidR="00E40377" w:rsidRPr="00E40377">
        <w:rPr>
          <w:rFonts w:cs="Arial"/>
          <w:szCs w:val="22"/>
          <w:lang w:bidi="ar-SA"/>
        </w:rPr>
        <w:t>tate/territory or Commonwealth agency</w:t>
      </w:r>
      <w:r w:rsidR="00E40377">
        <w:rPr>
          <w:rFonts w:cs="Arial"/>
          <w:szCs w:val="22"/>
          <w:lang w:bidi="ar-SA"/>
        </w:rPr>
        <w:t>)</w:t>
      </w:r>
      <w:r w:rsidR="00E40377" w:rsidRPr="00E40377">
        <w:rPr>
          <w:rFonts w:cs="Arial"/>
          <w:szCs w:val="22"/>
          <w:lang w:bidi="ar-SA"/>
        </w:rPr>
        <w:t xml:space="preserve"> </w:t>
      </w:r>
      <w:r w:rsidR="005C54FB">
        <w:rPr>
          <w:rFonts w:cs="Arial"/>
          <w:szCs w:val="22"/>
          <w:lang w:bidi="ar-SA"/>
        </w:rPr>
        <w:t xml:space="preserve"> </w:t>
      </w:r>
    </w:p>
    <w:p w:rsidR="005C54FB" w:rsidRPr="005C54FB" w:rsidRDefault="005A60B4" w:rsidP="005C54FB">
      <w:pPr>
        <w:pStyle w:val="ListParagraph"/>
        <w:rPr>
          <w:rFonts w:cs="Arial"/>
          <w:szCs w:val="22"/>
          <w:lang w:bidi="ar-SA"/>
        </w:rPr>
      </w:pPr>
      <w:sdt>
        <w:sdtPr>
          <w:rPr>
            <w:rFonts w:cs="Arial"/>
            <w:szCs w:val="22"/>
            <w:lang w:bidi="ar-SA"/>
          </w:rPr>
          <w:id w:val="-740942344"/>
          <w14:checkbox>
            <w14:checked w14:val="0"/>
            <w14:checkedState w14:val="2612" w14:font="MS Gothic"/>
            <w14:uncheckedState w14:val="2610" w14:font="MS Gothic"/>
          </w14:checkbox>
        </w:sdtPr>
        <w:sdtEndPr/>
        <w:sdtContent>
          <w:r w:rsidR="005C54FB" w:rsidRPr="00867AAE">
            <w:rPr>
              <w:rFonts w:ascii="MS Gothic" w:eastAsia="MS Gothic" w:hAnsi="MS Gothic" w:cs="MS Gothic" w:hint="eastAsia"/>
              <w:szCs w:val="22"/>
              <w:lang w:bidi="ar-SA"/>
            </w:rPr>
            <w:t>☐</w:t>
          </w:r>
        </w:sdtContent>
      </w:sdt>
      <w:r w:rsidR="005C54FB" w:rsidRPr="00867AAE">
        <w:rPr>
          <w:rFonts w:cs="Arial"/>
          <w:szCs w:val="22"/>
          <w:lang w:bidi="ar-SA"/>
        </w:rPr>
        <w:t xml:space="preserve">  </w:t>
      </w:r>
      <w:r w:rsidR="005C54FB">
        <w:rPr>
          <w:rFonts w:cs="Arial"/>
          <w:szCs w:val="22"/>
          <w:lang w:bidi="ar-SA"/>
        </w:rPr>
        <w:t xml:space="preserve">Public health representative </w:t>
      </w:r>
    </w:p>
    <w:p w:rsidR="00511179" w:rsidRPr="00867AAE" w:rsidRDefault="005A60B4" w:rsidP="00511179">
      <w:pPr>
        <w:pStyle w:val="ListParagraph"/>
        <w:rPr>
          <w:rFonts w:cs="Arial"/>
          <w:szCs w:val="22"/>
          <w:lang w:bidi="ar-SA"/>
        </w:rPr>
      </w:pPr>
      <w:sdt>
        <w:sdtPr>
          <w:rPr>
            <w:rFonts w:cs="Arial"/>
            <w:szCs w:val="22"/>
            <w:lang w:bidi="ar-SA"/>
          </w:rPr>
          <w:id w:val="637471086"/>
          <w14:checkbox>
            <w14:checked w14:val="0"/>
            <w14:checkedState w14:val="2612" w14:font="MS Gothic"/>
            <w14:uncheckedState w14:val="2610" w14:font="MS Gothic"/>
          </w14:checkbox>
        </w:sdtPr>
        <w:sdtEndPr/>
        <w:sdtContent>
          <w:r w:rsidR="00511179" w:rsidRPr="00867AAE">
            <w:rPr>
              <w:rFonts w:ascii="MS Gothic" w:eastAsia="MS Gothic" w:hAnsi="MS Gothic" w:cs="MS Gothic" w:hint="eastAsia"/>
              <w:szCs w:val="22"/>
              <w:lang w:bidi="ar-SA"/>
            </w:rPr>
            <w:t>☐</w:t>
          </w:r>
        </w:sdtContent>
      </w:sdt>
      <w:r w:rsidR="00511179" w:rsidRPr="00867AAE">
        <w:rPr>
          <w:rFonts w:cs="Arial"/>
          <w:szCs w:val="22"/>
          <w:lang w:bidi="ar-SA"/>
        </w:rPr>
        <w:t xml:space="preserve">  Other (please specify)</w:t>
      </w:r>
    </w:p>
    <w:p w:rsidR="00386242" w:rsidRDefault="00386242" w:rsidP="00930392">
      <w:pPr>
        <w:pStyle w:val="ListParagraph"/>
        <w:rPr>
          <w:rFonts w:cs="Arial"/>
          <w:szCs w:val="22"/>
          <w:lang w:bidi="ar-SA"/>
        </w:rPr>
      </w:pPr>
    </w:p>
    <w:tbl>
      <w:tblPr>
        <w:tblStyle w:val="TableGrid"/>
        <w:tblW w:w="0" w:type="auto"/>
        <w:tblLook w:val="04A0" w:firstRow="1" w:lastRow="0" w:firstColumn="1" w:lastColumn="0" w:noHBand="0" w:noVBand="1"/>
      </w:tblPr>
      <w:tblGrid>
        <w:gridCol w:w="9286"/>
      </w:tblGrid>
      <w:tr w:rsidR="005E5327" w:rsidTr="005E5327">
        <w:tc>
          <w:tcPr>
            <w:tcW w:w="9286" w:type="dxa"/>
          </w:tcPr>
          <w:p w:rsidR="005E5327" w:rsidRDefault="005E5327" w:rsidP="00D96A0D">
            <w:pPr>
              <w:rPr>
                <w:rFonts w:cs="Arial"/>
                <w:szCs w:val="22"/>
                <w:lang w:bidi="ar-SA"/>
              </w:rPr>
            </w:pPr>
          </w:p>
        </w:tc>
      </w:tr>
    </w:tbl>
    <w:p w:rsidR="00386242" w:rsidRPr="00D96A0D" w:rsidRDefault="00386242" w:rsidP="00D96A0D">
      <w:pPr>
        <w:rPr>
          <w:rFonts w:cs="Arial"/>
          <w:szCs w:val="22"/>
          <w:lang w:bidi="ar-SA"/>
        </w:rPr>
      </w:pPr>
    </w:p>
    <w:p w:rsidR="00D96A0D" w:rsidRPr="00D96A0D" w:rsidRDefault="00D96A0D" w:rsidP="00D96A0D">
      <w:pPr>
        <w:pStyle w:val="ListParagraph"/>
        <w:rPr>
          <w:rFonts w:cs="Arial"/>
          <w:szCs w:val="22"/>
          <w:lang w:bidi="ar-SA"/>
        </w:rPr>
      </w:pPr>
      <w:r w:rsidRPr="00867AAE">
        <w:rPr>
          <w:rFonts w:cs="Arial"/>
          <w:b/>
        </w:rPr>
        <w:t>If you are a business, please indicate the approximate number of employees</w:t>
      </w:r>
      <w:r>
        <w:rPr>
          <w:rFonts w:cs="Arial"/>
          <w:b/>
        </w:rPr>
        <w:t xml:space="preserve"> in your business</w:t>
      </w:r>
      <w:r w:rsidRPr="00867AAE">
        <w:rPr>
          <w:rFonts w:cs="Arial"/>
        </w:rPr>
        <w:t>:</w:t>
      </w:r>
    </w:p>
    <w:p w:rsidR="00D96A0D" w:rsidRPr="00867AAE" w:rsidRDefault="00D96A0D" w:rsidP="00D96A0D">
      <w:pPr>
        <w:rPr>
          <w:rFonts w:cs="Arial"/>
        </w:rPr>
      </w:pPr>
    </w:p>
    <w:p w:rsidR="00D96A0D" w:rsidRPr="00867AAE" w:rsidRDefault="005A60B4" w:rsidP="00D96A0D">
      <w:pPr>
        <w:pStyle w:val="ListParagraph"/>
        <w:rPr>
          <w:rFonts w:cs="Arial"/>
        </w:rPr>
      </w:pPr>
      <w:sdt>
        <w:sdtPr>
          <w:rPr>
            <w:rFonts w:cs="Arial"/>
          </w:rPr>
          <w:id w:val="-1035501816"/>
          <w14:checkbox>
            <w14:checked w14:val="0"/>
            <w14:checkedState w14:val="2612" w14:font="MS Gothic"/>
            <w14:uncheckedState w14:val="2610" w14:font="MS Gothic"/>
          </w14:checkbox>
        </w:sdtPr>
        <w:sdtEndPr/>
        <w:sdtContent>
          <w:r w:rsidR="00D96A0D" w:rsidRPr="00867AAE">
            <w:rPr>
              <w:rFonts w:ascii="MS Gothic" w:eastAsia="MS Gothic" w:hAnsi="MS Gothic" w:cs="MS Gothic" w:hint="eastAsia"/>
            </w:rPr>
            <w:t>☐</w:t>
          </w:r>
        </w:sdtContent>
      </w:sdt>
      <w:r w:rsidR="00D96A0D">
        <w:rPr>
          <w:rFonts w:cs="Arial"/>
        </w:rPr>
        <w:t xml:space="preserve">  </w:t>
      </w:r>
      <w:r w:rsidR="00D96A0D" w:rsidRPr="00867AAE">
        <w:rPr>
          <w:rFonts w:cs="Arial"/>
        </w:rPr>
        <w:t>1 – 20</w:t>
      </w:r>
    </w:p>
    <w:p w:rsidR="00D96A0D" w:rsidRPr="00867AAE" w:rsidRDefault="005A60B4" w:rsidP="00D96A0D">
      <w:pPr>
        <w:pStyle w:val="ListParagraph"/>
        <w:rPr>
          <w:rFonts w:cs="Arial"/>
        </w:rPr>
      </w:pPr>
      <w:sdt>
        <w:sdtPr>
          <w:rPr>
            <w:rFonts w:cs="Arial"/>
          </w:rPr>
          <w:id w:val="-1947456808"/>
          <w14:checkbox>
            <w14:checked w14:val="0"/>
            <w14:checkedState w14:val="2612" w14:font="MS Gothic"/>
            <w14:uncheckedState w14:val="2610" w14:font="MS Gothic"/>
          </w14:checkbox>
        </w:sdtPr>
        <w:sdtEndPr/>
        <w:sdtContent>
          <w:r w:rsidR="00D96A0D">
            <w:rPr>
              <w:rFonts w:ascii="MS Gothic" w:eastAsia="MS Gothic" w:hAnsi="MS Gothic" w:cs="Arial" w:hint="eastAsia"/>
            </w:rPr>
            <w:t>☐</w:t>
          </w:r>
        </w:sdtContent>
      </w:sdt>
      <w:r w:rsidR="00D96A0D">
        <w:rPr>
          <w:rFonts w:cs="Arial"/>
        </w:rPr>
        <w:t xml:space="preserve">  </w:t>
      </w:r>
      <w:r w:rsidR="00D96A0D" w:rsidRPr="00867AAE">
        <w:rPr>
          <w:rFonts w:cs="Arial"/>
        </w:rPr>
        <w:t>20 – 200</w:t>
      </w:r>
    </w:p>
    <w:p w:rsidR="00D96A0D" w:rsidRDefault="005A60B4" w:rsidP="00D96A0D">
      <w:pPr>
        <w:pStyle w:val="ListParagraph"/>
        <w:rPr>
          <w:rFonts w:cs="Arial"/>
        </w:rPr>
      </w:pPr>
      <w:sdt>
        <w:sdtPr>
          <w:rPr>
            <w:rFonts w:cs="Arial"/>
          </w:rPr>
          <w:id w:val="713165523"/>
          <w14:checkbox>
            <w14:checked w14:val="0"/>
            <w14:checkedState w14:val="2612" w14:font="MS Gothic"/>
            <w14:uncheckedState w14:val="2610" w14:font="MS Gothic"/>
          </w14:checkbox>
        </w:sdtPr>
        <w:sdtEndPr/>
        <w:sdtContent>
          <w:r w:rsidR="00D96A0D" w:rsidRPr="00867AAE">
            <w:rPr>
              <w:rFonts w:ascii="MS Gothic" w:eastAsia="MS Gothic" w:hAnsi="MS Gothic" w:cs="MS Gothic" w:hint="eastAsia"/>
            </w:rPr>
            <w:t>☐</w:t>
          </w:r>
        </w:sdtContent>
      </w:sdt>
      <w:r w:rsidR="00D96A0D">
        <w:rPr>
          <w:rFonts w:cs="Arial"/>
        </w:rPr>
        <w:t xml:space="preserve">  </w:t>
      </w:r>
      <w:r w:rsidR="00D96A0D" w:rsidRPr="00867AAE">
        <w:rPr>
          <w:rFonts w:cs="Arial"/>
        </w:rPr>
        <w:t xml:space="preserve"> </w:t>
      </w:r>
      <w:r w:rsidR="002F2744">
        <w:rPr>
          <w:rFonts w:cs="Arial"/>
        </w:rPr>
        <w:t>&gt;</w:t>
      </w:r>
      <w:r w:rsidR="00D96A0D" w:rsidRPr="00867AAE">
        <w:rPr>
          <w:rFonts w:cs="Arial"/>
        </w:rPr>
        <w:t xml:space="preserve">200 </w:t>
      </w:r>
    </w:p>
    <w:p w:rsidR="005C54FB" w:rsidRDefault="005C54FB" w:rsidP="00D96A0D">
      <w:pPr>
        <w:pStyle w:val="ListParagraph"/>
        <w:rPr>
          <w:rFonts w:cs="Arial"/>
        </w:rPr>
      </w:pPr>
    </w:p>
    <w:p w:rsidR="005C54FB" w:rsidRDefault="005C54FB" w:rsidP="00FF6693">
      <w:pPr>
        <w:pStyle w:val="ListParagraph"/>
        <w:rPr>
          <w:rFonts w:cs="Arial"/>
        </w:rPr>
      </w:pPr>
    </w:p>
    <w:p w:rsidR="005C54FB" w:rsidRDefault="005C54FB" w:rsidP="00FF6693">
      <w:pPr>
        <w:rPr>
          <w:rFonts w:cs="Arial"/>
          <w:b/>
          <w:szCs w:val="22"/>
          <w:lang w:bidi="ar-SA"/>
        </w:rPr>
      </w:pPr>
    </w:p>
    <w:p w:rsidR="005C54FB" w:rsidRDefault="005C54FB" w:rsidP="00FF6693">
      <w:pPr>
        <w:rPr>
          <w:rFonts w:cs="Arial"/>
          <w:b/>
          <w:szCs w:val="22"/>
          <w:lang w:bidi="ar-SA"/>
        </w:rPr>
      </w:pPr>
      <w:r>
        <w:rPr>
          <w:rFonts w:cs="Arial"/>
          <w:b/>
          <w:szCs w:val="22"/>
          <w:lang w:bidi="ar-SA"/>
        </w:rPr>
        <w:t>Question 1</w:t>
      </w:r>
      <w:r w:rsidR="00794C35">
        <w:rPr>
          <w:rFonts w:cs="Arial"/>
          <w:b/>
          <w:szCs w:val="22"/>
          <w:lang w:bidi="ar-SA"/>
        </w:rPr>
        <w:t xml:space="preserve"> (</w:t>
      </w:r>
      <w:r w:rsidR="00794C35" w:rsidRPr="00911D91">
        <w:rPr>
          <w:rFonts w:cs="Arial"/>
          <w:b/>
          <w:i/>
          <w:szCs w:val="22"/>
          <w:lang w:bidi="ar-SA"/>
        </w:rPr>
        <w:t xml:space="preserve">refer to p. </w:t>
      </w:r>
      <w:r w:rsidR="00336D7B">
        <w:rPr>
          <w:rFonts w:cs="Arial"/>
          <w:b/>
          <w:i/>
          <w:szCs w:val="22"/>
          <w:lang w:bidi="ar-SA"/>
        </w:rPr>
        <w:t>9</w:t>
      </w:r>
      <w:r w:rsidR="00911D91">
        <w:rPr>
          <w:rFonts w:cs="Arial"/>
          <w:b/>
          <w:szCs w:val="22"/>
          <w:lang w:bidi="ar-SA"/>
        </w:rPr>
        <w:t>)</w:t>
      </w:r>
    </w:p>
    <w:p w:rsidR="005C54FB" w:rsidRPr="00B81B7F" w:rsidRDefault="0029795C" w:rsidP="00FF6693">
      <w:pPr>
        <w:rPr>
          <w:rFonts w:cs="Arial"/>
          <w:b/>
          <w:szCs w:val="22"/>
          <w:lang w:bidi="ar-SA"/>
        </w:rPr>
      </w:pPr>
      <w:r w:rsidRPr="0029795C">
        <w:rPr>
          <w:rFonts w:cs="Arial"/>
          <w:b/>
          <w:szCs w:val="22"/>
          <w:lang w:bidi="ar-SA"/>
        </w:rPr>
        <w:t>What concerns, if any, do you have about food packaging in rela</w:t>
      </w:r>
      <w:r>
        <w:rPr>
          <w:rFonts w:cs="Arial"/>
          <w:b/>
          <w:szCs w:val="22"/>
          <w:lang w:bidi="ar-SA"/>
        </w:rPr>
        <w:t>tion to food safety</w:t>
      </w:r>
      <w:r w:rsidR="005C54FB" w:rsidRPr="00B81B7F">
        <w:rPr>
          <w:rFonts w:cs="Arial"/>
          <w:b/>
          <w:szCs w:val="22"/>
          <w:lang w:bidi="ar-SA"/>
        </w:rPr>
        <w:t>?</w:t>
      </w:r>
    </w:p>
    <w:p w:rsidR="005C54FB" w:rsidRPr="00B81B7F" w:rsidRDefault="005C54FB" w:rsidP="00FF6693">
      <w:pPr>
        <w:rPr>
          <w:rFonts w:cs="Arial"/>
          <w:b/>
          <w:szCs w:val="22"/>
          <w:highlight w:val="cyan"/>
          <w:lang w:bidi="ar-SA"/>
        </w:rPr>
      </w:pPr>
    </w:p>
    <w:p w:rsidR="005C54FB" w:rsidRPr="00B81B7F" w:rsidRDefault="005A60B4" w:rsidP="005C54FB">
      <w:pPr>
        <w:rPr>
          <w:rFonts w:cs="Arial"/>
          <w:szCs w:val="22"/>
          <w:lang w:bidi="ar-SA"/>
        </w:rPr>
      </w:pPr>
      <w:sdt>
        <w:sdtPr>
          <w:rPr>
            <w:rFonts w:cs="Arial"/>
            <w:szCs w:val="22"/>
            <w:lang w:bidi="ar-SA"/>
          </w:rPr>
          <w:id w:val="877211573"/>
          <w14:checkbox>
            <w14:checked w14:val="0"/>
            <w14:checkedState w14:val="2612" w14:font="MS Gothic"/>
            <w14:uncheckedState w14:val="2610" w14:font="MS Gothic"/>
          </w14:checkbox>
        </w:sdtPr>
        <w:sdtEndPr/>
        <w:sdtContent>
          <w:r w:rsidR="005C54FB" w:rsidRPr="00B81B7F">
            <w:rPr>
              <w:rFonts w:ascii="MS Gothic" w:eastAsia="MS Gothic" w:hAnsi="MS Gothic" w:cs="Arial" w:hint="eastAsia"/>
              <w:szCs w:val="22"/>
              <w:lang w:bidi="ar-SA"/>
            </w:rPr>
            <w:t>☐</w:t>
          </w:r>
        </w:sdtContent>
      </w:sdt>
      <w:r w:rsidR="005C54FB" w:rsidRPr="00B81B7F">
        <w:rPr>
          <w:rFonts w:cs="Arial"/>
          <w:szCs w:val="22"/>
          <w:lang w:bidi="ar-SA"/>
        </w:rPr>
        <w:t>No</w:t>
      </w:r>
      <w:r w:rsidR="00AC00A3">
        <w:rPr>
          <w:rFonts w:cs="Arial"/>
          <w:szCs w:val="22"/>
          <w:lang w:bidi="ar-SA"/>
        </w:rPr>
        <w:t>ne</w:t>
      </w:r>
    </w:p>
    <w:p w:rsidR="005C54FB" w:rsidRPr="00B81B7F" w:rsidRDefault="005C54FB" w:rsidP="005C54FB">
      <w:pPr>
        <w:rPr>
          <w:rFonts w:cs="Arial"/>
          <w:szCs w:val="22"/>
          <w:lang w:bidi="ar-SA"/>
        </w:rPr>
      </w:pPr>
    </w:p>
    <w:p w:rsidR="005C54FB" w:rsidRPr="00B81B7F" w:rsidRDefault="005C54FB" w:rsidP="005C54FB">
      <w:pPr>
        <w:rPr>
          <w:rFonts w:cs="Arial"/>
          <w:i/>
          <w:szCs w:val="22"/>
          <w:lang w:bidi="ar-SA"/>
        </w:rPr>
      </w:pPr>
      <w:r w:rsidRPr="00B81B7F">
        <w:rPr>
          <w:rFonts w:cs="Arial"/>
          <w:i/>
          <w:szCs w:val="22"/>
          <w:lang w:bidi="ar-SA"/>
        </w:rPr>
        <w:t>Please expand on your response</w:t>
      </w:r>
    </w:p>
    <w:tbl>
      <w:tblPr>
        <w:tblStyle w:val="TableGrid"/>
        <w:tblW w:w="0" w:type="auto"/>
        <w:tblLook w:val="04A0" w:firstRow="1" w:lastRow="0" w:firstColumn="1" w:lastColumn="0" w:noHBand="0" w:noVBand="1"/>
      </w:tblPr>
      <w:tblGrid>
        <w:gridCol w:w="9286"/>
      </w:tblGrid>
      <w:tr w:rsidR="005E5327" w:rsidTr="005E5327">
        <w:tc>
          <w:tcPr>
            <w:tcW w:w="9286" w:type="dxa"/>
          </w:tcPr>
          <w:p w:rsidR="005E5327" w:rsidRDefault="005E5327" w:rsidP="005C54FB">
            <w:pPr>
              <w:rPr>
                <w:rFonts w:cs="Arial"/>
                <w:sz w:val="28"/>
                <w:szCs w:val="28"/>
                <w:lang w:bidi="ar-SA"/>
              </w:rPr>
            </w:pPr>
          </w:p>
        </w:tc>
      </w:tr>
    </w:tbl>
    <w:p w:rsidR="005C54FB" w:rsidRDefault="005C54FB" w:rsidP="005C54FB">
      <w:pPr>
        <w:rPr>
          <w:rFonts w:cs="Arial"/>
          <w:sz w:val="28"/>
          <w:szCs w:val="28"/>
          <w:lang w:bidi="ar-SA"/>
        </w:rPr>
      </w:pPr>
    </w:p>
    <w:p w:rsidR="005C54FB" w:rsidRPr="0029795C" w:rsidRDefault="0029795C" w:rsidP="005C54FB">
      <w:pPr>
        <w:rPr>
          <w:rFonts w:cs="Arial"/>
          <w:b/>
          <w:szCs w:val="22"/>
          <w:lang w:bidi="ar-SA"/>
        </w:rPr>
      </w:pPr>
      <w:r>
        <w:rPr>
          <w:rFonts w:cs="Arial"/>
          <w:b/>
          <w:szCs w:val="22"/>
          <w:lang w:bidi="ar-SA"/>
        </w:rPr>
        <w:t>Question 2 (</w:t>
      </w:r>
      <w:r w:rsidRPr="00911D91">
        <w:rPr>
          <w:rFonts w:cs="Arial"/>
          <w:b/>
          <w:i/>
          <w:szCs w:val="22"/>
          <w:lang w:bidi="ar-SA"/>
        </w:rPr>
        <w:t xml:space="preserve">refer to p. </w:t>
      </w:r>
      <w:r>
        <w:rPr>
          <w:rFonts w:cs="Arial"/>
          <w:b/>
          <w:i/>
          <w:szCs w:val="22"/>
          <w:lang w:bidi="ar-SA"/>
        </w:rPr>
        <w:t>9</w:t>
      </w:r>
      <w:r>
        <w:rPr>
          <w:rFonts w:cs="Arial"/>
          <w:b/>
          <w:szCs w:val="22"/>
          <w:lang w:bidi="ar-SA"/>
        </w:rPr>
        <w:t>)</w:t>
      </w:r>
    </w:p>
    <w:p w:rsidR="0029795C" w:rsidRPr="0029795C" w:rsidRDefault="0029795C" w:rsidP="0029795C">
      <w:pPr>
        <w:rPr>
          <w:rFonts w:cs="Arial"/>
          <w:b/>
          <w:szCs w:val="22"/>
          <w:lang w:bidi="ar-SA"/>
        </w:rPr>
      </w:pPr>
      <w:r w:rsidRPr="0029795C">
        <w:rPr>
          <w:rFonts w:cs="Arial"/>
          <w:b/>
        </w:rPr>
        <w:t>What measures do you think could be implemented to resolve these concerns</w:t>
      </w:r>
      <w:r w:rsidRPr="0029795C">
        <w:rPr>
          <w:rFonts w:cs="Arial"/>
          <w:b/>
          <w:szCs w:val="22"/>
          <w:lang w:bidi="ar-SA"/>
        </w:rPr>
        <w:t>?</w:t>
      </w:r>
    </w:p>
    <w:p w:rsidR="0029795C" w:rsidRPr="00B81B7F" w:rsidRDefault="0029795C" w:rsidP="0029795C">
      <w:pPr>
        <w:rPr>
          <w:rFonts w:cs="Arial"/>
          <w:b/>
          <w:szCs w:val="22"/>
          <w:highlight w:val="cyan"/>
          <w:lang w:bidi="ar-SA"/>
        </w:rPr>
      </w:pPr>
    </w:p>
    <w:p w:rsidR="0029795C" w:rsidRDefault="00AC00A3" w:rsidP="0029795C">
      <w:pPr>
        <w:rPr>
          <w:rFonts w:cs="Arial"/>
          <w:szCs w:val="22"/>
          <w:lang w:bidi="ar-SA"/>
        </w:rPr>
      </w:pPr>
      <w:r w:rsidRPr="00AC00A3">
        <w:rPr>
          <w:rFonts w:ascii="MS Gothic" w:eastAsia="MS Gothic" w:hAnsi="MS Gothic" w:cs="MS Gothic" w:hint="eastAsia"/>
          <w:szCs w:val="22"/>
          <w:lang w:bidi="ar-SA"/>
        </w:rPr>
        <w:t>☐</w:t>
      </w:r>
      <w:r w:rsidRPr="00AC00A3">
        <w:rPr>
          <w:rFonts w:cs="Arial"/>
          <w:szCs w:val="22"/>
          <w:lang w:bidi="ar-SA"/>
        </w:rPr>
        <w:t>None</w:t>
      </w:r>
    </w:p>
    <w:p w:rsidR="00AC00A3" w:rsidRDefault="00AC00A3" w:rsidP="0029795C">
      <w:pPr>
        <w:rPr>
          <w:rFonts w:cs="Arial"/>
          <w:szCs w:val="22"/>
          <w:lang w:bidi="ar-SA"/>
        </w:rPr>
      </w:pPr>
    </w:p>
    <w:p w:rsidR="00AC00A3" w:rsidRPr="00AC00A3" w:rsidRDefault="00AC00A3" w:rsidP="0029795C">
      <w:pPr>
        <w:rPr>
          <w:rFonts w:cs="Arial"/>
          <w:szCs w:val="22"/>
          <w:lang w:bidi="ar-SA"/>
        </w:rPr>
      </w:pPr>
      <w:r w:rsidRPr="00B81B7F">
        <w:rPr>
          <w:rFonts w:cs="Arial"/>
          <w:i/>
          <w:szCs w:val="22"/>
          <w:lang w:bidi="ar-SA"/>
        </w:rPr>
        <w:t>Please expand on your response</w:t>
      </w:r>
    </w:p>
    <w:tbl>
      <w:tblPr>
        <w:tblStyle w:val="TableGrid"/>
        <w:tblW w:w="0" w:type="auto"/>
        <w:tblLook w:val="04A0" w:firstRow="1" w:lastRow="0" w:firstColumn="1" w:lastColumn="0" w:noHBand="0" w:noVBand="1"/>
      </w:tblPr>
      <w:tblGrid>
        <w:gridCol w:w="9286"/>
      </w:tblGrid>
      <w:tr w:rsidR="0029795C" w:rsidTr="0052714C">
        <w:tc>
          <w:tcPr>
            <w:tcW w:w="9286" w:type="dxa"/>
          </w:tcPr>
          <w:p w:rsidR="0029795C" w:rsidRDefault="0029795C" w:rsidP="0052714C">
            <w:pPr>
              <w:rPr>
                <w:rFonts w:cs="Arial"/>
                <w:sz w:val="28"/>
                <w:szCs w:val="28"/>
                <w:lang w:bidi="ar-SA"/>
              </w:rPr>
            </w:pPr>
          </w:p>
        </w:tc>
      </w:tr>
    </w:tbl>
    <w:p w:rsidR="0029795C" w:rsidRDefault="0029795C" w:rsidP="0029795C">
      <w:pPr>
        <w:rPr>
          <w:rFonts w:cs="Arial"/>
          <w:sz w:val="28"/>
          <w:szCs w:val="28"/>
          <w:lang w:bidi="ar-SA"/>
        </w:rPr>
      </w:pPr>
    </w:p>
    <w:p w:rsidR="005C54FB" w:rsidRDefault="005C54FB" w:rsidP="00D96A0D">
      <w:pPr>
        <w:pStyle w:val="ListParagraph"/>
        <w:rPr>
          <w:rFonts w:cs="Arial"/>
        </w:rPr>
      </w:pPr>
    </w:p>
    <w:p w:rsidR="005C54FB" w:rsidRDefault="005C54FB" w:rsidP="00D96A0D">
      <w:pPr>
        <w:pStyle w:val="ListParagraph"/>
        <w:rPr>
          <w:rFonts w:cs="Arial"/>
        </w:rPr>
      </w:pPr>
    </w:p>
    <w:p w:rsidR="005C54FB" w:rsidRDefault="005C54FB" w:rsidP="00D96A0D">
      <w:pPr>
        <w:pStyle w:val="ListParagraph"/>
        <w:rPr>
          <w:rFonts w:cs="Arial"/>
        </w:rPr>
      </w:pPr>
    </w:p>
    <w:p w:rsidR="005C54FB" w:rsidRDefault="005C54FB" w:rsidP="00D96A0D">
      <w:pPr>
        <w:pStyle w:val="ListParagraph"/>
        <w:rPr>
          <w:rFonts w:cs="Arial"/>
        </w:rPr>
      </w:pPr>
    </w:p>
    <w:p w:rsidR="00E05314" w:rsidRDefault="00E05314" w:rsidP="00D96A0D">
      <w:pPr>
        <w:pStyle w:val="ListParagraph"/>
        <w:rPr>
          <w:rFonts w:cs="Arial"/>
        </w:rPr>
      </w:pPr>
    </w:p>
    <w:p w:rsidR="00E05314" w:rsidRDefault="00E05314" w:rsidP="00D96A0D">
      <w:pPr>
        <w:pStyle w:val="ListParagraph"/>
        <w:rPr>
          <w:rFonts w:cs="Arial"/>
        </w:rPr>
      </w:pPr>
    </w:p>
    <w:p w:rsidR="00E05314" w:rsidRDefault="00E05314" w:rsidP="00D96A0D">
      <w:pPr>
        <w:pStyle w:val="ListParagraph"/>
        <w:rPr>
          <w:rFonts w:cs="Arial"/>
        </w:rPr>
      </w:pPr>
    </w:p>
    <w:p w:rsidR="00E05314" w:rsidRDefault="00E05314" w:rsidP="00D96A0D">
      <w:pPr>
        <w:pStyle w:val="ListParagraph"/>
        <w:rPr>
          <w:rFonts w:cs="Arial"/>
        </w:rPr>
      </w:pPr>
    </w:p>
    <w:p w:rsidR="00E05314" w:rsidRDefault="00E05314" w:rsidP="00D96A0D">
      <w:pPr>
        <w:pStyle w:val="ListParagraph"/>
        <w:rPr>
          <w:rFonts w:cs="Arial"/>
        </w:rPr>
      </w:pPr>
    </w:p>
    <w:p w:rsidR="00D96A0D" w:rsidRDefault="00865A68" w:rsidP="00EC05B7">
      <w:pPr>
        <w:rPr>
          <w:rFonts w:cs="Arial"/>
          <w:b/>
          <w:sz w:val="28"/>
          <w:szCs w:val="28"/>
          <w:lang w:bidi="ar-SA"/>
        </w:rPr>
      </w:pPr>
      <w:r>
        <w:rPr>
          <w:rFonts w:cs="Arial"/>
          <w:b/>
          <w:szCs w:val="22"/>
          <w:lang w:bidi="ar-SA"/>
        </w:rPr>
        <w:lastRenderedPageBreak/>
        <w:t>Q</w:t>
      </w:r>
      <w:r w:rsidR="005C54FB" w:rsidRPr="00450410">
        <w:rPr>
          <w:rFonts w:cs="Arial"/>
          <w:b/>
          <w:szCs w:val="22"/>
          <w:lang w:bidi="ar-SA"/>
        </w:rPr>
        <w:t xml:space="preserve">uestion </w:t>
      </w:r>
      <w:r w:rsidR="0029795C">
        <w:rPr>
          <w:rFonts w:cs="Arial"/>
          <w:b/>
          <w:szCs w:val="22"/>
          <w:lang w:bidi="ar-SA"/>
        </w:rPr>
        <w:t>3</w:t>
      </w:r>
      <w:r w:rsidR="005C54FB" w:rsidRPr="00450410">
        <w:rPr>
          <w:rFonts w:cs="Arial"/>
          <w:b/>
          <w:szCs w:val="22"/>
          <w:lang w:bidi="ar-SA"/>
        </w:rPr>
        <w:t xml:space="preserve"> </w:t>
      </w:r>
      <w:r w:rsidR="00336D7B">
        <w:rPr>
          <w:rFonts w:cs="Arial"/>
          <w:i/>
          <w:szCs w:val="22"/>
          <w:lang w:bidi="ar-SA"/>
        </w:rPr>
        <w:t>(refer to p.11</w:t>
      </w:r>
      <w:r w:rsidR="005C54FB" w:rsidRPr="00450410">
        <w:rPr>
          <w:rFonts w:cs="Arial"/>
          <w:i/>
          <w:szCs w:val="22"/>
          <w:lang w:bidi="ar-SA"/>
        </w:rPr>
        <w:t>)</w:t>
      </w:r>
    </w:p>
    <w:p w:rsidR="005C54FB" w:rsidRPr="00450410" w:rsidRDefault="005C54FB" w:rsidP="00FF6693">
      <w:pPr>
        <w:rPr>
          <w:rFonts w:cs="Arial"/>
          <w:b/>
          <w:szCs w:val="22"/>
          <w:lang w:bidi="ar-SA"/>
        </w:rPr>
      </w:pPr>
      <w:r>
        <w:rPr>
          <w:rFonts w:cs="Arial"/>
          <w:b/>
          <w:szCs w:val="22"/>
          <w:lang w:bidi="ar-SA"/>
        </w:rPr>
        <w:t>I</w:t>
      </w:r>
      <w:r w:rsidRPr="00450410">
        <w:rPr>
          <w:rFonts w:cs="Arial"/>
          <w:b/>
          <w:szCs w:val="22"/>
          <w:lang w:bidi="ar-SA"/>
        </w:rPr>
        <w:t>f you are a packaging manufacturer</w:t>
      </w:r>
      <w:r>
        <w:rPr>
          <w:rStyle w:val="CommentReference"/>
        </w:rPr>
        <w:t>/</w:t>
      </w:r>
      <w:r w:rsidRPr="00450410">
        <w:rPr>
          <w:rFonts w:cs="Arial"/>
          <w:b/>
          <w:szCs w:val="22"/>
          <w:lang w:bidi="ar-SA"/>
        </w:rPr>
        <w:t>converter</w:t>
      </w:r>
      <w:r>
        <w:rPr>
          <w:rFonts w:cs="Arial"/>
          <w:b/>
          <w:szCs w:val="22"/>
          <w:lang w:bidi="ar-SA"/>
        </w:rPr>
        <w:t>/supplier</w:t>
      </w:r>
      <w:r w:rsidRPr="00450410">
        <w:rPr>
          <w:rFonts w:cs="Arial"/>
          <w:b/>
          <w:szCs w:val="22"/>
          <w:lang w:bidi="ar-SA"/>
        </w:rPr>
        <w:t xml:space="preserve">, please detail the types (s) and relative volumes for the different </w:t>
      </w:r>
      <w:r>
        <w:rPr>
          <w:rFonts w:cs="Arial"/>
          <w:b/>
          <w:szCs w:val="22"/>
          <w:lang w:bidi="ar-SA"/>
        </w:rPr>
        <w:t xml:space="preserve">food </w:t>
      </w:r>
      <w:r w:rsidRPr="00450410">
        <w:rPr>
          <w:rFonts w:cs="Arial"/>
          <w:b/>
          <w:szCs w:val="22"/>
          <w:lang w:bidi="ar-SA"/>
        </w:rPr>
        <w:t>packaging materials produced by your business</w:t>
      </w:r>
      <w:r w:rsidRPr="00450410">
        <w:rPr>
          <w:rFonts w:cs="Arial"/>
          <w:b/>
          <w:szCs w:val="22"/>
        </w:rPr>
        <w:t xml:space="preserve"> </w:t>
      </w:r>
      <w:r w:rsidRPr="00450410">
        <w:rPr>
          <w:rFonts w:cs="Arial"/>
          <w:b/>
          <w:szCs w:val="22"/>
          <w:lang w:bidi="ar-SA"/>
        </w:rPr>
        <w:t xml:space="preserve">and whether </w:t>
      </w:r>
      <w:r>
        <w:rPr>
          <w:rFonts w:cs="Arial"/>
          <w:b/>
          <w:szCs w:val="22"/>
          <w:lang w:bidi="ar-SA"/>
        </w:rPr>
        <w:t>the main components are</w:t>
      </w:r>
      <w:r w:rsidRPr="00450410">
        <w:rPr>
          <w:rFonts w:cs="Arial"/>
          <w:b/>
          <w:szCs w:val="22"/>
          <w:lang w:bidi="ar-SA"/>
        </w:rPr>
        <w:t xml:space="preserve"> imported or made </w:t>
      </w:r>
      <w:r>
        <w:rPr>
          <w:rFonts w:cs="Arial"/>
          <w:b/>
          <w:szCs w:val="22"/>
          <w:lang w:bidi="ar-SA"/>
        </w:rPr>
        <w:t>locally (in</w:t>
      </w:r>
      <w:r w:rsidRPr="00450410">
        <w:rPr>
          <w:rFonts w:cs="Arial"/>
          <w:b/>
          <w:szCs w:val="22"/>
          <w:lang w:bidi="ar-SA"/>
        </w:rPr>
        <w:t xml:space="preserve"> Australia or New Zealand</w:t>
      </w:r>
      <w:r>
        <w:rPr>
          <w:rFonts w:cs="Arial"/>
          <w:b/>
          <w:szCs w:val="22"/>
          <w:lang w:bidi="ar-SA"/>
        </w:rPr>
        <w:t>)</w:t>
      </w:r>
      <w:r w:rsidRPr="00450410">
        <w:rPr>
          <w:rFonts w:cs="Arial"/>
          <w:b/>
          <w:szCs w:val="22"/>
          <w:lang w:bidi="ar-SA"/>
        </w:rPr>
        <w:t xml:space="preserve">. </w:t>
      </w:r>
    </w:p>
    <w:p w:rsidR="005C54FB" w:rsidRPr="00450410" w:rsidRDefault="005C54FB" w:rsidP="00FF6693">
      <w:pPr>
        <w:rPr>
          <w:rFonts w:cs="Arial"/>
          <w:szCs w:val="22"/>
          <w:lang w:bidi="ar-SA"/>
        </w:rPr>
      </w:pPr>
      <w:r w:rsidRPr="00450410">
        <w:rPr>
          <w:rFonts w:cs="Arial"/>
          <w:szCs w:val="22"/>
          <w:lang w:bidi="ar-SA"/>
        </w:rPr>
        <w:t xml:space="preserve">     </w:t>
      </w:r>
    </w:p>
    <w:tbl>
      <w:tblPr>
        <w:tblStyle w:val="TableGrid"/>
        <w:tblW w:w="0" w:type="auto"/>
        <w:tblLayout w:type="fixed"/>
        <w:tblLook w:val="04A0" w:firstRow="1" w:lastRow="0" w:firstColumn="1" w:lastColumn="0" w:noHBand="0" w:noVBand="1"/>
      </w:tblPr>
      <w:tblGrid>
        <w:gridCol w:w="2510"/>
        <w:gridCol w:w="2510"/>
        <w:gridCol w:w="2511"/>
      </w:tblGrid>
      <w:tr w:rsidR="005C54FB" w:rsidRPr="00511179" w:rsidTr="005C54FB">
        <w:tc>
          <w:tcPr>
            <w:tcW w:w="2510" w:type="dxa"/>
            <w:vAlign w:val="center"/>
          </w:tcPr>
          <w:p w:rsidR="005C54FB" w:rsidRPr="00511179" w:rsidRDefault="005C54FB" w:rsidP="00FF6693">
            <w:pPr>
              <w:jc w:val="center"/>
              <w:rPr>
                <w:rFonts w:cs="Arial"/>
                <w:sz w:val="20"/>
                <w:szCs w:val="20"/>
                <w:lang w:bidi="ar-SA"/>
              </w:rPr>
            </w:pPr>
            <w:r w:rsidRPr="00511179">
              <w:rPr>
                <w:rFonts w:cs="Arial"/>
                <w:sz w:val="20"/>
                <w:szCs w:val="20"/>
                <w:lang w:bidi="ar-SA"/>
              </w:rPr>
              <w:t>Type of packaging material (for example)</w:t>
            </w:r>
          </w:p>
        </w:tc>
        <w:tc>
          <w:tcPr>
            <w:tcW w:w="2510" w:type="dxa"/>
            <w:vAlign w:val="center"/>
          </w:tcPr>
          <w:p w:rsidR="005C54FB" w:rsidRPr="00511179" w:rsidRDefault="005C54FB" w:rsidP="00FF6693">
            <w:pPr>
              <w:jc w:val="center"/>
              <w:rPr>
                <w:rFonts w:cs="Arial"/>
                <w:sz w:val="20"/>
                <w:szCs w:val="20"/>
                <w:lang w:bidi="ar-SA"/>
              </w:rPr>
            </w:pPr>
            <w:r w:rsidRPr="00511179">
              <w:rPr>
                <w:rFonts w:cs="Arial"/>
                <w:sz w:val="20"/>
                <w:szCs w:val="20"/>
                <w:lang w:bidi="ar-SA"/>
              </w:rPr>
              <w:t>Volume    (</w:t>
            </w:r>
            <w:proofErr w:type="spellStart"/>
            <w:r w:rsidRPr="00511179">
              <w:rPr>
                <w:rFonts w:cs="Arial"/>
                <w:sz w:val="20"/>
                <w:szCs w:val="20"/>
                <w:lang w:bidi="ar-SA"/>
              </w:rPr>
              <w:t>ktpa</w:t>
            </w:r>
            <w:proofErr w:type="spellEnd"/>
            <w:r w:rsidRPr="00511179">
              <w:rPr>
                <w:rFonts w:cs="Arial"/>
                <w:sz w:val="20"/>
                <w:szCs w:val="20"/>
                <w:lang w:bidi="ar-SA"/>
              </w:rPr>
              <w:t>*)</w:t>
            </w:r>
          </w:p>
        </w:tc>
        <w:tc>
          <w:tcPr>
            <w:tcW w:w="2511" w:type="dxa"/>
            <w:vAlign w:val="center"/>
          </w:tcPr>
          <w:p w:rsidR="005C54FB" w:rsidRPr="00511179" w:rsidRDefault="005C54FB" w:rsidP="00FF6693">
            <w:pPr>
              <w:jc w:val="center"/>
              <w:rPr>
                <w:rFonts w:cs="Arial"/>
                <w:sz w:val="20"/>
                <w:szCs w:val="20"/>
                <w:lang w:bidi="ar-SA"/>
              </w:rPr>
            </w:pPr>
            <w:r w:rsidRPr="00511179">
              <w:rPr>
                <w:rFonts w:cs="Arial"/>
                <w:sz w:val="20"/>
                <w:szCs w:val="20"/>
                <w:lang w:bidi="ar-SA"/>
              </w:rPr>
              <w:t xml:space="preserve">Local/Imported </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Carton board (folding)</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666326154"/>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801973348"/>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352691469"/>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A60B4" w:rsidP="005C54FB">
            <w:pPr>
              <w:rPr>
                <w:rFonts w:cs="Arial"/>
                <w:sz w:val="20"/>
                <w:szCs w:val="20"/>
                <w:lang w:bidi="ar-SA"/>
              </w:rPr>
            </w:pPr>
            <w:sdt>
              <w:sdtPr>
                <w:rPr>
                  <w:rFonts w:cs="Arial"/>
                  <w:sz w:val="20"/>
                  <w:szCs w:val="20"/>
                  <w:lang w:bidi="ar-SA"/>
                </w:rPr>
                <w:id w:val="-91318139"/>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Local</w:t>
            </w:r>
          </w:p>
          <w:p w:rsidR="005C54FB" w:rsidRPr="00511179" w:rsidRDefault="005A60B4" w:rsidP="005C54FB">
            <w:pPr>
              <w:rPr>
                <w:rFonts w:cs="Arial"/>
                <w:sz w:val="20"/>
                <w:szCs w:val="20"/>
                <w:lang w:bidi="ar-SA"/>
              </w:rPr>
            </w:pPr>
            <w:sdt>
              <w:sdtPr>
                <w:rPr>
                  <w:rFonts w:cs="Arial"/>
                  <w:sz w:val="20"/>
                  <w:szCs w:val="20"/>
                  <w:lang w:bidi="ar-SA"/>
                </w:rPr>
                <w:id w:val="-1863592035"/>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Imported</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Cardboard/paper (virgin)</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287241323"/>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485205250"/>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519766278"/>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A60B4" w:rsidP="005C54FB">
            <w:pPr>
              <w:rPr>
                <w:rFonts w:cs="Arial"/>
                <w:sz w:val="20"/>
                <w:szCs w:val="20"/>
                <w:lang w:bidi="ar-SA"/>
              </w:rPr>
            </w:pPr>
            <w:sdt>
              <w:sdtPr>
                <w:rPr>
                  <w:rFonts w:cs="Arial"/>
                  <w:sz w:val="20"/>
                  <w:szCs w:val="20"/>
                  <w:lang w:bidi="ar-SA"/>
                </w:rPr>
                <w:id w:val="1791854260"/>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Local</w:t>
            </w:r>
          </w:p>
          <w:p w:rsidR="005C54FB" w:rsidRPr="00511179" w:rsidRDefault="005A60B4" w:rsidP="005C54FB">
            <w:pPr>
              <w:rPr>
                <w:rFonts w:cs="Arial"/>
                <w:sz w:val="20"/>
                <w:szCs w:val="20"/>
                <w:lang w:bidi="ar-SA"/>
              </w:rPr>
            </w:pPr>
            <w:sdt>
              <w:sdtPr>
                <w:rPr>
                  <w:rFonts w:cs="Arial"/>
                  <w:sz w:val="20"/>
                  <w:szCs w:val="20"/>
                  <w:lang w:bidi="ar-SA"/>
                </w:rPr>
                <w:id w:val="-44366237"/>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Imported</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Cardboard/paper (recycled)</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101186888"/>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815014367"/>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2124108381"/>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A60B4" w:rsidP="005C54FB">
            <w:pPr>
              <w:rPr>
                <w:rFonts w:cs="Arial"/>
                <w:sz w:val="20"/>
                <w:szCs w:val="20"/>
                <w:lang w:bidi="ar-SA"/>
              </w:rPr>
            </w:pPr>
            <w:sdt>
              <w:sdtPr>
                <w:rPr>
                  <w:rFonts w:cs="Arial"/>
                  <w:sz w:val="20"/>
                  <w:szCs w:val="20"/>
                  <w:lang w:bidi="ar-SA"/>
                </w:rPr>
                <w:id w:val="1053504621"/>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Local</w:t>
            </w:r>
          </w:p>
          <w:p w:rsidR="005C54FB" w:rsidRPr="00511179" w:rsidRDefault="005A60B4" w:rsidP="005C54FB">
            <w:pPr>
              <w:rPr>
                <w:rFonts w:cs="Arial"/>
                <w:sz w:val="20"/>
                <w:szCs w:val="20"/>
                <w:lang w:bidi="ar-SA"/>
              </w:rPr>
            </w:pPr>
            <w:sdt>
              <w:sdtPr>
                <w:rPr>
                  <w:rFonts w:cs="Arial"/>
                  <w:sz w:val="20"/>
                  <w:szCs w:val="20"/>
                  <w:lang w:bidi="ar-SA"/>
                </w:rPr>
                <w:id w:val="-1710022104"/>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Imported</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Plastic mono-layers</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226234180"/>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192452376"/>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929581828"/>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A60B4" w:rsidP="005C54FB">
            <w:pPr>
              <w:rPr>
                <w:rFonts w:cs="Arial"/>
                <w:sz w:val="20"/>
                <w:szCs w:val="20"/>
                <w:lang w:bidi="ar-SA"/>
              </w:rPr>
            </w:pPr>
            <w:sdt>
              <w:sdtPr>
                <w:rPr>
                  <w:rFonts w:cs="Arial"/>
                  <w:sz w:val="20"/>
                  <w:szCs w:val="20"/>
                  <w:lang w:bidi="ar-SA"/>
                </w:rPr>
                <w:id w:val="-1026397516"/>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Local</w:t>
            </w:r>
          </w:p>
          <w:p w:rsidR="005C54FB" w:rsidRPr="00511179" w:rsidRDefault="005A60B4" w:rsidP="005C54FB">
            <w:pPr>
              <w:rPr>
                <w:rFonts w:cs="Arial"/>
                <w:sz w:val="20"/>
                <w:szCs w:val="20"/>
                <w:lang w:bidi="ar-SA"/>
              </w:rPr>
            </w:pPr>
            <w:sdt>
              <w:sdtPr>
                <w:rPr>
                  <w:rFonts w:cs="Arial"/>
                  <w:sz w:val="20"/>
                  <w:szCs w:val="20"/>
                  <w:lang w:bidi="ar-SA"/>
                </w:rPr>
                <w:id w:val="-479307690"/>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Imported</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Plastic multi-layers</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804359186"/>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408462536"/>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766845903"/>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A60B4" w:rsidP="005C54FB">
            <w:pPr>
              <w:rPr>
                <w:rFonts w:cs="Arial"/>
                <w:sz w:val="20"/>
                <w:szCs w:val="20"/>
                <w:lang w:bidi="ar-SA"/>
              </w:rPr>
            </w:pPr>
            <w:sdt>
              <w:sdtPr>
                <w:rPr>
                  <w:rFonts w:cs="Arial"/>
                  <w:sz w:val="20"/>
                  <w:szCs w:val="20"/>
                  <w:lang w:bidi="ar-SA"/>
                </w:rPr>
                <w:id w:val="982429601"/>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Local</w:t>
            </w:r>
          </w:p>
          <w:p w:rsidR="005C54FB" w:rsidRPr="00511179" w:rsidRDefault="005A60B4" w:rsidP="005C54FB">
            <w:pPr>
              <w:rPr>
                <w:rFonts w:cs="Arial"/>
                <w:sz w:val="20"/>
                <w:szCs w:val="20"/>
                <w:lang w:bidi="ar-SA"/>
              </w:rPr>
            </w:pPr>
            <w:sdt>
              <w:sdtPr>
                <w:rPr>
                  <w:rFonts w:cs="Arial"/>
                  <w:sz w:val="20"/>
                  <w:szCs w:val="20"/>
                  <w:lang w:bidi="ar-SA"/>
                </w:rPr>
                <w:id w:val="-956477221"/>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Imported</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Plastic laminate</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1342442841"/>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652643783"/>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178810796"/>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A60B4" w:rsidP="005C54FB">
            <w:pPr>
              <w:rPr>
                <w:rFonts w:cs="Arial"/>
                <w:sz w:val="20"/>
                <w:szCs w:val="20"/>
                <w:lang w:bidi="ar-SA"/>
              </w:rPr>
            </w:pPr>
            <w:sdt>
              <w:sdtPr>
                <w:rPr>
                  <w:rFonts w:cs="Arial"/>
                  <w:sz w:val="20"/>
                  <w:szCs w:val="20"/>
                  <w:lang w:bidi="ar-SA"/>
                </w:rPr>
                <w:id w:val="-1906676122"/>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Local</w:t>
            </w:r>
          </w:p>
          <w:p w:rsidR="005C54FB" w:rsidRPr="00511179" w:rsidRDefault="005A60B4" w:rsidP="005C54FB">
            <w:pPr>
              <w:rPr>
                <w:rFonts w:cs="Arial"/>
                <w:sz w:val="20"/>
                <w:szCs w:val="20"/>
                <w:lang w:bidi="ar-SA"/>
              </w:rPr>
            </w:pPr>
            <w:sdt>
              <w:sdtPr>
                <w:rPr>
                  <w:rFonts w:cs="Arial"/>
                  <w:sz w:val="20"/>
                  <w:szCs w:val="20"/>
                  <w:lang w:bidi="ar-SA"/>
                </w:rPr>
                <w:id w:val="-1515920029"/>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Imported</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Plastic rigid</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797954848"/>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604348406"/>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433895071"/>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A60B4" w:rsidP="005C54FB">
            <w:pPr>
              <w:rPr>
                <w:rFonts w:cs="Arial"/>
                <w:sz w:val="20"/>
                <w:szCs w:val="20"/>
                <w:lang w:bidi="ar-SA"/>
              </w:rPr>
            </w:pPr>
            <w:sdt>
              <w:sdtPr>
                <w:rPr>
                  <w:rFonts w:cs="Arial"/>
                  <w:sz w:val="20"/>
                  <w:szCs w:val="20"/>
                  <w:lang w:bidi="ar-SA"/>
                </w:rPr>
                <w:id w:val="-693925932"/>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Local</w:t>
            </w:r>
          </w:p>
          <w:p w:rsidR="005C54FB" w:rsidRPr="00511179" w:rsidRDefault="005A60B4" w:rsidP="005C54FB">
            <w:pPr>
              <w:rPr>
                <w:rFonts w:cs="Arial"/>
                <w:sz w:val="20"/>
                <w:szCs w:val="20"/>
                <w:lang w:bidi="ar-SA"/>
              </w:rPr>
            </w:pPr>
            <w:sdt>
              <w:sdtPr>
                <w:rPr>
                  <w:rFonts w:cs="Arial"/>
                  <w:sz w:val="20"/>
                  <w:szCs w:val="20"/>
                  <w:lang w:bidi="ar-SA"/>
                </w:rPr>
                <w:id w:val="742839011"/>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Imported</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Plastic co-extruded</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1806038368"/>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833024407"/>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2085714112"/>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A60B4" w:rsidP="005C54FB">
            <w:pPr>
              <w:rPr>
                <w:rFonts w:cs="Arial"/>
                <w:sz w:val="20"/>
                <w:szCs w:val="20"/>
                <w:lang w:bidi="ar-SA"/>
              </w:rPr>
            </w:pPr>
            <w:sdt>
              <w:sdtPr>
                <w:rPr>
                  <w:rFonts w:cs="Arial"/>
                  <w:sz w:val="20"/>
                  <w:szCs w:val="20"/>
                  <w:lang w:bidi="ar-SA"/>
                </w:rPr>
                <w:id w:val="209781316"/>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Local</w:t>
            </w:r>
          </w:p>
          <w:p w:rsidR="005C54FB" w:rsidRPr="00511179" w:rsidRDefault="005A60B4" w:rsidP="005C54FB">
            <w:pPr>
              <w:rPr>
                <w:rFonts w:cs="Arial"/>
                <w:sz w:val="20"/>
                <w:szCs w:val="20"/>
                <w:lang w:bidi="ar-SA"/>
              </w:rPr>
            </w:pPr>
            <w:sdt>
              <w:sdtPr>
                <w:rPr>
                  <w:rFonts w:cs="Arial"/>
                  <w:sz w:val="20"/>
                  <w:szCs w:val="20"/>
                  <w:lang w:bidi="ar-SA"/>
                </w:rPr>
                <w:id w:val="2095745310"/>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Imported</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 xml:space="preserve">Plastic (recycled) </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1035807586"/>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288323089"/>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107490951"/>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Local</w:t>
            </w:r>
          </w:p>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Imported</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Metal</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816922660"/>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713893498"/>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971797704"/>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Local</w:t>
            </w:r>
          </w:p>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Imported</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Composites (eg. Paper/foil/plastic)</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1437131400"/>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545911970"/>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787081686"/>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Local</w:t>
            </w:r>
          </w:p>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Imported</w:t>
            </w:r>
          </w:p>
        </w:tc>
      </w:tr>
      <w:tr w:rsidR="005C54FB" w:rsidRPr="00511179" w:rsidTr="005C54FB">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 xml:space="preserve">Glass </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1740014536"/>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19890440"/>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906802829"/>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Local</w:t>
            </w:r>
          </w:p>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Imported</w:t>
            </w:r>
          </w:p>
        </w:tc>
      </w:tr>
      <w:tr w:rsidR="005C54FB" w:rsidRPr="00511179" w:rsidTr="005C54FB">
        <w:trPr>
          <w:trHeight w:val="736"/>
        </w:trPr>
        <w:tc>
          <w:tcPr>
            <w:tcW w:w="2510" w:type="dxa"/>
            <w:vAlign w:val="center"/>
          </w:tcPr>
          <w:p w:rsidR="005C54FB" w:rsidRPr="00511179" w:rsidRDefault="005C54FB" w:rsidP="005C54FB">
            <w:pPr>
              <w:rPr>
                <w:rFonts w:cs="Arial"/>
                <w:sz w:val="20"/>
                <w:szCs w:val="20"/>
                <w:lang w:bidi="ar-SA"/>
              </w:rPr>
            </w:pPr>
            <w:r w:rsidRPr="00511179">
              <w:rPr>
                <w:rFonts w:cs="Arial"/>
                <w:sz w:val="20"/>
                <w:szCs w:val="20"/>
                <w:lang w:bidi="ar-SA"/>
              </w:rPr>
              <w:t>Ceramic</w:t>
            </w: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644967850"/>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935891192"/>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1495926996"/>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Local</w:t>
            </w:r>
          </w:p>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Imported</w:t>
            </w:r>
          </w:p>
        </w:tc>
      </w:tr>
      <w:tr w:rsidR="005C54FB" w:rsidRPr="00511179" w:rsidTr="005C54FB">
        <w:trPr>
          <w:trHeight w:val="450"/>
        </w:trPr>
        <w:tc>
          <w:tcPr>
            <w:tcW w:w="2510" w:type="dxa"/>
            <w:vAlign w:val="center"/>
          </w:tcPr>
          <w:p w:rsidR="005C54FB" w:rsidRDefault="005C54FB" w:rsidP="005C54FB">
            <w:pPr>
              <w:rPr>
                <w:rFonts w:cs="Arial"/>
                <w:sz w:val="20"/>
                <w:szCs w:val="20"/>
                <w:lang w:bidi="ar-SA"/>
              </w:rPr>
            </w:pPr>
            <w:r w:rsidRPr="00511179">
              <w:rPr>
                <w:rFonts w:cs="Arial"/>
                <w:sz w:val="20"/>
                <w:szCs w:val="20"/>
                <w:lang w:bidi="ar-SA"/>
              </w:rPr>
              <w:t xml:space="preserve">Other </w:t>
            </w:r>
          </w:p>
          <w:tbl>
            <w:tblPr>
              <w:tblStyle w:val="TableGrid"/>
              <w:tblW w:w="0" w:type="auto"/>
              <w:tblLayout w:type="fixed"/>
              <w:tblLook w:val="04A0" w:firstRow="1" w:lastRow="0" w:firstColumn="1" w:lastColumn="0" w:noHBand="0" w:noVBand="1"/>
            </w:tblPr>
            <w:tblGrid>
              <w:gridCol w:w="2279"/>
            </w:tblGrid>
            <w:tr w:rsidR="005E5327" w:rsidTr="005E5327">
              <w:tc>
                <w:tcPr>
                  <w:tcW w:w="2279" w:type="dxa"/>
                </w:tcPr>
                <w:p w:rsidR="005E5327" w:rsidRDefault="005E5327" w:rsidP="005C54FB">
                  <w:pPr>
                    <w:rPr>
                      <w:rFonts w:cs="Arial"/>
                      <w:sz w:val="20"/>
                      <w:szCs w:val="20"/>
                      <w:lang w:bidi="ar-SA"/>
                    </w:rPr>
                  </w:pPr>
                </w:p>
              </w:tc>
            </w:tr>
          </w:tbl>
          <w:p w:rsidR="005E5327" w:rsidRPr="00511179" w:rsidRDefault="005E5327" w:rsidP="005C54FB">
            <w:pPr>
              <w:rPr>
                <w:rFonts w:cs="Arial"/>
                <w:sz w:val="20"/>
                <w:szCs w:val="20"/>
                <w:lang w:bidi="ar-SA"/>
              </w:rPr>
            </w:pPr>
          </w:p>
        </w:tc>
        <w:tc>
          <w:tcPr>
            <w:tcW w:w="2510" w:type="dxa"/>
          </w:tcPr>
          <w:p w:rsidR="005C54FB" w:rsidRPr="00511179" w:rsidRDefault="005A60B4" w:rsidP="005C54FB">
            <w:pPr>
              <w:pStyle w:val="ListParagraph"/>
              <w:ind w:left="567"/>
              <w:rPr>
                <w:rFonts w:cs="Arial"/>
                <w:sz w:val="20"/>
                <w:szCs w:val="20"/>
                <w:lang w:bidi="ar-SA"/>
              </w:rPr>
            </w:pPr>
            <w:sdt>
              <w:sdtPr>
                <w:rPr>
                  <w:rFonts w:cs="Arial"/>
                  <w:sz w:val="20"/>
                  <w:szCs w:val="20"/>
                  <w:lang w:bidi="ar-SA"/>
                </w:rPr>
                <w:id w:val="-219834842"/>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0 – 50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938759355"/>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 – 500</w:t>
            </w:r>
          </w:p>
          <w:p w:rsidR="005C54FB" w:rsidRPr="00511179" w:rsidRDefault="005A60B4" w:rsidP="005C54FB">
            <w:pPr>
              <w:pStyle w:val="ListParagraph"/>
              <w:ind w:left="567"/>
              <w:rPr>
                <w:rFonts w:cs="Arial"/>
                <w:sz w:val="20"/>
                <w:szCs w:val="20"/>
                <w:lang w:bidi="ar-SA"/>
              </w:rPr>
            </w:pPr>
            <w:sdt>
              <w:sdtPr>
                <w:rPr>
                  <w:rFonts w:cs="Arial"/>
                  <w:sz w:val="20"/>
                  <w:szCs w:val="20"/>
                  <w:lang w:bidi="ar-SA"/>
                </w:rPr>
                <w:id w:val="-455016319"/>
                <w14:checkbox>
                  <w14:checked w14:val="0"/>
                  <w14:checkedState w14:val="2612" w14:font="MS Gothic"/>
                  <w14:uncheckedState w14:val="2610" w14:font="MS Gothic"/>
                </w14:checkbox>
              </w:sdtPr>
              <w:sdtEndPr/>
              <w:sdtContent>
                <w:r w:rsidR="005C54FB" w:rsidRPr="00511179">
                  <w:rPr>
                    <w:rFonts w:ascii="MS Gothic" w:eastAsia="MS Gothic" w:hAnsi="MS Gothic" w:cs="MS Gothic" w:hint="eastAsia"/>
                    <w:sz w:val="20"/>
                    <w:szCs w:val="20"/>
                    <w:lang w:bidi="ar-SA"/>
                  </w:rPr>
                  <w:t>☐</w:t>
                </w:r>
              </w:sdtContent>
            </w:sdt>
            <w:r w:rsidR="005C54FB" w:rsidRPr="00511179">
              <w:rPr>
                <w:rFonts w:cs="Arial"/>
                <w:sz w:val="20"/>
                <w:szCs w:val="20"/>
                <w:lang w:bidi="ar-SA"/>
              </w:rPr>
              <w:t>500 - 5000</w:t>
            </w:r>
          </w:p>
        </w:tc>
        <w:tc>
          <w:tcPr>
            <w:tcW w:w="2511" w:type="dxa"/>
          </w:tcPr>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Local</w:t>
            </w:r>
          </w:p>
          <w:p w:rsidR="005C54FB" w:rsidRPr="00511179" w:rsidRDefault="005C54FB" w:rsidP="005C54FB">
            <w:pPr>
              <w:rPr>
                <w:rFonts w:cs="Arial"/>
                <w:sz w:val="20"/>
                <w:szCs w:val="20"/>
                <w:lang w:bidi="ar-SA"/>
              </w:rPr>
            </w:pPr>
            <w:r w:rsidRPr="00511179">
              <w:rPr>
                <w:rFonts w:ascii="MS Gothic" w:eastAsia="MS Gothic" w:hAnsi="MS Gothic" w:cs="MS Gothic" w:hint="eastAsia"/>
                <w:sz w:val="20"/>
                <w:szCs w:val="20"/>
                <w:lang w:bidi="ar-SA"/>
              </w:rPr>
              <w:t>☐</w:t>
            </w:r>
            <w:r w:rsidRPr="00511179">
              <w:rPr>
                <w:rFonts w:cs="Arial"/>
                <w:sz w:val="20"/>
                <w:szCs w:val="20"/>
                <w:lang w:bidi="ar-SA"/>
              </w:rPr>
              <w:t>Imported</w:t>
            </w:r>
          </w:p>
        </w:tc>
      </w:tr>
    </w:tbl>
    <w:p w:rsidR="005C54FB" w:rsidRPr="00450410" w:rsidRDefault="005C54FB" w:rsidP="005C54FB">
      <w:pPr>
        <w:rPr>
          <w:rFonts w:cs="Arial"/>
          <w:szCs w:val="22"/>
          <w:lang w:bidi="ar-SA"/>
        </w:rPr>
      </w:pPr>
      <w:r w:rsidRPr="00450410">
        <w:rPr>
          <w:rFonts w:cs="Arial"/>
          <w:szCs w:val="22"/>
          <w:lang w:bidi="ar-SA"/>
        </w:rPr>
        <w:t>*</w:t>
      </w:r>
      <w:r w:rsidRPr="00450410">
        <w:rPr>
          <w:rFonts w:cs="Arial"/>
          <w:i/>
          <w:szCs w:val="22"/>
          <w:lang w:bidi="ar-SA"/>
        </w:rPr>
        <w:t>Kilo tonnes per annum</w:t>
      </w:r>
    </w:p>
    <w:p w:rsidR="005C54FB" w:rsidRDefault="005C54FB" w:rsidP="00EC05B7">
      <w:pPr>
        <w:rPr>
          <w:rFonts w:cs="Arial"/>
          <w:b/>
          <w:sz w:val="28"/>
          <w:szCs w:val="28"/>
          <w:lang w:bidi="ar-SA"/>
        </w:rPr>
      </w:pPr>
    </w:p>
    <w:p w:rsidR="005C54FB" w:rsidRDefault="005C54FB" w:rsidP="00EC05B7">
      <w:pPr>
        <w:rPr>
          <w:rFonts w:cs="Arial"/>
          <w:b/>
          <w:sz w:val="28"/>
          <w:szCs w:val="28"/>
          <w:lang w:bidi="ar-SA"/>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5C54FB" w:rsidRPr="00867AAE" w:rsidTr="005E5327">
        <w:trPr>
          <w:trHeight w:val="271"/>
        </w:trPr>
        <w:tc>
          <w:tcPr>
            <w:tcW w:w="9322" w:type="dxa"/>
            <w:shd w:val="clear" w:color="auto" w:fill="auto"/>
          </w:tcPr>
          <w:p w:rsidR="005C54FB" w:rsidRPr="00450410" w:rsidRDefault="005C54FB" w:rsidP="0029795C">
            <w:pPr>
              <w:rPr>
                <w:rFonts w:cs="Arial"/>
                <w:szCs w:val="22"/>
                <w:lang w:bidi="ar-SA"/>
              </w:rPr>
            </w:pPr>
            <w:r w:rsidRPr="00450410">
              <w:rPr>
                <w:rFonts w:cs="Arial"/>
                <w:b/>
                <w:szCs w:val="22"/>
                <w:lang w:bidi="ar-SA"/>
              </w:rPr>
              <w:lastRenderedPageBreak/>
              <w:t xml:space="preserve">Question </w:t>
            </w:r>
            <w:r w:rsidR="0029795C">
              <w:rPr>
                <w:rFonts w:cs="Arial"/>
                <w:b/>
                <w:szCs w:val="22"/>
                <w:lang w:bidi="ar-SA"/>
              </w:rPr>
              <w:t>4</w:t>
            </w:r>
            <w:r w:rsidRPr="00450410">
              <w:rPr>
                <w:rFonts w:cs="Arial"/>
                <w:b/>
                <w:szCs w:val="22"/>
                <w:lang w:bidi="ar-SA"/>
              </w:rPr>
              <w:t xml:space="preserve"> </w:t>
            </w:r>
            <w:r w:rsidRPr="00450410">
              <w:rPr>
                <w:rFonts w:cs="Arial"/>
                <w:i/>
                <w:szCs w:val="22"/>
                <w:lang w:bidi="ar-SA"/>
              </w:rPr>
              <w:t>(refer to p. 1</w:t>
            </w:r>
            <w:r w:rsidR="00336D7B">
              <w:rPr>
                <w:rFonts w:cs="Arial"/>
                <w:i/>
                <w:szCs w:val="22"/>
                <w:lang w:bidi="ar-SA"/>
              </w:rPr>
              <w:t>2</w:t>
            </w:r>
            <w:r w:rsidRPr="00450410">
              <w:rPr>
                <w:rFonts w:cs="Arial"/>
                <w:i/>
                <w:szCs w:val="22"/>
                <w:lang w:bidi="ar-SA"/>
              </w:rPr>
              <w:t>)</w:t>
            </w:r>
          </w:p>
        </w:tc>
      </w:tr>
      <w:tr w:rsidR="005C54FB" w:rsidRPr="00867AAE" w:rsidTr="005E5327">
        <w:trPr>
          <w:trHeight w:val="3488"/>
        </w:trPr>
        <w:tc>
          <w:tcPr>
            <w:tcW w:w="9322" w:type="dxa"/>
            <w:shd w:val="clear" w:color="auto" w:fill="auto"/>
          </w:tcPr>
          <w:p w:rsidR="005C54FB" w:rsidRDefault="005C54FB" w:rsidP="00FF6693">
            <w:pPr>
              <w:rPr>
                <w:rFonts w:cs="Arial"/>
                <w:b/>
                <w:szCs w:val="22"/>
                <w:lang w:bidi="ar-SA"/>
              </w:rPr>
            </w:pPr>
            <w:r>
              <w:rPr>
                <w:rFonts w:cs="Arial"/>
                <w:b/>
                <w:szCs w:val="22"/>
                <w:lang w:bidi="ar-SA"/>
              </w:rPr>
              <w:t>If you are a peak body/trade association, d</w:t>
            </w:r>
            <w:r w:rsidRPr="00DB3E10">
              <w:rPr>
                <w:rFonts w:cs="Arial"/>
                <w:b/>
                <w:szCs w:val="22"/>
                <w:lang w:bidi="ar-SA"/>
              </w:rPr>
              <w:t xml:space="preserve">o you have the expertise to offer food safety advice on chemical migration from packaging into food (CMPF) to businesses within the packaging supply chain?  </w:t>
            </w:r>
          </w:p>
          <w:p w:rsidR="005C54FB" w:rsidRPr="00450410" w:rsidRDefault="005C54FB" w:rsidP="00FF6693">
            <w:pPr>
              <w:rPr>
                <w:rFonts w:cs="Arial"/>
                <w:szCs w:val="22"/>
                <w:lang w:bidi="ar-SA"/>
              </w:rPr>
            </w:pPr>
          </w:p>
          <w:p w:rsidR="005C54FB" w:rsidRPr="00450410" w:rsidRDefault="005A60B4" w:rsidP="005C54FB">
            <w:pPr>
              <w:pStyle w:val="ListParagraph"/>
              <w:rPr>
                <w:rFonts w:cs="Arial"/>
                <w:szCs w:val="22"/>
                <w:lang w:bidi="ar-SA"/>
              </w:rPr>
            </w:pPr>
            <w:sdt>
              <w:sdtPr>
                <w:rPr>
                  <w:rFonts w:cs="Arial"/>
                  <w:szCs w:val="22"/>
                  <w:lang w:bidi="ar-SA"/>
                </w:rPr>
                <w:id w:val="954996301"/>
                <w14:checkbox>
                  <w14:checked w14:val="0"/>
                  <w14:checkedState w14:val="2612" w14:font="MS Gothic"/>
                  <w14:uncheckedState w14:val="2610" w14:font="MS Gothic"/>
                </w14:checkbox>
              </w:sdtPr>
              <w:sdtEndPr/>
              <w:sdtContent>
                <w:r w:rsidR="005C54FB" w:rsidRPr="00450410">
                  <w:rPr>
                    <w:rFonts w:ascii="MS Gothic" w:eastAsia="MS Gothic" w:hAnsi="MS Gothic" w:cs="MS Gothic" w:hint="eastAsia"/>
                    <w:szCs w:val="22"/>
                    <w:lang w:bidi="ar-SA"/>
                  </w:rPr>
                  <w:t>☐</w:t>
                </w:r>
              </w:sdtContent>
            </w:sdt>
            <w:r w:rsidR="005C54FB" w:rsidRPr="00450410">
              <w:rPr>
                <w:rFonts w:cs="Arial"/>
                <w:szCs w:val="22"/>
                <w:lang w:bidi="ar-SA"/>
              </w:rPr>
              <w:t xml:space="preserve">  No</w:t>
            </w:r>
          </w:p>
          <w:p w:rsidR="005C54FB" w:rsidRPr="00450410" w:rsidRDefault="005C54FB" w:rsidP="005C54FB">
            <w:pPr>
              <w:rPr>
                <w:rFonts w:cs="Arial"/>
                <w:szCs w:val="22"/>
                <w:lang w:bidi="ar-SA"/>
              </w:rPr>
            </w:pPr>
          </w:p>
          <w:p w:rsidR="005C54FB" w:rsidRPr="00450410" w:rsidRDefault="005A60B4" w:rsidP="005C54FB">
            <w:pPr>
              <w:pStyle w:val="ListParagraph"/>
              <w:rPr>
                <w:rFonts w:cs="Arial"/>
                <w:szCs w:val="22"/>
                <w:lang w:bidi="ar-SA"/>
              </w:rPr>
            </w:pPr>
            <w:sdt>
              <w:sdtPr>
                <w:rPr>
                  <w:rFonts w:cs="Arial"/>
                  <w:szCs w:val="22"/>
                  <w:lang w:bidi="ar-SA"/>
                </w:rPr>
                <w:id w:val="-1982925351"/>
                <w14:checkbox>
                  <w14:checked w14:val="0"/>
                  <w14:checkedState w14:val="2612" w14:font="MS Gothic"/>
                  <w14:uncheckedState w14:val="2610" w14:font="MS Gothic"/>
                </w14:checkbox>
              </w:sdtPr>
              <w:sdtEndPr/>
              <w:sdtContent>
                <w:r w:rsidR="005C54FB" w:rsidRPr="00450410">
                  <w:rPr>
                    <w:rFonts w:ascii="MS Gothic" w:eastAsia="MS Gothic" w:hAnsi="MS Gothic" w:cs="MS Gothic" w:hint="eastAsia"/>
                    <w:szCs w:val="22"/>
                    <w:lang w:bidi="ar-SA"/>
                  </w:rPr>
                  <w:t>☐</w:t>
                </w:r>
              </w:sdtContent>
            </w:sdt>
            <w:r w:rsidR="005C54FB" w:rsidRPr="00450410">
              <w:rPr>
                <w:rFonts w:cs="Arial"/>
                <w:szCs w:val="22"/>
                <w:lang w:bidi="ar-SA"/>
              </w:rPr>
              <w:t xml:space="preserve">  Yes </w:t>
            </w:r>
          </w:p>
          <w:p w:rsidR="005C54FB" w:rsidRPr="00450410" w:rsidRDefault="005C54FB" w:rsidP="005C54FB">
            <w:pPr>
              <w:rPr>
                <w:rFonts w:cs="Arial"/>
                <w:szCs w:val="22"/>
                <w:lang w:bidi="ar-SA"/>
              </w:rPr>
            </w:pPr>
          </w:p>
          <w:p w:rsidR="005C54FB" w:rsidRPr="00450410" w:rsidRDefault="005C54FB" w:rsidP="005C54FB">
            <w:pPr>
              <w:rPr>
                <w:rFonts w:cs="Arial"/>
                <w:i/>
                <w:szCs w:val="22"/>
                <w:lang w:bidi="ar-SA"/>
              </w:rPr>
            </w:pPr>
            <w:r w:rsidRPr="00450410">
              <w:rPr>
                <w:rFonts w:cs="Arial"/>
                <w:i/>
                <w:szCs w:val="22"/>
                <w:lang w:bidi="ar-SA"/>
              </w:rPr>
              <w:t>Please expand on your response</w:t>
            </w:r>
          </w:p>
          <w:tbl>
            <w:tblPr>
              <w:tblStyle w:val="TableGrid"/>
              <w:tblW w:w="9187" w:type="dxa"/>
              <w:tblInd w:w="22" w:type="dxa"/>
              <w:tblLayout w:type="fixed"/>
              <w:tblLook w:val="04A0" w:firstRow="1" w:lastRow="0" w:firstColumn="1" w:lastColumn="0" w:noHBand="0" w:noVBand="1"/>
            </w:tblPr>
            <w:tblGrid>
              <w:gridCol w:w="9187"/>
            </w:tblGrid>
            <w:tr w:rsidR="005E5327" w:rsidTr="005E5327">
              <w:trPr>
                <w:trHeight w:val="252"/>
              </w:trPr>
              <w:tc>
                <w:tcPr>
                  <w:tcW w:w="9187" w:type="dxa"/>
                </w:tcPr>
                <w:p w:rsidR="005E5327" w:rsidRDefault="005E5327" w:rsidP="005C54FB">
                  <w:pPr>
                    <w:rPr>
                      <w:rFonts w:cs="Arial"/>
                      <w:szCs w:val="22"/>
                      <w:lang w:bidi="ar-SA"/>
                    </w:rPr>
                  </w:pPr>
                </w:p>
              </w:tc>
            </w:tr>
          </w:tbl>
          <w:p w:rsidR="005C54FB" w:rsidRPr="00450410" w:rsidRDefault="005C54FB" w:rsidP="005C54FB">
            <w:pPr>
              <w:rPr>
                <w:rFonts w:cs="Arial"/>
                <w:szCs w:val="22"/>
                <w:lang w:bidi="ar-SA"/>
              </w:rPr>
            </w:pPr>
          </w:p>
          <w:p w:rsidR="005C54FB" w:rsidRPr="00450410" w:rsidRDefault="005C54FB" w:rsidP="005C54FB">
            <w:pPr>
              <w:rPr>
                <w:rFonts w:cs="Arial"/>
                <w:szCs w:val="22"/>
                <w:lang w:bidi="ar-SA"/>
              </w:rPr>
            </w:pPr>
          </w:p>
          <w:p w:rsidR="005C54FB" w:rsidRPr="00450410" w:rsidRDefault="005C54FB" w:rsidP="0029795C">
            <w:pPr>
              <w:rPr>
                <w:rFonts w:cs="Arial"/>
                <w:szCs w:val="22"/>
                <w:lang w:bidi="ar-SA"/>
              </w:rPr>
            </w:pPr>
            <w:r w:rsidRPr="00FF6693">
              <w:rPr>
                <w:rFonts w:cs="Arial"/>
                <w:b/>
                <w:szCs w:val="22"/>
                <w:lang w:bidi="ar-SA"/>
              </w:rPr>
              <w:t xml:space="preserve">Question </w:t>
            </w:r>
            <w:r w:rsidR="0029795C">
              <w:rPr>
                <w:rFonts w:cs="Arial"/>
                <w:b/>
                <w:szCs w:val="22"/>
                <w:lang w:bidi="ar-SA"/>
              </w:rPr>
              <w:t>5</w:t>
            </w:r>
            <w:r w:rsidRPr="00FF6693">
              <w:rPr>
                <w:rFonts w:cs="Arial"/>
                <w:b/>
                <w:szCs w:val="22"/>
                <w:lang w:bidi="ar-SA"/>
              </w:rPr>
              <w:t xml:space="preserve"> </w:t>
            </w:r>
            <w:r w:rsidRPr="00FF6693">
              <w:rPr>
                <w:rFonts w:cs="Arial"/>
                <w:i/>
                <w:szCs w:val="22"/>
                <w:lang w:bidi="ar-SA"/>
              </w:rPr>
              <w:t>(refer to p. 1</w:t>
            </w:r>
            <w:r w:rsidR="00336D7B">
              <w:rPr>
                <w:rFonts w:cs="Arial"/>
                <w:i/>
                <w:szCs w:val="22"/>
                <w:lang w:bidi="ar-SA"/>
              </w:rPr>
              <w:t>2</w:t>
            </w:r>
            <w:r w:rsidRPr="00FF6693">
              <w:rPr>
                <w:rFonts w:cs="Arial"/>
                <w:i/>
                <w:szCs w:val="22"/>
                <w:lang w:bidi="ar-SA"/>
              </w:rPr>
              <w:t>)</w:t>
            </w:r>
          </w:p>
        </w:tc>
      </w:tr>
      <w:tr w:rsidR="005C54FB" w:rsidRPr="00867AAE" w:rsidTr="005E5327">
        <w:trPr>
          <w:trHeight w:val="523"/>
        </w:trPr>
        <w:tc>
          <w:tcPr>
            <w:tcW w:w="9322" w:type="dxa"/>
            <w:shd w:val="clear" w:color="auto" w:fill="auto"/>
          </w:tcPr>
          <w:p w:rsidR="005C54FB" w:rsidRPr="00450410" w:rsidRDefault="005C54FB" w:rsidP="005C54FB">
            <w:pPr>
              <w:rPr>
                <w:rFonts w:cs="Arial"/>
                <w:b/>
                <w:szCs w:val="22"/>
                <w:lang w:bidi="ar-SA"/>
              </w:rPr>
            </w:pPr>
            <w:r>
              <w:rPr>
                <w:rFonts w:cs="Arial"/>
                <w:b/>
                <w:szCs w:val="22"/>
                <w:lang w:bidi="ar-SA"/>
              </w:rPr>
              <w:t>As a peak body/trade association, i</w:t>
            </w:r>
            <w:r w:rsidRPr="00450410">
              <w:rPr>
                <w:rFonts w:cs="Arial"/>
                <w:b/>
                <w:szCs w:val="22"/>
                <w:lang w:bidi="ar-SA"/>
              </w:rPr>
              <w:t>s there a need for access to further advice on CMPF?</w:t>
            </w:r>
          </w:p>
        </w:tc>
      </w:tr>
    </w:tbl>
    <w:p w:rsidR="005C54FB" w:rsidRPr="00867AAE" w:rsidRDefault="005C54FB" w:rsidP="005C54FB">
      <w:pPr>
        <w:rPr>
          <w:rFonts w:cs="Arial"/>
          <w:lang w:bidi="ar-SA"/>
        </w:rPr>
      </w:pPr>
    </w:p>
    <w:p w:rsidR="005C54FB" w:rsidRPr="00867AAE" w:rsidRDefault="005A60B4" w:rsidP="005C54FB">
      <w:pPr>
        <w:pStyle w:val="ListParagraph"/>
        <w:rPr>
          <w:rFonts w:cs="Arial"/>
          <w:szCs w:val="22"/>
          <w:lang w:bidi="ar-SA"/>
        </w:rPr>
      </w:pPr>
      <w:sdt>
        <w:sdtPr>
          <w:rPr>
            <w:rFonts w:cs="Arial"/>
            <w:szCs w:val="22"/>
            <w:lang w:bidi="ar-SA"/>
          </w:rPr>
          <w:id w:val="-1085690216"/>
          <w14:checkbox>
            <w14:checked w14:val="0"/>
            <w14:checkedState w14:val="2612" w14:font="MS Gothic"/>
            <w14:uncheckedState w14:val="2610" w14:font="MS Gothic"/>
          </w14:checkbox>
        </w:sdtPr>
        <w:sdtEndPr/>
        <w:sdtContent>
          <w:r w:rsidR="005C54FB" w:rsidRPr="00867AAE">
            <w:rPr>
              <w:rFonts w:ascii="MS Gothic" w:eastAsia="MS Gothic" w:hAnsi="MS Gothic" w:cs="MS Gothic" w:hint="eastAsia"/>
              <w:szCs w:val="22"/>
              <w:lang w:bidi="ar-SA"/>
            </w:rPr>
            <w:t>☐</w:t>
          </w:r>
        </w:sdtContent>
      </w:sdt>
      <w:r w:rsidR="005C54FB" w:rsidRPr="00867AAE">
        <w:rPr>
          <w:rFonts w:cs="Arial"/>
          <w:szCs w:val="22"/>
          <w:lang w:bidi="ar-SA"/>
        </w:rPr>
        <w:t xml:space="preserve">  No</w:t>
      </w:r>
    </w:p>
    <w:p w:rsidR="005C54FB" w:rsidRPr="00405EE5" w:rsidRDefault="005C54FB" w:rsidP="005C54FB">
      <w:pPr>
        <w:rPr>
          <w:rFonts w:cs="Arial"/>
          <w:szCs w:val="22"/>
          <w:lang w:bidi="ar-SA"/>
        </w:rPr>
      </w:pPr>
    </w:p>
    <w:p w:rsidR="005C54FB" w:rsidRPr="00867AAE" w:rsidRDefault="005A60B4" w:rsidP="005C54FB">
      <w:pPr>
        <w:pStyle w:val="ListParagraph"/>
        <w:rPr>
          <w:rFonts w:cs="Arial"/>
          <w:szCs w:val="22"/>
          <w:lang w:bidi="ar-SA"/>
        </w:rPr>
      </w:pPr>
      <w:sdt>
        <w:sdtPr>
          <w:rPr>
            <w:rFonts w:cs="Arial"/>
            <w:szCs w:val="22"/>
            <w:lang w:bidi="ar-SA"/>
          </w:rPr>
          <w:id w:val="773139722"/>
          <w14:checkbox>
            <w14:checked w14:val="0"/>
            <w14:checkedState w14:val="2612" w14:font="MS Gothic"/>
            <w14:uncheckedState w14:val="2610" w14:font="MS Gothic"/>
          </w14:checkbox>
        </w:sdtPr>
        <w:sdtEndPr/>
        <w:sdtContent>
          <w:r w:rsidR="005C54FB" w:rsidRPr="00867AAE">
            <w:rPr>
              <w:rFonts w:ascii="MS Gothic" w:eastAsia="MS Gothic" w:hAnsi="MS Gothic" w:cs="MS Gothic" w:hint="eastAsia"/>
              <w:szCs w:val="22"/>
              <w:lang w:bidi="ar-SA"/>
            </w:rPr>
            <w:t>☐</w:t>
          </w:r>
        </w:sdtContent>
      </w:sdt>
      <w:r w:rsidR="005C54FB" w:rsidRPr="00867AAE">
        <w:rPr>
          <w:rFonts w:cs="Arial"/>
          <w:szCs w:val="22"/>
          <w:lang w:bidi="ar-SA"/>
        </w:rPr>
        <w:t xml:space="preserve">  Yes </w:t>
      </w:r>
    </w:p>
    <w:p w:rsidR="005C54FB" w:rsidRPr="00405EE5" w:rsidRDefault="005C54FB" w:rsidP="005C54FB">
      <w:pPr>
        <w:rPr>
          <w:rFonts w:cs="Arial"/>
          <w:szCs w:val="22"/>
          <w:lang w:bidi="ar-SA"/>
        </w:rPr>
      </w:pPr>
    </w:p>
    <w:p w:rsidR="005C54FB" w:rsidRPr="00450410" w:rsidRDefault="005C54FB" w:rsidP="005C54FB">
      <w:pPr>
        <w:rPr>
          <w:rFonts w:cs="Arial"/>
          <w:i/>
          <w:szCs w:val="22"/>
          <w:lang w:bidi="ar-SA"/>
        </w:rPr>
      </w:pPr>
      <w:r w:rsidRPr="00450410">
        <w:rPr>
          <w:rFonts w:cs="Arial"/>
          <w:i/>
          <w:szCs w:val="22"/>
          <w:lang w:bidi="ar-SA"/>
        </w:rPr>
        <w:t>Please expand on your response</w:t>
      </w:r>
    </w:p>
    <w:tbl>
      <w:tblPr>
        <w:tblStyle w:val="TableGrid"/>
        <w:tblW w:w="0" w:type="auto"/>
        <w:tblLook w:val="04A0" w:firstRow="1" w:lastRow="0" w:firstColumn="1" w:lastColumn="0" w:noHBand="0" w:noVBand="1"/>
      </w:tblPr>
      <w:tblGrid>
        <w:gridCol w:w="9286"/>
      </w:tblGrid>
      <w:tr w:rsidR="005E5327" w:rsidTr="005E5327">
        <w:tc>
          <w:tcPr>
            <w:tcW w:w="9286" w:type="dxa"/>
          </w:tcPr>
          <w:p w:rsidR="005E5327" w:rsidRDefault="005E5327" w:rsidP="005C54FB">
            <w:pPr>
              <w:rPr>
                <w:rFonts w:cs="Arial"/>
                <w:lang w:bidi="ar-SA"/>
              </w:rPr>
            </w:pPr>
          </w:p>
        </w:tc>
      </w:tr>
    </w:tbl>
    <w:p w:rsidR="005C54FB" w:rsidRDefault="005C54FB" w:rsidP="005C54FB">
      <w:pPr>
        <w:rPr>
          <w:rFonts w:cs="Arial"/>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511179" w:rsidRPr="00450410" w:rsidTr="00FF6693">
        <w:trPr>
          <w:trHeight w:val="1104"/>
        </w:trPr>
        <w:tc>
          <w:tcPr>
            <w:tcW w:w="9180" w:type="dxa"/>
            <w:shd w:val="clear" w:color="auto" w:fill="auto"/>
          </w:tcPr>
          <w:p w:rsidR="005E5327" w:rsidRDefault="005E5327" w:rsidP="00EC05B7">
            <w:pPr>
              <w:rPr>
                <w:rFonts w:cs="Arial"/>
                <w:b/>
                <w:szCs w:val="22"/>
                <w:lang w:bidi="ar-SA"/>
              </w:rPr>
            </w:pPr>
          </w:p>
          <w:p w:rsidR="00511179" w:rsidRPr="00FF6693" w:rsidRDefault="00511179" w:rsidP="00EC05B7">
            <w:pPr>
              <w:rPr>
                <w:rFonts w:cs="Arial"/>
                <w:i/>
                <w:szCs w:val="22"/>
                <w:lang w:bidi="ar-SA"/>
              </w:rPr>
            </w:pPr>
            <w:r w:rsidRPr="00FF6693">
              <w:rPr>
                <w:rFonts w:cs="Arial"/>
                <w:b/>
                <w:szCs w:val="22"/>
                <w:lang w:bidi="ar-SA"/>
              </w:rPr>
              <w:t xml:space="preserve">Question </w:t>
            </w:r>
            <w:r w:rsidR="0029795C">
              <w:rPr>
                <w:rFonts w:cs="Arial"/>
                <w:b/>
                <w:szCs w:val="22"/>
                <w:lang w:bidi="ar-SA"/>
              </w:rPr>
              <w:t>6</w:t>
            </w:r>
            <w:r w:rsidRPr="00FF6693">
              <w:rPr>
                <w:rFonts w:cs="Arial"/>
                <w:b/>
                <w:szCs w:val="22"/>
                <w:lang w:bidi="ar-SA"/>
              </w:rPr>
              <w:t xml:space="preserve"> </w:t>
            </w:r>
            <w:r w:rsidRPr="00FF6693">
              <w:rPr>
                <w:rFonts w:cs="Arial"/>
                <w:i/>
                <w:szCs w:val="22"/>
                <w:lang w:bidi="ar-SA"/>
              </w:rPr>
              <w:t>(refer to p.1</w:t>
            </w:r>
            <w:r w:rsidR="00336D7B">
              <w:rPr>
                <w:rFonts w:cs="Arial"/>
                <w:i/>
                <w:szCs w:val="22"/>
                <w:lang w:bidi="ar-SA"/>
              </w:rPr>
              <w:t>3</w:t>
            </w:r>
            <w:r w:rsidRPr="00FF6693">
              <w:rPr>
                <w:rFonts w:cs="Arial"/>
                <w:i/>
                <w:szCs w:val="22"/>
                <w:lang w:bidi="ar-SA"/>
              </w:rPr>
              <w:t>)</w:t>
            </w:r>
          </w:p>
          <w:p w:rsidR="00511179" w:rsidRPr="00450410" w:rsidRDefault="00DB3E10" w:rsidP="00EC05B7">
            <w:pPr>
              <w:rPr>
                <w:rFonts w:cs="Arial"/>
                <w:b/>
                <w:szCs w:val="22"/>
                <w:lang w:bidi="ar-SA"/>
              </w:rPr>
            </w:pPr>
            <w:r w:rsidRPr="00FF6693">
              <w:rPr>
                <w:b/>
                <w:szCs w:val="22"/>
              </w:rPr>
              <w:t>Can you please identify the risk identification, characterisation and mitigation strategies that your business uses and whether you use any others?</w:t>
            </w:r>
          </w:p>
        </w:tc>
      </w:tr>
    </w:tbl>
    <w:p w:rsidR="005E5327" w:rsidRDefault="005E5327" w:rsidP="00511179">
      <w:pPr>
        <w:rPr>
          <w:rFonts w:cs="Arial"/>
          <w:i/>
          <w:szCs w:val="22"/>
          <w:lang w:bidi="ar-SA"/>
        </w:rPr>
      </w:pPr>
    </w:p>
    <w:p w:rsidR="00511179" w:rsidRPr="00450410" w:rsidRDefault="00511179" w:rsidP="00511179">
      <w:pPr>
        <w:rPr>
          <w:rFonts w:cs="Arial"/>
          <w:i/>
          <w:szCs w:val="22"/>
          <w:lang w:bidi="ar-SA"/>
        </w:rPr>
      </w:pPr>
      <w:r w:rsidRPr="00450410">
        <w:rPr>
          <w:rFonts w:cs="Arial"/>
          <w:i/>
          <w:szCs w:val="22"/>
          <w:lang w:bidi="ar-SA"/>
        </w:rPr>
        <w:t>Please indicate which responses apply</w:t>
      </w:r>
    </w:p>
    <w:p w:rsidR="00511179" w:rsidRPr="00450410" w:rsidRDefault="00511179" w:rsidP="00511179">
      <w:pPr>
        <w:rPr>
          <w:rFonts w:cs="Arial"/>
          <w:szCs w:val="22"/>
          <w:lang w:bidi="ar-SA"/>
        </w:rPr>
      </w:pPr>
    </w:p>
    <w:p w:rsidR="00511179" w:rsidRPr="00450410" w:rsidRDefault="005A60B4" w:rsidP="00511179">
      <w:pPr>
        <w:widowControl/>
        <w:contextualSpacing/>
        <w:rPr>
          <w:rFonts w:eastAsia="Calibri" w:cs="Arial"/>
          <w:szCs w:val="22"/>
          <w:lang w:bidi="ar-SA"/>
        </w:rPr>
      </w:pPr>
      <w:sdt>
        <w:sdtPr>
          <w:rPr>
            <w:rFonts w:eastAsia="Calibri" w:cs="Arial"/>
            <w:szCs w:val="22"/>
            <w:lang w:bidi="ar-SA"/>
          </w:rPr>
          <w:id w:val="-2003810052"/>
          <w14:checkbox>
            <w14:checked w14:val="0"/>
            <w14:checkedState w14:val="2612" w14:font="MS Gothic"/>
            <w14:uncheckedState w14:val="2610" w14:font="MS Gothic"/>
          </w14:checkbox>
        </w:sdtPr>
        <w:sdtEndPr/>
        <w:sdtContent>
          <w:r w:rsidR="00511179" w:rsidRPr="00450410">
            <w:rPr>
              <w:rFonts w:ascii="MS Gothic" w:eastAsia="MS Gothic" w:hAnsi="MS Gothic" w:cs="Arial" w:hint="eastAsia"/>
              <w:szCs w:val="22"/>
              <w:lang w:bidi="ar-SA"/>
            </w:rPr>
            <w:t>☐</w:t>
          </w:r>
        </w:sdtContent>
      </w:sdt>
      <w:r w:rsidR="00511179" w:rsidRPr="00450410">
        <w:rPr>
          <w:rFonts w:eastAsia="Calibri" w:cs="Arial"/>
          <w:szCs w:val="22"/>
          <w:lang w:bidi="ar-SA"/>
        </w:rPr>
        <w:t xml:space="preserve">  Adherence to either a mandatory or voluntary </w:t>
      </w:r>
      <w:r w:rsidR="00F70669">
        <w:rPr>
          <w:rFonts w:eastAsia="Calibri" w:cs="Arial"/>
          <w:szCs w:val="22"/>
          <w:lang w:bidi="ar-SA"/>
        </w:rPr>
        <w:t>s</w:t>
      </w:r>
      <w:r w:rsidR="00511179" w:rsidRPr="00450410">
        <w:rPr>
          <w:rFonts w:eastAsia="Calibri" w:cs="Arial"/>
          <w:szCs w:val="22"/>
          <w:lang w:bidi="ar-SA"/>
        </w:rPr>
        <w:t>tandard, Code of Practice (CoP), handbook or guideline that provides guidance on mitigation of potential risks associated with CMPF</w:t>
      </w:r>
    </w:p>
    <w:p w:rsidR="00511179" w:rsidRPr="00450410" w:rsidRDefault="00511179" w:rsidP="00511179">
      <w:pPr>
        <w:widowControl/>
        <w:contextualSpacing/>
        <w:rPr>
          <w:rFonts w:eastAsia="Calibri" w:cs="Arial"/>
          <w:szCs w:val="22"/>
          <w:lang w:bidi="ar-SA"/>
        </w:rPr>
      </w:pPr>
    </w:p>
    <w:p w:rsidR="00511179" w:rsidRPr="00450410" w:rsidRDefault="005A60B4" w:rsidP="00511179">
      <w:pPr>
        <w:widowControl/>
        <w:contextualSpacing/>
        <w:rPr>
          <w:rFonts w:eastAsia="Calibri" w:cs="Arial"/>
          <w:szCs w:val="22"/>
          <w:lang w:bidi="ar-SA"/>
        </w:rPr>
      </w:pPr>
      <w:sdt>
        <w:sdtPr>
          <w:rPr>
            <w:rFonts w:eastAsia="Calibri" w:cs="Arial"/>
            <w:szCs w:val="22"/>
            <w:lang w:bidi="ar-SA"/>
          </w:rPr>
          <w:id w:val="-1406526306"/>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eastAsia="Calibri" w:cs="Arial"/>
          <w:szCs w:val="22"/>
          <w:lang w:bidi="ar-SA"/>
        </w:rPr>
        <w:t xml:space="preserve">  Prohibition of specific chemicals that should not be present in food if it is determined that they may migrate into food and present a significant risk</w:t>
      </w:r>
    </w:p>
    <w:p w:rsidR="00511179" w:rsidRPr="00450410" w:rsidRDefault="00511179" w:rsidP="00511179">
      <w:pPr>
        <w:widowControl/>
        <w:contextualSpacing/>
        <w:rPr>
          <w:rFonts w:eastAsia="Calibri" w:cs="Arial"/>
          <w:szCs w:val="22"/>
          <w:lang w:bidi="ar-SA"/>
        </w:rPr>
      </w:pPr>
    </w:p>
    <w:p w:rsidR="00511179" w:rsidRPr="00450410" w:rsidRDefault="005A60B4" w:rsidP="00511179">
      <w:pPr>
        <w:widowControl/>
        <w:contextualSpacing/>
        <w:rPr>
          <w:rFonts w:eastAsia="Calibri" w:cs="Arial"/>
          <w:szCs w:val="22"/>
          <w:lang w:bidi="ar-SA"/>
        </w:rPr>
      </w:pPr>
      <w:sdt>
        <w:sdtPr>
          <w:rPr>
            <w:rFonts w:eastAsia="Calibri" w:cs="Arial"/>
            <w:szCs w:val="22"/>
            <w:lang w:bidi="ar-SA"/>
          </w:rPr>
          <w:id w:val="326562622"/>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eastAsia="Calibri" w:cs="Arial"/>
          <w:szCs w:val="22"/>
          <w:lang w:bidi="ar-SA"/>
        </w:rPr>
        <w:t xml:space="preserve">  Prescriptive regulatory requirements for CMPF to address identified risks (e.g. maximum limits, migratory limits)</w:t>
      </w:r>
    </w:p>
    <w:p w:rsidR="00511179" w:rsidRPr="00450410" w:rsidRDefault="00511179" w:rsidP="00511179">
      <w:pPr>
        <w:widowControl/>
        <w:contextualSpacing/>
        <w:rPr>
          <w:rFonts w:eastAsia="Calibri" w:cs="Arial"/>
          <w:szCs w:val="22"/>
          <w:lang w:bidi="ar-SA"/>
        </w:rPr>
      </w:pPr>
    </w:p>
    <w:p w:rsidR="00511179" w:rsidRPr="00450410" w:rsidRDefault="005A60B4" w:rsidP="00511179">
      <w:pPr>
        <w:widowControl/>
        <w:contextualSpacing/>
        <w:rPr>
          <w:rFonts w:eastAsia="Calibri" w:cs="Arial"/>
          <w:szCs w:val="22"/>
          <w:lang w:bidi="ar-SA"/>
        </w:rPr>
      </w:pPr>
      <w:sdt>
        <w:sdtPr>
          <w:rPr>
            <w:rFonts w:eastAsia="Calibri" w:cs="Arial"/>
            <w:szCs w:val="22"/>
            <w:lang w:bidi="ar-SA"/>
          </w:rPr>
          <w:id w:val="1400163668"/>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eastAsia="Calibri" w:cs="Arial"/>
          <w:szCs w:val="22"/>
          <w:lang w:bidi="ar-SA"/>
        </w:rPr>
        <w:t xml:space="preserve">  Recognition of other countries’ approaches and/or requirements used to mitigate risk and adopting these for use in Australia/New Zealand. </w:t>
      </w:r>
    </w:p>
    <w:p w:rsidR="00511179" w:rsidRPr="00450410" w:rsidRDefault="00511179" w:rsidP="00511179">
      <w:pPr>
        <w:widowControl/>
        <w:contextualSpacing/>
        <w:rPr>
          <w:rFonts w:eastAsia="Calibri" w:cs="Arial"/>
          <w:szCs w:val="22"/>
          <w:lang w:bidi="ar-SA"/>
        </w:rPr>
      </w:pPr>
    </w:p>
    <w:p w:rsidR="00511179" w:rsidRPr="00450410" w:rsidRDefault="005A60B4" w:rsidP="00511179">
      <w:pPr>
        <w:widowControl/>
        <w:contextualSpacing/>
        <w:rPr>
          <w:rFonts w:eastAsia="Calibri" w:cs="Arial"/>
          <w:szCs w:val="22"/>
          <w:lang w:bidi="ar-SA"/>
        </w:rPr>
      </w:pPr>
      <w:sdt>
        <w:sdtPr>
          <w:rPr>
            <w:rFonts w:eastAsia="Calibri" w:cs="Arial"/>
            <w:szCs w:val="22"/>
            <w:lang w:bidi="ar-SA"/>
          </w:rPr>
          <w:id w:val="-1180969990"/>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eastAsia="Calibri" w:cs="Arial"/>
          <w:szCs w:val="22"/>
          <w:lang w:bidi="ar-SA"/>
        </w:rPr>
        <w:t xml:space="preserve">  Use of certificates of compliance confirming that packaging and packaging inputs adhere to a specific CoP, industry standard or regulation </w:t>
      </w:r>
    </w:p>
    <w:p w:rsidR="00511179" w:rsidRPr="00450410" w:rsidRDefault="00511179" w:rsidP="00511179">
      <w:pPr>
        <w:widowControl/>
        <w:contextualSpacing/>
        <w:rPr>
          <w:rFonts w:eastAsia="Calibri" w:cs="Arial"/>
          <w:szCs w:val="22"/>
          <w:lang w:bidi="ar-SA"/>
        </w:rPr>
      </w:pPr>
    </w:p>
    <w:p w:rsidR="00511179" w:rsidRPr="00450410" w:rsidRDefault="005A60B4" w:rsidP="00511179">
      <w:pPr>
        <w:widowControl/>
        <w:contextualSpacing/>
        <w:rPr>
          <w:rFonts w:eastAsia="Calibri" w:cs="Arial"/>
          <w:szCs w:val="22"/>
          <w:lang w:bidi="ar-SA"/>
        </w:rPr>
      </w:pPr>
      <w:sdt>
        <w:sdtPr>
          <w:rPr>
            <w:rFonts w:eastAsia="Calibri" w:cs="Arial"/>
            <w:szCs w:val="22"/>
            <w:lang w:bidi="ar-SA"/>
          </w:rPr>
          <w:id w:val="-743027375"/>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eastAsia="Calibri" w:cs="Arial"/>
          <w:szCs w:val="22"/>
          <w:lang w:bidi="ar-SA"/>
        </w:rPr>
        <w:t xml:space="preserve">  Instructions in the form of labelling requirements to mitigate risks at the consumer level (e.g. preparation instructions).</w:t>
      </w:r>
    </w:p>
    <w:p w:rsidR="00511179" w:rsidRPr="00450410" w:rsidRDefault="00511179" w:rsidP="00511179">
      <w:pPr>
        <w:widowControl/>
        <w:contextualSpacing/>
        <w:rPr>
          <w:rFonts w:eastAsia="Calibri" w:cs="Arial"/>
          <w:szCs w:val="22"/>
          <w:lang w:bidi="ar-SA"/>
        </w:rPr>
      </w:pPr>
    </w:p>
    <w:p w:rsidR="00511179" w:rsidRPr="00450410" w:rsidRDefault="005A60B4" w:rsidP="00511179">
      <w:pPr>
        <w:widowControl/>
        <w:contextualSpacing/>
        <w:rPr>
          <w:rFonts w:eastAsia="Calibri" w:cs="Arial"/>
          <w:szCs w:val="22"/>
          <w:lang w:bidi="ar-SA"/>
        </w:rPr>
      </w:pPr>
      <w:sdt>
        <w:sdtPr>
          <w:rPr>
            <w:rFonts w:eastAsia="Calibri" w:cs="Arial"/>
            <w:szCs w:val="22"/>
            <w:lang w:bidi="ar-SA"/>
          </w:rPr>
          <w:id w:val="755943437"/>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eastAsia="Calibri" w:cs="Arial"/>
          <w:szCs w:val="22"/>
          <w:lang w:bidi="ar-SA"/>
        </w:rPr>
        <w:t xml:space="preserve">  </w:t>
      </w:r>
      <w:proofErr w:type="gramStart"/>
      <w:r w:rsidR="00511179" w:rsidRPr="00450410">
        <w:rPr>
          <w:rFonts w:eastAsia="Calibri" w:cs="Arial"/>
          <w:szCs w:val="22"/>
          <w:lang w:bidi="ar-SA"/>
        </w:rPr>
        <w:t>Introduction of a post-market incident response mechanism (for example, to review poor or lack of application of Good Manufacturing Practice (GMP)).</w:t>
      </w:r>
      <w:proofErr w:type="gramEnd"/>
    </w:p>
    <w:p w:rsidR="00511179" w:rsidRPr="00450410" w:rsidRDefault="00511179" w:rsidP="00511179">
      <w:pPr>
        <w:widowControl/>
        <w:contextualSpacing/>
        <w:rPr>
          <w:rFonts w:eastAsia="Calibri" w:cs="Arial"/>
          <w:szCs w:val="22"/>
          <w:lang w:bidi="ar-SA"/>
        </w:rPr>
      </w:pPr>
    </w:p>
    <w:p w:rsidR="00511179" w:rsidRPr="00450410" w:rsidRDefault="005A60B4" w:rsidP="00511179">
      <w:pPr>
        <w:widowControl/>
        <w:contextualSpacing/>
        <w:rPr>
          <w:rFonts w:eastAsia="Calibri" w:cs="Arial"/>
          <w:szCs w:val="22"/>
          <w:lang w:bidi="ar-SA"/>
        </w:rPr>
      </w:pPr>
      <w:sdt>
        <w:sdtPr>
          <w:rPr>
            <w:rFonts w:eastAsia="Calibri" w:cs="Arial"/>
            <w:szCs w:val="22"/>
            <w:lang w:bidi="ar-SA"/>
          </w:rPr>
          <w:id w:val="513961499"/>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eastAsia="Calibri" w:cs="Arial"/>
          <w:szCs w:val="22"/>
          <w:lang w:bidi="ar-SA"/>
        </w:rPr>
        <w:t xml:space="preserve">  Establishment by packaging and food manufacturing companies of internal specifications and due diligence systems for packaging supply/use.</w:t>
      </w:r>
    </w:p>
    <w:p w:rsidR="00511179" w:rsidRPr="00450410" w:rsidRDefault="00511179" w:rsidP="00511179">
      <w:pPr>
        <w:widowControl/>
        <w:contextualSpacing/>
        <w:rPr>
          <w:rFonts w:eastAsia="Calibri" w:cs="Arial"/>
          <w:szCs w:val="22"/>
          <w:lang w:bidi="ar-SA"/>
        </w:rPr>
      </w:pPr>
    </w:p>
    <w:p w:rsidR="00511179" w:rsidRPr="00450410" w:rsidRDefault="005A60B4" w:rsidP="00511179">
      <w:pPr>
        <w:widowControl/>
        <w:contextualSpacing/>
        <w:rPr>
          <w:rFonts w:eastAsia="Calibri" w:cs="Arial"/>
          <w:szCs w:val="22"/>
          <w:lang w:bidi="ar-SA"/>
        </w:rPr>
      </w:pPr>
      <w:sdt>
        <w:sdtPr>
          <w:rPr>
            <w:rFonts w:cs="Arial"/>
            <w:szCs w:val="22"/>
            <w:lang w:bidi="ar-SA"/>
          </w:rPr>
          <w:id w:val="909424328"/>
          <w14:checkbox>
            <w14:checked w14:val="0"/>
            <w14:checkedState w14:val="2612" w14:font="MS Gothic"/>
            <w14:uncheckedState w14:val="2610" w14:font="MS Gothic"/>
          </w14:checkbox>
        </w:sdtPr>
        <w:sdtEndPr/>
        <w:sdtContent>
          <w:r w:rsidR="00511179" w:rsidRPr="00450410">
            <w:rPr>
              <w:rFonts w:ascii="MS Gothic" w:eastAsia="MS Gothic" w:hAnsi="MS Gothic" w:cs="Arial" w:hint="eastAsia"/>
              <w:szCs w:val="22"/>
              <w:lang w:bidi="ar-SA"/>
            </w:rPr>
            <w:t>☐</w:t>
          </w:r>
        </w:sdtContent>
      </w:sdt>
      <w:r w:rsidR="00511179" w:rsidRPr="00450410">
        <w:rPr>
          <w:rFonts w:cs="Arial"/>
          <w:szCs w:val="22"/>
          <w:lang w:bidi="ar-SA"/>
        </w:rPr>
        <w:t xml:space="preserve">  Other </w:t>
      </w:r>
    </w:p>
    <w:p w:rsidR="00511179" w:rsidRPr="00450410" w:rsidRDefault="00511179" w:rsidP="00511179">
      <w:pPr>
        <w:pStyle w:val="ListParagraph"/>
        <w:ind w:left="0"/>
        <w:rPr>
          <w:rFonts w:eastAsia="Calibri" w:cs="Arial"/>
          <w:szCs w:val="22"/>
          <w:lang w:bidi="ar-S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511179" w:rsidRPr="00450410" w:rsidTr="00EC05B7">
        <w:trPr>
          <w:trHeight w:val="884"/>
        </w:trPr>
        <w:tc>
          <w:tcPr>
            <w:tcW w:w="8789" w:type="dxa"/>
          </w:tcPr>
          <w:tbl>
            <w:tblPr>
              <w:tblStyle w:val="TableGrid"/>
              <w:tblW w:w="0" w:type="auto"/>
              <w:tblLayout w:type="fixed"/>
              <w:tblLook w:val="04A0" w:firstRow="1" w:lastRow="0" w:firstColumn="1" w:lastColumn="0" w:noHBand="0" w:noVBand="1"/>
            </w:tblPr>
            <w:tblGrid>
              <w:gridCol w:w="8558"/>
            </w:tblGrid>
            <w:tr w:rsidR="005E5327" w:rsidTr="005E5327">
              <w:tc>
                <w:tcPr>
                  <w:tcW w:w="8558" w:type="dxa"/>
                </w:tcPr>
                <w:p w:rsidR="005E5327" w:rsidRDefault="005E5327" w:rsidP="00930392">
                  <w:pPr>
                    <w:rPr>
                      <w:rFonts w:cs="Arial"/>
                      <w:szCs w:val="22"/>
                      <w:lang w:bidi="ar-SA"/>
                    </w:rPr>
                  </w:pPr>
                </w:p>
              </w:tc>
            </w:tr>
          </w:tbl>
          <w:p w:rsidR="00511179" w:rsidRPr="00450410" w:rsidRDefault="00511179" w:rsidP="00930392">
            <w:pPr>
              <w:rPr>
                <w:rFonts w:cs="Arial"/>
                <w:szCs w:val="22"/>
                <w:lang w:bidi="ar-SA"/>
              </w:rPr>
            </w:pPr>
          </w:p>
          <w:p w:rsidR="00511179" w:rsidRPr="00450410" w:rsidRDefault="00511179" w:rsidP="00930392">
            <w:pPr>
              <w:rPr>
                <w:rFonts w:cs="Arial"/>
                <w:i/>
                <w:szCs w:val="22"/>
                <w:lang w:bidi="ar-SA"/>
              </w:rPr>
            </w:pPr>
          </w:p>
        </w:tc>
      </w:tr>
      <w:tr w:rsidR="007E515C" w:rsidRPr="00450410" w:rsidTr="00860E7B">
        <w:trPr>
          <w:trHeight w:val="305"/>
        </w:trPr>
        <w:tc>
          <w:tcPr>
            <w:tcW w:w="8789" w:type="dxa"/>
          </w:tcPr>
          <w:p w:rsidR="007E515C" w:rsidRPr="00450410" w:rsidRDefault="007E515C" w:rsidP="0029795C">
            <w:pPr>
              <w:rPr>
                <w:rFonts w:cs="Arial"/>
                <w:b/>
                <w:szCs w:val="22"/>
                <w:lang w:bidi="ar-SA"/>
              </w:rPr>
            </w:pPr>
            <w:r w:rsidRPr="00450410">
              <w:rPr>
                <w:rFonts w:cs="Arial"/>
                <w:b/>
                <w:szCs w:val="22"/>
                <w:lang w:bidi="ar-SA"/>
              </w:rPr>
              <w:t xml:space="preserve">Question </w:t>
            </w:r>
            <w:r w:rsidR="0029795C">
              <w:rPr>
                <w:rFonts w:cs="Arial"/>
                <w:b/>
                <w:szCs w:val="22"/>
                <w:lang w:bidi="ar-SA"/>
              </w:rPr>
              <w:t>7</w:t>
            </w:r>
            <w:r w:rsidRPr="00450410">
              <w:rPr>
                <w:rFonts w:cs="Arial"/>
                <w:b/>
                <w:szCs w:val="22"/>
                <w:lang w:bidi="ar-SA"/>
              </w:rPr>
              <w:t xml:space="preserve"> </w:t>
            </w:r>
            <w:r w:rsidRPr="00450410">
              <w:rPr>
                <w:rFonts w:cs="Arial"/>
                <w:i/>
                <w:szCs w:val="22"/>
                <w:lang w:bidi="ar-SA"/>
              </w:rPr>
              <w:t>(refer to p. 1</w:t>
            </w:r>
            <w:r w:rsidR="00336D7B">
              <w:rPr>
                <w:rFonts w:cs="Arial"/>
                <w:i/>
                <w:szCs w:val="22"/>
                <w:lang w:bidi="ar-SA"/>
              </w:rPr>
              <w:t>4</w:t>
            </w:r>
            <w:r w:rsidRPr="00450410">
              <w:rPr>
                <w:rFonts w:cs="Arial"/>
                <w:i/>
                <w:szCs w:val="22"/>
                <w:lang w:bidi="ar-SA"/>
              </w:rPr>
              <w:t>)</w:t>
            </w:r>
          </w:p>
        </w:tc>
      </w:tr>
      <w:tr w:rsidR="007E515C" w:rsidRPr="00450410" w:rsidTr="00FF6693">
        <w:trPr>
          <w:trHeight w:val="594"/>
        </w:trPr>
        <w:tc>
          <w:tcPr>
            <w:tcW w:w="8789" w:type="dxa"/>
            <w:shd w:val="clear" w:color="auto" w:fill="auto"/>
          </w:tcPr>
          <w:p w:rsidR="007E515C" w:rsidRDefault="004A7940" w:rsidP="007E515C">
            <w:pPr>
              <w:rPr>
                <w:rFonts w:cs="Arial"/>
                <w:b/>
                <w:szCs w:val="22"/>
                <w:lang w:bidi="ar-SA"/>
              </w:rPr>
            </w:pPr>
            <w:r w:rsidRPr="004A7940">
              <w:rPr>
                <w:rFonts w:cs="Arial"/>
                <w:b/>
                <w:szCs w:val="22"/>
                <w:lang w:bidi="ar-SA"/>
              </w:rPr>
              <w:t>Is information readily available on whether or not food packaging (including for home brand products) is made from recycled materials?</w:t>
            </w:r>
          </w:p>
          <w:p w:rsidR="004A7940" w:rsidRPr="00450410" w:rsidRDefault="004A7940" w:rsidP="007E515C">
            <w:pPr>
              <w:rPr>
                <w:rFonts w:cs="Arial"/>
                <w:szCs w:val="22"/>
                <w:lang w:bidi="ar-SA"/>
              </w:rPr>
            </w:pPr>
          </w:p>
          <w:p w:rsidR="007E515C" w:rsidRPr="00450410" w:rsidRDefault="005A60B4" w:rsidP="007E515C">
            <w:pPr>
              <w:pStyle w:val="ListParagraph"/>
              <w:rPr>
                <w:rFonts w:cs="Arial"/>
                <w:szCs w:val="22"/>
                <w:lang w:bidi="ar-SA"/>
              </w:rPr>
            </w:pPr>
            <w:sdt>
              <w:sdtPr>
                <w:rPr>
                  <w:rFonts w:cs="Arial"/>
                  <w:szCs w:val="22"/>
                  <w:lang w:bidi="ar-SA"/>
                </w:rPr>
                <w:id w:val="1126827783"/>
                <w14:checkbox>
                  <w14:checked w14:val="0"/>
                  <w14:checkedState w14:val="2612" w14:font="MS Gothic"/>
                  <w14:uncheckedState w14:val="2610" w14:font="MS Gothic"/>
                </w14:checkbox>
              </w:sdtPr>
              <w:sdtEndPr/>
              <w:sdtContent>
                <w:r w:rsidR="007E515C" w:rsidRPr="00450410">
                  <w:rPr>
                    <w:rFonts w:ascii="MS Gothic" w:eastAsia="MS Gothic" w:hAnsi="MS Gothic" w:cs="MS Gothic" w:hint="eastAsia"/>
                    <w:szCs w:val="22"/>
                    <w:lang w:bidi="ar-SA"/>
                  </w:rPr>
                  <w:t>☐</w:t>
                </w:r>
              </w:sdtContent>
            </w:sdt>
            <w:r w:rsidR="007E515C" w:rsidRPr="00450410">
              <w:rPr>
                <w:rFonts w:cs="Arial"/>
                <w:szCs w:val="22"/>
                <w:lang w:bidi="ar-SA"/>
              </w:rPr>
              <w:t xml:space="preserve">  No</w:t>
            </w:r>
          </w:p>
          <w:p w:rsidR="007E515C" w:rsidRPr="00450410" w:rsidRDefault="007E515C" w:rsidP="007E515C">
            <w:pPr>
              <w:rPr>
                <w:rFonts w:cs="Arial"/>
                <w:szCs w:val="22"/>
                <w:lang w:bidi="ar-SA"/>
              </w:rPr>
            </w:pPr>
          </w:p>
          <w:p w:rsidR="007E515C" w:rsidRPr="00450410" w:rsidRDefault="005A60B4" w:rsidP="007E515C">
            <w:pPr>
              <w:pStyle w:val="ListParagraph"/>
              <w:rPr>
                <w:rFonts w:cs="Arial"/>
                <w:szCs w:val="22"/>
                <w:lang w:bidi="ar-SA"/>
              </w:rPr>
            </w:pPr>
            <w:sdt>
              <w:sdtPr>
                <w:rPr>
                  <w:rFonts w:cs="Arial"/>
                  <w:szCs w:val="22"/>
                  <w:lang w:bidi="ar-SA"/>
                </w:rPr>
                <w:id w:val="1415046744"/>
                <w14:checkbox>
                  <w14:checked w14:val="0"/>
                  <w14:checkedState w14:val="2612" w14:font="MS Gothic"/>
                  <w14:uncheckedState w14:val="2610" w14:font="MS Gothic"/>
                </w14:checkbox>
              </w:sdtPr>
              <w:sdtEndPr/>
              <w:sdtContent>
                <w:r w:rsidR="007E515C" w:rsidRPr="00450410">
                  <w:rPr>
                    <w:rFonts w:ascii="MS Gothic" w:eastAsia="MS Gothic" w:hAnsi="MS Gothic" w:cs="MS Gothic" w:hint="eastAsia"/>
                    <w:szCs w:val="22"/>
                    <w:lang w:bidi="ar-SA"/>
                  </w:rPr>
                  <w:t>☐</w:t>
                </w:r>
              </w:sdtContent>
            </w:sdt>
            <w:r w:rsidR="007E515C" w:rsidRPr="00450410">
              <w:rPr>
                <w:rFonts w:cs="Arial"/>
                <w:szCs w:val="22"/>
                <w:lang w:bidi="ar-SA"/>
              </w:rPr>
              <w:t xml:space="preserve">  Yes </w:t>
            </w:r>
          </w:p>
          <w:p w:rsidR="007E515C" w:rsidRPr="00450410" w:rsidRDefault="007E515C" w:rsidP="007E515C">
            <w:pPr>
              <w:rPr>
                <w:rFonts w:cs="Arial"/>
                <w:i/>
                <w:szCs w:val="22"/>
                <w:lang w:bidi="ar-SA"/>
              </w:rPr>
            </w:pPr>
          </w:p>
          <w:p w:rsidR="007E515C" w:rsidRPr="00450410" w:rsidRDefault="007E515C" w:rsidP="007E515C">
            <w:pPr>
              <w:rPr>
                <w:rFonts w:cs="Arial"/>
                <w:i/>
                <w:szCs w:val="22"/>
                <w:lang w:bidi="ar-SA"/>
              </w:rPr>
            </w:pPr>
            <w:r w:rsidRPr="00450410">
              <w:rPr>
                <w:rFonts w:cs="Arial"/>
                <w:i/>
                <w:szCs w:val="22"/>
                <w:lang w:bidi="ar-SA"/>
              </w:rPr>
              <w:t>Please expand on your response</w:t>
            </w:r>
          </w:p>
          <w:tbl>
            <w:tblPr>
              <w:tblStyle w:val="TableGrid"/>
              <w:tblW w:w="0" w:type="auto"/>
              <w:tblLayout w:type="fixed"/>
              <w:tblLook w:val="04A0" w:firstRow="1" w:lastRow="0" w:firstColumn="1" w:lastColumn="0" w:noHBand="0" w:noVBand="1"/>
            </w:tblPr>
            <w:tblGrid>
              <w:gridCol w:w="8558"/>
            </w:tblGrid>
            <w:tr w:rsidR="005E5327" w:rsidTr="005E5327">
              <w:tc>
                <w:tcPr>
                  <w:tcW w:w="8558" w:type="dxa"/>
                </w:tcPr>
                <w:p w:rsidR="005E5327" w:rsidRDefault="005E5327" w:rsidP="007E515C">
                  <w:pPr>
                    <w:rPr>
                      <w:rFonts w:cs="Arial"/>
                      <w:szCs w:val="22"/>
                      <w:lang w:bidi="ar-SA"/>
                    </w:rPr>
                  </w:pPr>
                </w:p>
              </w:tc>
            </w:tr>
          </w:tbl>
          <w:p w:rsidR="007E515C" w:rsidRPr="00450410" w:rsidRDefault="007E515C" w:rsidP="007E515C">
            <w:pPr>
              <w:rPr>
                <w:rFonts w:cs="Arial"/>
                <w:szCs w:val="22"/>
                <w:lang w:bidi="ar-SA"/>
              </w:rPr>
            </w:pPr>
          </w:p>
          <w:p w:rsidR="007E515C" w:rsidRPr="00450410" w:rsidRDefault="007E515C" w:rsidP="007E515C">
            <w:pPr>
              <w:rPr>
                <w:rFonts w:cs="Arial"/>
                <w:szCs w:val="22"/>
                <w:lang w:bidi="ar-SA"/>
              </w:rPr>
            </w:pPr>
          </w:p>
          <w:p w:rsidR="007E515C" w:rsidRPr="00450410" w:rsidRDefault="007E515C" w:rsidP="0029795C">
            <w:pPr>
              <w:rPr>
                <w:rFonts w:cs="Arial"/>
                <w:szCs w:val="22"/>
                <w:lang w:bidi="ar-SA"/>
              </w:rPr>
            </w:pPr>
            <w:r w:rsidRPr="00FF6693">
              <w:rPr>
                <w:rFonts w:cs="Arial"/>
                <w:b/>
                <w:szCs w:val="22"/>
                <w:lang w:bidi="ar-SA"/>
              </w:rPr>
              <w:t xml:space="preserve">Question </w:t>
            </w:r>
            <w:r w:rsidR="0029795C">
              <w:rPr>
                <w:rFonts w:cs="Arial"/>
                <w:b/>
                <w:szCs w:val="22"/>
                <w:lang w:bidi="ar-SA"/>
              </w:rPr>
              <w:t>8</w:t>
            </w:r>
            <w:r w:rsidRPr="00FF6693">
              <w:rPr>
                <w:rFonts w:cs="Arial"/>
                <w:b/>
                <w:szCs w:val="22"/>
                <w:lang w:bidi="ar-SA"/>
              </w:rPr>
              <w:t xml:space="preserve"> </w:t>
            </w:r>
            <w:r w:rsidRPr="00FF6693">
              <w:rPr>
                <w:rFonts w:cs="Arial"/>
                <w:i/>
                <w:szCs w:val="22"/>
                <w:lang w:bidi="ar-SA"/>
              </w:rPr>
              <w:t>(refer to p.1</w:t>
            </w:r>
            <w:r w:rsidR="00336D7B">
              <w:rPr>
                <w:rFonts w:cs="Arial"/>
                <w:i/>
                <w:szCs w:val="22"/>
                <w:lang w:bidi="ar-SA"/>
              </w:rPr>
              <w:t>4</w:t>
            </w:r>
            <w:r w:rsidRPr="00FF6693">
              <w:rPr>
                <w:rFonts w:cs="Arial"/>
                <w:i/>
                <w:szCs w:val="22"/>
                <w:lang w:bidi="ar-SA"/>
              </w:rPr>
              <w:t>)</w:t>
            </w:r>
          </w:p>
        </w:tc>
      </w:tr>
      <w:tr w:rsidR="007E515C" w:rsidRPr="00450410" w:rsidTr="00FF6693">
        <w:trPr>
          <w:trHeight w:val="594"/>
        </w:trPr>
        <w:tc>
          <w:tcPr>
            <w:tcW w:w="8789" w:type="dxa"/>
            <w:shd w:val="clear" w:color="auto" w:fill="auto"/>
          </w:tcPr>
          <w:p w:rsidR="007E515C" w:rsidRPr="00450410" w:rsidRDefault="007E515C" w:rsidP="007E515C">
            <w:pPr>
              <w:rPr>
                <w:rFonts w:cs="Arial"/>
                <w:b/>
                <w:szCs w:val="22"/>
                <w:lang w:bidi="ar-SA"/>
              </w:rPr>
            </w:pPr>
            <w:r w:rsidRPr="00FF6693">
              <w:rPr>
                <w:rFonts w:cs="Arial"/>
                <w:b/>
                <w:szCs w:val="22"/>
                <w:lang w:bidi="ar-SA"/>
              </w:rPr>
              <w:t>If yes to Question 7, how do you ensure that packaging manufactured from recycled materials does not contain chemicals that could migrate into food at levels of potential concern?</w:t>
            </w:r>
          </w:p>
          <w:p w:rsidR="007E515C" w:rsidRPr="00450410" w:rsidRDefault="007E515C" w:rsidP="007E515C">
            <w:pPr>
              <w:rPr>
                <w:rFonts w:cs="Arial"/>
                <w:szCs w:val="22"/>
                <w:lang w:bidi="ar-SA"/>
              </w:rPr>
            </w:pPr>
          </w:p>
          <w:p w:rsidR="007E515C" w:rsidRPr="00450410" w:rsidRDefault="005A60B4" w:rsidP="007E515C">
            <w:pPr>
              <w:pStyle w:val="ListParagraph"/>
              <w:ind w:left="0"/>
              <w:rPr>
                <w:rFonts w:cs="Arial"/>
                <w:szCs w:val="22"/>
                <w:lang w:bidi="ar-SA"/>
              </w:rPr>
            </w:pPr>
            <w:sdt>
              <w:sdtPr>
                <w:rPr>
                  <w:rFonts w:cs="Arial"/>
                  <w:szCs w:val="22"/>
                  <w:lang w:bidi="ar-SA"/>
                </w:rPr>
                <w:id w:val="-1270537298"/>
                <w14:checkbox>
                  <w14:checked w14:val="0"/>
                  <w14:checkedState w14:val="2612" w14:font="MS Gothic"/>
                  <w14:uncheckedState w14:val="2610" w14:font="MS Gothic"/>
                </w14:checkbox>
              </w:sdtPr>
              <w:sdtEndPr/>
              <w:sdtContent>
                <w:r w:rsidR="007E515C" w:rsidRPr="00450410">
                  <w:rPr>
                    <w:rFonts w:ascii="MS Gothic" w:eastAsia="MS Gothic" w:hAnsi="MS Gothic" w:cs="MS Gothic" w:hint="eastAsia"/>
                    <w:szCs w:val="22"/>
                    <w:lang w:bidi="ar-SA"/>
                  </w:rPr>
                  <w:t>☐</w:t>
                </w:r>
              </w:sdtContent>
            </w:sdt>
            <w:r w:rsidR="007E515C" w:rsidRPr="00450410">
              <w:rPr>
                <w:rFonts w:cs="Arial"/>
                <w:szCs w:val="22"/>
                <w:lang w:bidi="ar-SA"/>
              </w:rPr>
              <w:t xml:space="preserve">  In-house testing</w:t>
            </w:r>
          </w:p>
          <w:p w:rsidR="007E515C" w:rsidRPr="00450410" w:rsidRDefault="005A60B4" w:rsidP="007E515C">
            <w:pPr>
              <w:pStyle w:val="ListParagraph"/>
              <w:ind w:left="0"/>
              <w:rPr>
                <w:rFonts w:cs="Arial"/>
                <w:szCs w:val="22"/>
                <w:lang w:bidi="ar-SA"/>
              </w:rPr>
            </w:pPr>
            <w:sdt>
              <w:sdtPr>
                <w:rPr>
                  <w:rFonts w:cs="Arial"/>
                  <w:szCs w:val="22"/>
                  <w:lang w:bidi="ar-SA"/>
                </w:rPr>
                <w:id w:val="272291571"/>
                <w14:checkbox>
                  <w14:checked w14:val="0"/>
                  <w14:checkedState w14:val="2612" w14:font="MS Gothic"/>
                  <w14:uncheckedState w14:val="2610" w14:font="MS Gothic"/>
                </w14:checkbox>
              </w:sdtPr>
              <w:sdtEndPr/>
              <w:sdtContent>
                <w:r w:rsidR="007E515C" w:rsidRPr="00450410">
                  <w:rPr>
                    <w:rFonts w:ascii="MS Gothic" w:eastAsia="MS Gothic" w:hAnsi="MS Gothic" w:cs="MS Gothic" w:hint="eastAsia"/>
                    <w:szCs w:val="22"/>
                    <w:lang w:bidi="ar-SA"/>
                  </w:rPr>
                  <w:t>☐</w:t>
                </w:r>
              </w:sdtContent>
            </w:sdt>
            <w:r w:rsidR="007E515C" w:rsidRPr="00450410">
              <w:rPr>
                <w:rFonts w:cs="Arial"/>
                <w:szCs w:val="22"/>
                <w:lang w:bidi="ar-SA"/>
              </w:rPr>
              <w:t xml:space="preserve">  Request Declaration of Compliance</w:t>
            </w:r>
          </w:p>
          <w:p w:rsidR="007E515C" w:rsidRPr="00450410" w:rsidRDefault="005A60B4" w:rsidP="007E515C">
            <w:pPr>
              <w:pStyle w:val="ListParagraph"/>
              <w:ind w:left="0"/>
              <w:rPr>
                <w:rFonts w:cs="Arial"/>
                <w:szCs w:val="22"/>
                <w:lang w:bidi="ar-SA"/>
              </w:rPr>
            </w:pPr>
            <w:sdt>
              <w:sdtPr>
                <w:rPr>
                  <w:rFonts w:cs="Arial"/>
                  <w:szCs w:val="22"/>
                  <w:lang w:bidi="ar-SA"/>
                </w:rPr>
                <w:id w:val="903418281"/>
                <w14:checkbox>
                  <w14:checked w14:val="0"/>
                  <w14:checkedState w14:val="2612" w14:font="MS Gothic"/>
                  <w14:uncheckedState w14:val="2610" w14:font="MS Gothic"/>
                </w14:checkbox>
              </w:sdtPr>
              <w:sdtEndPr/>
              <w:sdtContent>
                <w:r w:rsidR="007E515C" w:rsidRPr="00450410">
                  <w:rPr>
                    <w:rFonts w:ascii="MS Gothic" w:eastAsia="MS Gothic" w:hAnsi="MS Gothic" w:cs="MS Gothic" w:hint="eastAsia"/>
                    <w:szCs w:val="22"/>
                    <w:lang w:bidi="ar-SA"/>
                  </w:rPr>
                  <w:t>☐</w:t>
                </w:r>
              </w:sdtContent>
            </w:sdt>
            <w:r w:rsidR="007E515C" w:rsidRPr="00450410">
              <w:rPr>
                <w:rFonts w:cs="Arial"/>
                <w:szCs w:val="22"/>
                <w:lang w:bidi="ar-SA"/>
              </w:rPr>
              <w:t xml:space="preserve">  Auditing of supplier</w:t>
            </w:r>
          </w:p>
          <w:p w:rsidR="007E515C" w:rsidRPr="00450410" w:rsidRDefault="005A60B4" w:rsidP="007E515C">
            <w:pPr>
              <w:pStyle w:val="ListParagraph"/>
              <w:ind w:left="0"/>
              <w:rPr>
                <w:rFonts w:cs="Arial"/>
                <w:szCs w:val="22"/>
                <w:lang w:bidi="ar-SA"/>
              </w:rPr>
            </w:pPr>
            <w:sdt>
              <w:sdtPr>
                <w:rPr>
                  <w:rFonts w:cs="Arial"/>
                  <w:szCs w:val="22"/>
                  <w:lang w:bidi="ar-SA"/>
                </w:rPr>
                <w:id w:val="-34197007"/>
                <w14:checkbox>
                  <w14:checked w14:val="0"/>
                  <w14:checkedState w14:val="2612" w14:font="MS Gothic"/>
                  <w14:uncheckedState w14:val="2610" w14:font="MS Gothic"/>
                </w14:checkbox>
              </w:sdtPr>
              <w:sdtEndPr/>
              <w:sdtContent>
                <w:r w:rsidR="007E515C" w:rsidRPr="00450410">
                  <w:rPr>
                    <w:rFonts w:ascii="MS Gothic" w:eastAsia="MS Gothic" w:hAnsi="MS Gothic" w:cs="MS Gothic" w:hint="eastAsia"/>
                    <w:szCs w:val="22"/>
                    <w:lang w:bidi="ar-SA"/>
                  </w:rPr>
                  <w:t>☐</w:t>
                </w:r>
              </w:sdtContent>
            </w:sdt>
            <w:r w:rsidR="007E515C" w:rsidRPr="00450410">
              <w:rPr>
                <w:rFonts w:cs="Arial"/>
                <w:szCs w:val="22"/>
                <w:lang w:bidi="ar-SA"/>
              </w:rPr>
              <w:t xml:space="preserve">  Other (please specify)</w:t>
            </w:r>
          </w:p>
          <w:tbl>
            <w:tblPr>
              <w:tblStyle w:val="TableGrid"/>
              <w:tblW w:w="0" w:type="auto"/>
              <w:tblLayout w:type="fixed"/>
              <w:tblLook w:val="04A0" w:firstRow="1" w:lastRow="0" w:firstColumn="1" w:lastColumn="0" w:noHBand="0" w:noVBand="1"/>
            </w:tblPr>
            <w:tblGrid>
              <w:gridCol w:w="8558"/>
            </w:tblGrid>
            <w:tr w:rsidR="005E5327" w:rsidTr="005E5327">
              <w:tc>
                <w:tcPr>
                  <w:tcW w:w="8558" w:type="dxa"/>
                </w:tcPr>
                <w:p w:rsidR="005E5327" w:rsidRDefault="005E5327" w:rsidP="007E515C">
                  <w:pPr>
                    <w:rPr>
                      <w:rFonts w:cs="Arial"/>
                      <w:szCs w:val="22"/>
                      <w:lang w:bidi="ar-SA"/>
                    </w:rPr>
                  </w:pPr>
                </w:p>
              </w:tc>
            </w:tr>
          </w:tbl>
          <w:p w:rsidR="007E515C" w:rsidRPr="00450410" w:rsidRDefault="007E515C" w:rsidP="007E515C">
            <w:pPr>
              <w:rPr>
                <w:rFonts w:cs="Arial"/>
                <w:szCs w:val="22"/>
                <w:lang w:bidi="ar-SA"/>
              </w:rPr>
            </w:pPr>
          </w:p>
          <w:p w:rsidR="007E515C" w:rsidRPr="00450410" w:rsidRDefault="007E515C" w:rsidP="007E515C">
            <w:pPr>
              <w:rPr>
                <w:rFonts w:cs="Arial"/>
                <w:szCs w:val="22"/>
                <w:lang w:bidi="ar-SA"/>
              </w:rPr>
            </w:pPr>
          </w:p>
        </w:tc>
      </w:tr>
    </w:tbl>
    <w:p w:rsidR="008A0982" w:rsidRPr="008A0982" w:rsidRDefault="008A0982" w:rsidP="00511179">
      <w:pPr>
        <w:rPr>
          <w:rFonts w:cs="Arial"/>
          <w:b/>
          <w:szCs w:val="22"/>
          <w:lang w:bidi="ar-SA"/>
        </w:rPr>
      </w:pPr>
      <w:r w:rsidRPr="008A0982">
        <w:rPr>
          <w:rFonts w:cs="Arial"/>
          <w:b/>
          <w:szCs w:val="22"/>
          <w:lang w:bidi="ar-SA"/>
        </w:rPr>
        <w:t xml:space="preserve">Question </w:t>
      </w:r>
      <w:r w:rsidR="0029795C">
        <w:rPr>
          <w:rFonts w:cs="Arial"/>
          <w:b/>
          <w:szCs w:val="22"/>
          <w:lang w:bidi="ar-SA"/>
        </w:rPr>
        <w:t>9</w:t>
      </w:r>
      <w:r w:rsidRPr="008A0982">
        <w:rPr>
          <w:rFonts w:cs="Arial"/>
          <w:b/>
          <w:szCs w:val="22"/>
          <w:lang w:bidi="ar-SA"/>
        </w:rPr>
        <w:t xml:space="preserve"> (</w:t>
      </w:r>
      <w:r w:rsidRPr="00F93095">
        <w:rPr>
          <w:rFonts w:cs="Arial"/>
          <w:i/>
          <w:szCs w:val="22"/>
          <w:lang w:bidi="ar-SA"/>
        </w:rPr>
        <w:t>refer to p.1</w:t>
      </w:r>
      <w:r w:rsidR="00336D7B">
        <w:rPr>
          <w:rFonts w:cs="Arial"/>
          <w:i/>
          <w:szCs w:val="22"/>
          <w:lang w:bidi="ar-SA"/>
        </w:rPr>
        <w:t>6</w:t>
      </w:r>
      <w:r w:rsidRPr="008A0982">
        <w:rPr>
          <w:rFonts w:cs="Arial"/>
          <w:b/>
          <w:szCs w:val="22"/>
          <w:lang w:bidi="ar-SA"/>
        </w:rPr>
        <w:t>)</w:t>
      </w:r>
    </w:p>
    <w:p w:rsidR="00AA3EFF" w:rsidRPr="008A0982" w:rsidRDefault="00794C35" w:rsidP="00511179">
      <w:pPr>
        <w:rPr>
          <w:rFonts w:cs="Arial"/>
          <w:b/>
          <w:szCs w:val="22"/>
          <w:lang w:bidi="ar-SA"/>
        </w:rPr>
      </w:pPr>
      <w:r w:rsidRPr="008A0982">
        <w:rPr>
          <w:rFonts w:cs="Arial"/>
          <w:b/>
          <w:szCs w:val="22"/>
          <w:lang w:bidi="ar-SA"/>
        </w:rPr>
        <w:t>If you are a packaging o</w:t>
      </w:r>
      <w:r w:rsidR="003E426C">
        <w:rPr>
          <w:rFonts w:cs="Arial"/>
          <w:b/>
          <w:szCs w:val="22"/>
          <w:lang w:bidi="ar-SA"/>
        </w:rPr>
        <w:t>r</w:t>
      </w:r>
      <w:r w:rsidRPr="008A0982">
        <w:rPr>
          <w:rFonts w:cs="Arial"/>
          <w:b/>
          <w:szCs w:val="22"/>
          <w:lang w:bidi="ar-SA"/>
        </w:rPr>
        <w:t xml:space="preserve"> food manufacturer, or industry body, is using another countries’ legislation (eg US/EU) suitable to ensure compliance with your customer’s needs?</w:t>
      </w:r>
    </w:p>
    <w:p w:rsidR="00AA3EFF" w:rsidRDefault="00AA3EFF" w:rsidP="00511179">
      <w:pPr>
        <w:rPr>
          <w:rFonts w:cs="Arial"/>
          <w:szCs w:val="22"/>
          <w:lang w:bidi="ar-SA"/>
        </w:rPr>
      </w:pPr>
    </w:p>
    <w:p w:rsidR="00511179" w:rsidRPr="00450410" w:rsidRDefault="005A60B4" w:rsidP="00511179">
      <w:pPr>
        <w:pStyle w:val="ListParagraph"/>
        <w:rPr>
          <w:rFonts w:cs="Arial"/>
          <w:szCs w:val="22"/>
          <w:lang w:bidi="ar-SA"/>
        </w:rPr>
      </w:pPr>
      <w:sdt>
        <w:sdtPr>
          <w:rPr>
            <w:rFonts w:cs="Arial"/>
            <w:szCs w:val="22"/>
            <w:lang w:bidi="ar-SA"/>
          </w:rPr>
          <w:id w:val="2046548829"/>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No</w:t>
      </w:r>
    </w:p>
    <w:p w:rsidR="00511179" w:rsidRPr="00450410" w:rsidRDefault="00511179" w:rsidP="00511179">
      <w:pPr>
        <w:rPr>
          <w:rFonts w:cs="Arial"/>
          <w:szCs w:val="22"/>
          <w:lang w:bidi="ar-SA"/>
        </w:rPr>
      </w:pPr>
    </w:p>
    <w:p w:rsidR="00511179" w:rsidRPr="00450410" w:rsidRDefault="005A60B4" w:rsidP="00511179">
      <w:pPr>
        <w:pStyle w:val="ListParagraph"/>
        <w:rPr>
          <w:rFonts w:cs="Arial"/>
          <w:szCs w:val="22"/>
          <w:lang w:bidi="ar-SA"/>
        </w:rPr>
      </w:pPr>
      <w:sdt>
        <w:sdtPr>
          <w:rPr>
            <w:rFonts w:cs="Arial"/>
            <w:szCs w:val="22"/>
            <w:lang w:bidi="ar-SA"/>
          </w:rPr>
          <w:id w:val="1204520252"/>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Yes </w:t>
      </w:r>
    </w:p>
    <w:p w:rsidR="00511179" w:rsidRPr="00450410" w:rsidRDefault="00511179" w:rsidP="00511179">
      <w:pPr>
        <w:rPr>
          <w:rFonts w:cs="Arial"/>
          <w:szCs w:val="22"/>
          <w:lang w:bidi="ar-SA"/>
        </w:rPr>
      </w:pPr>
    </w:p>
    <w:p w:rsidR="00511179" w:rsidRPr="00450410" w:rsidRDefault="00511179" w:rsidP="00511179">
      <w:pPr>
        <w:rPr>
          <w:rFonts w:cs="Arial"/>
          <w:i/>
          <w:szCs w:val="22"/>
          <w:lang w:bidi="ar-SA"/>
        </w:rPr>
      </w:pPr>
      <w:r w:rsidRPr="00450410">
        <w:rPr>
          <w:rFonts w:cs="Arial"/>
          <w:i/>
          <w:szCs w:val="22"/>
          <w:lang w:bidi="ar-SA"/>
        </w:rPr>
        <w:t>Please expand on your response</w:t>
      </w:r>
    </w:p>
    <w:tbl>
      <w:tblPr>
        <w:tblStyle w:val="TableGrid"/>
        <w:tblW w:w="0" w:type="auto"/>
        <w:tblLook w:val="04A0" w:firstRow="1" w:lastRow="0" w:firstColumn="1" w:lastColumn="0" w:noHBand="0" w:noVBand="1"/>
      </w:tblPr>
      <w:tblGrid>
        <w:gridCol w:w="8613"/>
      </w:tblGrid>
      <w:tr w:rsidR="005E5327" w:rsidTr="005E5327">
        <w:tc>
          <w:tcPr>
            <w:tcW w:w="8613" w:type="dxa"/>
          </w:tcPr>
          <w:p w:rsidR="005E5327" w:rsidRDefault="005E5327" w:rsidP="00511179">
            <w:pPr>
              <w:rPr>
                <w:rFonts w:cs="Arial"/>
                <w:szCs w:val="22"/>
                <w:lang w:bidi="ar-SA"/>
              </w:rPr>
            </w:pPr>
          </w:p>
        </w:tc>
      </w:tr>
    </w:tbl>
    <w:p w:rsidR="00511179" w:rsidRPr="00450410" w:rsidRDefault="00511179" w:rsidP="00511179">
      <w:pPr>
        <w:rPr>
          <w:rFonts w:cs="Arial"/>
          <w:szCs w:val="22"/>
          <w:lang w:bidi="ar-SA"/>
        </w:rPr>
      </w:pPr>
    </w:p>
    <w:p w:rsidR="00591BAF" w:rsidRDefault="00591BAF" w:rsidP="00591BAF">
      <w:pPr>
        <w:widowControl/>
        <w:rPr>
          <w:rFonts w:cs="Arial"/>
          <w:b/>
          <w:szCs w:val="22"/>
          <w:lang w:bidi="ar-SA"/>
        </w:rPr>
      </w:pPr>
    </w:p>
    <w:p w:rsidR="0029795C" w:rsidRDefault="0029795C" w:rsidP="00591BAF">
      <w:pPr>
        <w:widowControl/>
        <w:rPr>
          <w:rFonts w:cs="Arial"/>
          <w:b/>
          <w:szCs w:val="22"/>
          <w:lang w:bidi="ar-SA"/>
        </w:rPr>
      </w:pPr>
    </w:p>
    <w:p w:rsidR="0029795C" w:rsidRDefault="0029795C" w:rsidP="00591BAF">
      <w:pPr>
        <w:widowControl/>
        <w:rPr>
          <w:rFonts w:cs="Arial"/>
          <w:b/>
          <w:szCs w:val="22"/>
          <w:lang w:bidi="ar-SA"/>
        </w:rPr>
      </w:pPr>
    </w:p>
    <w:p w:rsidR="0029795C" w:rsidRDefault="0029795C" w:rsidP="00591BAF">
      <w:pPr>
        <w:widowControl/>
        <w:rPr>
          <w:rFonts w:cs="Arial"/>
          <w:b/>
          <w:szCs w:val="22"/>
          <w:lang w:bidi="ar-SA"/>
        </w:rPr>
      </w:pPr>
    </w:p>
    <w:p w:rsidR="0029795C" w:rsidRDefault="0029795C" w:rsidP="00591BAF">
      <w:pPr>
        <w:widowControl/>
        <w:rPr>
          <w:rFonts w:cs="Arial"/>
          <w:b/>
          <w:szCs w:val="22"/>
          <w:lang w:bidi="ar-SA"/>
        </w:rPr>
      </w:pPr>
    </w:p>
    <w:p w:rsidR="0029795C" w:rsidRDefault="0029795C" w:rsidP="00591BAF">
      <w:pPr>
        <w:widowControl/>
        <w:rPr>
          <w:rFonts w:cs="Arial"/>
          <w:b/>
          <w:szCs w:val="22"/>
          <w:lang w:bidi="ar-SA"/>
        </w:rPr>
      </w:pPr>
    </w:p>
    <w:p w:rsidR="0029795C" w:rsidRDefault="0029795C" w:rsidP="00591BAF">
      <w:pPr>
        <w:widowControl/>
        <w:rPr>
          <w:rFonts w:cs="Arial"/>
          <w:b/>
          <w:szCs w:val="22"/>
          <w:lang w:bidi="ar-SA"/>
        </w:rPr>
      </w:pPr>
    </w:p>
    <w:p w:rsidR="0029795C" w:rsidRDefault="0029795C" w:rsidP="00591BAF">
      <w:pPr>
        <w:widowControl/>
        <w:rPr>
          <w:rFonts w:cs="Arial"/>
          <w:b/>
          <w:szCs w:val="22"/>
          <w:lang w:bidi="ar-SA"/>
        </w:rPr>
      </w:pPr>
    </w:p>
    <w:p w:rsidR="008A0982" w:rsidRPr="008A0982" w:rsidRDefault="008A0982" w:rsidP="008A0982">
      <w:pPr>
        <w:rPr>
          <w:rFonts w:cs="Arial"/>
          <w:b/>
          <w:szCs w:val="22"/>
          <w:lang w:bidi="ar-SA"/>
        </w:rPr>
      </w:pPr>
      <w:r w:rsidRPr="008A0982">
        <w:rPr>
          <w:rFonts w:cs="Arial"/>
          <w:b/>
          <w:szCs w:val="22"/>
          <w:lang w:bidi="ar-SA"/>
        </w:rPr>
        <w:lastRenderedPageBreak/>
        <w:t xml:space="preserve">Question </w:t>
      </w:r>
      <w:r w:rsidR="0029795C">
        <w:rPr>
          <w:rFonts w:cs="Arial"/>
          <w:b/>
          <w:szCs w:val="22"/>
          <w:lang w:bidi="ar-SA"/>
        </w:rPr>
        <w:t>10</w:t>
      </w:r>
      <w:r w:rsidRPr="008A0982">
        <w:rPr>
          <w:rFonts w:cs="Arial"/>
          <w:b/>
          <w:szCs w:val="22"/>
          <w:lang w:bidi="ar-SA"/>
        </w:rPr>
        <w:t xml:space="preserve"> (</w:t>
      </w:r>
      <w:r w:rsidRPr="00F93095">
        <w:rPr>
          <w:rFonts w:cs="Arial"/>
          <w:i/>
          <w:szCs w:val="22"/>
          <w:lang w:bidi="ar-SA"/>
        </w:rPr>
        <w:t>refer to p.1</w:t>
      </w:r>
      <w:r w:rsidR="00336D7B">
        <w:rPr>
          <w:rFonts w:cs="Arial"/>
          <w:i/>
          <w:szCs w:val="22"/>
          <w:lang w:bidi="ar-SA"/>
        </w:rPr>
        <w:t>6</w:t>
      </w:r>
      <w:r w:rsidRPr="008A0982">
        <w:rPr>
          <w:rFonts w:cs="Arial"/>
          <w:b/>
          <w:szCs w:val="22"/>
          <w:lang w:bidi="ar-SA"/>
        </w:rPr>
        <w:t>)</w:t>
      </w:r>
    </w:p>
    <w:p w:rsidR="00794C35" w:rsidRPr="008A0982" w:rsidRDefault="00794C35" w:rsidP="00794C35">
      <w:pPr>
        <w:rPr>
          <w:rFonts w:cs="Arial"/>
          <w:b/>
          <w:szCs w:val="22"/>
          <w:lang w:bidi="ar-SA"/>
        </w:rPr>
      </w:pPr>
      <w:r w:rsidRPr="008A0982">
        <w:rPr>
          <w:rFonts w:cs="Arial"/>
          <w:b/>
          <w:szCs w:val="22"/>
          <w:lang w:bidi="ar-SA"/>
        </w:rPr>
        <w:t>In your experience</w:t>
      </w:r>
      <w:r w:rsidR="00865A68">
        <w:rPr>
          <w:rFonts w:cs="Arial"/>
          <w:b/>
          <w:szCs w:val="22"/>
          <w:lang w:bidi="ar-SA"/>
        </w:rPr>
        <w:t>,</w:t>
      </w:r>
      <w:r w:rsidRPr="008A0982">
        <w:rPr>
          <w:rFonts w:cs="Arial"/>
          <w:b/>
          <w:szCs w:val="22"/>
          <w:lang w:bidi="ar-SA"/>
        </w:rPr>
        <w:t xml:space="preserve"> do the </w:t>
      </w:r>
      <w:r w:rsidR="00865A68">
        <w:rPr>
          <w:rFonts w:cs="Arial"/>
          <w:b/>
          <w:szCs w:val="22"/>
          <w:lang w:bidi="ar-SA"/>
        </w:rPr>
        <w:t>E</w:t>
      </w:r>
      <w:r w:rsidRPr="008A0982">
        <w:rPr>
          <w:rFonts w:cs="Arial"/>
          <w:b/>
          <w:szCs w:val="22"/>
          <w:lang w:bidi="ar-SA"/>
        </w:rPr>
        <w:t xml:space="preserve">U or </w:t>
      </w:r>
      <w:proofErr w:type="gramStart"/>
      <w:r w:rsidRPr="008A0982">
        <w:rPr>
          <w:rFonts w:cs="Arial"/>
          <w:b/>
          <w:szCs w:val="22"/>
          <w:lang w:bidi="ar-SA"/>
        </w:rPr>
        <w:t>US</w:t>
      </w:r>
      <w:proofErr w:type="gramEnd"/>
      <w:r w:rsidRPr="008A0982">
        <w:rPr>
          <w:rFonts w:cs="Arial"/>
          <w:b/>
          <w:szCs w:val="22"/>
          <w:lang w:bidi="ar-SA"/>
        </w:rPr>
        <w:t xml:space="preserve"> requirements or guidelines and other CoPs adequately manage risks from CMPF from all recycled materials? </w:t>
      </w:r>
    </w:p>
    <w:p w:rsidR="00794C35" w:rsidRDefault="00794C35" w:rsidP="00794C35">
      <w:pPr>
        <w:rPr>
          <w:rFonts w:cs="Arial"/>
          <w:szCs w:val="22"/>
          <w:lang w:bidi="ar-SA"/>
        </w:rPr>
      </w:pPr>
    </w:p>
    <w:p w:rsidR="00794C35" w:rsidRPr="00450410" w:rsidRDefault="005A60B4" w:rsidP="00794C35">
      <w:pPr>
        <w:pStyle w:val="ListParagraph"/>
        <w:rPr>
          <w:rFonts w:cs="Arial"/>
          <w:szCs w:val="22"/>
          <w:lang w:bidi="ar-SA"/>
        </w:rPr>
      </w:pPr>
      <w:sdt>
        <w:sdtPr>
          <w:rPr>
            <w:rFonts w:cs="Arial"/>
            <w:szCs w:val="22"/>
            <w:lang w:bidi="ar-SA"/>
          </w:rPr>
          <w:id w:val="715702841"/>
          <w14:checkbox>
            <w14:checked w14:val="0"/>
            <w14:checkedState w14:val="2612" w14:font="MS Gothic"/>
            <w14:uncheckedState w14:val="2610" w14:font="MS Gothic"/>
          </w14:checkbox>
        </w:sdtPr>
        <w:sdtEndPr/>
        <w:sdtContent>
          <w:r w:rsidR="00794C35" w:rsidRPr="00450410">
            <w:rPr>
              <w:rFonts w:ascii="MS Gothic" w:eastAsia="MS Gothic" w:hAnsi="MS Gothic" w:cs="MS Gothic" w:hint="eastAsia"/>
              <w:szCs w:val="22"/>
              <w:lang w:bidi="ar-SA"/>
            </w:rPr>
            <w:t>☐</w:t>
          </w:r>
        </w:sdtContent>
      </w:sdt>
      <w:r w:rsidR="00794C35" w:rsidRPr="00450410">
        <w:rPr>
          <w:rFonts w:cs="Arial"/>
          <w:szCs w:val="22"/>
          <w:lang w:bidi="ar-SA"/>
        </w:rPr>
        <w:t xml:space="preserve">  No</w:t>
      </w:r>
    </w:p>
    <w:p w:rsidR="00794C35" w:rsidRPr="00450410" w:rsidRDefault="00794C35" w:rsidP="00794C35">
      <w:pPr>
        <w:rPr>
          <w:rFonts w:cs="Arial"/>
          <w:szCs w:val="22"/>
          <w:lang w:bidi="ar-SA"/>
        </w:rPr>
      </w:pPr>
    </w:p>
    <w:p w:rsidR="00794C35" w:rsidRPr="00450410" w:rsidRDefault="005A60B4" w:rsidP="00794C35">
      <w:pPr>
        <w:pStyle w:val="ListParagraph"/>
        <w:rPr>
          <w:rFonts w:cs="Arial"/>
          <w:szCs w:val="22"/>
          <w:lang w:bidi="ar-SA"/>
        </w:rPr>
      </w:pPr>
      <w:sdt>
        <w:sdtPr>
          <w:rPr>
            <w:rFonts w:cs="Arial"/>
            <w:szCs w:val="22"/>
            <w:lang w:bidi="ar-SA"/>
          </w:rPr>
          <w:id w:val="2081177717"/>
          <w14:checkbox>
            <w14:checked w14:val="0"/>
            <w14:checkedState w14:val="2612" w14:font="MS Gothic"/>
            <w14:uncheckedState w14:val="2610" w14:font="MS Gothic"/>
          </w14:checkbox>
        </w:sdtPr>
        <w:sdtEndPr/>
        <w:sdtContent>
          <w:r w:rsidR="00794C35" w:rsidRPr="00450410">
            <w:rPr>
              <w:rFonts w:ascii="MS Gothic" w:eastAsia="MS Gothic" w:hAnsi="MS Gothic" w:cs="MS Gothic" w:hint="eastAsia"/>
              <w:szCs w:val="22"/>
              <w:lang w:bidi="ar-SA"/>
            </w:rPr>
            <w:t>☐</w:t>
          </w:r>
        </w:sdtContent>
      </w:sdt>
      <w:r w:rsidR="00794C35" w:rsidRPr="00450410">
        <w:rPr>
          <w:rFonts w:cs="Arial"/>
          <w:szCs w:val="22"/>
          <w:lang w:bidi="ar-SA"/>
        </w:rPr>
        <w:t xml:space="preserve">  Yes </w:t>
      </w:r>
    </w:p>
    <w:p w:rsidR="00794C35" w:rsidRPr="00450410" w:rsidRDefault="00794C35" w:rsidP="00794C35">
      <w:pPr>
        <w:rPr>
          <w:rFonts w:cs="Arial"/>
          <w:szCs w:val="22"/>
          <w:lang w:bidi="ar-SA"/>
        </w:rPr>
      </w:pPr>
    </w:p>
    <w:p w:rsidR="00794C35" w:rsidRPr="00450410" w:rsidRDefault="00794C35" w:rsidP="00794C35">
      <w:pPr>
        <w:rPr>
          <w:rFonts w:cs="Arial"/>
          <w:i/>
          <w:szCs w:val="22"/>
          <w:lang w:bidi="ar-SA"/>
        </w:rPr>
      </w:pPr>
      <w:r w:rsidRPr="00450410">
        <w:rPr>
          <w:rFonts w:cs="Arial"/>
          <w:i/>
          <w:szCs w:val="22"/>
          <w:lang w:bidi="ar-SA"/>
        </w:rPr>
        <w:t>Please expand on your response</w:t>
      </w:r>
    </w:p>
    <w:tbl>
      <w:tblPr>
        <w:tblStyle w:val="TableGrid"/>
        <w:tblW w:w="0" w:type="auto"/>
        <w:tblLook w:val="04A0" w:firstRow="1" w:lastRow="0" w:firstColumn="1" w:lastColumn="0" w:noHBand="0" w:noVBand="1"/>
      </w:tblPr>
      <w:tblGrid>
        <w:gridCol w:w="7621"/>
      </w:tblGrid>
      <w:tr w:rsidR="005E5327" w:rsidTr="005E5327">
        <w:tc>
          <w:tcPr>
            <w:tcW w:w="7621" w:type="dxa"/>
          </w:tcPr>
          <w:p w:rsidR="005E5327" w:rsidRDefault="005E5327" w:rsidP="00794C35">
            <w:pPr>
              <w:rPr>
                <w:rFonts w:cs="Arial"/>
                <w:szCs w:val="22"/>
                <w:lang w:bidi="ar-SA"/>
              </w:rPr>
            </w:pPr>
          </w:p>
        </w:tc>
      </w:tr>
    </w:tbl>
    <w:p w:rsidR="00794C35" w:rsidRPr="00450410" w:rsidRDefault="00794C35" w:rsidP="00794C35">
      <w:pPr>
        <w:rPr>
          <w:rFonts w:cs="Arial"/>
          <w:szCs w:val="22"/>
          <w:lang w:bidi="ar-SA"/>
        </w:rPr>
      </w:pPr>
    </w:p>
    <w:p w:rsidR="00794C35" w:rsidRPr="00591BAF" w:rsidRDefault="00794C35" w:rsidP="00591BAF">
      <w:pPr>
        <w:widowControl/>
        <w:rPr>
          <w:rFonts w:cs="Arial"/>
          <w:b/>
          <w:szCs w:val="22"/>
          <w:lang w:bidi="ar-SA"/>
        </w:rPr>
      </w:pPr>
    </w:p>
    <w:p w:rsidR="00D4104C" w:rsidRPr="00AA3EFF" w:rsidRDefault="00AA3EFF" w:rsidP="00930392">
      <w:pPr>
        <w:widowControl/>
        <w:rPr>
          <w:rFonts w:cs="Arial"/>
          <w:b/>
          <w:szCs w:val="22"/>
          <w:lang w:bidi="ar-SA"/>
        </w:rPr>
      </w:pPr>
      <w:r w:rsidRPr="00AA3EFF">
        <w:rPr>
          <w:rFonts w:cs="Arial"/>
          <w:b/>
          <w:szCs w:val="22"/>
          <w:lang w:bidi="ar-SA"/>
        </w:rPr>
        <w:t>Question 1</w:t>
      </w:r>
      <w:r w:rsidR="0029795C">
        <w:rPr>
          <w:rFonts w:cs="Arial"/>
          <w:b/>
          <w:szCs w:val="22"/>
          <w:lang w:bidi="ar-SA"/>
        </w:rPr>
        <w:t>1</w:t>
      </w:r>
      <w:r w:rsidRPr="00AA3EFF">
        <w:rPr>
          <w:rFonts w:cs="Arial"/>
          <w:b/>
          <w:szCs w:val="22"/>
          <w:lang w:bidi="ar-SA"/>
        </w:rPr>
        <w:t xml:space="preserve"> (</w:t>
      </w:r>
      <w:r w:rsidRPr="00F93095">
        <w:rPr>
          <w:rFonts w:cs="Arial"/>
          <w:i/>
          <w:szCs w:val="22"/>
          <w:lang w:bidi="ar-SA"/>
        </w:rPr>
        <w:t>refer to p.</w:t>
      </w:r>
      <w:r w:rsidR="00336D7B">
        <w:rPr>
          <w:rFonts w:cs="Arial"/>
          <w:i/>
          <w:szCs w:val="22"/>
          <w:lang w:bidi="ar-SA"/>
        </w:rPr>
        <w:t>17</w:t>
      </w:r>
      <w:r w:rsidRPr="00AA3EFF">
        <w:rPr>
          <w:rFonts w:cs="Arial"/>
          <w:b/>
          <w:szCs w:val="22"/>
          <w:lang w:bidi="ar-S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2"/>
      </w:tblGrid>
      <w:tr w:rsidR="00AA3EFF" w:rsidRPr="00450410" w:rsidTr="00AA3EFF">
        <w:tc>
          <w:tcPr>
            <w:tcW w:w="7762" w:type="dxa"/>
          </w:tcPr>
          <w:p w:rsidR="00AA3EFF" w:rsidRPr="00450410" w:rsidRDefault="00AA3EFF" w:rsidP="008A0982">
            <w:pPr>
              <w:rPr>
                <w:rFonts w:cs="Arial"/>
                <w:b/>
                <w:szCs w:val="22"/>
                <w:lang w:bidi="ar-SA"/>
              </w:rPr>
            </w:pPr>
            <w:r>
              <w:rPr>
                <w:rFonts w:cs="Arial"/>
                <w:b/>
                <w:szCs w:val="22"/>
                <w:lang w:bidi="ar-SA"/>
              </w:rPr>
              <w:t>W</w:t>
            </w:r>
            <w:r w:rsidRPr="00450410">
              <w:rPr>
                <w:rFonts w:cs="Arial"/>
                <w:b/>
                <w:szCs w:val="22"/>
                <w:lang w:bidi="ar-SA"/>
              </w:rPr>
              <w:t>hat would you see as th</w:t>
            </w:r>
            <w:r w:rsidR="00865A68">
              <w:rPr>
                <w:rFonts w:cs="Arial"/>
                <w:b/>
                <w:szCs w:val="22"/>
                <w:lang w:bidi="ar-SA"/>
              </w:rPr>
              <w:t xml:space="preserve">e advantages and disadvantages </w:t>
            </w:r>
            <w:r w:rsidRPr="00450410">
              <w:rPr>
                <w:rFonts w:cs="Arial"/>
                <w:b/>
                <w:szCs w:val="22"/>
                <w:lang w:bidi="ar-SA"/>
              </w:rPr>
              <w:t>of a co-regulatory approach to managing CMPF?</w:t>
            </w:r>
          </w:p>
          <w:p w:rsidR="00AA3EFF" w:rsidRPr="00450410" w:rsidRDefault="00AA3EFF" w:rsidP="00AA3EFF">
            <w:pPr>
              <w:rPr>
                <w:rFonts w:cs="Arial"/>
                <w:szCs w:val="22"/>
                <w:lang w:bidi="ar-SA"/>
              </w:rPr>
            </w:pPr>
          </w:p>
          <w:p w:rsidR="00AA3EFF" w:rsidRPr="00450410" w:rsidRDefault="00AA3EFF" w:rsidP="00AA3EFF">
            <w:pPr>
              <w:rPr>
                <w:rFonts w:cs="Arial"/>
                <w:szCs w:val="22"/>
                <w:lang w:bidi="ar-SA"/>
              </w:rPr>
            </w:pPr>
            <w:r>
              <w:rPr>
                <w:rFonts w:cs="Arial"/>
                <w:szCs w:val="22"/>
                <w:lang w:bidi="ar-SA"/>
              </w:rPr>
              <w:t>Advantages</w:t>
            </w:r>
          </w:p>
          <w:p w:rsidR="00AA3EFF" w:rsidRPr="00450410" w:rsidRDefault="00AA3EFF" w:rsidP="00AA3EFF">
            <w:pPr>
              <w:rPr>
                <w:rFonts w:cs="Arial"/>
                <w:szCs w:val="22"/>
                <w:lang w:bidi="ar-SA"/>
              </w:rPr>
            </w:pPr>
          </w:p>
          <w:tbl>
            <w:tblPr>
              <w:tblStyle w:val="TableGrid"/>
              <w:tblW w:w="0" w:type="auto"/>
              <w:tblLayout w:type="fixed"/>
              <w:tblLook w:val="04A0" w:firstRow="1" w:lastRow="0" w:firstColumn="1" w:lastColumn="0" w:noHBand="0" w:noVBand="1"/>
            </w:tblPr>
            <w:tblGrid>
              <w:gridCol w:w="7531"/>
            </w:tblGrid>
            <w:tr w:rsidR="005E5327" w:rsidTr="005E5327">
              <w:tc>
                <w:tcPr>
                  <w:tcW w:w="7531" w:type="dxa"/>
                </w:tcPr>
                <w:p w:rsidR="005E5327" w:rsidRDefault="005E5327" w:rsidP="00AA3EFF">
                  <w:pPr>
                    <w:rPr>
                      <w:rFonts w:cs="Arial"/>
                      <w:szCs w:val="22"/>
                      <w:lang w:bidi="ar-SA"/>
                    </w:rPr>
                  </w:pPr>
                </w:p>
              </w:tc>
            </w:tr>
          </w:tbl>
          <w:p w:rsidR="00AA3EFF" w:rsidRPr="00450410" w:rsidRDefault="00AA3EFF" w:rsidP="00AA3EFF">
            <w:pPr>
              <w:rPr>
                <w:rFonts w:cs="Arial"/>
                <w:szCs w:val="22"/>
                <w:lang w:bidi="ar-SA"/>
              </w:rPr>
            </w:pPr>
          </w:p>
          <w:p w:rsidR="00AA3EFF" w:rsidRPr="00450410" w:rsidRDefault="00AA3EFF" w:rsidP="00AA3EFF">
            <w:pPr>
              <w:rPr>
                <w:rFonts w:cs="Arial"/>
                <w:szCs w:val="22"/>
                <w:lang w:bidi="ar-SA"/>
              </w:rPr>
            </w:pPr>
            <w:r>
              <w:rPr>
                <w:rFonts w:cs="Arial"/>
                <w:szCs w:val="22"/>
                <w:lang w:bidi="ar-SA"/>
              </w:rPr>
              <w:t>Disadvantages</w:t>
            </w:r>
          </w:p>
          <w:p w:rsidR="00AA3EFF" w:rsidRPr="00450410" w:rsidRDefault="00AA3EFF" w:rsidP="00AA3EFF">
            <w:pPr>
              <w:rPr>
                <w:rFonts w:cs="Arial"/>
                <w:szCs w:val="22"/>
                <w:lang w:bidi="ar-SA"/>
              </w:rPr>
            </w:pPr>
          </w:p>
          <w:tbl>
            <w:tblPr>
              <w:tblStyle w:val="TableGrid"/>
              <w:tblW w:w="0" w:type="auto"/>
              <w:tblLayout w:type="fixed"/>
              <w:tblLook w:val="04A0" w:firstRow="1" w:lastRow="0" w:firstColumn="1" w:lastColumn="0" w:noHBand="0" w:noVBand="1"/>
            </w:tblPr>
            <w:tblGrid>
              <w:gridCol w:w="7531"/>
            </w:tblGrid>
            <w:tr w:rsidR="005E5327" w:rsidTr="005E5327">
              <w:tc>
                <w:tcPr>
                  <w:tcW w:w="7531" w:type="dxa"/>
                </w:tcPr>
                <w:p w:rsidR="005E5327" w:rsidRDefault="005E5327" w:rsidP="00AA3EFF">
                  <w:pPr>
                    <w:rPr>
                      <w:rFonts w:cs="Arial"/>
                      <w:szCs w:val="22"/>
                      <w:lang w:bidi="ar-SA"/>
                    </w:rPr>
                  </w:pPr>
                </w:p>
              </w:tc>
            </w:tr>
          </w:tbl>
          <w:p w:rsidR="00AA3EFF" w:rsidRPr="00450410" w:rsidRDefault="00AA3EFF" w:rsidP="00AA3EFF">
            <w:pPr>
              <w:rPr>
                <w:rFonts w:cs="Arial"/>
                <w:szCs w:val="22"/>
                <w:lang w:bidi="ar-SA"/>
              </w:rPr>
            </w:pPr>
          </w:p>
        </w:tc>
      </w:tr>
      <w:tr w:rsidR="00794C35" w:rsidRPr="00450410" w:rsidTr="008A0982">
        <w:tc>
          <w:tcPr>
            <w:tcW w:w="7762" w:type="dxa"/>
            <w:shd w:val="clear" w:color="auto" w:fill="auto"/>
          </w:tcPr>
          <w:p w:rsidR="00F93095" w:rsidRDefault="00F93095" w:rsidP="00F93095">
            <w:pPr>
              <w:rPr>
                <w:rFonts w:cs="Arial"/>
                <w:b/>
                <w:szCs w:val="22"/>
                <w:lang w:bidi="ar-SA"/>
              </w:rPr>
            </w:pPr>
          </w:p>
          <w:p w:rsidR="005E5327" w:rsidRDefault="005E5327" w:rsidP="00F93095">
            <w:pPr>
              <w:rPr>
                <w:rFonts w:cs="Arial"/>
                <w:b/>
                <w:szCs w:val="22"/>
                <w:lang w:bidi="ar-SA"/>
              </w:rPr>
            </w:pPr>
          </w:p>
          <w:p w:rsidR="00F93095" w:rsidRPr="008A0982" w:rsidRDefault="00F93095" w:rsidP="00F93095">
            <w:pPr>
              <w:rPr>
                <w:rFonts w:cs="Arial"/>
                <w:b/>
                <w:szCs w:val="22"/>
                <w:lang w:bidi="ar-SA"/>
              </w:rPr>
            </w:pPr>
            <w:r w:rsidRPr="008A0982">
              <w:rPr>
                <w:rFonts w:cs="Arial"/>
                <w:b/>
                <w:szCs w:val="22"/>
                <w:lang w:bidi="ar-SA"/>
              </w:rPr>
              <w:t xml:space="preserve">Question </w:t>
            </w:r>
            <w:r>
              <w:rPr>
                <w:rFonts w:cs="Arial"/>
                <w:b/>
                <w:szCs w:val="22"/>
                <w:lang w:bidi="ar-SA"/>
              </w:rPr>
              <w:t>1</w:t>
            </w:r>
            <w:r w:rsidR="0029795C">
              <w:rPr>
                <w:rFonts w:cs="Arial"/>
                <w:b/>
                <w:szCs w:val="22"/>
                <w:lang w:bidi="ar-SA"/>
              </w:rPr>
              <w:t>2</w:t>
            </w:r>
            <w:r>
              <w:rPr>
                <w:rFonts w:cs="Arial"/>
                <w:b/>
                <w:szCs w:val="22"/>
                <w:lang w:bidi="ar-SA"/>
              </w:rPr>
              <w:t xml:space="preserve"> </w:t>
            </w:r>
            <w:r w:rsidRPr="008A0982">
              <w:rPr>
                <w:rFonts w:cs="Arial"/>
                <w:b/>
                <w:szCs w:val="22"/>
                <w:lang w:bidi="ar-SA"/>
              </w:rPr>
              <w:t>(</w:t>
            </w:r>
            <w:r w:rsidRPr="00F93095">
              <w:rPr>
                <w:rFonts w:cs="Arial"/>
                <w:i/>
                <w:szCs w:val="22"/>
                <w:lang w:bidi="ar-SA"/>
              </w:rPr>
              <w:t>refer to p.</w:t>
            </w:r>
            <w:r w:rsidR="00336D7B">
              <w:rPr>
                <w:rFonts w:cs="Arial"/>
                <w:i/>
                <w:szCs w:val="22"/>
                <w:lang w:bidi="ar-SA"/>
              </w:rPr>
              <w:t>17</w:t>
            </w:r>
            <w:r w:rsidRPr="008A0982">
              <w:rPr>
                <w:rFonts w:cs="Arial"/>
                <w:b/>
                <w:szCs w:val="22"/>
                <w:lang w:bidi="ar-SA"/>
              </w:rPr>
              <w:t>)</w:t>
            </w:r>
          </w:p>
          <w:p w:rsidR="00794C35" w:rsidRPr="00450410" w:rsidRDefault="00794C35" w:rsidP="00F93095">
            <w:pPr>
              <w:rPr>
                <w:rFonts w:cs="Arial"/>
                <w:b/>
                <w:szCs w:val="22"/>
                <w:lang w:bidi="ar-SA"/>
              </w:rPr>
            </w:pPr>
            <w:r>
              <w:rPr>
                <w:rFonts w:cs="Arial"/>
                <w:b/>
                <w:szCs w:val="22"/>
                <w:lang w:bidi="ar-SA"/>
              </w:rPr>
              <w:t>Does the Australian Standard for Plastic Materials for Food Contact Use – AS2070-1999 supply useful guidance to industry?</w:t>
            </w:r>
          </w:p>
          <w:p w:rsidR="00794C35" w:rsidRPr="00450410" w:rsidRDefault="00794C35" w:rsidP="00794C35">
            <w:pPr>
              <w:rPr>
                <w:rFonts w:cs="Arial"/>
                <w:szCs w:val="22"/>
                <w:lang w:bidi="ar-SA"/>
              </w:rPr>
            </w:pPr>
          </w:p>
          <w:p w:rsidR="00794C35" w:rsidRPr="00450410" w:rsidRDefault="005A60B4" w:rsidP="00794C35">
            <w:pPr>
              <w:pStyle w:val="ListParagraph"/>
              <w:rPr>
                <w:rFonts w:cs="Arial"/>
                <w:szCs w:val="22"/>
                <w:lang w:bidi="ar-SA"/>
              </w:rPr>
            </w:pPr>
            <w:sdt>
              <w:sdtPr>
                <w:rPr>
                  <w:rFonts w:cs="Arial"/>
                  <w:szCs w:val="22"/>
                  <w:lang w:bidi="ar-SA"/>
                </w:rPr>
                <w:id w:val="-1224517580"/>
                <w14:checkbox>
                  <w14:checked w14:val="0"/>
                  <w14:checkedState w14:val="2612" w14:font="MS Gothic"/>
                  <w14:uncheckedState w14:val="2610" w14:font="MS Gothic"/>
                </w14:checkbox>
              </w:sdtPr>
              <w:sdtEndPr/>
              <w:sdtContent>
                <w:r w:rsidR="00794C35" w:rsidRPr="00450410">
                  <w:rPr>
                    <w:rFonts w:ascii="MS Gothic" w:eastAsia="MS Gothic" w:hAnsi="MS Gothic" w:cs="MS Gothic" w:hint="eastAsia"/>
                    <w:szCs w:val="22"/>
                    <w:lang w:bidi="ar-SA"/>
                  </w:rPr>
                  <w:t>☐</w:t>
                </w:r>
              </w:sdtContent>
            </w:sdt>
            <w:r w:rsidR="00794C35" w:rsidRPr="00450410">
              <w:rPr>
                <w:rFonts w:cs="Arial"/>
                <w:szCs w:val="22"/>
                <w:lang w:bidi="ar-SA"/>
              </w:rPr>
              <w:t xml:space="preserve">  No</w:t>
            </w:r>
          </w:p>
          <w:p w:rsidR="00794C35" w:rsidRPr="00450410" w:rsidRDefault="00794C35" w:rsidP="00794C35">
            <w:pPr>
              <w:rPr>
                <w:rFonts w:cs="Arial"/>
                <w:szCs w:val="22"/>
                <w:lang w:bidi="ar-SA"/>
              </w:rPr>
            </w:pPr>
          </w:p>
          <w:p w:rsidR="00794C35" w:rsidRPr="00450410" w:rsidRDefault="005A60B4" w:rsidP="00794C35">
            <w:pPr>
              <w:pStyle w:val="ListParagraph"/>
              <w:rPr>
                <w:rFonts w:cs="Arial"/>
                <w:szCs w:val="22"/>
                <w:lang w:bidi="ar-SA"/>
              </w:rPr>
            </w:pPr>
            <w:sdt>
              <w:sdtPr>
                <w:rPr>
                  <w:rFonts w:cs="Arial"/>
                  <w:szCs w:val="22"/>
                  <w:lang w:bidi="ar-SA"/>
                </w:rPr>
                <w:id w:val="134069056"/>
                <w14:checkbox>
                  <w14:checked w14:val="0"/>
                  <w14:checkedState w14:val="2612" w14:font="MS Gothic"/>
                  <w14:uncheckedState w14:val="2610" w14:font="MS Gothic"/>
                </w14:checkbox>
              </w:sdtPr>
              <w:sdtEndPr/>
              <w:sdtContent>
                <w:r w:rsidR="00794C35" w:rsidRPr="00450410">
                  <w:rPr>
                    <w:rFonts w:ascii="MS Gothic" w:eastAsia="MS Gothic" w:hAnsi="MS Gothic" w:cs="MS Gothic" w:hint="eastAsia"/>
                    <w:szCs w:val="22"/>
                    <w:lang w:bidi="ar-SA"/>
                  </w:rPr>
                  <w:t>☐</w:t>
                </w:r>
              </w:sdtContent>
            </w:sdt>
            <w:r w:rsidR="00794C35" w:rsidRPr="00450410">
              <w:rPr>
                <w:rFonts w:cs="Arial"/>
                <w:szCs w:val="22"/>
                <w:lang w:bidi="ar-SA"/>
              </w:rPr>
              <w:t xml:space="preserve">  Yes </w:t>
            </w:r>
          </w:p>
          <w:p w:rsidR="00794C35" w:rsidRPr="00450410" w:rsidRDefault="00794C35" w:rsidP="00794C35">
            <w:pPr>
              <w:rPr>
                <w:rFonts w:cs="Arial"/>
                <w:szCs w:val="22"/>
                <w:lang w:bidi="ar-SA"/>
              </w:rPr>
            </w:pPr>
          </w:p>
          <w:p w:rsidR="00794C35" w:rsidRPr="00450410" w:rsidRDefault="00794C35" w:rsidP="00794C35">
            <w:pPr>
              <w:rPr>
                <w:rFonts w:cs="Arial"/>
                <w:i/>
                <w:szCs w:val="22"/>
                <w:lang w:bidi="ar-SA"/>
              </w:rPr>
            </w:pPr>
            <w:r w:rsidRPr="00450410">
              <w:rPr>
                <w:rFonts w:cs="Arial"/>
                <w:i/>
                <w:szCs w:val="22"/>
                <w:lang w:bidi="ar-SA"/>
              </w:rPr>
              <w:t>Please expand on your response</w:t>
            </w:r>
          </w:p>
          <w:tbl>
            <w:tblPr>
              <w:tblStyle w:val="TableGrid"/>
              <w:tblW w:w="0" w:type="auto"/>
              <w:tblLayout w:type="fixed"/>
              <w:tblLook w:val="04A0" w:firstRow="1" w:lastRow="0" w:firstColumn="1" w:lastColumn="0" w:noHBand="0" w:noVBand="1"/>
            </w:tblPr>
            <w:tblGrid>
              <w:gridCol w:w="7531"/>
            </w:tblGrid>
            <w:tr w:rsidR="005E5327" w:rsidTr="005E5327">
              <w:tc>
                <w:tcPr>
                  <w:tcW w:w="7531" w:type="dxa"/>
                </w:tcPr>
                <w:p w:rsidR="005E5327" w:rsidRDefault="005E5327" w:rsidP="00794C35">
                  <w:pPr>
                    <w:rPr>
                      <w:rFonts w:cs="Arial"/>
                      <w:szCs w:val="22"/>
                      <w:lang w:bidi="ar-SA"/>
                    </w:rPr>
                  </w:pPr>
                </w:p>
              </w:tc>
            </w:tr>
          </w:tbl>
          <w:p w:rsidR="00794C35" w:rsidRPr="00450410" w:rsidRDefault="00794C35" w:rsidP="00794C35">
            <w:pPr>
              <w:rPr>
                <w:rFonts w:cs="Arial"/>
                <w:szCs w:val="22"/>
                <w:lang w:bidi="ar-SA"/>
              </w:rPr>
            </w:pPr>
          </w:p>
          <w:p w:rsidR="00794C35" w:rsidRPr="00450410" w:rsidRDefault="00794C35" w:rsidP="00794C35">
            <w:pPr>
              <w:rPr>
                <w:rFonts w:cs="Arial"/>
                <w:szCs w:val="22"/>
                <w:lang w:bidi="ar-SA"/>
              </w:rPr>
            </w:pPr>
          </w:p>
        </w:tc>
      </w:tr>
    </w:tbl>
    <w:p w:rsidR="00930392" w:rsidRDefault="00930392" w:rsidP="00511179">
      <w:pPr>
        <w:rPr>
          <w:rFonts w:cs="Arial"/>
          <w:b/>
          <w:sz w:val="28"/>
          <w:szCs w:val="28"/>
          <w:highlight w:val="cyan"/>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2"/>
      </w:tblGrid>
      <w:tr w:rsidR="00511179" w:rsidRPr="00450410" w:rsidTr="00930392">
        <w:tc>
          <w:tcPr>
            <w:tcW w:w="7762" w:type="dxa"/>
          </w:tcPr>
          <w:p w:rsidR="00511179" w:rsidRPr="00450410" w:rsidRDefault="00511179" w:rsidP="00CF7A0F">
            <w:pPr>
              <w:widowControl/>
              <w:rPr>
                <w:rFonts w:cs="Arial"/>
                <w:szCs w:val="22"/>
                <w:lang w:bidi="ar-SA"/>
              </w:rPr>
            </w:pPr>
          </w:p>
        </w:tc>
      </w:tr>
      <w:tr w:rsidR="00511179" w:rsidRPr="00450410" w:rsidTr="00F93095">
        <w:tc>
          <w:tcPr>
            <w:tcW w:w="7762" w:type="dxa"/>
            <w:shd w:val="clear" w:color="auto" w:fill="auto"/>
          </w:tcPr>
          <w:p w:rsidR="00F93095" w:rsidRPr="00F93095" w:rsidRDefault="00F93095" w:rsidP="0029795C">
            <w:pPr>
              <w:rPr>
                <w:rFonts w:cs="Arial"/>
                <w:b/>
                <w:szCs w:val="22"/>
                <w:lang w:bidi="ar-SA"/>
              </w:rPr>
            </w:pPr>
            <w:r w:rsidRPr="008A0982">
              <w:rPr>
                <w:rFonts w:cs="Arial"/>
                <w:b/>
                <w:szCs w:val="22"/>
                <w:lang w:bidi="ar-SA"/>
              </w:rPr>
              <w:t xml:space="preserve">Question </w:t>
            </w:r>
            <w:r>
              <w:rPr>
                <w:rFonts w:cs="Arial"/>
                <w:b/>
                <w:szCs w:val="22"/>
                <w:lang w:bidi="ar-SA"/>
              </w:rPr>
              <w:t>1</w:t>
            </w:r>
            <w:r w:rsidR="0029795C">
              <w:rPr>
                <w:rFonts w:cs="Arial"/>
                <w:b/>
                <w:szCs w:val="22"/>
                <w:lang w:bidi="ar-SA"/>
              </w:rPr>
              <w:t>3</w:t>
            </w:r>
            <w:r w:rsidRPr="008A0982">
              <w:rPr>
                <w:rFonts w:cs="Arial"/>
                <w:b/>
                <w:szCs w:val="22"/>
                <w:lang w:bidi="ar-SA"/>
              </w:rPr>
              <w:t xml:space="preserve"> (</w:t>
            </w:r>
            <w:r w:rsidRPr="00F93095">
              <w:rPr>
                <w:rFonts w:cs="Arial"/>
                <w:i/>
                <w:szCs w:val="22"/>
                <w:lang w:bidi="ar-SA"/>
              </w:rPr>
              <w:t>refer to p.</w:t>
            </w:r>
            <w:r w:rsidR="00336D7B">
              <w:rPr>
                <w:rFonts w:cs="Arial"/>
                <w:i/>
                <w:szCs w:val="22"/>
                <w:lang w:bidi="ar-SA"/>
              </w:rPr>
              <w:t>17)</w:t>
            </w:r>
          </w:p>
        </w:tc>
      </w:tr>
      <w:tr w:rsidR="00511179" w:rsidRPr="00450410" w:rsidTr="00930392">
        <w:tc>
          <w:tcPr>
            <w:tcW w:w="7762" w:type="dxa"/>
          </w:tcPr>
          <w:p w:rsidR="00511179" w:rsidRPr="00450410" w:rsidRDefault="0088161A" w:rsidP="00F93095">
            <w:pPr>
              <w:rPr>
                <w:rFonts w:cs="Arial"/>
                <w:b/>
                <w:szCs w:val="22"/>
                <w:lang w:bidi="ar-SA"/>
              </w:rPr>
            </w:pPr>
            <w:r>
              <w:rPr>
                <w:rFonts w:cs="Arial"/>
                <w:b/>
                <w:szCs w:val="22"/>
                <w:lang w:bidi="ar-SA"/>
              </w:rPr>
              <w:t>A</w:t>
            </w:r>
            <w:r w:rsidR="00511179" w:rsidRPr="00450410">
              <w:rPr>
                <w:rFonts w:cs="Arial"/>
                <w:b/>
                <w:szCs w:val="22"/>
                <w:lang w:bidi="ar-SA"/>
              </w:rPr>
              <w:t>re there other pertinent industry standards (Australian/New Zealand or International) that you reference and adhere to regularly?</w:t>
            </w:r>
          </w:p>
          <w:p w:rsidR="00511179" w:rsidRPr="00450410" w:rsidRDefault="00511179" w:rsidP="00930392">
            <w:pPr>
              <w:rPr>
                <w:rFonts w:cs="Arial"/>
                <w:szCs w:val="22"/>
                <w:lang w:bidi="ar-SA"/>
              </w:rPr>
            </w:pPr>
          </w:p>
          <w:p w:rsidR="00511179" w:rsidRPr="00450410" w:rsidRDefault="005A60B4" w:rsidP="00930392">
            <w:pPr>
              <w:pStyle w:val="ListParagraph"/>
              <w:rPr>
                <w:rFonts w:cs="Arial"/>
                <w:szCs w:val="22"/>
                <w:lang w:bidi="ar-SA"/>
              </w:rPr>
            </w:pPr>
            <w:sdt>
              <w:sdtPr>
                <w:rPr>
                  <w:rFonts w:cs="Arial"/>
                  <w:szCs w:val="22"/>
                  <w:lang w:bidi="ar-SA"/>
                </w:rPr>
                <w:id w:val="78340099"/>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No</w:t>
            </w:r>
          </w:p>
          <w:p w:rsidR="00511179" w:rsidRPr="00450410" w:rsidRDefault="00511179" w:rsidP="00930392">
            <w:pPr>
              <w:rPr>
                <w:rFonts w:cs="Arial"/>
                <w:szCs w:val="22"/>
                <w:lang w:bidi="ar-SA"/>
              </w:rPr>
            </w:pPr>
          </w:p>
          <w:p w:rsidR="00511179" w:rsidRPr="00450410" w:rsidRDefault="005A60B4" w:rsidP="00930392">
            <w:pPr>
              <w:pStyle w:val="ListParagraph"/>
              <w:rPr>
                <w:rFonts w:cs="Arial"/>
                <w:szCs w:val="22"/>
                <w:lang w:bidi="ar-SA"/>
              </w:rPr>
            </w:pPr>
            <w:sdt>
              <w:sdtPr>
                <w:rPr>
                  <w:rFonts w:cs="Arial"/>
                  <w:szCs w:val="22"/>
                  <w:lang w:bidi="ar-SA"/>
                </w:rPr>
                <w:id w:val="-383335400"/>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Yes </w:t>
            </w:r>
          </w:p>
          <w:p w:rsidR="00511179" w:rsidRPr="00450410" w:rsidRDefault="00511179" w:rsidP="00930392">
            <w:pPr>
              <w:rPr>
                <w:rFonts w:cs="Arial"/>
                <w:szCs w:val="22"/>
                <w:lang w:bidi="ar-SA"/>
              </w:rPr>
            </w:pPr>
          </w:p>
          <w:p w:rsidR="00511179" w:rsidRPr="00450410" w:rsidRDefault="00511179" w:rsidP="00930392">
            <w:pPr>
              <w:rPr>
                <w:rFonts w:cs="Arial"/>
                <w:i/>
                <w:szCs w:val="22"/>
                <w:lang w:bidi="ar-SA"/>
              </w:rPr>
            </w:pPr>
            <w:r w:rsidRPr="00450410">
              <w:rPr>
                <w:rFonts w:cs="Arial"/>
                <w:i/>
                <w:szCs w:val="22"/>
                <w:lang w:bidi="ar-SA"/>
              </w:rPr>
              <w:t>Please expand on your response</w:t>
            </w:r>
          </w:p>
          <w:tbl>
            <w:tblPr>
              <w:tblStyle w:val="TableGrid"/>
              <w:tblW w:w="0" w:type="auto"/>
              <w:tblLayout w:type="fixed"/>
              <w:tblLook w:val="04A0" w:firstRow="1" w:lastRow="0" w:firstColumn="1" w:lastColumn="0" w:noHBand="0" w:noVBand="1"/>
            </w:tblPr>
            <w:tblGrid>
              <w:gridCol w:w="7531"/>
            </w:tblGrid>
            <w:tr w:rsidR="005E5327" w:rsidTr="005E5327">
              <w:tc>
                <w:tcPr>
                  <w:tcW w:w="7531" w:type="dxa"/>
                </w:tcPr>
                <w:p w:rsidR="005E5327" w:rsidRDefault="005E5327" w:rsidP="00930392">
                  <w:pPr>
                    <w:rPr>
                      <w:rFonts w:cs="Arial"/>
                      <w:szCs w:val="22"/>
                      <w:lang w:bidi="ar-SA"/>
                    </w:rPr>
                  </w:pPr>
                </w:p>
              </w:tc>
            </w:tr>
          </w:tbl>
          <w:p w:rsidR="00511179" w:rsidRPr="00450410" w:rsidRDefault="00511179" w:rsidP="00930392">
            <w:pPr>
              <w:rPr>
                <w:rFonts w:cs="Arial"/>
                <w:szCs w:val="22"/>
                <w:lang w:bidi="ar-SA"/>
              </w:rPr>
            </w:pPr>
          </w:p>
          <w:p w:rsidR="00511179" w:rsidRPr="00450410" w:rsidRDefault="00511179" w:rsidP="00930392">
            <w:pPr>
              <w:rPr>
                <w:rFonts w:cs="Arial"/>
                <w:szCs w:val="22"/>
                <w:lang w:bidi="ar-SA"/>
              </w:rPr>
            </w:pPr>
          </w:p>
          <w:p w:rsidR="00D96A0D" w:rsidRDefault="00D96A0D" w:rsidP="00930392">
            <w:pPr>
              <w:rPr>
                <w:rFonts w:cs="Arial"/>
                <w:b/>
                <w:szCs w:val="22"/>
                <w:shd w:val="clear" w:color="auto" w:fill="EAF1DD" w:themeFill="accent3" w:themeFillTint="33"/>
                <w:lang w:bidi="ar-SA"/>
              </w:rPr>
            </w:pPr>
          </w:p>
          <w:p w:rsidR="00EC05B7" w:rsidRDefault="00EC05B7" w:rsidP="00930392">
            <w:pPr>
              <w:rPr>
                <w:rFonts w:cs="Arial"/>
                <w:b/>
                <w:szCs w:val="22"/>
                <w:shd w:val="clear" w:color="auto" w:fill="EAF1DD" w:themeFill="accent3" w:themeFillTint="33"/>
                <w:lang w:bidi="ar-SA"/>
              </w:rPr>
            </w:pPr>
          </w:p>
          <w:p w:rsidR="00071EB2" w:rsidRPr="00F93095" w:rsidRDefault="00071EB2" w:rsidP="00071EB2">
            <w:pPr>
              <w:rPr>
                <w:rFonts w:cs="Arial"/>
                <w:b/>
                <w:szCs w:val="22"/>
                <w:lang w:bidi="ar-SA"/>
              </w:rPr>
            </w:pPr>
            <w:r w:rsidRPr="008A0982">
              <w:rPr>
                <w:rFonts w:cs="Arial"/>
                <w:b/>
                <w:szCs w:val="22"/>
                <w:lang w:bidi="ar-SA"/>
              </w:rPr>
              <w:lastRenderedPageBreak/>
              <w:t xml:space="preserve">Question </w:t>
            </w:r>
            <w:r>
              <w:rPr>
                <w:rFonts w:cs="Arial"/>
                <w:b/>
                <w:szCs w:val="22"/>
                <w:lang w:bidi="ar-SA"/>
              </w:rPr>
              <w:t>1</w:t>
            </w:r>
            <w:r w:rsidR="0029795C">
              <w:rPr>
                <w:rFonts w:cs="Arial"/>
                <w:b/>
                <w:szCs w:val="22"/>
                <w:lang w:bidi="ar-SA"/>
              </w:rPr>
              <w:t>4</w:t>
            </w:r>
            <w:r w:rsidRPr="008A0982">
              <w:rPr>
                <w:rFonts w:cs="Arial"/>
                <w:b/>
                <w:szCs w:val="22"/>
                <w:lang w:bidi="ar-SA"/>
              </w:rPr>
              <w:t xml:space="preserve"> (</w:t>
            </w:r>
            <w:r w:rsidRPr="00F93095">
              <w:rPr>
                <w:rFonts w:cs="Arial"/>
                <w:i/>
                <w:szCs w:val="22"/>
                <w:lang w:bidi="ar-SA"/>
              </w:rPr>
              <w:t>refer to p.</w:t>
            </w:r>
            <w:r w:rsidR="00336D7B">
              <w:rPr>
                <w:rFonts w:cs="Arial"/>
                <w:i/>
                <w:szCs w:val="22"/>
                <w:lang w:bidi="ar-SA"/>
              </w:rPr>
              <w:t>18</w:t>
            </w:r>
            <w:r w:rsidRPr="008A0982">
              <w:rPr>
                <w:rFonts w:cs="Arial"/>
                <w:b/>
                <w:szCs w:val="22"/>
                <w:lang w:bidi="ar-SA"/>
              </w:rPr>
              <w:t>)</w:t>
            </w:r>
          </w:p>
          <w:p w:rsidR="00071EB2" w:rsidRDefault="00071EB2" w:rsidP="00071EB2">
            <w:pPr>
              <w:rPr>
                <w:rFonts w:cs="Arial"/>
                <w:b/>
                <w:szCs w:val="22"/>
                <w:lang w:bidi="ar-SA"/>
              </w:rPr>
            </w:pPr>
            <w:r>
              <w:rPr>
                <w:rFonts w:cs="Arial"/>
                <w:b/>
                <w:szCs w:val="22"/>
                <w:lang w:bidi="ar-SA"/>
              </w:rPr>
              <w:t>Would you see benefits if a more prescriptive approach to packaging regulations were introduced?</w:t>
            </w:r>
          </w:p>
          <w:p w:rsidR="00071EB2" w:rsidRDefault="00071EB2" w:rsidP="00071EB2">
            <w:pPr>
              <w:rPr>
                <w:rFonts w:cs="Arial"/>
                <w:b/>
                <w:szCs w:val="22"/>
                <w:lang w:bidi="ar-SA"/>
              </w:rPr>
            </w:pPr>
          </w:p>
          <w:p w:rsidR="00071EB2" w:rsidRPr="00450410" w:rsidRDefault="00071EB2" w:rsidP="00071EB2">
            <w:pPr>
              <w:rPr>
                <w:rFonts w:cs="Arial"/>
                <w:szCs w:val="22"/>
                <w:lang w:bidi="ar-SA"/>
              </w:rPr>
            </w:pPr>
          </w:p>
          <w:p w:rsidR="00071EB2" w:rsidRPr="00450410" w:rsidRDefault="005A60B4" w:rsidP="00071EB2">
            <w:pPr>
              <w:pStyle w:val="ListParagraph"/>
              <w:rPr>
                <w:rFonts w:cs="Arial"/>
                <w:szCs w:val="22"/>
                <w:lang w:bidi="ar-SA"/>
              </w:rPr>
            </w:pPr>
            <w:sdt>
              <w:sdtPr>
                <w:rPr>
                  <w:rFonts w:cs="Arial"/>
                  <w:szCs w:val="22"/>
                  <w:lang w:bidi="ar-SA"/>
                </w:rPr>
                <w:id w:val="310988095"/>
                <w14:checkbox>
                  <w14:checked w14:val="0"/>
                  <w14:checkedState w14:val="2612" w14:font="MS Gothic"/>
                  <w14:uncheckedState w14:val="2610" w14:font="MS Gothic"/>
                </w14:checkbox>
              </w:sdtPr>
              <w:sdtEndPr/>
              <w:sdtContent>
                <w:r w:rsidR="00071EB2" w:rsidRPr="00450410">
                  <w:rPr>
                    <w:rFonts w:ascii="MS Gothic" w:eastAsia="MS Gothic" w:hAnsi="MS Gothic" w:cs="MS Gothic" w:hint="eastAsia"/>
                    <w:szCs w:val="22"/>
                    <w:lang w:bidi="ar-SA"/>
                  </w:rPr>
                  <w:t>☐</w:t>
                </w:r>
              </w:sdtContent>
            </w:sdt>
            <w:r w:rsidR="00071EB2" w:rsidRPr="00450410">
              <w:rPr>
                <w:rFonts w:cs="Arial"/>
                <w:szCs w:val="22"/>
                <w:lang w:bidi="ar-SA"/>
              </w:rPr>
              <w:t xml:space="preserve">  No</w:t>
            </w:r>
          </w:p>
          <w:p w:rsidR="00071EB2" w:rsidRPr="00450410" w:rsidRDefault="00071EB2" w:rsidP="00071EB2">
            <w:pPr>
              <w:rPr>
                <w:rFonts w:cs="Arial"/>
                <w:szCs w:val="22"/>
                <w:lang w:bidi="ar-SA"/>
              </w:rPr>
            </w:pPr>
          </w:p>
          <w:p w:rsidR="00071EB2" w:rsidRPr="00450410" w:rsidRDefault="005A60B4" w:rsidP="00071EB2">
            <w:pPr>
              <w:pStyle w:val="ListParagraph"/>
              <w:rPr>
                <w:rFonts w:cs="Arial"/>
                <w:szCs w:val="22"/>
                <w:lang w:bidi="ar-SA"/>
              </w:rPr>
            </w:pPr>
            <w:sdt>
              <w:sdtPr>
                <w:rPr>
                  <w:rFonts w:cs="Arial"/>
                  <w:szCs w:val="22"/>
                  <w:lang w:bidi="ar-SA"/>
                </w:rPr>
                <w:id w:val="-1275703670"/>
                <w14:checkbox>
                  <w14:checked w14:val="0"/>
                  <w14:checkedState w14:val="2612" w14:font="MS Gothic"/>
                  <w14:uncheckedState w14:val="2610" w14:font="MS Gothic"/>
                </w14:checkbox>
              </w:sdtPr>
              <w:sdtEndPr/>
              <w:sdtContent>
                <w:r w:rsidR="00071EB2" w:rsidRPr="00450410">
                  <w:rPr>
                    <w:rFonts w:ascii="MS Gothic" w:eastAsia="MS Gothic" w:hAnsi="MS Gothic" w:cs="MS Gothic" w:hint="eastAsia"/>
                    <w:szCs w:val="22"/>
                    <w:lang w:bidi="ar-SA"/>
                  </w:rPr>
                  <w:t>☐</w:t>
                </w:r>
              </w:sdtContent>
            </w:sdt>
            <w:r w:rsidR="00071EB2" w:rsidRPr="00450410">
              <w:rPr>
                <w:rFonts w:cs="Arial"/>
                <w:szCs w:val="22"/>
                <w:lang w:bidi="ar-SA"/>
              </w:rPr>
              <w:t xml:space="preserve">  Yes </w:t>
            </w:r>
          </w:p>
          <w:p w:rsidR="00071EB2" w:rsidRPr="00450410" w:rsidRDefault="00071EB2" w:rsidP="00071EB2">
            <w:pPr>
              <w:rPr>
                <w:rFonts w:cs="Arial"/>
                <w:szCs w:val="22"/>
                <w:lang w:bidi="ar-SA"/>
              </w:rPr>
            </w:pPr>
          </w:p>
          <w:p w:rsidR="00071EB2" w:rsidRPr="00450410" w:rsidRDefault="00071EB2" w:rsidP="00071EB2">
            <w:pPr>
              <w:rPr>
                <w:rFonts w:cs="Arial"/>
                <w:i/>
                <w:szCs w:val="22"/>
                <w:lang w:bidi="ar-SA"/>
              </w:rPr>
            </w:pPr>
            <w:r w:rsidRPr="00450410">
              <w:rPr>
                <w:rFonts w:cs="Arial"/>
                <w:i/>
                <w:szCs w:val="22"/>
                <w:lang w:bidi="ar-SA"/>
              </w:rPr>
              <w:t>Please expand on your response</w:t>
            </w:r>
          </w:p>
          <w:tbl>
            <w:tblPr>
              <w:tblStyle w:val="TableGrid"/>
              <w:tblW w:w="0" w:type="auto"/>
              <w:tblLayout w:type="fixed"/>
              <w:tblLook w:val="04A0" w:firstRow="1" w:lastRow="0" w:firstColumn="1" w:lastColumn="0" w:noHBand="0" w:noVBand="1"/>
            </w:tblPr>
            <w:tblGrid>
              <w:gridCol w:w="7531"/>
            </w:tblGrid>
            <w:tr w:rsidR="005E5327" w:rsidTr="005E5327">
              <w:tc>
                <w:tcPr>
                  <w:tcW w:w="7531" w:type="dxa"/>
                </w:tcPr>
                <w:p w:rsidR="005E5327" w:rsidRDefault="005E5327" w:rsidP="00071EB2">
                  <w:pPr>
                    <w:rPr>
                      <w:rFonts w:cs="Arial"/>
                      <w:szCs w:val="22"/>
                      <w:lang w:bidi="ar-SA"/>
                    </w:rPr>
                  </w:pPr>
                </w:p>
              </w:tc>
            </w:tr>
          </w:tbl>
          <w:p w:rsidR="00071EB2" w:rsidRPr="00450410" w:rsidRDefault="00071EB2" w:rsidP="00071EB2">
            <w:pPr>
              <w:rPr>
                <w:rFonts w:cs="Arial"/>
                <w:szCs w:val="22"/>
                <w:lang w:bidi="ar-SA"/>
              </w:rPr>
            </w:pPr>
          </w:p>
          <w:p w:rsidR="00071EB2" w:rsidRPr="00450410" w:rsidRDefault="00071EB2" w:rsidP="00071EB2">
            <w:pPr>
              <w:rPr>
                <w:rFonts w:cs="Arial"/>
                <w:szCs w:val="22"/>
                <w:lang w:bidi="ar-SA"/>
              </w:rPr>
            </w:pPr>
          </w:p>
          <w:p w:rsidR="00511179" w:rsidRPr="00450410" w:rsidRDefault="00511179" w:rsidP="0029795C">
            <w:pPr>
              <w:rPr>
                <w:rFonts w:cs="Arial"/>
                <w:szCs w:val="22"/>
                <w:lang w:bidi="ar-SA"/>
              </w:rPr>
            </w:pPr>
            <w:r w:rsidRPr="00F93095">
              <w:rPr>
                <w:rFonts w:cs="Arial"/>
                <w:b/>
                <w:szCs w:val="22"/>
                <w:lang w:bidi="ar-SA"/>
              </w:rPr>
              <w:t>Question 1</w:t>
            </w:r>
            <w:r w:rsidR="0029795C">
              <w:rPr>
                <w:rFonts w:cs="Arial"/>
                <w:b/>
                <w:szCs w:val="22"/>
                <w:lang w:bidi="ar-SA"/>
              </w:rPr>
              <w:t>5</w:t>
            </w:r>
            <w:r w:rsidR="00071EB2">
              <w:rPr>
                <w:rFonts w:cs="Arial"/>
                <w:b/>
                <w:szCs w:val="22"/>
                <w:lang w:bidi="ar-SA"/>
              </w:rPr>
              <w:t xml:space="preserve"> </w:t>
            </w:r>
            <w:r w:rsidRPr="00F93095">
              <w:rPr>
                <w:rFonts w:cs="Arial"/>
                <w:i/>
                <w:szCs w:val="22"/>
                <w:lang w:bidi="ar-SA"/>
              </w:rPr>
              <w:t>(refer to p.</w:t>
            </w:r>
            <w:r w:rsidR="00336D7B">
              <w:rPr>
                <w:rFonts w:cs="Arial"/>
                <w:i/>
                <w:szCs w:val="22"/>
                <w:lang w:bidi="ar-SA"/>
              </w:rPr>
              <w:t>18</w:t>
            </w:r>
            <w:r w:rsidRPr="00F93095">
              <w:rPr>
                <w:rFonts w:cs="Arial"/>
                <w:i/>
                <w:szCs w:val="22"/>
                <w:lang w:bidi="ar-SA"/>
              </w:rPr>
              <w:t>)</w:t>
            </w:r>
          </w:p>
        </w:tc>
      </w:tr>
      <w:tr w:rsidR="00511179" w:rsidRPr="00450410" w:rsidTr="00930392">
        <w:tc>
          <w:tcPr>
            <w:tcW w:w="7762" w:type="dxa"/>
          </w:tcPr>
          <w:p w:rsidR="00511179" w:rsidRPr="00450410" w:rsidRDefault="00EC05B7" w:rsidP="00930392">
            <w:pPr>
              <w:rPr>
                <w:rFonts w:cs="Arial"/>
                <w:b/>
                <w:szCs w:val="22"/>
                <w:lang w:bidi="ar-SA"/>
              </w:rPr>
            </w:pPr>
            <w:r w:rsidRPr="00F93095">
              <w:rPr>
                <w:rFonts w:cs="Arial"/>
                <w:b/>
                <w:szCs w:val="22"/>
                <w:lang w:bidi="ar-SA"/>
              </w:rPr>
              <w:lastRenderedPageBreak/>
              <w:t>Regardless of whether you buy or manufacture packaging, do you have a food safety or quality management program for that packaging?</w:t>
            </w:r>
            <w:r w:rsidR="00511179" w:rsidRPr="00450410">
              <w:rPr>
                <w:rFonts w:cs="Arial"/>
                <w:b/>
                <w:szCs w:val="22"/>
                <w:lang w:bidi="ar-SA"/>
              </w:rPr>
              <w:tab/>
            </w:r>
          </w:p>
          <w:p w:rsidR="00511179" w:rsidRPr="00450410" w:rsidRDefault="00511179" w:rsidP="00930392">
            <w:pPr>
              <w:rPr>
                <w:rFonts w:cs="Arial"/>
                <w:szCs w:val="22"/>
                <w:lang w:bidi="ar-SA"/>
              </w:rPr>
            </w:pPr>
          </w:p>
          <w:p w:rsidR="00511179" w:rsidRPr="00450410" w:rsidRDefault="005A60B4" w:rsidP="00930392">
            <w:pPr>
              <w:pStyle w:val="ListParagraph"/>
              <w:rPr>
                <w:rFonts w:cs="Arial"/>
                <w:szCs w:val="22"/>
                <w:lang w:bidi="ar-SA"/>
              </w:rPr>
            </w:pPr>
            <w:sdt>
              <w:sdtPr>
                <w:rPr>
                  <w:rFonts w:cs="Arial"/>
                  <w:szCs w:val="22"/>
                  <w:lang w:bidi="ar-SA"/>
                </w:rPr>
                <w:id w:val="1834879856"/>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No</w:t>
            </w:r>
          </w:p>
          <w:p w:rsidR="00511179" w:rsidRPr="00450410" w:rsidRDefault="00511179" w:rsidP="00930392">
            <w:pPr>
              <w:rPr>
                <w:rFonts w:cs="Arial"/>
                <w:szCs w:val="22"/>
                <w:lang w:bidi="ar-SA"/>
              </w:rPr>
            </w:pPr>
          </w:p>
          <w:p w:rsidR="00511179" w:rsidRPr="00450410" w:rsidRDefault="005A60B4" w:rsidP="00930392">
            <w:pPr>
              <w:pStyle w:val="ListParagraph"/>
              <w:rPr>
                <w:rFonts w:cs="Arial"/>
                <w:szCs w:val="22"/>
                <w:lang w:bidi="ar-SA"/>
              </w:rPr>
            </w:pPr>
            <w:sdt>
              <w:sdtPr>
                <w:rPr>
                  <w:rFonts w:cs="Arial"/>
                  <w:szCs w:val="22"/>
                  <w:lang w:bidi="ar-SA"/>
                </w:rPr>
                <w:id w:val="-1725430339"/>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Yes </w:t>
            </w:r>
          </w:p>
          <w:p w:rsidR="00511179" w:rsidRPr="00450410" w:rsidRDefault="00511179" w:rsidP="00930392">
            <w:pPr>
              <w:rPr>
                <w:rFonts w:cs="Arial"/>
                <w:szCs w:val="22"/>
                <w:lang w:bidi="ar-SA"/>
              </w:rPr>
            </w:pPr>
          </w:p>
          <w:p w:rsidR="00511179" w:rsidRPr="00450410" w:rsidRDefault="00511179" w:rsidP="00930392">
            <w:pPr>
              <w:rPr>
                <w:rFonts w:cs="Arial"/>
                <w:i/>
                <w:szCs w:val="22"/>
                <w:lang w:bidi="ar-SA"/>
              </w:rPr>
            </w:pPr>
            <w:r w:rsidRPr="00450410">
              <w:rPr>
                <w:rFonts w:cs="Arial"/>
                <w:i/>
                <w:szCs w:val="22"/>
                <w:lang w:bidi="ar-SA"/>
              </w:rPr>
              <w:t>Please expand on your response</w:t>
            </w:r>
          </w:p>
          <w:tbl>
            <w:tblPr>
              <w:tblStyle w:val="TableGrid"/>
              <w:tblW w:w="0" w:type="auto"/>
              <w:tblLayout w:type="fixed"/>
              <w:tblLook w:val="04A0" w:firstRow="1" w:lastRow="0" w:firstColumn="1" w:lastColumn="0" w:noHBand="0" w:noVBand="1"/>
            </w:tblPr>
            <w:tblGrid>
              <w:gridCol w:w="7531"/>
            </w:tblGrid>
            <w:tr w:rsidR="005E5327" w:rsidTr="005E5327">
              <w:tc>
                <w:tcPr>
                  <w:tcW w:w="7531" w:type="dxa"/>
                </w:tcPr>
                <w:p w:rsidR="005E5327" w:rsidRDefault="005E5327" w:rsidP="00930392">
                  <w:pPr>
                    <w:rPr>
                      <w:rFonts w:cs="Arial"/>
                      <w:szCs w:val="22"/>
                      <w:lang w:bidi="ar-SA"/>
                    </w:rPr>
                  </w:pPr>
                </w:p>
              </w:tc>
            </w:tr>
          </w:tbl>
          <w:p w:rsidR="00511179" w:rsidRPr="00450410" w:rsidRDefault="00511179" w:rsidP="00930392">
            <w:pPr>
              <w:rPr>
                <w:rFonts w:cs="Arial"/>
                <w:szCs w:val="22"/>
                <w:lang w:bidi="ar-SA"/>
              </w:rPr>
            </w:pPr>
          </w:p>
          <w:p w:rsidR="00E21A65" w:rsidRPr="00450410" w:rsidRDefault="00E21A65" w:rsidP="00930392">
            <w:pPr>
              <w:rPr>
                <w:rFonts w:cs="Arial"/>
                <w:szCs w:val="22"/>
                <w:lang w:bidi="ar-SA"/>
              </w:rPr>
            </w:pPr>
          </w:p>
        </w:tc>
      </w:tr>
      <w:tr w:rsidR="00511179" w:rsidRPr="00450410" w:rsidTr="00930392">
        <w:tc>
          <w:tcPr>
            <w:tcW w:w="7762" w:type="dxa"/>
          </w:tcPr>
          <w:p w:rsidR="00511179" w:rsidRPr="00450410" w:rsidRDefault="00511179" w:rsidP="00F93095">
            <w:pPr>
              <w:rPr>
                <w:rFonts w:cs="Arial"/>
                <w:szCs w:val="22"/>
                <w:lang w:bidi="ar-SA"/>
              </w:rPr>
            </w:pPr>
            <w:r w:rsidRPr="00450410">
              <w:rPr>
                <w:rFonts w:cs="Arial"/>
                <w:b/>
                <w:szCs w:val="22"/>
                <w:lang w:bidi="ar-SA"/>
              </w:rPr>
              <w:t>Question 1</w:t>
            </w:r>
            <w:r w:rsidR="0029795C">
              <w:rPr>
                <w:rFonts w:cs="Arial"/>
                <w:b/>
                <w:szCs w:val="22"/>
                <w:lang w:bidi="ar-SA"/>
              </w:rPr>
              <w:t>6</w:t>
            </w:r>
            <w:r w:rsidRPr="00450410">
              <w:rPr>
                <w:rFonts w:cs="Arial"/>
                <w:b/>
                <w:szCs w:val="22"/>
                <w:lang w:bidi="ar-SA"/>
              </w:rPr>
              <w:t xml:space="preserve"> </w:t>
            </w:r>
            <w:r w:rsidRPr="00450410">
              <w:rPr>
                <w:rFonts w:cs="Arial"/>
                <w:i/>
                <w:szCs w:val="22"/>
                <w:lang w:bidi="ar-SA"/>
              </w:rPr>
              <w:t>(refer to p.</w:t>
            </w:r>
            <w:r w:rsidR="00336D7B">
              <w:rPr>
                <w:rFonts w:cs="Arial"/>
                <w:i/>
                <w:szCs w:val="22"/>
                <w:lang w:bidi="ar-SA"/>
              </w:rPr>
              <w:t>18</w:t>
            </w:r>
            <w:r w:rsidRPr="00450410">
              <w:rPr>
                <w:rFonts w:cs="Arial"/>
                <w:i/>
                <w:szCs w:val="22"/>
                <w:lang w:bidi="ar-SA"/>
              </w:rPr>
              <w:t>)</w:t>
            </w:r>
          </w:p>
          <w:p w:rsidR="00511179" w:rsidRPr="00450410" w:rsidRDefault="00511179" w:rsidP="00F93095">
            <w:pPr>
              <w:rPr>
                <w:rFonts w:cs="Arial"/>
                <w:b/>
                <w:szCs w:val="22"/>
                <w:lang w:bidi="ar-SA"/>
              </w:rPr>
            </w:pPr>
            <w:r w:rsidRPr="00450410">
              <w:rPr>
                <w:rFonts w:eastAsia="Calibri" w:cs="Arial"/>
                <w:b/>
                <w:szCs w:val="22"/>
                <w:lang w:bidi="ar-SA"/>
              </w:rPr>
              <w:t>What are the key elements pertaining to chemical migration from packaging of this program (if you have one)</w:t>
            </w:r>
            <w:r w:rsidRPr="00450410">
              <w:rPr>
                <w:rFonts w:cs="Arial"/>
                <w:b/>
                <w:szCs w:val="22"/>
                <w:lang w:bidi="ar-SA"/>
              </w:rPr>
              <w:t>?</w:t>
            </w:r>
          </w:p>
          <w:p w:rsidR="00511179" w:rsidRPr="00450410" w:rsidRDefault="00511179" w:rsidP="00F93095">
            <w:pPr>
              <w:rPr>
                <w:rFonts w:cs="Arial"/>
                <w:b/>
                <w:szCs w:val="22"/>
                <w:lang w:bidi="ar-SA"/>
              </w:rPr>
            </w:pPr>
            <w:r w:rsidRPr="00450410">
              <w:rPr>
                <w:rFonts w:cs="Arial"/>
                <w:b/>
                <w:szCs w:val="22"/>
                <w:lang w:bidi="ar-SA"/>
              </w:rPr>
              <w:t xml:space="preserve">For example, do you comply with a </w:t>
            </w:r>
            <w:r w:rsidR="00EC05B7">
              <w:rPr>
                <w:rFonts w:cs="Arial"/>
                <w:b/>
                <w:szCs w:val="22"/>
                <w:lang w:bidi="ar-SA"/>
              </w:rPr>
              <w:t>c</w:t>
            </w:r>
            <w:r w:rsidRPr="00450410">
              <w:rPr>
                <w:rFonts w:cs="Arial"/>
                <w:b/>
                <w:szCs w:val="22"/>
                <w:lang w:bidi="ar-SA"/>
              </w:rPr>
              <w:t xml:space="preserve">ode of </w:t>
            </w:r>
            <w:r w:rsidR="00EC05B7">
              <w:rPr>
                <w:rFonts w:cs="Arial"/>
                <w:b/>
                <w:szCs w:val="22"/>
                <w:lang w:bidi="ar-SA"/>
              </w:rPr>
              <w:t>p</w:t>
            </w:r>
            <w:r w:rsidRPr="00450410">
              <w:rPr>
                <w:rFonts w:cs="Arial"/>
                <w:b/>
                <w:szCs w:val="22"/>
                <w:lang w:bidi="ar-SA"/>
              </w:rPr>
              <w:t xml:space="preserve">ractice(s) or a specialist customised in-house program. </w:t>
            </w:r>
          </w:p>
          <w:p w:rsidR="00511179" w:rsidRPr="00450410" w:rsidRDefault="00511179" w:rsidP="00930392">
            <w:pPr>
              <w:rPr>
                <w:rFonts w:cs="Arial"/>
                <w:szCs w:val="22"/>
                <w:lang w:bidi="ar-SA"/>
              </w:rPr>
            </w:pPr>
          </w:p>
          <w:p w:rsidR="00511179" w:rsidRPr="00450410" w:rsidRDefault="005A60B4" w:rsidP="00930392">
            <w:pPr>
              <w:pStyle w:val="ListParagraph"/>
              <w:rPr>
                <w:rFonts w:cs="Arial"/>
                <w:szCs w:val="22"/>
                <w:lang w:bidi="ar-SA"/>
              </w:rPr>
            </w:pPr>
            <w:sdt>
              <w:sdtPr>
                <w:rPr>
                  <w:rFonts w:cs="Arial"/>
                  <w:szCs w:val="22"/>
                  <w:lang w:bidi="ar-SA"/>
                </w:rPr>
                <w:id w:val="-1555612636"/>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Comply with requirements in Australia New Zealand Food Standards Code</w:t>
            </w:r>
          </w:p>
          <w:p w:rsidR="00511179" w:rsidRPr="00450410" w:rsidRDefault="005A60B4" w:rsidP="00930392">
            <w:pPr>
              <w:pStyle w:val="ListParagraph"/>
              <w:rPr>
                <w:rFonts w:cs="Arial"/>
                <w:szCs w:val="22"/>
                <w:lang w:bidi="ar-SA"/>
              </w:rPr>
            </w:pPr>
            <w:sdt>
              <w:sdtPr>
                <w:rPr>
                  <w:rFonts w:cs="Arial"/>
                  <w:szCs w:val="22"/>
                  <w:lang w:bidi="ar-SA"/>
                </w:rPr>
                <w:id w:val="452676446"/>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Comply with AS 2070-1999</w:t>
            </w:r>
          </w:p>
          <w:p w:rsidR="00511179" w:rsidRPr="00450410" w:rsidRDefault="005A60B4" w:rsidP="00930392">
            <w:pPr>
              <w:pStyle w:val="ListParagraph"/>
              <w:rPr>
                <w:rFonts w:cs="Arial"/>
                <w:szCs w:val="22"/>
                <w:lang w:bidi="ar-SA"/>
              </w:rPr>
            </w:pPr>
            <w:sdt>
              <w:sdtPr>
                <w:rPr>
                  <w:rFonts w:cs="Arial"/>
                  <w:szCs w:val="22"/>
                  <w:lang w:bidi="ar-SA"/>
                </w:rPr>
                <w:id w:val="-98575805"/>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Comply with Good Manufacturing Practice</w:t>
            </w:r>
          </w:p>
          <w:p w:rsidR="00511179" w:rsidRPr="00450410" w:rsidRDefault="005A60B4" w:rsidP="00930392">
            <w:pPr>
              <w:pStyle w:val="ListParagraph"/>
              <w:rPr>
                <w:rFonts w:cs="Arial"/>
                <w:szCs w:val="22"/>
                <w:lang w:bidi="ar-SA"/>
              </w:rPr>
            </w:pPr>
            <w:sdt>
              <w:sdtPr>
                <w:rPr>
                  <w:rFonts w:cs="Arial"/>
                  <w:szCs w:val="22"/>
                  <w:lang w:bidi="ar-SA"/>
                </w:rPr>
                <w:id w:val="-70203873"/>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Comply with EU regulations</w:t>
            </w:r>
          </w:p>
          <w:p w:rsidR="00511179" w:rsidRPr="00450410" w:rsidRDefault="005A60B4" w:rsidP="00930392">
            <w:pPr>
              <w:pStyle w:val="ListParagraph"/>
              <w:rPr>
                <w:rFonts w:cs="Arial"/>
                <w:szCs w:val="22"/>
                <w:lang w:bidi="ar-SA"/>
              </w:rPr>
            </w:pPr>
            <w:sdt>
              <w:sdtPr>
                <w:rPr>
                  <w:rFonts w:cs="Arial"/>
                  <w:szCs w:val="22"/>
                  <w:lang w:bidi="ar-SA"/>
                </w:rPr>
                <w:id w:val="-1727992151"/>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Comply with US regulations</w:t>
            </w:r>
          </w:p>
          <w:p w:rsidR="00511179" w:rsidRPr="00450410" w:rsidRDefault="005A60B4" w:rsidP="00930392">
            <w:pPr>
              <w:pStyle w:val="ListParagraph"/>
              <w:rPr>
                <w:rFonts w:cs="Arial"/>
                <w:szCs w:val="22"/>
                <w:lang w:bidi="ar-SA"/>
              </w:rPr>
            </w:pPr>
            <w:sdt>
              <w:sdtPr>
                <w:rPr>
                  <w:rFonts w:cs="Arial"/>
                  <w:szCs w:val="22"/>
                  <w:lang w:bidi="ar-SA"/>
                </w:rPr>
                <w:id w:val="-2050520033"/>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Comply with CoP (if so, which?)</w:t>
            </w:r>
            <w:r w:rsidR="00AC00A3">
              <w:rPr>
                <w:rFonts w:cs="Arial"/>
                <w:szCs w:val="22"/>
                <w:lang w:bidi="ar-SA"/>
              </w:rPr>
              <w:t xml:space="preserve"> </w:t>
            </w:r>
          </w:p>
          <w:p w:rsidR="00511179" w:rsidRDefault="005A60B4" w:rsidP="00930392">
            <w:pPr>
              <w:pStyle w:val="ListParagraph"/>
              <w:rPr>
                <w:rFonts w:cs="Arial"/>
                <w:szCs w:val="22"/>
                <w:lang w:bidi="ar-SA"/>
              </w:rPr>
            </w:pPr>
            <w:sdt>
              <w:sdtPr>
                <w:rPr>
                  <w:rFonts w:cs="Arial"/>
                  <w:szCs w:val="22"/>
                  <w:lang w:bidi="ar-SA"/>
                </w:rPr>
                <w:id w:val="1017962429"/>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Comply with customised in-house program</w:t>
            </w:r>
          </w:p>
          <w:p w:rsidR="00511179" w:rsidRPr="00450410" w:rsidRDefault="005A60B4" w:rsidP="00930392">
            <w:pPr>
              <w:pStyle w:val="ListParagraph"/>
              <w:rPr>
                <w:rFonts w:cs="Arial"/>
                <w:szCs w:val="22"/>
                <w:lang w:bidi="ar-SA"/>
              </w:rPr>
            </w:pPr>
            <w:sdt>
              <w:sdtPr>
                <w:rPr>
                  <w:rFonts w:cs="Arial"/>
                  <w:szCs w:val="22"/>
                  <w:lang w:bidi="ar-SA"/>
                </w:rPr>
                <w:id w:val="-691306323"/>
                <w14:checkbox>
                  <w14:checked w14:val="0"/>
                  <w14:checkedState w14:val="2612" w14:font="MS Gothic"/>
                  <w14:uncheckedState w14:val="2610" w14:font="MS Gothic"/>
                </w14:checkbox>
              </w:sdtPr>
              <w:sdtEndPr/>
              <w:sdtContent>
                <w:r w:rsidR="00511179">
                  <w:rPr>
                    <w:rFonts w:ascii="MS Gothic" w:eastAsia="MS Gothic" w:hAnsi="MS Gothic" w:cs="Arial" w:hint="eastAsia"/>
                    <w:szCs w:val="22"/>
                    <w:lang w:bidi="ar-SA"/>
                  </w:rPr>
                  <w:t>☐</w:t>
                </w:r>
              </w:sdtContent>
            </w:sdt>
            <w:r w:rsidR="00AC00A3">
              <w:rPr>
                <w:rFonts w:cs="Arial"/>
                <w:szCs w:val="22"/>
                <w:lang w:bidi="ar-SA"/>
              </w:rPr>
              <w:t xml:space="preserve">  En</w:t>
            </w:r>
            <w:r w:rsidR="00511179">
              <w:rPr>
                <w:rFonts w:cs="Arial"/>
                <w:szCs w:val="22"/>
                <w:lang w:bidi="ar-SA"/>
              </w:rPr>
              <w:t>sure through chain product stewardship</w:t>
            </w:r>
          </w:p>
          <w:p w:rsidR="00511179" w:rsidRPr="00450410" w:rsidRDefault="005A60B4" w:rsidP="00930392">
            <w:pPr>
              <w:pStyle w:val="ListParagraph"/>
              <w:rPr>
                <w:rFonts w:cs="Arial"/>
                <w:szCs w:val="22"/>
                <w:lang w:bidi="ar-SA"/>
              </w:rPr>
            </w:pPr>
            <w:sdt>
              <w:sdtPr>
                <w:rPr>
                  <w:rFonts w:cs="Arial"/>
                  <w:szCs w:val="22"/>
                  <w:lang w:bidi="ar-SA"/>
                </w:rPr>
                <w:id w:val="-951404574"/>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Other</w:t>
            </w:r>
          </w:p>
        </w:tc>
      </w:tr>
      <w:tr w:rsidR="00511179" w:rsidRPr="00450410" w:rsidTr="00F93095">
        <w:tc>
          <w:tcPr>
            <w:tcW w:w="7762" w:type="dxa"/>
            <w:shd w:val="clear" w:color="auto" w:fill="auto"/>
          </w:tcPr>
          <w:tbl>
            <w:tblPr>
              <w:tblStyle w:val="TableGrid"/>
              <w:tblW w:w="0" w:type="auto"/>
              <w:tblLayout w:type="fixed"/>
              <w:tblLook w:val="04A0" w:firstRow="1" w:lastRow="0" w:firstColumn="1" w:lastColumn="0" w:noHBand="0" w:noVBand="1"/>
            </w:tblPr>
            <w:tblGrid>
              <w:gridCol w:w="7531"/>
            </w:tblGrid>
            <w:tr w:rsidR="005E5327" w:rsidTr="005E5327">
              <w:tc>
                <w:tcPr>
                  <w:tcW w:w="7531" w:type="dxa"/>
                </w:tcPr>
                <w:p w:rsidR="005E5327" w:rsidRDefault="005E5327" w:rsidP="00930392">
                  <w:pPr>
                    <w:rPr>
                      <w:rFonts w:cs="Arial"/>
                      <w:szCs w:val="22"/>
                      <w:lang w:bidi="ar-SA"/>
                    </w:rPr>
                  </w:pPr>
                </w:p>
              </w:tc>
            </w:tr>
          </w:tbl>
          <w:p w:rsidR="00511179" w:rsidRPr="00450410" w:rsidRDefault="00511179" w:rsidP="00930392">
            <w:pPr>
              <w:rPr>
                <w:rFonts w:cs="Arial"/>
                <w:szCs w:val="22"/>
                <w:lang w:bidi="ar-SA"/>
              </w:rPr>
            </w:pPr>
          </w:p>
          <w:p w:rsidR="00FA3E8F" w:rsidRDefault="00FA3E8F" w:rsidP="00930392">
            <w:pPr>
              <w:rPr>
                <w:rFonts w:cs="Arial"/>
                <w:b/>
                <w:szCs w:val="22"/>
                <w:lang w:bidi="ar-SA"/>
              </w:rPr>
            </w:pPr>
          </w:p>
          <w:p w:rsidR="005E5327" w:rsidRDefault="005E5327" w:rsidP="00930392">
            <w:pPr>
              <w:rPr>
                <w:rFonts w:cs="Arial"/>
                <w:b/>
                <w:szCs w:val="22"/>
                <w:lang w:bidi="ar-SA"/>
              </w:rPr>
            </w:pPr>
          </w:p>
          <w:p w:rsidR="005E5327" w:rsidRDefault="005E5327" w:rsidP="00930392">
            <w:pPr>
              <w:rPr>
                <w:rFonts w:cs="Arial"/>
                <w:b/>
                <w:szCs w:val="22"/>
                <w:lang w:bidi="ar-SA"/>
              </w:rPr>
            </w:pPr>
          </w:p>
          <w:p w:rsidR="005E5327" w:rsidRDefault="005E5327" w:rsidP="00930392">
            <w:pPr>
              <w:rPr>
                <w:rFonts w:cs="Arial"/>
                <w:b/>
                <w:szCs w:val="22"/>
                <w:lang w:bidi="ar-SA"/>
              </w:rPr>
            </w:pPr>
          </w:p>
          <w:p w:rsidR="005E5327" w:rsidRDefault="005E5327" w:rsidP="00930392">
            <w:pPr>
              <w:rPr>
                <w:rFonts w:cs="Arial"/>
                <w:b/>
                <w:szCs w:val="22"/>
                <w:lang w:bidi="ar-SA"/>
              </w:rPr>
            </w:pPr>
          </w:p>
          <w:p w:rsidR="005E5327" w:rsidRDefault="005E5327" w:rsidP="00930392">
            <w:pPr>
              <w:rPr>
                <w:rFonts w:cs="Arial"/>
                <w:b/>
                <w:szCs w:val="22"/>
                <w:lang w:bidi="ar-SA"/>
              </w:rPr>
            </w:pPr>
          </w:p>
          <w:p w:rsidR="005E5327" w:rsidRDefault="005E5327" w:rsidP="00930392">
            <w:pPr>
              <w:rPr>
                <w:rFonts w:cs="Arial"/>
                <w:b/>
                <w:szCs w:val="22"/>
                <w:lang w:bidi="ar-SA"/>
              </w:rPr>
            </w:pPr>
          </w:p>
          <w:p w:rsidR="005E5327" w:rsidRDefault="005E5327" w:rsidP="00930392">
            <w:pPr>
              <w:rPr>
                <w:rFonts w:cs="Arial"/>
                <w:b/>
                <w:szCs w:val="22"/>
                <w:lang w:bidi="ar-SA"/>
              </w:rPr>
            </w:pPr>
          </w:p>
          <w:p w:rsidR="00F93095" w:rsidRDefault="00F93095" w:rsidP="00930392">
            <w:pPr>
              <w:rPr>
                <w:rFonts w:cs="Arial"/>
                <w:i/>
                <w:szCs w:val="22"/>
                <w:shd w:val="clear" w:color="auto" w:fill="EAF1DD" w:themeFill="accent3" w:themeFillTint="33"/>
                <w:lang w:bidi="ar-SA"/>
              </w:rPr>
            </w:pPr>
          </w:p>
          <w:p w:rsidR="00FA3E8F" w:rsidRDefault="00FA3E8F" w:rsidP="00FA3E8F">
            <w:pPr>
              <w:widowControl/>
              <w:rPr>
                <w:rFonts w:cs="Arial"/>
                <w:b/>
                <w:sz w:val="28"/>
                <w:szCs w:val="28"/>
                <w:lang w:bidi="ar-SA"/>
              </w:rPr>
            </w:pPr>
          </w:p>
          <w:p w:rsidR="00511179" w:rsidRPr="00450410" w:rsidRDefault="00511179" w:rsidP="0029795C">
            <w:pPr>
              <w:rPr>
                <w:rFonts w:cs="Arial"/>
                <w:szCs w:val="22"/>
                <w:lang w:bidi="ar-SA"/>
              </w:rPr>
            </w:pPr>
            <w:r w:rsidRPr="00F93095">
              <w:rPr>
                <w:rFonts w:cs="Arial"/>
                <w:b/>
                <w:szCs w:val="22"/>
                <w:lang w:bidi="ar-SA"/>
              </w:rPr>
              <w:lastRenderedPageBreak/>
              <w:t>Question 1</w:t>
            </w:r>
            <w:r w:rsidR="0029795C">
              <w:rPr>
                <w:rFonts w:cs="Arial"/>
                <w:b/>
                <w:szCs w:val="22"/>
                <w:lang w:bidi="ar-SA"/>
              </w:rPr>
              <w:t>7</w:t>
            </w:r>
            <w:r w:rsidRPr="00F93095">
              <w:rPr>
                <w:rFonts w:cs="Arial"/>
                <w:b/>
                <w:szCs w:val="22"/>
                <w:lang w:bidi="ar-SA"/>
              </w:rPr>
              <w:t xml:space="preserve"> </w:t>
            </w:r>
            <w:r w:rsidRPr="00F93095">
              <w:rPr>
                <w:rFonts w:cs="Arial"/>
                <w:i/>
                <w:szCs w:val="22"/>
                <w:lang w:bidi="ar-SA"/>
              </w:rPr>
              <w:t>(refer to p.</w:t>
            </w:r>
            <w:r w:rsidR="00336D7B">
              <w:rPr>
                <w:rFonts w:cs="Arial"/>
                <w:i/>
                <w:szCs w:val="22"/>
                <w:lang w:bidi="ar-SA"/>
              </w:rPr>
              <w:t>18</w:t>
            </w:r>
            <w:r w:rsidRPr="00F93095">
              <w:rPr>
                <w:rFonts w:cs="Arial"/>
                <w:i/>
                <w:szCs w:val="22"/>
                <w:lang w:bidi="ar-SA"/>
              </w:rPr>
              <w:t>)</w:t>
            </w:r>
          </w:p>
        </w:tc>
      </w:tr>
      <w:tr w:rsidR="00511179" w:rsidRPr="00450410" w:rsidTr="00F93095">
        <w:tc>
          <w:tcPr>
            <w:tcW w:w="7762" w:type="dxa"/>
            <w:shd w:val="clear" w:color="auto" w:fill="auto"/>
          </w:tcPr>
          <w:p w:rsidR="00511179" w:rsidRPr="00450410" w:rsidRDefault="00511179" w:rsidP="0088161A">
            <w:pPr>
              <w:rPr>
                <w:rFonts w:cs="Arial"/>
                <w:b/>
                <w:szCs w:val="22"/>
                <w:lang w:bidi="ar-SA"/>
              </w:rPr>
            </w:pPr>
            <w:r w:rsidRPr="00450410">
              <w:rPr>
                <w:rFonts w:cs="Arial"/>
                <w:b/>
                <w:szCs w:val="22"/>
                <w:lang w:bidi="ar-SA"/>
              </w:rPr>
              <w:lastRenderedPageBreak/>
              <w:t xml:space="preserve">As a food business, what quality assurance and quality controls do you currently </w:t>
            </w:r>
            <w:r w:rsidR="0088161A">
              <w:rPr>
                <w:rFonts w:cs="Arial"/>
                <w:b/>
                <w:szCs w:val="22"/>
                <w:lang w:bidi="ar-SA"/>
              </w:rPr>
              <w:t>use</w:t>
            </w:r>
            <w:r w:rsidRPr="00450410">
              <w:rPr>
                <w:rFonts w:cs="Arial"/>
                <w:b/>
                <w:szCs w:val="22"/>
                <w:lang w:bidi="ar-SA"/>
              </w:rPr>
              <w:t xml:space="preserve"> to mitigate risks from CMPF?  Please provide examples.</w:t>
            </w:r>
          </w:p>
        </w:tc>
      </w:tr>
    </w:tbl>
    <w:p w:rsidR="00511179" w:rsidRPr="00405EE5" w:rsidRDefault="00511179" w:rsidP="00511179">
      <w:pPr>
        <w:rPr>
          <w:rFonts w:cs="Arial"/>
          <w:lang w:bidi="ar-SA"/>
        </w:rPr>
      </w:pPr>
    </w:p>
    <w:p w:rsidR="00511179" w:rsidRPr="00450410" w:rsidRDefault="00511179" w:rsidP="00511179">
      <w:pPr>
        <w:rPr>
          <w:rFonts w:cs="Arial"/>
          <w:szCs w:val="22"/>
          <w:lang w:bidi="ar-SA"/>
        </w:rPr>
      </w:pPr>
      <w:r w:rsidRPr="00450410">
        <w:rPr>
          <w:rFonts w:cs="Arial"/>
          <w:szCs w:val="22"/>
          <w:lang w:bidi="ar-SA"/>
        </w:rPr>
        <w:t>Quality A</w:t>
      </w:r>
      <w:r>
        <w:rPr>
          <w:rFonts w:cs="Arial"/>
          <w:szCs w:val="22"/>
          <w:lang w:bidi="ar-SA"/>
        </w:rPr>
        <w:t>ssurance</w:t>
      </w:r>
    </w:p>
    <w:tbl>
      <w:tblPr>
        <w:tblStyle w:val="TableGrid"/>
        <w:tblW w:w="0" w:type="auto"/>
        <w:tblLook w:val="04A0" w:firstRow="1" w:lastRow="0" w:firstColumn="1" w:lastColumn="0" w:noHBand="0" w:noVBand="1"/>
      </w:tblPr>
      <w:tblGrid>
        <w:gridCol w:w="9286"/>
      </w:tblGrid>
      <w:tr w:rsidR="005E5327" w:rsidTr="005E5327">
        <w:tc>
          <w:tcPr>
            <w:tcW w:w="9286" w:type="dxa"/>
          </w:tcPr>
          <w:p w:rsidR="005E5327" w:rsidRDefault="005E5327" w:rsidP="00511179">
            <w:pPr>
              <w:rPr>
                <w:rFonts w:cs="Arial"/>
                <w:szCs w:val="22"/>
                <w:lang w:bidi="ar-SA"/>
              </w:rPr>
            </w:pPr>
          </w:p>
        </w:tc>
      </w:tr>
    </w:tbl>
    <w:p w:rsidR="00511179" w:rsidRPr="00450410" w:rsidRDefault="00511179" w:rsidP="00511179">
      <w:pPr>
        <w:rPr>
          <w:rFonts w:cs="Arial"/>
          <w:szCs w:val="22"/>
          <w:lang w:bidi="ar-SA"/>
        </w:rPr>
      </w:pPr>
    </w:p>
    <w:p w:rsidR="00511179" w:rsidRPr="00450410" w:rsidRDefault="00511179" w:rsidP="00511179">
      <w:pPr>
        <w:rPr>
          <w:rFonts w:cs="Arial"/>
          <w:szCs w:val="22"/>
          <w:lang w:bidi="ar-SA"/>
        </w:rPr>
      </w:pPr>
      <w:r w:rsidRPr="00450410">
        <w:rPr>
          <w:rFonts w:cs="Arial"/>
          <w:szCs w:val="22"/>
          <w:lang w:bidi="ar-SA"/>
        </w:rPr>
        <w:t xml:space="preserve">Quality </w:t>
      </w:r>
      <w:r>
        <w:rPr>
          <w:rFonts w:cs="Arial"/>
          <w:szCs w:val="22"/>
          <w:lang w:bidi="ar-SA"/>
        </w:rPr>
        <w:t>Controls</w:t>
      </w:r>
    </w:p>
    <w:tbl>
      <w:tblPr>
        <w:tblStyle w:val="TableGrid"/>
        <w:tblW w:w="0" w:type="auto"/>
        <w:tblLook w:val="04A0" w:firstRow="1" w:lastRow="0" w:firstColumn="1" w:lastColumn="0" w:noHBand="0" w:noVBand="1"/>
      </w:tblPr>
      <w:tblGrid>
        <w:gridCol w:w="9286"/>
      </w:tblGrid>
      <w:tr w:rsidR="005E5327" w:rsidTr="005E5327">
        <w:tc>
          <w:tcPr>
            <w:tcW w:w="9286" w:type="dxa"/>
          </w:tcPr>
          <w:p w:rsidR="005E5327" w:rsidRDefault="005E5327" w:rsidP="00511179">
            <w:pPr>
              <w:rPr>
                <w:rFonts w:cs="Arial"/>
                <w:lang w:bidi="ar-SA"/>
              </w:rPr>
            </w:pPr>
          </w:p>
        </w:tc>
      </w:tr>
    </w:tbl>
    <w:p w:rsidR="00511179" w:rsidRPr="00867AAE" w:rsidRDefault="00511179" w:rsidP="00511179">
      <w:pPr>
        <w:rPr>
          <w:rFonts w:cs="Arial"/>
          <w:lang w:bidi="ar-SA"/>
        </w:rPr>
      </w:pPr>
    </w:p>
    <w:p w:rsidR="00511179" w:rsidRPr="00867AAE" w:rsidRDefault="00511179" w:rsidP="00511179">
      <w:pPr>
        <w:rPr>
          <w:rFonts w:cs="Arial"/>
          <w:lang w:bidi="ar-SA"/>
        </w:rPr>
      </w:pPr>
    </w:p>
    <w:p w:rsidR="00FC6B08" w:rsidRPr="00FC6B08" w:rsidRDefault="00FC6B08" w:rsidP="00F93095">
      <w:pPr>
        <w:widowControl/>
        <w:rPr>
          <w:rFonts w:cs="Arial"/>
          <w:b/>
          <w:szCs w:val="22"/>
          <w:lang w:bidi="ar-SA"/>
        </w:rPr>
      </w:pPr>
      <w:r w:rsidRPr="00FC6B08">
        <w:rPr>
          <w:rFonts w:cs="Arial"/>
          <w:b/>
          <w:szCs w:val="22"/>
          <w:lang w:bidi="ar-SA"/>
        </w:rPr>
        <w:t>Question 1</w:t>
      </w:r>
      <w:r w:rsidR="0029795C">
        <w:rPr>
          <w:rFonts w:cs="Arial"/>
          <w:b/>
          <w:szCs w:val="22"/>
          <w:lang w:bidi="ar-SA"/>
        </w:rPr>
        <w:t>8</w:t>
      </w:r>
      <w:r w:rsidRPr="00FC6B08">
        <w:rPr>
          <w:rFonts w:cs="Arial"/>
          <w:b/>
          <w:szCs w:val="22"/>
          <w:lang w:bidi="ar-SA"/>
        </w:rPr>
        <w:t xml:space="preserve"> (</w:t>
      </w:r>
      <w:r w:rsidRPr="00233890">
        <w:rPr>
          <w:rFonts w:cs="Arial"/>
          <w:i/>
          <w:szCs w:val="22"/>
          <w:lang w:bidi="ar-SA"/>
        </w:rPr>
        <w:t>refer to p.</w:t>
      </w:r>
      <w:r w:rsidR="00336D7B">
        <w:rPr>
          <w:rFonts w:cs="Arial"/>
          <w:i/>
          <w:szCs w:val="22"/>
          <w:lang w:bidi="ar-SA"/>
        </w:rPr>
        <w:t>18</w:t>
      </w:r>
      <w:r w:rsidRPr="00FC6B08">
        <w:rPr>
          <w:rFonts w:cs="Arial"/>
          <w:b/>
          <w:szCs w:val="22"/>
          <w:lang w:bidi="ar-SA"/>
        </w:rPr>
        <w:t>)</w:t>
      </w:r>
    </w:p>
    <w:p w:rsidR="00F93095" w:rsidRDefault="00AC00A3" w:rsidP="00F93095">
      <w:pPr>
        <w:widowControl/>
        <w:rPr>
          <w:rFonts w:cs="Arial"/>
          <w:b/>
          <w:szCs w:val="22"/>
          <w:lang w:bidi="ar-SA"/>
        </w:rPr>
      </w:pPr>
      <w:r>
        <w:rPr>
          <w:rFonts w:cs="Arial"/>
          <w:b/>
          <w:szCs w:val="22"/>
          <w:lang w:bidi="ar-SA"/>
        </w:rPr>
        <w:t>As a</w:t>
      </w:r>
      <w:r w:rsidR="00FC6B08" w:rsidRPr="00FC6B08">
        <w:rPr>
          <w:rFonts w:cs="Arial"/>
          <w:b/>
          <w:szCs w:val="22"/>
          <w:lang w:bidi="ar-SA"/>
        </w:rPr>
        <w:t xml:space="preserve"> food business, do you have in-house technical capacity or expertise related to packaging?</w:t>
      </w:r>
    </w:p>
    <w:p w:rsidR="00FC6B08" w:rsidRDefault="00F93095" w:rsidP="00F93095">
      <w:pPr>
        <w:widowControl/>
        <w:rPr>
          <w:rFonts w:cs="Arial"/>
          <w:b/>
          <w:szCs w:val="22"/>
          <w:lang w:bidi="ar-SA"/>
        </w:rPr>
      </w:pPr>
      <w:r>
        <w:rPr>
          <w:rFonts w:cs="Arial"/>
          <w:b/>
          <w:szCs w:val="22"/>
          <w:lang w:bidi="ar-SA"/>
        </w:rPr>
        <w:t xml:space="preserve"> </w:t>
      </w:r>
    </w:p>
    <w:p w:rsidR="00E77B74" w:rsidRPr="00450410" w:rsidRDefault="005A60B4" w:rsidP="00E77B74">
      <w:pPr>
        <w:pStyle w:val="ListParagraph"/>
        <w:rPr>
          <w:rFonts w:cs="Arial"/>
          <w:szCs w:val="22"/>
          <w:lang w:bidi="ar-SA"/>
        </w:rPr>
      </w:pPr>
      <w:sdt>
        <w:sdtPr>
          <w:rPr>
            <w:rFonts w:cs="Arial"/>
            <w:szCs w:val="22"/>
            <w:lang w:bidi="ar-SA"/>
          </w:rPr>
          <w:id w:val="-596329001"/>
          <w14:checkbox>
            <w14:checked w14:val="0"/>
            <w14:checkedState w14:val="2612" w14:font="MS Gothic"/>
            <w14:uncheckedState w14:val="2610" w14:font="MS Gothic"/>
          </w14:checkbox>
        </w:sdtPr>
        <w:sdtEndPr/>
        <w:sdtContent>
          <w:r w:rsidR="00E77B74" w:rsidRPr="00450410">
            <w:rPr>
              <w:rFonts w:ascii="MS Gothic" w:eastAsia="MS Gothic" w:hAnsi="MS Gothic" w:cs="MS Gothic" w:hint="eastAsia"/>
              <w:szCs w:val="22"/>
              <w:lang w:bidi="ar-SA"/>
            </w:rPr>
            <w:t>☐</w:t>
          </w:r>
        </w:sdtContent>
      </w:sdt>
      <w:r w:rsidR="00E77B74" w:rsidRPr="00450410">
        <w:rPr>
          <w:rFonts w:cs="Arial"/>
          <w:szCs w:val="22"/>
          <w:lang w:bidi="ar-SA"/>
        </w:rPr>
        <w:t xml:space="preserve">  No</w:t>
      </w:r>
    </w:p>
    <w:p w:rsidR="00E77B74" w:rsidRPr="00450410" w:rsidRDefault="00E77B74" w:rsidP="00E77B74">
      <w:pPr>
        <w:rPr>
          <w:rFonts w:cs="Arial"/>
          <w:szCs w:val="22"/>
          <w:lang w:bidi="ar-SA"/>
        </w:rPr>
      </w:pPr>
    </w:p>
    <w:p w:rsidR="00E77B74" w:rsidRPr="00450410" w:rsidRDefault="005A60B4" w:rsidP="00E77B74">
      <w:pPr>
        <w:pStyle w:val="ListParagraph"/>
        <w:rPr>
          <w:rFonts w:cs="Arial"/>
          <w:szCs w:val="22"/>
          <w:lang w:bidi="ar-SA"/>
        </w:rPr>
      </w:pPr>
      <w:sdt>
        <w:sdtPr>
          <w:rPr>
            <w:rFonts w:cs="Arial"/>
            <w:szCs w:val="22"/>
            <w:lang w:bidi="ar-SA"/>
          </w:rPr>
          <w:id w:val="1306973509"/>
          <w14:checkbox>
            <w14:checked w14:val="0"/>
            <w14:checkedState w14:val="2612" w14:font="MS Gothic"/>
            <w14:uncheckedState w14:val="2610" w14:font="MS Gothic"/>
          </w14:checkbox>
        </w:sdtPr>
        <w:sdtEndPr/>
        <w:sdtContent>
          <w:r w:rsidR="00E77B74" w:rsidRPr="00450410">
            <w:rPr>
              <w:rFonts w:ascii="MS Gothic" w:eastAsia="MS Gothic" w:hAnsi="MS Gothic" w:cs="MS Gothic" w:hint="eastAsia"/>
              <w:szCs w:val="22"/>
              <w:lang w:bidi="ar-SA"/>
            </w:rPr>
            <w:t>☐</w:t>
          </w:r>
        </w:sdtContent>
      </w:sdt>
      <w:r w:rsidR="00E77B74" w:rsidRPr="00450410">
        <w:rPr>
          <w:rFonts w:cs="Arial"/>
          <w:szCs w:val="22"/>
          <w:lang w:bidi="ar-SA"/>
        </w:rPr>
        <w:t xml:space="preserve">  Yes </w:t>
      </w:r>
    </w:p>
    <w:p w:rsidR="00E77B74" w:rsidRPr="00450410" w:rsidRDefault="00E77B74" w:rsidP="00E77B74">
      <w:pPr>
        <w:rPr>
          <w:rFonts w:cs="Arial"/>
          <w:szCs w:val="22"/>
          <w:lang w:bidi="ar-SA"/>
        </w:rPr>
      </w:pPr>
    </w:p>
    <w:p w:rsidR="00E77B74" w:rsidRPr="00450410" w:rsidRDefault="00E77B74" w:rsidP="00E77B74">
      <w:pPr>
        <w:rPr>
          <w:rFonts w:cs="Arial"/>
          <w:i/>
          <w:szCs w:val="22"/>
          <w:lang w:bidi="ar-SA"/>
        </w:rPr>
      </w:pPr>
      <w:r w:rsidRPr="00450410">
        <w:rPr>
          <w:rFonts w:cs="Arial"/>
          <w:i/>
          <w:szCs w:val="22"/>
          <w:lang w:bidi="ar-SA"/>
        </w:rPr>
        <w:t>Please expand on your response</w:t>
      </w:r>
    </w:p>
    <w:tbl>
      <w:tblPr>
        <w:tblStyle w:val="TableGrid"/>
        <w:tblW w:w="0" w:type="auto"/>
        <w:tblLook w:val="04A0" w:firstRow="1" w:lastRow="0" w:firstColumn="1" w:lastColumn="0" w:noHBand="0" w:noVBand="1"/>
      </w:tblPr>
      <w:tblGrid>
        <w:gridCol w:w="9286"/>
      </w:tblGrid>
      <w:tr w:rsidR="005E5327" w:rsidTr="005E5327">
        <w:tc>
          <w:tcPr>
            <w:tcW w:w="9286" w:type="dxa"/>
          </w:tcPr>
          <w:p w:rsidR="005E5327" w:rsidRDefault="005E5327" w:rsidP="00E77B74">
            <w:pPr>
              <w:rPr>
                <w:rFonts w:cs="Arial"/>
                <w:szCs w:val="22"/>
                <w:lang w:bidi="ar-SA"/>
              </w:rPr>
            </w:pPr>
          </w:p>
        </w:tc>
      </w:tr>
    </w:tbl>
    <w:p w:rsidR="00E77B74" w:rsidRPr="00450410" w:rsidRDefault="00E77B74" w:rsidP="00E77B74">
      <w:pPr>
        <w:rPr>
          <w:rFonts w:cs="Arial"/>
          <w:szCs w:val="22"/>
          <w:lang w:bidi="ar-SA"/>
        </w:rPr>
      </w:pPr>
    </w:p>
    <w:p w:rsidR="00511179" w:rsidRPr="00E77B74" w:rsidRDefault="00511179" w:rsidP="00FC6B08">
      <w:pPr>
        <w:widowControl/>
        <w:rPr>
          <w:rFonts w:cs="Arial"/>
          <w:b/>
          <w:szCs w:val="22"/>
          <w:highlight w:val="cyan"/>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511179" w:rsidRPr="00450410" w:rsidTr="00CF7A0F">
        <w:tc>
          <w:tcPr>
            <w:tcW w:w="9180" w:type="dxa"/>
            <w:shd w:val="clear" w:color="auto" w:fill="auto"/>
          </w:tcPr>
          <w:p w:rsidR="00511179" w:rsidRPr="001417B1" w:rsidRDefault="00511179" w:rsidP="00F93095">
            <w:pPr>
              <w:rPr>
                <w:rFonts w:cs="Arial"/>
                <w:b/>
                <w:szCs w:val="22"/>
                <w:lang w:bidi="ar-SA"/>
              </w:rPr>
            </w:pPr>
            <w:r w:rsidRPr="001417B1">
              <w:rPr>
                <w:rFonts w:cs="Arial"/>
                <w:b/>
                <w:szCs w:val="22"/>
                <w:lang w:bidi="ar-SA"/>
              </w:rPr>
              <w:t xml:space="preserve">Question </w:t>
            </w:r>
            <w:r w:rsidR="003412EA">
              <w:rPr>
                <w:rFonts w:cs="Arial"/>
                <w:b/>
                <w:szCs w:val="22"/>
                <w:lang w:bidi="ar-SA"/>
              </w:rPr>
              <w:t>1</w:t>
            </w:r>
            <w:r w:rsidR="0029795C">
              <w:rPr>
                <w:rFonts w:cs="Arial"/>
                <w:b/>
                <w:szCs w:val="22"/>
                <w:lang w:bidi="ar-SA"/>
              </w:rPr>
              <w:t>9</w:t>
            </w:r>
            <w:r w:rsidRPr="001417B1">
              <w:rPr>
                <w:rFonts w:cs="Arial"/>
                <w:b/>
                <w:szCs w:val="22"/>
                <w:lang w:bidi="ar-SA"/>
              </w:rPr>
              <w:t xml:space="preserve"> </w:t>
            </w:r>
            <w:r w:rsidRPr="001417B1">
              <w:rPr>
                <w:rFonts w:cs="Arial"/>
                <w:i/>
                <w:szCs w:val="22"/>
                <w:lang w:bidi="ar-SA"/>
              </w:rPr>
              <w:t>(refer to p.</w:t>
            </w:r>
            <w:r w:rsidR="00336D7B">
              <w:rPr>
                <w:rFonts w:cs="Arial"/>
                <w:i/>
                <w:szCs w:val="22"/>
                <w:lang w:bidi="ar-SA"/>
              </w:rPr>
              <w:t>18</w:t>
            </w:r>
            <w:r w:rsidRPr="001417B1">
              <w:rPr>
                <w:rFonts w:cs="Arial"/>
                <w:i/>
                <w:szCs w:val="22"/>
                <w:lang w:bidi="ar-SA"/>
              </w:rPr>
              <w:t>)</w:t>
            </w:r>
          </w:p>
          <w:p w:rsidR="00511179" w:rsidRPr="00233890" w:rsidRDefault="00511179" w:rsidP="00F93095">
            <w:pPr>
              <w:rPr>
                <w:rFonts w:cs="Arial"/>
                <w:i/>
                <w:szCs w:val="22"/>
                <w:lang w:bidi="ar-SA"/>
              </w:rPr>
            </w:pPr>
            <w:r w:rsidRPr="00233890">
              <w:rPr>
                <w:rFonts w:cs="Arial"/>
                <w:b/>
                <w:szCs w:val="22"/>
                <w:lang w:bidi="ar-SA"/>
              </w:rPr>
              <w:t>As a packaging manufacturer/converter</w:t>
            </w:r>
            <w:r w:rsidR="00FA3E8F">
              <w:rPr>
                <w:rFonts w:cs="Arial"/>
                <w:b/>
                <w:szCs w:val="22"/>
                <w:lang w:bidi="ar-SA"/>
              </w:rPr>
              <w:t>/supplier (including packaging importer),</w:t>
            </w:r>
            <w:r w:rsidRPr="00233890">
              <w:rPr>
                <w:rFonts w:cs="Arial"/>
                <w:b/>
                <w:szCs w:val="22"/>
                <w:lang w:bidi="ar-SA"/>
              </w:rPr>
              <w:t xml:space="preserve"> if you print on the materials that you produce, do you have a quality assurance and quality control system (or similar) which includes printing inks and related products (eg. resins, adjuvants, mineral oil</w:t>
            </w:r>
            <w:proofErr w:type="gramStart"/>
            <w:r w:rsidRPr="00233890">
              <w:rPr>
                <w:rFonts w:cs="Arial"/>
                <w:b/>
                <w:szCs w:val="22"/>
                <w:lang w:bidi="ar-SA"/>
              </w:rPr>
              <w:t>) ?</w:t>
            </w:r>
            <w:proofErr w:type="gramEnd"/>
          </w:p>
          <w:p w:rsidR="00511179" w:rsidRPr="001417B1" w:rsidRDefault="00511179" w:rsidP="00930392">
            <w:pPr>
              <w:rPr>
                <w:rFonts w:cs="Arial"/>
                <w:sz w:val="24"/>
                <w:lang w:bidi="ar-SA"/>
              </w:rPr>
            </w:pPr>
          </w:p>
          <w:p w:rsidR="00511179" w:rsidRPr="001417B1" w:rsidRDefault="005A60B4" w:rsidP="00930392">
            <w:pPr>
              <w:pStyle w:val="ListParagraph"/>
              <w:rPr>
                <w:rFonts w:cs="Arial"/>
                <w:szCs w:val="22"/>
                <w:lang w:bidi="ar-SA"/>
              </w:rPr>
            </w:pPr>
            <w:sdt>
              <w:sdtPr>
                <w:rPr>
                  <w:rFonts w:cs="Arial"/>
                  <w:szCs w:val="22"/>
                  <w:lang w:bidi="ar-SA"/>
                </w:rPr>
                <w:id w:val="-1237620423"/>
                <w14:checkbox>
                  <w14:checked w14:val="0"/>
                  <w14:checkedState w14:val="2612" w14:font="MS Gothic"/>
                  <w14:uncheckedState w14:val="2610" w14:font="MS Gothic"/>
                </w14:checkbox>
              </w:sdtPr>
              <w:sdtEndPr/>
              <w:sdtContent>
                <w:r w:rsidR="00511179" w:rsidRPr="001417B1">
                  <w:rPr>
                    <w:rFonts w:ascii="MS Gothic" w:eastAsia="MS Gothic" w:hAnsi="MS Gothic" w:cs="MS Gothic" w:hint="eastAsia"/>
                    <w:szCs w:val="22"/>
                    <w:lang w:bidi="ar-SA"/>
                  </w:rPr>
                  <w:t>☐</w:t>
                </w:r>
              </w:sdtContent>
            </w:sdt>
            <w:r w:rsidR="00511179" w:rsidRPr="001417B1">
              <w:rPr>
                <w:rFonts w:cs="Arial"/>
                <w:szCs w:val="22"/>
                <w:lang w:bidi="ar-SA"/>
              </w:rPr>
              <w:t xml:space="preserve">  No</w:t>
            </w:r>
          </w:p>
          <w:p w:rsidR="00511179" w:rsidRPr="001417B1" w:rsidRDefault="00511179" w:rsidP="00930392">
            <w:pPr>
              <w:rPr>
                <w:rFonts w:cs="Arial"/>
                <w:szCs w:val="22"/>
                <w:lang w:bidi="ar-SA"/>
              </w:rPr>
            </w:pPr>
          </w:p>
          <w:p w:rsidR="00511179" w:rsidRPr="001417B1" w:rsidRDefault="005A60B4" w:rsidP="00930392">
            <w:pPr>
              <w:pStyle w:val="ListParagraph"/>
              <w:rPr>
                <w:rFonts w:cs="Arial"/>
                <w:szCs w:val="22"/>
                <w:lang w:bidi="ar-SA"/>
              </w:rPr>
            </w:pPr>
            <w:sdt>
              <w:sdtPr>
                <w:rPr>
                  <w:rFonts w:cs="Arial"/>
                  <w:szCs w:val="22"/>
                  <w:lang w:bidi="ar-SA"/>
                </w:rPr>
                <w:id w:val="37324165"/>
                <w14:checkbox>
                  <w14:checked w14:val="0"/>
                  <w14:checkedState w14:val="2612" w14:font="MS Gothic"/>
                  <w14:uncheckedState w14:val="2610" w14:font="MS Gothic"/>
                </w14:checkbox>
              </w:sdtPr>
              <w:sdtEndPr/>
              <w:sdtContent>
                <w:r w:rsidR="00511179" w:rsidRPr="001417B1">
                  <w:rPr>
                    <w:rFonts w:ascii="MS Gothic" w:eastAsia="MS Gothic" w:hAnsi="MS Gothic" w:cs="MS Gothic" w:hint="eastAsia"/>
                    <w:szCs w:val="22"/>
                    <w:lang w:bidi="ar-SA"/>
                  </w:rPr>
                  <w:t>☐</w:t>
                </w:r>
              </w:sdtContent>
            </w:sdt>
            <w:r w:rsidR="00511179" w:rsidRPr="001417B1">
              <w:rPr>
                <w:rFonts w:cs="Arial"/>
                <w:szCs w:val="22"/>
                <w:lang w:bidi="ar-SA"/>
              </w:rPr>
              <w:t xml:space="preserve">  Yes </w:t>
            </w:r>
          </w:p>
          <w:p w:rsidR="00511179" w:rsidRPr="001417B1" w:rsidRDefault="00511179" w:rsidP="00930392">
            <w:pPr>
              <w:rPr>
                <w:rFonts w:cs="Arial"/>
                <w:szCs w:val="22"/>
                <w:lang w:bidi="ar-SA"/>
              </w:rPr>
            </w:pPr>
          </w:p>
          <w:p w:rsidR="00511179" w:rsidRDefault="00511179" w:rsidP="00930392">
            <w:pPr>
              <w:rPr>
                <w:rFonts w:cs="Arial"/>
                <w:sz w:val="24"/>
                <w:lang w:bidi="ar-SA"/>
              </w:rPr>
            </w:pPr>
            <w:r w:rsidRPr="001417B1">
              <w:rPr>
                <w:rFonts w:cs="Arial"/>
                <w:sz w:val="24"/>
                <w:lang w:bidi="ar-SA"/>
              </w:rPr>
              <w:t>Please expand on your response</w:t>
            </w:r>
          </w:p>
          <w:tbl>
            <w:tblPr>
              <w:tblStyle w:val="TableGrid"/>
              <w:tblW w:w="0" w:type="auto"/>
              <w:tblLayout w:type="fixed"/>
              <w:tblLook w:val="04A0" w:firstRow="1" w:lastRow="0" w:firstColumn="1" w:lastColumn="0" w:noHBand="0" w:noVBand="1"/>
            </w:tblPr>
            <w:tblGrid>
              <w:gridCol w:w="8949"/>
            </w:tblGrid>
            <w:tr w:rsidR="005E5327" w:rsidTr="005E5327">
              <w:tc>
                <w:tcPr>
                  <w:tcW w:w="8949" w:type="dxa"/>
                </w:tcPr>
                <w:p w:rsidR="005E5327" w:rsidRDefault="005E5327" w:rsidP="00930392">
                  <w:pPr>
                    <w:rPr>
                      <w:rFonts w:cs="Arial"/>
                      <w:sz w:val="24"/>
                      <w:lang w:bidi="ar-SA"/>
                    </w:rPr>
                  </w:pPr>
                </w:p>
              </w:tc>
            </w:tr>
          </w:tbl>
          <w:p w:rsidR="00511179" w:rsidRDefault="00511179" w:rsidP="00930392">
            <w:pPr>
              <w:rPr>
                <w:rFonts w:cs="Arial"/>
                <w:sz w:val="24"/>
                <w:lang w:bidi="ar-SA"/>
              </w:rPr>
            </w:pPr>
          </w:p>
          <w:p w:rsidR="00511179" w:rsidRDefault="00511179" w:rsidP="00930392">
            <w:pPr>
              <w:rPr>
                <w:rFonts w:cs="Arial"/>
                <w:b/>
                <w:szCs w:val="22"/>
                <w:lang w:bidi="ar-SA"/>
              </w:rPr>
            </w:pPr>
          </w:p>
          <w:p w:rsidR="00DB3E10" w:rsidRPr="001417B1" w:rsidRDefault="00DB3E10" w:rsidP="00F93095">
            <w:pPr>
              <w:rPr>
                <w:rFonts w:cs="Arial"/>
                <w:b/>
                <w:szCs w:val="22"/>
                <w:lang w:bidi="ar-SA"/>
              </w:rPr>
            </w:pPr>
            <w:r w:rsidRPr="001417B1">
              <w:rPr>
                <w:rFonts w:cs="Arial"/>
                <w:b/>
                <w:szCs w:val="22"/>
                <w:lang w:bidi="ar-SA"/>
              </w:rPr>
              <w:t xml:space="preserve">Question </w:t>
            </w:r>
            <w:r w:rsidR="0029795C">
              <w:rPr>
                <w:rFonts w:cs="Arial"/>
                <w:b/>
                <w:szCs w:val="22"/>
                <w:lang w:bidi="ar-SA"/>
              </w:rPr>
              <w:t>20</w:t>
            </w:r>
            <w:r w:rsidRPr="001417B1">
              <w:rPr>
                <w:rFonts w:cs="Arial"/>
                <w:b/>
                <w:szCs w:val="22"/>
                <w:lang w:bidi="ar-SA"/>
              </w:rPr>
              <w:t xml:space="preserve"> </w:t>
            </w:r>
            <w:r w:rsidRPr="001417B1">
              <w:rPr>
                <w:rFonts w:cs="Arial"/>
                <w:i/>
                <w:szCs w:val="22"/>
                <w:lang w:bidi="ar-SA"/>
              </w:rPr>
              <w:t>(refer to p.</w:t>
            </w:r>
            <w:r w:rsidR="00336D7B">
              <w:rPr>
                <w:rFonts w:cs="Arial"/>
                <w:i/>
                <w:szCs w:val="22"/>
                <w:lang w:bidi="ar-SA"/>
              </w:rPr>
              <w:t>18</w:t>
            </w:r>
            <w:r w:rsidRPr="001417B1">
              <w:rPr>
                <w:rFonts w:cs="Arial"/>
                <w:i/>
                <w:szCs w:val="22"/>
                <w:lang w:bidi="ar-SA"/>
              </w:rPr>
              <w:t>)</w:t>
            </w:r>
          </w:p>
          <w:p w:rsidR="00DB3E10" w:rsidRPr="00233890" w:rsidRDefault="00FA3E8F" w:rsidP="00F93095">
            <w:pPr>
              <w:rPr>
                <w:rFonts w:cs="Arial"/>
                <w:i/>
                <w:szCs w:val="22"/>
                <w:lang w:bidi="ar-SA"/>
              </w:rPr>
            </w:pPr>
            <w:r w:rsidRPr="00233890">
              <w:rPr>
                <w:rFonts w:cs="Arial"/>
                <w:b/>
                <w:szCs w:val="22"/>
                <w:lang w:bidi="ar-SA"/>
              </w:rPr>
              <w:t>As a packaging manufacturer/converter</w:t>
            </w:r>
            <w:r>
              <w:rPr>
                <w:rFonts w:cs="Arial"/>
                <w:b/>
                <w:szCs w:val="22"/>
                <w:lang w:bidi="ar-SA"/>
              </w:rPr>
              <w:t>/supplier (including packaging importer),</w:t>
            </w:r>
            <w:r w:rsidRPr="00233890">
              <w:rPr>
                <w:rFonts w:cs="Arial"/>
                <w:b/>
                <w:szCs w:val="22"/>
                <w:lang w:bidi="ar-SA"/>
              </w:rPr>
              <w:t xml:space="preserve"> </w:t>
            </w:r>
            <w:r>
              <w:rPr>
                <w:rFonts w:cs="Arial"/>
                <w:b/>
                <w:szCs w:val="22"/>
                <w:lang w:bidi="ar-SA"/>
              </w:rPr>
              <w:t>d</w:t>
            </w:r>
            <w:r w:rsidR="00DB3E10" w:rsidRPr="00233890">
              <w:rPr>
                <w:rFonts w:cs="Arial"/>
                <w:b/>
                <w:szCs w:val="22"/>
                <w:lang w:bidi="ar-SA"/>
              </w:rPr>
              <w:t xml:space="preserve">o your quality assurance/quality control systems consider the end uses of the </w:t>
            </w:r>
            <w:proofErr w:type="gramStart"/>
            <w:r w:rsidR="00DB3E10" w:rsidRPr="00233890">
              <w:rPr>
                <w:rFonts w:cs="Arial"/>
                <w:b/>
                <w:szCs w:val="22"/>
                <w:lang w:bidi="ar-SA"/>
              </w:rPr>
              <w:t>packaging ?</w:t>
            </w:r>
            <w:proofErr w:type="gramEnd"/>
          </w:p>
          <w:p w:rsidR="00DB3E10" w:rsidRDefault="00DB3E10" w:rsidP="00930392">
            <w:pPr>
              <w:rPr>
                <w:rFonts w:cs="Arial"/>
                <w:b/>
                <w:szCs w:val="22"/>
                <w:lang w:bidi="ar-SA"/>
              </w:rPr>
            </w:pPr>
          </w:p>
          <w:p w:rsidR="00DB3E10" w:rsidRPr="001417B1" w:rsidRDefault="005A60B4" w:rsidP="00DB3E10">
            <w:pPr>
              <w:pStyle w:val="ListParagraph"/>
              <w:rPr>
                <w:rFonts w:cs="Arial"/>
                <w:szCs w:val="22"/>
                <w:lang w:bidi="ar-SA"/>
              </w:rPr>
            </w:pPr>
            <w:sdt>
              <w:sdtPr>
                <w:rPr>
                  <w:rFonts w:cs="Arial"/>
                  <w:szCs w:val="22"/>
                  <w:lang w:bidi="ar-SA"/>
                </w:rPr>
                <w:id w:val="-879393075"/>
                <w14:checkbox>
                  <w14:checked w14:val="0"/>
                  <w14:checkedState w14:val="2612" w14:font="MS Gothic"/>
                  <w14:uncheckedState w14:val="2610" w14:font="MS Gothic"/>
                </w14:checkbox>
              </w:sdtPr>
              <w:sdtEndPr/>
              <w:sdtContent>
                <w:r w:rsidR="00DB3E10" w:rsidRPr="001417B1">
                  <w:rPr>
                    <w:rFonts w:ascii="MS Gothic" w:eastAsia="MS Gothic" w:hAnsi="MS Gothic" w:cs="MS Gothic" w:hint="eastAsia"/>
                    <w:szCs w:val="22"/>
                    <w:lang w:bidi="ar-SA"/>
                  </w:rPr>
                  <w:t>☐</w:t>
                </w:r>
              </w:sdtContent>
            </w:sdt>
            <w:r w:rsidR="00DB3E10" w:rsidRPr="001417B1">
              <w:rPr>
                <w:rFonts w:cs="Arial"/>
                <w:szCs w:val="22"/>
                <w:lang w:bidi="ar-SA"/>
              </w:rPr>
              <w:t xml:space="preserve">  No</w:t>
            </w:r>
          </w:p>
          <w:p w:rsidR="00DB3E10" w:rsidRPr="001417B1" w:rsidRDefault="00DB3E10" w:rsidP="00DB3E10">
            <w:pPr>
              <w:rPr>
                <w:rFonts w:cs="Arial"/>
                <w:szCs w:val="22"/>
                <w:lang w:bidi="ar-SA"/>
              </w:rPr>
            </w:pPr>
          </w:p>
          <w:p w:rsidR="00DB3E10" w:rsidRPr="001417B1" w:rsidRDefault="005A60B4" w:rsidP="00DB3E10">
            <w:pPr>
              <w:pStyle w:val="ListParagraph"/>
              <w:rPr>
                <w:rFonts w:cs="Arial"/>
                <w:szCs w:val="22"/>
                <w:lang w:bidi="ar-SA"/>
              </w:rPr>
            </w:pPr>
            <w:sdt>
              <w:sdtPr>
                <w:rPr>
                  <w:rFonts w:cs="Arial"/>
                  <w:szCs w:val="22"/>
                  <w:lang w:bidi="ar-SA"/>
                </w:rPr>
                <w:id w:val="-797682272"/>
                <w14:checkbox>
                  <w14:checked w14:val="0"/>
                  <w14:checkedState w14:val="2612" w14:font="MS Gothic"/>
                  <w14:uncheckedState w14:val="2610" w14:font="MS Gothic"/>
                </w14:checkbox>
              </w:sdtPr>
              <w:sdtEndPr/>
              <w:sdtContent>
                <w:r w:rsidR="00DB3E10" w:rsidRPr="001417B1">
                  <w:rPr>
                    <w:rFonts w:ascii="MS Gothic" w:eastAsia="MS Gothic" w:hAnsi="MS Gothic" w:cs="MS Gothic" w:hint="eastAsia"/>
                    <w:szCs w:val="22"/>
                    <w:lang w:bidi="ar-SA"/>
                  </w:rPr>
                  <w:t>☐</w:t>
                </w:r>
              </w:sdtContent>
            </w:sdt>
            <w:r w:rsidR="00DB3E10" w:rsidRPr="001417B1">
              <w:rPr>
                <w:rFonts w:cs="Arial"/>
                <w:szCs w:val="22"/>
                <w:lang w:bidi="ar-SA"/>
              </w:rPr>
              <w:t xml:space="preserve">  Yes </w:t>
            </w:r>
          </w:p>
          <w:p w:rsidR="00DB3E10" w:rsidRPr="001417B1" w:rsidRDefault="00DB3E10" w:rsidP="00DB3E10">
            <w:pPr>
              <w:rPr>
                <w:rFonts w:cs="Arial"/>
                <w:szCs w:val="22"/>
                <w:lang w:bidi="ar-SA"/>
              </w:rPr>
            </w:pPr>
          </w:p>
          <w:p w:rsidR="00DB3E10" w:rsidRDefault="00DB3E10" w:rsidP="00DB3E10">
            <w:pPr>
              <w:rPr>
                <w:rFonts w:cs="Arial"/>
                <w:sz w:val="24"/>
                <w:lang w:bidi="ar-SA"/>
              </w:rPr>
            </w:pPr>
            <w:r w:rsidRPr="001417B1">
              <w:rPr>
                <w:rFonts w:cs="Arial"/>
                <w:sz w:val="24"/>
                <w:lang w:bidi="ar-SA"/>
              </w:rPr>
              <w:t>Please expand on your response</w:t>
            </w:r>
          </w:p>
          <w:tbl>
            <w:tblPr>
              <w:tblStyle w:val="TableGrid"/>
              <w:tblW w:w="0" w:type="auto"/>
              <w:tblLayout w:type="fixed"/>
              <w:tblLook w:val="04A0" w:firstRow="1" w:lastRow="0" w:firstColumn="1" w:lastColumn="0" w:noHBand="0" w:noVBand="1"/>
            </w:tblPr>
            <w:tblGrid>
              <w:gridCol w:w="8949"/>
            </w:tblGrid>
            <w:tr w:rsidR="005E5327" w:rsidTr="005E5327">
              <w:tc>
                <w:tcPr>
                  <w:tcW w:w="8949" w:type="dxa"/>
                </w:tcPr>
                <w:p w:rsidR="005E5327" w:rsidRDefault="005E5327" w:rsidP="00DB3E10">
                  <w:pPr>
                    <w:rPr>
                      <w:rFonts w:cs="Arial"/>
                      <w:sz w:val="24"/>
                      <w:lang w:bidi="ar-SA"/>
                    </w:rPr>
                  </w:pPr>
                </w:p>
              </w:tc>
            </w:tr>
          </w:tbl>
          <w:p w:rsidR="00DB3E10" w:rsidRDefault="00DB3E10" w:rsidP="00DB3E10">
            <w:pPr>
              <w:rPr>
                <w:rFonts w:cs="Arial"/>
                <w:sz w:val="24"/>
                <w:lang w:bidi="ar-SA"/>
              </w:rPr>
            </w:pPr>
          </w:p>
          <w:p w:rsidR="00DB3E10" w:rsidRDefault="00DB3E10" w:rsidP="00DB3E10">
            <w:pPr>
              <w:rPr>
                <w:rFonts w:cs="Arial"/>
                <w:sz w:val="24"/>
                <w:lang w:bidi="ar-SA"/>
              </w:rPr>
            </w:pPr>
          </w:p>
          <w:p w:rsidR="005E5327" w:rsidRDefault="005E5327" w:rsidP="00DB3E10">
            <w:pPr>
              <w:rPr>
                <w:rFonts w:cs="Arial"/>
                <w:sz w:val="24"/>
                <w:lang w:bidi="ar-SA"/>
              </w:rPr>
            </w:pPr>
          </w:p>
          <w:p w:rsidR="002A2C26" w:rsidRDefault="002A2C26" w:rsidP="003412EA">
            <w:pPr>
              <w:rPr>
                <w:rFonts w:cs="Arial"/>
                <w:b/>
                <w:szCs w:val="22"/>
                <w:lang w:bidi="ar-SA"/>
              </w:rPr>
            </w:pPr>
          </w:p>
          <w:p w:rsidR="00511179" w:rsidRPr="00450410" w:rsidRDefault="00511179" w:rsidP="0029795C">
            <w:pPr>
              <w:rPr>
                <w:rFonts w:cs="Arial"/>
                <w:szCs w:val="22"/>
                <w:lang w:bidi="ar-SA"/>
              </w:rPr>
            </w:pPr>
            <w:r w:rsidRPr="00F93095">
              <w:rPr>
                <w:rFonts w:cs="Arial"/>
                <w:b/>
                <w:szCs w:val="22"/>
                <w:lang w:bidi="ar-SA"/>
              </w:rPr>
              <w:t xml:space="preserve">Question </w:t>
            </w:r>
            <w:r w:rsidR="003412EA" w:rsidRPr="00F93095">
              <w:rPr>
                <w:rFonts w:cs="Arial"/>
                <w:b/>
                <w:szCs w:val="22"/>
                <w:lang w:bidi="ar-SA"/>
              </w:rPr>
              <w:t>2</w:t>
            </w:r>
            <w:r w:rsidR="0029795C">
              <w:rPr>
                <w:rFonts w:cs="Arial"/>
                <w:b/>
                <w:szCs w:val="22"/>
                <w:lang w:bidi="ar-SA"/>
              </w:rPr>
              <w:t>1</w:t>
            </w:r>
            <w:r w:rsidR="003412EA" w:rsidRPr="00F93095">
              <w:rPr>
                <w:rFonts w:cs="Arial"/>
                <w:b/>
                <w:szCs w:val="22"/>
                <w:lang w:bidi="ar-SA"/>
              </w:rPr>
              <w:t xml:space="preserve"> </w:t>
            </w:r>
            <w:r w:rsidRPr="00F93095">
              <w:rPr>
                <w:rFonts w:cs="Arial"/>
                <w:i/>
                <w:szCs w:val="22"/>
                <w:lang w:bidi="ar-SA"/>
              </w:rPr>
              <w:t>(refer to p.</w:t>
            </w:r>
            <w:r w:rsidR="00336D7B">
              <w:rPr>
                <w:rFonts w:cs="Arial"/>
                <w:i/>
                <w:szCs w:val="22"/>
                <w:lang w:bidi="ar-SA"/>
              </w:rPr>
              <w:t>18</w:t>
            </w:r>
            <w:r w:rsidRPr="00F93095">
              <w:rPr>
                <w:rFonts w:cs="Arial"/>
                <w:i/>
                <w:szCs w:val="22"/>
                <w:lang w:bidi="ar-SA"/>
              </w:rPr>
              <w:t>)</w:t>
            </w:r>
          </w:p>
        </w:tc>
      </w:tr>
      <w:tr w:rsidR="00511179" w:rsidRPr="00450410" w:rsidTr="00CF7A0F">
        <w:tc>
          <w:tcPr>
            <w:tcW w:w="9180" w:type="dxa"/>
            <w:shd w:val="clear" w:color="auto" w:fill="auto"/>
          </w:tcPr>
          <w:p w:rsidR="00511179" w:rsidRPr="00450410" w:rsidRDefault="00FA3E8F" w:rsidP="00F93095">
            <w:pPr>
              <w:rPr>
                <w:rFonts w:cs="Arial"/>
                <w:b/>
                <w:szCs w:val="22"/>
                <w:lang w:bidi="ar-SA"/>
              </w:rPr>
            </w:pPr>
            <w:r w:rsidRPr="00233890">
              <w:rPr>
                <w:rFonts w:cs="Arial"/>
                <w:b/>
                <w:szCs w:val="22"/>
                <w:lang w:bidi="ar-SA"/>
              </w:rPr>
              <w:lastRenderedPageBreak/>
              <w:t>As a packaging manufacturer/converter</w:t>
            </w:r>
            <w:r>
              <w:rPr>
                <w:rFonts w:cs="Arial"/>
                <w:b/>
                <w:szCs w:val="22"/>
                <w:lang w:bidi="ar-SA"/>
              </w:rPr>
              <w:t>/supplier (including packaging importer),</w:t>
            </w:r>
            <w:r w:rsidRPr="00233890">
              <w:rPr>
                <w:rFonts w:cs="Arial"/>
                <w:b/>
                <w:szCs w:val="22"/>
                <w:lang w:bidi="ar-SA"/>
              </w:rPr>
              <w:t xml:space="preserve"> </w:t>
            </w:r>
            <w:r>
              <w:rPr>
                <w:rFonts w:cs="Arial"/>
                <w:b/>
                <w:szCs w:val="22"/>
                <w:lang w:bidi="ar-SA"/>
              </w:rPr>
              <w:t>d</w:t>
            </w:r>
            <w:r w:rsidR="00511179" w:rsidRPr="00450410">
              <w:rPr>
                <w:rFonts w:cs="Arial"/>
                <w:b/>
                <w:szCs w:val="22"/>
                <w:lang w:bidi="ar-SA"/>
              </w:rPr>
              <w:t>o you always prepare a Declaration of Compliance with existing legislation in order to meet your customers’ needs?</w:t>
            </w:r>
          </w:p>
          <w:p w:rsidR="00511179" w:rsidRPr="00450410" w:rsidRDefault="00511179" w:rsidP="00930392">
            <w:pPr>
              <w:rPr>
                <w:rFonts w:cs="Arial"/>
                <w:szCs w:val="22"/>
                <w:lang w:bidi="ar-SA"/>
              </w:rPr>
            </w:pPr>
          </w:p>
          <w:p w:rsidR="00511179" w:rsidRPr="00450410" w:rsidRDefault="005A60B4" w:rsidP="00930392">
            <w:pPr>
              <w:pStyle w:val="ListParagraph"/>
              <w:rPr>
                <w:rFonts w:cs="Arial"/>
                <w:szCs w:val="22"/>
                <w:lang w:bidi="ar-SA"/>
              </w:rPr>
            </w:pPr>
            <w:sdt>
              <w:sdtPr>
                <w:rPr>
                  <w:rFonts w:cs="Arial"/>
                  <w:szCs w:val="22"/>
                  <w:lang w:bidi="ar-SA"/>
                </w:rPr>
                <w:id w:val="-1044752332"/>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No</w:t>
            </w:r>
          </w:p>
          <w:p w:rsidR="00511179" w:rsidRPr="00450410" w:rsidRDefault="00511179" w:rsidP="00930392">
            <w:pPr>
              <w:rPr>
                <w:rFonts w:cs="Arial"/>
                <w:szCs w:val="22"/>
                <w:lang w:bidi="ar-SA"/>
              </w:rPr>
            </w:pPr>
          </w:p>
          <w:p w:rsidR="00511179" w:rsidRPr="00450410" w:rsidRDefault="005A60B4" w:rsidP="00930392">
            <w:pPr>
              <w:pStyle w:val="ListParagraph"/>
              <w:rPr>
                <w:rFonts w:cs="Arial"/>
                <w:szCs w:val="22"/>
                <w:lang w:bidi="ar-SA"/>
              </w:rPr>
            </w:pPr>
            <w:sdt>
              <w:sdtPr>
                <w:rPr>
                  <w:rFonts w:cs="Arial"/>
                  <w:szCs w:val="22"/>
                  <w:lang w:bidi="ar-SA"/>
                </w:rPr>
                <w:id w:val="233909323"/>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Yes </w:t>
            </w:r>
          </w:p>
          <w:p w:rsidR="00511179" w:rsidRPr="00450410" w:rsidRDefault="00511179" w:rsidP="00930392">
            <w:pPr>
              <w:rPr>
                <w:rFonts w:cs="Arial"/>
                <w:szCs w:val="22"/>
                <w:lang w:bidi="ar-SA"/>
              </w:rPr>
            </w:pPr>
          </w:p>
          <w:p w:rsidR="00511179" w:rsidRPr="00450410" w:rsidRDefault="00511179" w:rsidP="00930392">
            <w:pPr>
              <w:rPr>
                <w:rFonts w:cs="Arial"/>
                <w:i/>
                <w:szCs w:val="22"/>
                <w:lang w:bidi="ar-SA"/>
              </w:rPr>
            </w:pPr>
            <w:r w:rsidRPr="00450410">
              <w:rPr>
                <w:rFonts w:cs="Arial"/>
                <w:i/>
                <w:szCs w:val="22"/>
                <w:lang w:bidi="ar-SA"/>
              </w:rPr>
              <w:t>Please expand on your response</w:t>
            </w:r>
          </w:p>
          <w:tbl>
            <w:tblPr>
              <w:tblStyle w:val="TableGrid"/>
              <w:tblW w:w="0" w:type="auto"/>
              <w:tblLayout w:type="fixed"/>
              <w:tblLook w:val="04A0" w:firstRow="1" w:lastRow="0" w:firstColumn="1" w:lastColumn="0" w:noHBand="0" w:noVBand="1"/>
            </w:tblPr>
            <w:tblGrid>
              <w:gridCol w:w="8949"/>
            </w:tblGrid>
            <w:tr w:rsidR="005E5327" w:rsidTr="005E5327">
              <w:tc>
                <w:tcPr>
                  <w:tcW w:w="8949" w:type="dxa"/>
                </w:tcPr>
                <w:p w:rsidR="005E5327" w:rsidRDefault="005E5327" w:rsidP="00930392">
                  <w:pPr>
                    <w:rPr>
                      <w:rFonts w:cs="Arial"/>
                      <w:szCs w:val="22"/>
                      <w:lang w:bidi="ar-SA"/>
                    </w:rPr>
                  </w:pPr>
                </w:p>
              </w:tc>
            </w:tr>
          </w:tbl>
          <w:p w:rsidR="00511179" w:rsidRPr="00450410" w:rsidRDefault="00511179" w:rsidP="00930392">
            <w:pPr>
              <w:rPr>
                <w:rFonts w:cs="Arial"/>
                <w:szCs w:val="22"/>
                <w:lang w:bidi="ar-SA"/>
              </w:rPr>
            </w:pPr>
          </w:p>
          <w:p w:rsidR="00511179" w:rsidRPr="00450410" w:rsidRDefault="00511179" w:rsidP="00930392">
            <w:pPr>
              <w:rPr>
                <w:rFonts w:cs="Arial"/>
                <w:szCs w:val="22"/>
                <w:lang w:bidi="ar-SA"/>
              </w:rPr>
            </w:pPr>
          </w:p>
        </w:tc>
      </w:tr>
      <w:tr w:rsidR="00511179" w:rsidRPr="00450410" w:rsidTr="00CF7A0F">
        <w:tc>
          <w:tcPr>
            <w:tcW w:w="9180" w:type="dxa"/>
            <w:shd w:val="clear" w:color="auto" w:fill="auto"/>
          </w:tcPr>
          <w:p w:rsidR="00511179" w:rsidRPr="00450410" w:rsidRDefault="00DB3E10" w:rsidP="0029795C">
            <w:pPr>
              <w:rPr>
                <w:rFonts w:cs="Arial"/>
                <w:szCs w:val="22"/>
                <w:lang w:bidi="ar-SA"/>
              </w:rPr>
            </w:pPr>
            <w:r w:rsidRPr="00F93095">
              <w:rPr>
                <w:rFonts w:cs="Arial"/>
                <w:b/>
                <w:szCs w:val="22"/>
                <w:lang w:bidi="ar-SA"/>
              </w:rPr>
              <w:t xml:space="preserve">Question </w:t>
            </w:r>
            <w:r w:rsidR="003412EA" w:rsidRPr="00F93095">
              <w:rPr>
                <w:rFonts w:cs="Arial"/>
                <w:b/>
                <w:szCs w:val="22"/>
                <w:lang w:bidi="ar-SA"/>
              </w:rPr>
              <w:t>2</w:t>
            </w:r>
            <w:r w:rsidR="0029795C">
              <w:rPr>
                <w:rFonts w:cs="Arial"/>
                <w:b/>
                <w:szCs w:val="22"/>
                <w:lang w:bidi="ar-SA"/>
              </w:rPr>
              <w:t>2</w:t>
            </w:r>
            <w:r w:rsidR="00511179" w:rsidRPr="00F93095">
              <w:rPr>
                <w:rFonts w:cs="Arial"/>
                <w:b/>
                <w:szCs w:val="22"/>
                <w:lang w:bidi="ar-SA"/>
              </w:rPr>
              <w:t xml:space="preserve"> </w:t>
            </w:r>
            <w:r w:rsidR="00D4104C" w:rsidRPr="00F93095">
              <w:rPr>
                <w:rFonts w:cs="Arial"/>
                <w:i/>
                <w:szCs w:val="22"/>
                <w:lang w:bidi="ar-SA"/>
              </w:rPr>
              <w:t>(refer to p.</w:t>
            </w:r>
            <w:r w:rsidR="00336D7B">
              <w:rPr>
                <w:rFonts w:cs="Arial"/>
                <w:i/>
                <w:szCs w:val="22"/>
                <w:lang w:bidi="ar-SA"/>
              </w:rPr>
              <w:t>18</w:t>
            </w:r>
            <w:r w:rsidR="00F93095">
              <w:rPr>
                <w:rFonts w:cs="Arial"/>
                <w:i/>
                <w:szCs w:val="22"/>
                <w:lang w:bidi="ar-SA"/>
              </w:rPr>
              <w:t xml:space="preserve"> and SD3</w:t>
            </w:r>
            <w:r w:rsidR="00511179" w:rsidRPr="00F93095">
              <w:rPr>
                <w:rFonts w:cs="Arial"/>
                <w:i/>
                <w:szCs w:val="22"/>
                <w:lang w:bidi="ar-SA"/>
              </w:rPr>
              <w:t>)</w:t>
            </w:r>
          </w:p>
        </w:tc>
      </w:tr>
      <w:tr w:rsidR="00511179" w:rsidRPr="00450410" w:rsidTr="00CF7A0F">
        <w:tc>
          <w:tcPr>
            <w:tcW w:w="9180" w:type="dxa"/>
            <w:shd w:val="clear" w:color="auto" w:fill="auto"/>
          </w:tcPr>
          <w:p w:rsidR="00E21A65" w:rsidRDefault="00CF7A0F" w:rsidP="00F93095">
            <w:pPr>
              <w:rPr>
                <w:rFonts w:cs="Arial"/>
                <w:b/>
                <w:szCs w:val="22"/>
                <w:lang w:bidi="ar-SA"/>
              </w:rPr>
            </w:pPr>
            <w:r w:rsidRPr="00233890">
              <w:rPr>
                <w:rFonts w:cs="Arial"/>
                <w:b/>
                <w:szCs w:val="22"/>
                <w:lang w:bidi="ar-SA"/>
              </w:rPr>
              <w:t>As a packaging manufacturer/converter</w:t>
            </w:r>
            <w:r>
              <w:rPr>
                <w:rFonts w:cs="Arial"/>
                <w:b/>
                <w:szCs w:val="22"/>
                <w:lang w:bidi="ar-SA"/>
              </w:rPr>
              <w:t xml:space="preserve">/supplier (including packaging importer), </w:t>
            </w:r>
            <w:r w:rsidR="00FA3E8F">
              <w:rPr>
                <w:rFonts w:cs="Arial"/>
                <w:b/>
                <w:szCs w:val="22"/>
                <w:lang w:bidi="ar-SA"/>
              </w:rPr>
              <w:t>a</w:t>
            </w:r>
            <w:r w:rsidR="00E21A65" w:rsidRPr="00450410">
              <w:rPr>
                <w:rFonts w:cs="Arial"/>
                <w:b/>
                <w:szCs w:val="22"/>
                <w:lang w:bidi="ar-SA"/>
              </w:rPr>
              <w:t xml:space="preserve">s a result of international responses to issues with CMPF (eg. </w:t>
            </w:r>
            <w:r w:rsidR="00E21A65" w:rsidRPr="00450410">
              <w:rPr>
                <w:rFonts w:cs="Arial"/>
                <w:b/>
                <w:szCs w:val="22"/>
              </w:rPr>
              <w:t>di-2-ethylhexyl adipate</w:t>
            </w:r>
            <w:r w:rsidR="00E21A65" w:rsidRPr="00450410">
              <w:rPr>
                <w:b/>
                <w:szCs w:val="22"/>
              </w:rPr>
              <w:t xml:space="preserve"> (</w:t>
            </w:r>
            <w:r w:rsidR="00E21A65" w:rsidRPr="00450410">
              <w:rPr>
                <w:rFonts w:cs="Arial"/>
                <w:b/>
                <w:szCs w:val="22"/>
                <w:lang w:bidi="ar-SA"/>
              </w:rPr>
              <w:t xml:space="preserve">DEHA)), and management measures undertaken by overseas manufacturers (eg. reformulation), have </w:t>
            </w:r>
            <w:r w:rsidR="00E21A65">
              <w:rPr>
                <w:rFonts w:cs="Arial"/>
                <w:b/>
                <w:szCs w:val="22"/>
                <w:lang w:bidi="ar-SA"/>
              </w:rPr>
              <w:t xml:space="preserve">you adopted </w:t>
            </w:r>
            <w:r w:rsidR="00E21A65" w:rsidRPr="00450410">
              <w:rPr>
                <w:rFonts w:cs="Arial"/>
                <w:b/>
                <w:szCs w:val="22"/>
                <w:lang w:bidi="ar-SA"/>
              </w:rPr>
              <w:t>similar mitigation measures</w:t>
            </w:r>
            <w:r w:rsidR="00E21A65">
              <w:rPr>
                <w:rFonts w:cs="Arial"/>
                <w:b/>
                <w:szCs w:val="22"/>
                <w:lang w:bidi="ar-SA"/>
              </w:rPr>
              <w:t>?</w:t>
            </w:r>
            <w:r w:rsidR="00E21A65" w:rsidRPr="00450410" w:rsidDel="005B2325">
              <w:rPr>
                <w:rFonts w:cs="Arial"/>
                <w:b/>
                <w:szCs w:val="22"/>
                <w:lang w:bidi="ar-SA"/>
              </w:rPr>
              <w:t xml:space="preserve"> </w:t>
            </w:r>
          </w:p>
          <w:p w:rsidR="00511179" w:rsidRPr="00450410" w:rsidRDefault="00511179" w:rsidP="00930392">
            <w:pPr>
              <w:rPr>
                <w:rFonts w:cs="Arial"/>
                <w:szCs w:val="22"/>
                <w:lang w:bidi="ar-SA"/>
              </w:rPr>
            </w:pPr>
          </w:p>
          <w:p w:rsidR="00511179" w:rsidRPr="00450410" w:rsidRDefault="005A60B4" w:rsidP="00930392">
            <w:pPr>
              <w:pStyle w:val="ListParagraph"/>
              <w:rPr>
                <w:rFonts w:cs="Arial"/>
                <w:szCs w:val="22"/>
                <w:lang w:bidi="ar-SA"/>
              </w:rPr>
            </w:pPr>
            <w:sdt>
              <w:sdtPr>
                <w:rPr>
                  <w:rFonts w:cs="Arial"/>
                  <w:szCs w:val="22"/>
                  <w:lang w:bidi="ar-SA"/>
                </w:rPr>
                <w:id w:val="983355418"/>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No</w:t>
            </w:r>
          </w:p>
          <w:p w:rsidR="00511179" w:rsidRPr="00450410" w:rsidRDefault="00511179" w:rsidP="00930392">
            <w:pPr>
              <w:rPr>
                <w:rFonts w:cs="Arial"/>
                <w:szCs w:val="22"/>
                <w:lang w:bidi="ar-SA"/>
              </w:rPr>
            </w:pPr>
          </w:p>
          <w:p w:rsidR="00511179" w:rsidRPr="00450410" w:rsidRDefault="005A60B4" w:rsidP="00930392">
            <w:pPr>
              <w:pStyle w:val="ListParagraph"/>
              <w:rPr>
                <w:rFonts w:cs="Arial"/>
                <w:szCs w:val="22"/>
                <w:lang w:bidi="ar-SA"/>
              </w:rPr>
            </w:pPr>
            <w:sdt>
              <w:sdtPr>
                <w:rPr>
                  <w:rFonts w:cs="Arial"/>
                  <w:szCs w:val="22"/>
                  <w:lang w:bidi="ar-SA"/>
                </w:rPr>
                <w:id w:val="-1455244931"/>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Yes </w:t>
            </w:r>
          </w:p>
          <w:p w:rsidR="00511179" w:rsidRPr="00450410" w:rsidRDefault="00511179" w:rsidP="00930392">
            <w:pPr>
              <w:rPr>
                <w:rFonts w:cs="Arial"/>
                <w:szCs w:val="22"/>
                <w:lang w:bidi="ar-SA"/>
              </w:rPr>
            </w:pPr>
          </w:p>
          <w:p w:rsidR="00511179" w:rsidRPr="00450410" w:rsidRDefault="00511179" w:rsidP="00930392">
            <w:pPr>
              <w:rPr>
                <w:rFonts w:cs="Arial"/>
                <w:i/>
                <w:szCs w:val="22"/>
                <w:lang w:bidi="ar-SA"/>
              </w:rPr>
            </w:pPr>
            <w:r w:rsidRPr="00450410">
              <w:rPr>
                <w:rFonts w:cs="Arial"/>
                <w:i/>
                <w:szCs w:val="22"/>
                <w:lang w:bidi="ar-SA"/>
              </w:rPr>
              <w:t>Please expand on your response</w:t>
            </w:r>
          </w:p>
          <w:tbl>
            <w:tblPr>
              <w:tblStyle w:val="TableGrid"/>
              <w:tblW w:w="0" w:type="auto"/>
              <w:tblLayout w:type="fixed"/>
              <w:tblLook w:val="04A0" w:firstRow="1" w:lastRow="0" w:firstColumn="1" w:lastColumn="0" w:noHBand="0" w:noVBand="1"/>
            </w:tblPr>
            <w:tblGrid>
              <w:gridCol w:w="8949"/>
            </w:tblGrid>
            <w:tr w:rsidR="005E5327" w:rsidTr="005E5327">
              <w:tc>
                <w:tcPr>
                  <w:tcW w:w="8949" w:type="dxa"/>
                </w:tcPr>
                <w:p w:rsidR="005E5327" w:rsidRDefault="005E5327" w:rsidP="00930392">
                  <w:pPr>
                    <w:rPr>
                      <w:rFonts w:cs="Arial"/>
                      <w:szCs w:val="22"/>
                      <w:lang w:bidi="ar-SA"/>
                    </w:rPr>
                  </w:pPr>
                </w:p>
              </w:tc>
            </w:tr>
          </w:tbl>
          <w:p w:rsidR="00511179" w:rsidRPr="00450410" w:rsidRDefault="00511179" w:rsidP="00930392">
            <w:pPr>
              <w:rPr>
                <w:rFonts w:cs="Arial"/>
                <w:szCs w:val="22"/>
                <w:lang w:bidi="ar-SA"/>
              </w:rPr>
            </w:pPr>
          </w:p>
          <w:p w:rsidR="00511179" w:rsidRPr="00450410" w:rsidRDefault="00511179" w:rsidP="00930392">
            <w:pPr>
              <w:rPr>
                <w:rFonts w:cs="Arial"/>
                <w:szCs w:val="22"/>
                <w:lang w:bidi="ar-SA"/>
              </w:rPr>
            </w:pPr>
          </w:p>
          <w:p w:rsidR="00511179" w:rsidRPr="00450410" w:rsidRDefault="00DB3E10" w:rsidP="0029795C">
            <w:pPr>
              <w:rPr>
                <w:rFonts w:cs="Arial"/>
                <w:szCs w:val="22"/>
                <w:lang w:bidi="ar-SA"/>
              </w:rPr>
            </w:pPr>
            <w:r w:rsidRPr="00F93095">
              <w:rPr>
                <w:rFonts w:cs="Arial"/>
                <w:b/>
                <w:szCs w:val="22"/>
                <w:lang w:bidi="ar-SA"/>
              </w:rPr>
              <w:t xml:space="preserve">Question </w:t>
            </w:r>
            <w:r w:rsidR="003412EA" w:rsidRPr="00F93095">
              <w:rPr>
                <w:rFonts w:cs="Arial"/>
                <w:b/>
                <w:szCs w:val="22"/>
                <w:lang w:bidi="ar-SA"/>
              </w:rPr>
              <w:t>2</w:t>
            </w:r>
            <w:r w:rsidR="0029795C">
              <w:rPr>
                <w:rFonts w:cs="Arial"/>
                <w:b/>
                <w:szCs w:val="22"/>
                <w:lang w:bidi="ar-SA"/>
              </w:rPr>
              <w:t>3</w:t>
            </w:r>
            <w:r w:rsidR="00511179" w:rsidRPr="00F93095">
              <w:rPr>
                <w:rFonts w:cs="Arial"/>
                <w:b/>
                <w:szCs w:val="22"/>
                <w:lang w:bidi="ar-SA"/>
              </w:rPr>
              <w:t xml:space="preserve"> </w:t>
            </w:r>
            <w:r w:rsidR="00511179" w:rsidRPr="00F93095">
              <w:rPr>
                <w:rFonts w:cs="Arial"/>
                <w:i/>
                <w:szCs w:val="22"/>
                <w:lang w:bidi="ar-SA"/>
              </w:rPr>
              <w:t>(refer to p.</w:t>
            </w:r>
            <w:r w:rsidR="00336D7B">
              <w:rPr>
                <w:rFonts w:cs="Arial"/>
                <w:i/>
                <w:szCs w:val="22"/>
                <w:lang w:bidi="ar-SA"/>
              </w:rPr>
              <w:t xml:space="preserve">18 </w:t>
            </w:r>
            <w:r w:rsidR="00F93095" w:rsidRPr="00F93095">
              <w:rPr>
                <w:rFonts w:cs="Arial"/>
                <w:i/>
                <w:szCs w:val="22"/>
                <w:lang w:bidi="ar-SA"/>
              </w:rPr>
              <w:t>and SD3</w:t>
            </w:r>
            <w:r w:rsidR="00511179" w:rsidRPr="00F93095">
              <w:rPr>
                <w:rFonts w:cs="Arial"/>
                <w:i/>
                <w:szCs w:val="22"/>
                <w:lang w:bidi="ar-SA"/>
              </w:rPr>
              <w:t>)</w:t>
            </w:r>
          </w:p>
        </w:tc>
      </w:tr>
      <w:tr w:rsidR="00511179" w:rsidRPr="00450410" w:rsidTr="00CF7A0F">
        <w:tc>
          <w:tcPr>
            <w:tcW w:w="9180" w:type="dxa"/>
            <w:shd w:val="clear" w:color="auto" w:fill="auto"/>
          </w:tcPr>
          <w:p w:rsidR="00511179" w:rsidRPr="00450410" w:rsidRDefault="00CF7A0F" w:rsidP="00FA3E8F">
            <w:pPr>
              <w:rPr>
                <w:rFonts w:cs="Arial"/>
                <w:b/>
                <w:szCs w:val="22"/>
                <w:lang w:bidi="ar-SA"/>
              </w:rPr>
            </w:pPr>
            <w:r w:rsidRPr="00233890">
              <w:rPr>
                <w:rFonts w:cs="Arial"/>
                <w:b/>
                <w:szCs w:val="22"/>
                <w:lang w:bidi="ar-SA"/>
              </w:rPr>
              <w:t>As a packaging manufacturer/converter</w:t>
            </w:r>
            <w:r>
              <w:rPr>
                <w:rFonts w:cs="Arial"/>
                <w:b/>
                <w:szCs w:val="22"/>
                <w:lang w:bidi="ar-SA"/>
              </w:rPr>
              <w:t>/supplier (including packaging importer)</w:t>
            </w:r>
            <w:r w:rsidR="00FA3E8F">
              <w:rPr>
                <w:rFonts w:cs="Arial"/>
                <w:b/>
                <w:szCs w:val="22"/>
                <w:lang w:bidi="ar-SA"/>
              </w:rPr>
              <w:t>,</w:t>
            </w:r>
            <w:r w:rsidR="00FA3E8F" w:rsidRPr="00233890">
              <w:rPr>
                <w:rFonts w:cs="Arial"/>
                <w:b/>
                <w:szCs w:val="22"/>
                <w:lang w:bidi="ar-SA"/>
              </w:rPr>
              <w:t xml:space="preserve"> </w:t>
            </w:r>
            <w:r w:rsidR="00FA3E8F">
              <w:rPr>
                <w:rFonts w:cs="Arial"/>
                <w:b/>
                <w:szCs w:val="22"/>
                <w:lang w:bidi="ar-SA"/>
              </w:rPr>
              <w:t>a</w:t>
            </w:r>
            <w:r w:rsidR="00511179" w:rsidRPr="00450410">
              <w:rPr>
                <w:rFonts w:cs="Arial"/>
                <w:b/>
                <w:szCs w:val="22"/>
                <w:lang w:bidi="ar-SA"/>
              </w:rPr>
              <w:t>re you aware if semicarbazide is still used in manufacturing of food packaging materials in Australia and/or New Zealand?</w:t>
            </w:r>
          </w:p>
        </w:tc>
      </w:tr>
    </w:tbl>
    <w:p w:rsidR="00511179" w:rsidRPr="00450410" w:rsidRDefault="00511179" w:rsidP="00511179">
      <w:pPr>
        <w:rPr>
          <w:rFonts w:cs="Arial"/>
          <w:szCs w:val="22"/>
          <w:lang w:bidi="ar-SA"/>
        </w:rPr>
      </w:pPr>
    </w:p>
    <w:p w:rsidR="00511179" w:rsidRPr="00450410" w:rsidRDefault="005A60B4" w:rsidP="00511179">
      <w:pPr>
        <w:pStyle w:val="ListParagraph"/>
        <w:rPr>
          <w:rFonts w:cs="Arial"/>
          <w:szCs w:val="22"/>
          <w:lang w:bidi="ar-SA"/>
        </w:rPr>
      </w:pPr>
      <w:sdt>
        <w:sdtPr>
          <w:rPr>
            <w:rFonts w:cs="Arial"/>
            <w:szCs w:val="22"/>
            <w:lang w:bidi="ar-SA"/>
          </w:rPr>
          <w:id w:val="507410468"/>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No</w:t>
      </w:r>
    </w:p>
    <w:p w:rsidR="00511179" w:rsidRPr="00450410" w:rsidRDefault="00511179" w:rsidP="00511179">
      <w:pPr>
        <w:rPr>
          <w:rFonts w:cs="Arial"/>
          <w:szCs w:val="22"/>
          <w:lang w:bidi="ar-SA"/>
        </w:rPr>
      </w:pPr>
    </w:p>
    <w:p w:rsidR="00511179" w:rsidRPr="00450410" w:rsidRDefault="005A60B4" w:rsidP="00511179">
      <w:pPr>
        <w:pStyle w:val="ListParagraph"/>
        <w:rPr>
          <w:rFonts w:cs="Arial"/>
          <w:szCs w:val="22"/>
          <w:lang w:bidi="ar-SA"/>
        </w:rPr>
      </w:pPr>
      <w:sdt>
        <w:sdtPr>
          <w:rPr>
            <w:rFonts w:cs="Arial"/>
            <w:szCs w:val="22"/>
            <w:lang w:bidi="ar-SA"/>
          </w:rPr>
          <w:id w:val="174238402"/>
          <w14:checkbox>
            <w14:checked w14:val="0"/>
            <w14:checkedState w14:val="2612" w14:font="MS Gothic"/>
            <w14:uncheckedState w14:val="2610" w14:font="MS Gothic"/>
          </w14:checkbox>
        </w:sdtPr>
        <w:sdtEndPr/>
        <w:sdtContent>
          <w:r w:rsidR="00511179" w:rsidRPr="00450410">
            <w:rPr>
              <w:rFonts w:ascii="MS Gothic" w:eastAsia="MS Gothic" w:hAnsi="MS Gothic" w:cs="MS Gothic" w:hint="eastAsia"/>
              <w:szCs w:val="22"/>
              <w:lang w:bidi="ar-SA"/>
            </w:rPr>
            <w:t>☐</w:t>
          </w:r>
        </w:sdtContent>
      </w:sdt>
      <w:r w:rsidR="00511179" w:rsidRPr="00450410">
        <w:rPr>
          <w:rFonts w:cs="Arial"/>
          <w:szCs w:val="22"/>
          <w:lang w:bidi="ar-SA"/>
        </w:rPr>
        <w:t xml:space="preserve">  Yes </w:t>
      </w:r>
    </w:p>
    <w:p w:rsidR="00511179" w:rsidRPr="00450410" w:rsidRDefault="00511179" w:rsidP="00511179">
      <w:pPr>
        <w:rPr>
          <w:rFonts w:cs="Arial"/>
          <w:szCs w:val="22"/>
          <w:lang w:bidi="ar-SA"/>
        </w:rPr>
      </w:pPr>
    </w:p>
    <w:p w:rsidR="00511179" w:rsidRDefault="00511179" w:rsidP="00511179">
      <w:pPr>
        <w:rPr>
          <w:rFonts w:cs="Arial"/>
          <w:i/>
          <w:szCs w:val="22"/>
          <w:lang w:bidi="ar-SA"/>
        </w:rPr>
      </w:pPr>
      <w:r w:rsidRPr="00450410">
        <w:rPr>
          <w:rFonts w:cs="Arial"/>
          <w:i/>
          <w:szCs w:val="22"/>
          <w:lang w:bidi="ar-SA"/>
        </w:rPr>
        <w:t>Please expand on your response</w:t>
      </w:r>
    </w:p>
    <w:p w:rsidR="00F93095" w:rsidRDefault="00F93095" w:rsidP="00511179">
      <w:pPr>
        <w:rPr>
          <w:rFonts w:cs="Arial"/>
          <w:i/>
          <w:szCs w:val="22"/>
          <w:lang w:bidi="ar-SA"/>
        </w:rPr>
      </w:pPr>
    </w:p>
    <w:tbl>
      <w:tblPr>
        <w:tblStyle w:val="TableGrid"/>
        <w:tblW w:w="0" w:type="auto"/>
        <w:tblLook w:val="04A0" w:firstRow="1" w:lastRow="0" w:firstColumn="1" w:lastColumn="0" w:noHBand="0" w:noVBand="1"/>
      </w:tblPr>
      <w:tblGrid>
        <w:gridCol w:w="9286"/>
      </w:tblGrid>
      <w:tr w:rsidR="005E5327" w:rsidTr="005E5327">
        <w:tc>
          <w:tcPr>
            <w:tcW w:w="9286" w:type="dxa"/>
          </w:tcPr>
          <w:p w:rsidR="005E5327" w:rsidRDefault="005E5327" w:rsidP="00511179">
            <w:pPr>
              <w:rPr>
                <w:rFonts w:cs="Arial"/>
                <w:i/>
                <w:szCs w:val="22"/>
                <w:lang w:bidi="ar-SA"/>
              </w:rPr>
            </w:pPr>
          </w:p>
        </w:tc>
      </w:tr>
    </w:tbl>
    <w:p w:rsidR="00F93095" w:rsidRDefault="00F93095" w:rsidP="00511179">
      <w:pPr>
        <w:rPr>
          <w:rFonts w:cs="Arial"/>
          <w:i/>
          <w:szCs w:val="22"/>
          <w:lang w:bidi="ar-SA"/>
        </w:rPr>
      </w:pPr>
    </w:p>
    <w:p w:rsidR="00F93095" w:rsidRDefault="00F93095" w:rsidP="00511179">
      <w:pPr>
        <w:rPr>
          <w:rFonts w:cs="Arial"/>
          <w:i/>
          <w:szCs w:val="22"/>
          <w:lang w:bidi="ar-SA"/>
        </w:rPr>
      </w:pPr>
    </w:p>
    <w:p w:rsidR="005E5327" w:rsidRDefault="005E5327" w:rsidP="00C7216E">
      <w:pPr>
        <w:rPr>
          <w:b/>
          <w:lang w:bidi="ar-SA"/>
        </w:rPr>
      </w:pPr>
    </w:p>
    <w:p w:rsidR="00F93095" w:rsidRDefault="00F93095" w:rsidP="00C7216E">
      <w:pPr>
        <w:rPr>
          <w:b/>
          <w:lang w:bidi="ar-SA"/>
        </w:rPr>
      </w:pPr>
      <w:r>
        <w:rPr>
          <w:b/>
          <w:lang w:bidi="ar-SA"/>
        </w:rPr>
        <w:t>Please detail any other comments</w:t>
      </w:r>
      <w:r w:rsidR="00071EB2">
        <w:rPr>
          <w:b/>
          <w:lang w:bidi="ar-SA"/>
        </w:rPr>
        <w:t xml:space="preserve"> you have</w:t>
      </w:r>
      <w:r>
        <w:rPr>
          <w:b/>
          <w:lang w:bidi="ar-SA"/>
        </w:rPr>
        <w:t xml:space="preserve"> on the Consultation Paper and the issues raised:</w:t>
      </w:r>
    </w:p>
    <w:p w:rsidR="00F93095" w:rsidRDefault="00F93095" w:rsidP="00C7216E">
      <w:pPr>
        <w:rPr>
          <w:b/>
          <w:lang w:bidi="ar-SA"/>
        </w:rPr>
      </w:pPr>
    </w:p>
    <w:tbl>
      <w:tblPr>
        <w:tblStyle w:val="TableGrid"/>
        <w:tblW w:w="0" w:type="auto"/>
        <w:tblLook w:val="04A0" w:firstRow="1" w:lastRow="0" w:firstColumn="1" w:lastColumn="0" w:noHBand="0" w:noVBand="1"/>
      </w:tblPr>
      <w:tblGrid>
        <w:gridCol w:w="9286"/>
      </w:tblGrid>
      <w:tr w:rsidR="005E5327" w:rsidTr="005E5327">
        <w:tc>
          <w:tcPr>
            <w:tcW w:w="9286" w:type="dxa"/>
          </w:tcPr>
          <w:p w:rsidR="005E5327" w:rsidRDefault="005E5327" w:rsidP="00C7216E">
            <w:pPr>
              <w:rPr>
                <w:b/>
                <w:lang w:bidi="ar-SA"/>
              </w:rPr>
            </w:pPr>
          </w:p>
        </w:tc>
      </w:tr>
    </w:tbl>
    <w:p w:rsidR="00F93095" w:rsidRPr="00F93095" w:rsidRDefault="00F93095" w:rsidP="00C7216E">
      <w:pPr>
        <w:rPr>
          <w:b/>
          <w:lang w:bidi="ar-SA"/>
        </w:rPr>
      </w:pPr>
    </w:p>
    <w:sectPr w:rsidR="00F93095" w:rsidRPr="00F93095" w:rsidSect="00F4428E">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0B4" w:rsidRDefault="005A60B4">
      <w:r>
        <w:separator/>
      </w:r>
    </w:p>
  </w:endnote>
  <w:endnote w:type="continuationSeparator" w:id="0">
    <w:p w:rsidR="005A60B4" w:rsidRDefault="005A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E7" w:rsidRDefault="005916E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6E7" w:rsidRDefault="00591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E7" w:rsidRDefault="005916E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0F07">
      <w:rPr>
        <w:rStyle w:val="PageNumber"/>
        <w:noProof/>
      </w:rPr>
      <w:t>15</w:t>
    </w:r>
    <w:r>
      <w:rPr>
        <w:rStyle w:val="PageNumber"/>
      </w:rPr>
      <w:fldChar w:fldCharType="end"/>
    </w:r>
  </w:p>
  <w:p w:rsidR="005916E7" w:rsidRDefault="005916E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351" w:rsidRDefault="00E16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0B4" w:rsidRDefault="005A60B4">
      <w:r>
        <w:separator/>
      </w:r>
    </w:p>
  </w:footnote>
  <w:footnote w:type="continuationSeparator" w:id="0">
    <w:p w:rsidR="005A60B4" w:rsidRDefault="005A60B4">
      <w:r>
        <w:continuationSeparator/>
      </w:r>
    </w:p>
  </w:footnote>
  <w:footnote w:id="1">
    <w:p w:rsidR="005916E7" w:rsidRPr="007F6373" w:rsidRDefault="005916E7">
      <w:pPr>
        <w:pStyle w:val="FootnoteText"/>
        <w:rPr>
          <w:sz w:val="18"/>
          <w:szCs w:val="18"/>
          <w:lang w:val="en-AU"/>
        </w:rPr>
      </w:pPr>
      <w:r w:rsidRPr="007F6373">
        <w:rPr>
          <w:rStyle w:val="FootnoteReference"/>
          <w:sz w:val="18"/>
          <w:szCs w:val="18"/>
        </w:rPr>
        <w:footnoteRef/>
      </w:r>
      <w:r w:rsidRPr="007F6373">
        <w:rPr>
          <w:sz w:val="18"/>
          <w:szCs w:val="18"/>
        </w:rPr>
        <w:t xml:space="preserve"> </w:t>
      </w:r>
      <w:r w:rsidRPr="007F6373">
        <w:rPr>
          <w:sz w:val="18"/>
          <w:szCs w:val="18"/>
          <w:lang w:val="en-AU"/>
        </w:rPr>
        <w:t xml:space="preserve">See FSANZ website </w:t>
      </w:r>
      <w:hyperlink r:id="rId1" w:history="1">
        <w:r w:rsidRPr="007F6373">
          <w:rPr>
            <w:rStyle w:val="Hyperlink"/>
            <w:sz w:val="18"/>
            <w:szCs w:val="18"/>
            <w:lang w:val="en-AU"/>
          </w:rPr>
          <w:t>http://www.foodstandards.gov.au/Pages/default.aspx</w:t>
        </w:r>
      </w:hyperlink>
    </w:p>
  </w:footnote>
  <w:footnote w:id="2">
    <w:p w:rsidR="005916E7" w:rsidRPr="007F6373" w:rsidRDefault="005916E7">
      <w:pPr>
        <w:pStyle w:val="FootnoteText"/>
        <w:rPr>
          <w:sz w:val="18"/>
          <w:szCs w:val="18"/>
          <w:lang w:val="en-AU"/>
        </w:rPr>
      </w:pPr>
      <w:r w:rsidRPr="007F6373">
        <w:rPr>
          <w:rStyle w:val="FootnoteReference"/>
          <w:sz w:val="18"/>
          <w:szCs w:val="18"/>
        </w:rPr>
        <w:footnoteRef/>
      </w:r>
      <w:r w:rsidRPr="007F6373">
        <w:rPr>
          <w:sz w:val="18"/>
          <w:szCs w:val="18"/>
        </w:rPr>
        <w:t xml:space="preserve"> The Australian Packaging Covenant defines a “Recycled material” as a material that has been reprocessed from recovered (reclaimed) material by a manufacturing process and made into a final product or into a component for a product (AS/NZS ISO 14021: 2000, Environmental labels and declarations–Self-declared environmental claims).</w:t>
      </w:r>
    </w:p>
  </w:footnote>
  <w:footnote w:id="3">
    <w:p w:rsidR="005916E7" w:rsidRPr="00E27D26" w:rsidRDefault="005916E7">
      <w:pPr>
        <w:pStyle w:val="FootnoteText"/>
        <w:rPr>
          <w:lang w:val="en-AU"/>
        </w:rPr>
      </w:pPr>
      <w:r>
        <w:rPr>
          <w:rStyle w:val="FootnoteReference"/>
        </w:rPr>
        <w:footnoteRef/>
      </w:r>
      <w:r>
        <w:t xml:space="preserve"> </w:t>
      </w:r>
      <w:hyperlink r:id="rId2" w:history="1">
        <w:r w:rsidRPr="00AE2A13">
          <w:rPr>
            <w:rStyle w:val="Hyperlink"/>
          </w:rPr>
          <w:t>https://www.accc.gov.au/</w:t>
        </w:r>
      </w:hyperlink>
    </w:p>
  </w:footnote>
  <w:footnote w:id="4">
    <w:p w:rsidR="005916E7" w:rsidRPr="00E27D26" w:rsidRDefault="005916E7">
      <w:pPr>
        <w:pStyle w:val="FootnoteText"/>
        <w:rPr>
          <w:lang w:val="en-AU"/>
        </w:rPr>
      </w:pPr>
      <w:r>
        <w:rPr>
          <w:rStyle w:val="FootnoteReference"/>
        </w:rPr>
        <w:footnoteRef/>
      </w:r>
      <w:r>
        <w:t xml:space="preserve"> </w:t>
      </w:r>
      <w:hyperlink r:id="rId3" w:history="1">
        <w:r w:rsidRPr="00AE2A13">
          <w:rPr>
            <w:rStyle w:val="Hyperlink"/>
          </w:rPr>
          <w:t>http://www.nicnas.gov.au/</w:t>
        </w:r>
      </w:hyperlink>
    </w:p>
  </w:footnote>
  <w:footnote w:id="5">
    <w:p w:rsidR="005916E7" w:rsidRPr="007F6373" w:rsidRDefault="005916E7">
      <w:pPr>
        <w:pStyle w:val="FootnoteText"/>
        <w:rPr>
          <w:sz w:val="18"/>
          <w:szCs w:val="18"/>
          <w:lang w:val="en-AU"/>
        </w:rPr>
      </w:pPr>
      <w:r w:rsidRPr="007F6373">
        <w:rPr>
          <w:rStyle w:val="FootnoteReference"/>
          <w:sz w:val="18"/>
          <w:szCs w:val="18"/>
        </w:rPr>
        <w:footnoteRef/>
      </w:r>
      <w:r w:rsidRPr="007F6373">
        <w:rPr>
          <w:rFonts w:eastAsia="Calibri"/>
          <w:sz w:val="18"/>
          <w:szCs w:val="18"/>
          <w:lang w:bidi="ar-SA"/>
        </w:rPr>
        <w:t xml:space="preserve">unit of measurement </w:t>
      </w:r>
      <w:r w:rsidRPr="007F6373">
        <w:rPr>
          <w:rFonts w:cs="Arial"/>
          <w:color w:val="222222"/>
          <w:sz w:val="18"/>
          <w:szCs w:val="18"/>
          <w:lang w:val="en-AU" w:eastAsia="en-GB" w:bidi="ar-SA"/>
        </w:rPr>
        <w:t>expressing the molecular weight</w:t>
      </w:r>
      <w:r w:rsidRPr="007F6373">
        <w:rPr>
          <w:sz w:val="18"/>
          <w:szCs w:val="18"/>
        </w:rPr>
        <w:t xml:space="preserve"> </w:t>
      </w:r>
    </w:p>
  </w:footnote>
  <w:footnote w:id="6">
    <w:p w:rsidR="005916E7" w:rsidRPr="007F6373" w:rsidRDefault="005916E7" w:rsidP="00A51C17">
      <w:pPr>
        <w:pStyle w:val="FootnoteText"/>
        <w:rPr>
          <w:sz w:val="18"/>
          <w:szCs w:val="18"/>
          <w:lang w:val="en-AU"/>
        </w:rPr>
      </w:pPr>
      <w:r w:rsidRPr="007F6373">
        <w:rPr>
          <w:rStyle w:val="FootnoteReference"/>
          <w:sz w:val="18"/>
          <w:szCs w:val="18"/>
        </w:rPr>
        <w:footnoteRef/>
      </w:r>
      <w:r w:rsidRPr="007F6373">
        <w:rPr>
          <w:sz w:val="18"/>
          <w:szCs w:val="18"/>
        </w:rPr>
        <w:t xml:space="preserve"> The potential migration of tin from tin-plated steel cans is a notable exception. Adverse effects in humans appear to be limited to acute gastric disturbances when levels of tin in food exceed 250 mg/kg.</w:t>
      </w:r>
    </w:p>
  </w:footnote>
  <w:footnote w:id="7">
    <w:p w:rsidR="005916E7" w:rsidRPr="0011367D" w:rsidRDefault="005916E7">
      <w:pPr>
        <w:pStyle w:val="FootnoteText"/>
        <w:rPr>
          <w:lang w:val="en-AU"/>
        </w:rPr>
      </w:pPr>
      <w:r>
        <w:rPr>
          <w:rStyle w:val="FootnoteReference"/>
        </w:rPr>
        <w:footnoteRef/>
      </w:r>
      <w:r>
        <w:t xml:space="preserve"> </w:t>
      </w:r>
      <w:r>
        <w:rPr>
          <w:lang w:val="en-AU"/>
        </w:rPr>
        <w:t>Code of Federal Regulations</w:t>
      </w:r>
    </w:p>
  </w:footnote>
  <w:footnote w:id="8">
    <w:p w:rsidR="005916E7" w:rsidRPr="007F6373" w:rsidRDefault="005916E7" w:rsidP="00243AF2">
      <w:pPr>
        <w:pStyle w:val="FootnoteText"/>
        <w:rPr>
          <w:sz w:val="18"/>
          <w:szCs w:val="18"/>
          <w:lang w:val="en-AU"/>
        </w:rPr>
      </w:pPr>
      <w:r w:rsidRPr="007F6373">
        <w:rPr>
          <w:rStyle w:val="FootnoteReference"/>
          <w:sz w:val="18"/>
          <w:szCs w:val="18"/>
        </w:rPr>
        <w:footnoteRef/>
      </w:r>
      <w:r w:rsidRPr="007F6373">
        <w:rPr>
          <w:sz w:val="18"/>
          <w:szCs w:val="18"/>
        </w:rPr>
        <w:t xml:space="preserve"> </w:t>
      </w:r>
      <w:proofErr w:type="gramStart"/>
      <w:r w:rsidRPr="007F6373">
        <w:rPr>
          <w:sz w:val="18"/>
          <w:szCs w:val="18"/>
        </w:rPr>
        <w:t>21 CFR Ch.</w:t>
      </w:r>
      <w:proofErr w:type="gramEnd"/>
      <w:r w:rsidRPr="007F6373">
        <w:rPr>
          <w:sz w:val="18"/>
          <w:szCs w:val="18"/>
        </w:rPr>
        <w:t xml:space="preserve"> I: § 181.27 Plasticizers.</w:t>
      </w:r>
    </w:p>
  </w:footnote>
  <w:footnote w:id="9">
    <w:p w:rsidR="005916E7" w:rsidRPr="007F6373" w:rsidRDefault="005916E7" w:rsidP="00243AF2">
      <w:pPr>
        <w:pStyle w:val="FootnoteText"/>
        <w:rPr>
          <w:sz w:val="18"/>
          <w:szCs w:val="18"/>
          <w:lang w:val="en-AU"/>
        </w:rPr>
      </w:pPr>
      <w:r w:rsidRPr="007F6373">
        <w:rPr>
          <w:rStyle w:val="FootnoteReference"/>
          <w:sz w:val="18"/>
          <w:szCs w:val="18"/>
        </w:rPr>
        <w:footnoteRef/>
      </w:r>
      <w:r w:rsidRPr="007F6373">
        <w:rPr>
          <w:sz w:val="18"/>
          <w:szCs w:val="18"/>
        </w:rPr>
        <w:t xml:space="preserve"> The SML is the maximum permitted amount of a given substance released from a material into food or food simulants (expressed as mg/kg food).</w:t>
      </w:r>
    </w:p>
  </w:footnote>
  <w:footnote w:id="10">
    <w:p w:rsidR="005916E7" w:rsidRPr="007F6373" w:rsidRDefault="005916E7" w:rsidP="00243AF2">
      <w:pPr>
        <w:pStyle w:val="FootnoteText"/>
        <w:rPr>
          <w:sz w:val="18"/>
          <w:szCs w:val="18"/>
          <w:lang w:val="en-AU"/>
        </w:rPr>
      </w:pPr>
      <w:r w:rsidRPr="007F6373">
        <w:rPr>
          <w:rStyle w:val="FootnoteReference"/>
          <w:sz w:val="18"/>
          <w:szCs w:val="18"/>
        </w:rPr>
        <w:footnoteRef/>
      </w:r>
      <w:r w:rsidRPr="007F6373">
        <w:rPr>
          <w:sz w:val="18"/>
          <w:szCs w:val="18"/>
        </w:rPr>
        <w:t xml:space="preserve"> </w:t>
      </w:r>
      <w:hyperlink r:id="rId4" w:history="1">
        <w:r w:rsidRPr="007F6373">
          <w:rPr>
            <w:rStyle w:val="Hyperlink"/>
            <w:sz w:val="18"/>
            <w:szCs w:val="18"/>
          </w:rPr>
          <w:t>http://ec.europa.eu/food/safety/rasff/index_en.htm</w:t>
        </w:r>
      </w:hyperlink>
    </w:p>
  </w:footnote>
  <w:footnote w:id="11">
    <w:p w:rsidR="005916E7" w:rsidRPr="007F6373" w:rsidRDefault="005916E7">
      <w:pPr>
        <w:pStyle w:val="FootnoteText"/>
        <w:rPr>
          <w:sz w:val="18"/>
          <w:szCs w:val="18"/>
          <w:lang w:val="en-AU"/>
        </w:rPr>
      </w:pPr>
      <w:r w:rsidRPr="007F6373">
        <w:rPr>
          <w:rStyle w:val="FootnoteReference"/>
          <w:sz w:val="18"/>
          <w:szCs w:val="18"/>
        </w:rPr>
        <w:footnoteRef/>
      </w:r>
      <w:r w:rsidRPr="007F6373">
        <w:rPr>
          <w:sz w:val="18"/>
          <w:szCs w:val="18"/>
        </w:rPr>
        <w:t xml:space="preserve"> </w:t>
      </w:r>
      <w:r w:rsidRPr="007F6373">
        <w:rPr>
          <w:sz w:val="18"/>
          <w:szCs w:val="18"/>
          <w:lang w:val="en-AU"/>
        </w:rPr>
        <w:t xml:space="preserve">For a discussion on scientific uncertainty see  ‘Risk Analysis in Food Regulation’ </w:t>
      </w:r>
      <w:hyperlink r:id="rId5" w:history="1">
        <w:r w:rsidRPr="007F6373">
          <w:rPr>
            <w:rStyle w:val="Hyperlink"/>
            <w:sz w:val="18"/>
            <w:szCs w:val="18"/>
            <w:lang w:val="en-AU"/>
          </w:rPr>
          <w:t>http://www.foodstandards.gov.au/publications/riskanalysisfoodregulation/Pages/default.aspx</w:t>
        </w:r>
      </w:hyperlink>
    </w:p>
  </w:footnote>
  <w:footnote w:id="12">
    <w:p w:rsidR="005916E7" w:rsidRPr="007F6373" w:rsidRDefault="005916E7" w:rsidP="00AC4F80">
      <w:pPr>
        <w:pStyle w:val="FootnoteText"/>
        <w:rPr>
          <w:sz w:val="18"/>
          <w:szCs w:val="18"/>
          <w:lang w:val="en-AU"/>
        </w:rPr>
      </w:pPr>
      <w:r w:rsidRPr="007F6373">
        <w:rPr>
          <w:rStyle w:val="FootnoteReference"/>
          <w:sz w:val="18"/>
          <w:szCs w:val="18"/>
        </w:rPr>
        <w:footnoteRef/>
      </w:r>
      <w:r w:rsidRPr="007F6373">
        <w:rPr>
          <w:sz w:val="18"/>
          <w:szCs w:val="18"/>
        </w:rPr>
        <w:t xml:space="preserve"> </w:t>
      </w:r>
      <w:r w:rsidRPr="007F6373">
        <w:rPr>
          <w:sz w:val="18"/>
          <w:szCs w:val="18"/>
          <w:lang w:val="en"/>
        </w:rPr>
        <w:t xml:space="preserve">The Australian Government and the Council of Australian Governments (COAG) both require that a </w:t>
      </w:r>
      <w:hyperlink r:id="rId6" w:history="1">
        <w:r w:rsidRPr="007F6373">
          <w:rPr>
            <w:rStyle w:val="Hyperlink"/>
            <w:sz w:val="18"/>
            <w:szCs w:val="18"/>
            <w:lang w:val="en"/>
          </w:rPr>
          <w:t>Regulation Impact Statement (RIS)</w:t>
        </w:r>
      </w:hyperlink>
      <w:r w:rsidRPr="007F6373">
        <w:rPr>
          <w:sz w:val="18"/>
          <w:szCs w:val="18"/>
          <w:lang w:val="en"/>
        </w:rPr>
        <w:t xml:space="preserve"> be prepared for significant regulatory proposals.</w:t>
      </w:r>
      <w:r w:rsidRPr="007F6373">
        <w:rPr>
          <w:sz w:val="18"/>
          <w:szCs w:val="18"/>
          <w:lang w:val="en-AU"/>
        </w:rPr>
        <w:t xml:space="preserve"> Regulatory Impact Statements are based on cost benefit analyses which consider and compare both the regulatory and non-regulatory options open to policy makers.</w:t>
      </w:r>
    </w:p>
  </w:footnote>
  <w:footnote w:id="13">
    <w:p w:rsidR="005916E7" w:rsidRPr="007F6373" w:rsidRDefault="005916E7">
      <w:pPr>
        <w:pStyle w:val="FootnoteText"/>
        <w:rPr>
          <w:sz w:val="18"/>
          <w:szCs w:val="18"/>
          <w:lang w:val="en-AU"/>
        </w:rPr>
      </w:pPr>
      <w:r w:rsidRPr="007F6373">
        <w:rPr>
          <w:rStyle w:val="FootnoteReference"/>
          <w:sz w:val="18"/>
          <w:szCs w:val="18"/>
        </w:rPr>
        <w:footnoteRef/>
      </w:r>
      <w:r w:rsidRPr="007F6373">
        <w:rPr>
          <w:sz w:val="18"/>
          <w:szCs w:val="18"/>
        </w:rPr>
        <w:t xml:space="preserve"> </w:t>
      </w:r>
      <w:hyperlink r:id="rId7" w:history="1">
        <w:r w:rsidRPr="007F6373">
          <w:rPr>
            <w:rStyle w:val="Hyperlink"/>
            <w:sz w:val="18"/>
            <w:szCs w:val="18"/>
          </w:rPr>
          <w:t>http://www.foodstandards.gov.au/code/proposals/Pages/proposalp1025coderev5755.aspx</w:t>
        </w:r>
      </w:hyperlink>
      <w:r w:rsidRPr="007F6373">
        <w:rPr>
          <w:sz w:val="18"/>
          <w:szCs w:val="18"/>
        </w:rPr>
        <w:t xml:space="preserve"> </w:t>
      </w:r>
      <w:r w:rsidRPr="007F6373" w:rsidDel="00251C52">
        <w:rPr>
          <w:sz w:val="18"/>
          <w:szCs w:val="18"/>
        </w:rPr>
        <w:t xml:space="preserve"> </w:t>
      </w:r>
      <w:r w:rsidRPr="007F6373">
        <w:rPr>
          <w:sz w:val="18"/>
          <w:szCs w:val="18"/>
        </w:rPr>
        <w:t xml:space="preserve"> </w:t>
      </w:r>
    </w:p>
  </w:footnote>
  <w:footnote w:id="14">
    <w:p w:rsidR="005916E7" w:rsidRPr="007F6373" w:rsidRDefault="005916E7" w:rsidP="007F6373">
      <w:pPr>
        <w:widowControl/>
        <w:spacing w:before="60" w:after="60"/>
        <w:rPr>
          <w:sz w:val="18"/>
          <w:szCs w:val="18"/>
          <w:lang w:val="en-US"/>
        </w:rPr>
      </w:pPr>
      <w:r w:rsidRPr="007F6373">
        <w:rPr>
          <w:rStyle w:val="FootnoteReference"/>
          <w:sz w:val="18"/>
          <w:szCs w:val="18"/>
        </w:rPr>
        <w:footnoteRef/>
      </w:r>
      <w:r w:rsidRPr="007F6373">
        <w:rPr>
          <w:sz w:val="18"/>
          <w:szCs w:val="18"/>
        </w:rPr>
        <w:t xml:space="preserve"> </w:t>
      </w:r>
      <w:r w:rsidRPr="007F6373">
        <w:rPr>
          <w:rFonts w:cs="Arial"/>
          <w:sz w:val="18"/>
          <w:szCs w:val="18"/>
          <w:lang w:val="en-AU" w:bidi="ar-SA"/>
        </w:rPr>
        <w:t xml:space="preserve">The FSANZ Board is expected to consider P1025 and the proposed changes to the Code in late 2014. If approved, it is expected that the new Code will commence in 2015 and will repeal and replace the current Code. The new Code will then need to be amended to incorporate any outstanding changes made to the current Code. </w:t>
      </w:r>
    </w:p>
  </w:footnote>
  <w:footnote w:id="15">
    <w:p w:rsidR="005916E7" w:rsidRPr="00292C61" w:rsidRDefault="005916E7" w:rsidP="00CE4B7B">
      <w:pPr>
        <w:pStyle w:val="FootnoteText"/>
        <w:rPr>
          <w:sz w:val="18"/>
          <w:lang w:val="en-AU"/>
        </w:rPr>
      </w:pPr>
      <w:r w:rsidRPr="00292C61">
        <w:rPr>
          <w:rStyle w:val="FootnoteReference"/>
          <w:sz w:val="18"/>
        </w:rPr>
        <w:footnoteRef/>
      </w:r>
      <w:r w:rsidRPr="00292C61">
        <w:rPr>
          <w:sz w:val="18"/>
        </w:rPr>
        <w:t xml:space="preserve"> </w:t>
      </w:r>
      <w:hyperlink r:id="rId8" w:history="1">
        <w:r w:rsidRPr="00292C61">
          <w:rPr>
            <w:rStyle w:val="Hyperlink"/>
            <w:sz w:val="18"/>
          </w:rPr>
          <w:t>http://www.fao.org/fileadmin/user_upload/agns/pdf/CXS_193e.pdf</w:t>
        </w:r>
      </w:hyperlink>
    </w:p>
  </w:footnote>
  <w:footnote w:id="16">
    <w:p w:rsidR="005916E7" w:rsidRPr="000A6D7F" w:rsidRDefault="005916E7" w:rsidP="00CE5E61">
      <w:pPr>
        <w:pStyle w:val="FootnoteText"/>
        <w:rPr>
          <w:lang w:val="en-AU"/>
        </w:rPr>
      </w:pPr>
      <w:r w:rsidRPr="00292C61">
        <w:rPr>
          <w:rStyle w:val="FootnoteReference"/>
          <w:sz w:val="18"/>
        </w:rPr>
        <w:footnoteRef/>
      </w:r>
      <w:r w:rsidRPr="00292C61">
        <w:rPr>
          <w:sz w:val="18"/>
        </w:rPr>
        <w:t xml:space="preserve"> </w:t>
      </w:r>
      <w:hyperlink r:id="rId9" w:history="1">
        <w:r w:rsidRPr="00292C61">
          <w:rPr>
            <w:rStyle w:val="Hyperlink"/>
            <w:sz w:val="18"/>
          </w:rPr>
          <w:t>http://www.mhlw.go.jp/english/topics/importedfoods/guideline/dl/04.pdf</w:t>
        </w:r>
      </w:hyperlink>
    </w:p>
  </w:footnote>
  <w:footnote w:id="17">
    <w:p w:rsidR="005916E7" w:rsidRPr="007F6373" w:rsidRDefault="005916E7">
      <w:pPr>
        <w:pStyle w:val="FootnoteText"/>
        <w:rPr>
          <w:sz w:val="18"/>
          <w:szCs w:val="18"/>
          <w:lang w:val="en-AU"/>
        </w:rPr>
      </w:pPr>
      <w:r w:rsidRPr="007F6373">
        <w:rPr>
          <w:rStyle w:val="FootnoteReference"/>
          <w:sz w:val="18"/>
          <w:szCs w:val="18"/>
        </w:rPr>
        <w:footnoteRef/>
      </w:r>
      <w:r w:rsidRPr="007F6373">
        <w:rPr>
          <w:sz w:val="18"/>
          <w:szCs w:val="18"/>
        </w:rPr>
        <w:t xml:space="preserve"> </w:t>
      </w:r>
      <w:r w:rsidRPr="007F6373">
        <w:rPr>
          <w:sz w:val="18"/>
          <w:szCs w:val="18"/>
          <w:lang w:val="en-AU"/>
        </w:rPr>
        <w:t xml:space="preserve">The Office of Best Practice Regulation defines Co-Regulation as follows: </w:t>
      </w:r>
      <w:r w:rsidRPr="007F6373">
        <w:rPr>
          <w:color w:val="000000"/>
          <w:sz w:val="18"/>
          <w:szCs w:val="18"/>
        </w:rPr>
        <w:t>“</w:t>
      </w:r>
      <w:proofErr w:type="gramStart"/>
      <w:r w:rsidRPr="007F6373">
        <w:rPr>
          <w:color w:val="000000"/>
          <w:sz w:val="18"/>
          <w:szCs w:val="18"/>
        </w:rPr>
        <w:t>..</w:t>
      </w:r>
      <w:proofErr w:type="gramEnd"/>
      <w:r w:rsidRPr="007F6373">
        <w:rPr>
          <w:color w:val="000000"/>
          <w:sz w:val="18"/>
          <w:szCs w:val="18"/>
        </w:rPr>
        <w:t xml:space="preserve"> </w:t>
      </w:r>
      <w:proofErr w:type="gramStart"/>
      <w:r w:rsidRPr="007F6373">
        <w:rPr>
          <w:color w:val="000000"/>
          <w:sz w:val="18"/>
          <w:szCs w:val="18"/>
        </w:rPr>
        <w:t>a</w:t>
      </w:r>
      <w:proofErr w:type="gramEnd"/>
      <w:r w:rsidRPr="007F6373">
        <w:rPr>
          <w:color w:val="000000"/>
          <w:sz w:val="18"/>
          <w:szCs w:val="18"/>
        </w:rPr>
        <w:t xml:space="preserve"> solution where industry develops and administers its own arrangement and government provides the underpinning legislation to enforce it. Such legislation can set out mandatory standards, but may provide for enforcement through a code overseen by the industry.” </w:t>
      </w:r>
      <w:hyperlink r:id="rId10" w:history="1">
        <w:r w:rsidRPr="007F6373">
          <w:rPr>
            <w:rStyle w:val="Hyperlink"/>
            <w:sz w:val="18"/>
            <w:szCs w:val="18"/>
          </w:rPr>
          <w:t>http://www.cuttingredtape.gov.au/sites/default/files/documents/australian_government_guide_regulation.pdf</w:t>
        </w:r>
      </w:hyperlink>
    </w:p>
  </w:footnote>
  <w:footnote w:id="18">
    <w:p w:rsidR="005916E7" w:rsidRPr="007F6373" w:rsidRDefault="005916E7" w:rsidP="0078541C">
      <w:pPr>
        <w:pStyle w:val="FootnoteText"/>
        <w:rPr>
          <w:sz w:val="18"/>
          <w:szCs w:val="18"/>
          <w:lang w:val="en-US"/>
        </w:rPr>
      </w:pPr>
      <w:r w:rsidRPr="007F6373">
        <w:rPr>
          <w:rStyle w:val="FootnoteReference"/>
          <w:sz w:val="18"/>
          <w:szCs w:val="18"/>
        </w:rPr>
        <w:footnoteRef/>
      </w:r>
      <w:r w:rsidRPr="007F6373">
        <w:rPr>
          <w:sz w:val="18"/>
          <w:szCs w:val="18"/>
        </w:rPr>
        <w:t xml:space="preserve"> </w:t>
      </w:r>
      <w:hyperlink r:id="rId11" w:history="1">
        <w:r w:rsidRPr="007F6373">
          <w:rPr>
            <w:rStyle w:val="Hyperlink"/>
            <w:sz w:val="18"/>
            <w:szCs w:val="18"/>
          </w:rPr>
          <w:t>http://www.packagingcovenant.org.au</w:t>
        </w:r>
      </w:hyperlink>
    </w:p>
  </w:footnote>
  <w:footnote w:id="19">
    <w:p w:rsidR="005916E7" w:rsidRPr="007F6373" w:rsidRDefault="005916E7" w:rsidP="0078541C">
      <w:pPr>
        <w:pStyle w:val="FootnoteText"/>
        <w:rPr>
          <w:sz w:val="18"/>
          <w:szCs w:val="18"/>
          <w:lang w:val="en-US"/>
        </w:rPr>
      </w:pPr>
      <w:r w:rsidRPr="007F6373">
        <w:rPr>
          <w:rStyle w:val="FootnoteReference"/>
          <w:sz w:val="18"/>
          <w:szCs w:val="18"/>
        </w:rPr>
        <w:footnoteRef/>
      </w:r>
      <w:r w:rsidRPr="007F6373">
        <w:rPr>
          <w:sz w:val="18"/>
          <w:szCs w:val="18"/>
        </w:rPr>
        <w:t xml:space="preserve"> </w:t>
      </w:r>
      <w:hyperlink r:id="rId12" w:history="1">
        <w:r w:rsidRPr="007F6373">
          <w:rPr>
            <w:rStyle w:val="Hyperlink"/>
            <w:sz w:val="18"/>
            <w:szCs w:val="18"/>
          </w:rPr>
          <w:t>http://www.packagingcovenant.org.au/data/Resources/Recycled_Materials_in_Food_Contact_Applications-FINAL-May-2014.pdf</w:t>
        </w:r>
      </w:hyperlink>
    </w:p>
  </w:footnote>
  <w:footnote w:id="20">
    <w:p w:rsidR="005916E7" w:rsidRPr="007F6373" w:rsidRDefault="005916E7" w:rsidP="007F6373">
      <w:pPr>
        <w:rPr>
          <w:sz w:val="18"/>
          <w:szCs w:val="18"/>
          <w:lang w:val="en-AU"/>
        </w:rPr>
      </w:pPr>
      <w:r w:rsidRPr="007F6373">
        <w:rPr>
          <w:rStyle w:val="FootnoteReference"/>
          <w:sz w:val="18"/>
          <w:szCs w:val="18"/>
        </w:rPr>
        <w:footnoteRef/>
      </w:r>
      <w:r w:rsidRPr="007F6373">
        <w:rPr>
          <w:sz w:val="18"/>
          <w:szCs w:val="18"/>
        </w:rPr>
        <w:t xml:space="preserve"> </w:t>
      </w:r>
      <w:hyperlink r:id="rId13" w:history="1">
        <w:r w:rsidRPr="007F6373">
          <w:rPr>
            <w:rStyle w:val="Hyperlink"/>
            <w:sz w:val="18"/>
            <w:szCs w:val="18"/>
          </w:rPr>
          <w:t>http://www.packagingcovenant.org.au/data/Resources/Recycled_Materials_in_Food_Contact_Applications-FINAL-May-2014.pdf</w:t>
        </w:r>
      </w:hyperlink>
      <w:r w:rsidRPr="007F6373">
        <w:rPr>
          <w:rStyle w:val="Hyperlink"/>
          <w:sz w:val="18"/>
          <w:szCs w:val="18"/>
        </w:rPr>
        <w:t>.</w:t>
      </w:r>
    </w:p>
  </w:footnote>
  <w:footnote w:id="21">
    <w:p w:rsidR="005916E7" w:rsidRPr="007F6373" w:rsidRDefault="005916E7">
      <w:pPr>
        <w:pStyle w:val="FootnoteText"/>
        <w:rPr>
          <w:sz w:val="18"/>
          <w:szCs w:val="18"/>
          <w:lang w:val="en-US"/>
        </w:rPr>
      </w:pPr>
      <w:r w:rsidRPr="007F6373">
        <w:rPr>
          <w:rStyle w:val="FootnoteReference"/>
          <w:sz w:val="18"/>
          <w:szCs w:val="18"/>
        </w:rPr>
        <w:footnoteRef/>
      </w:r>
      <w:r w:rsidRPr="007F6373">
        <w:rPr>
          <w:sz w:val="18"/>
          <w:szCs w:val="18"/>
        </w:rPr>
        <w:t xml:space="preserve"> </w:t>
      </w:r>
      <w:hyperlink r:id="rId14" w:history="1">
        <w:r w:rsidRPr="007F6373">
          <w:rPr>
            <w:rStyle w:val="Hyperlink"/>
            <w:sz w:val="18"/>
            <w:szCs w:val="18"/>
          </w:rPr>
          <w:t>http://www.standards.org.au/InternationalEngagement/Pages/default.aspx</w:t>
        </w:r>
      </w:hyperlink>
    </w:p>
  </w:footnote>
  <w:footnote w:id="22">
    <w:p w:rsidR="005916E7" w:rsidRPr="007F6373" w:rsidRDefault="005916E7" w:rsidP="0076063E">
      <w:pPr>
        <w:pStyle w:val="FootnoteText"/>
        <w:rPr>
          <w:sz w:val="18"/>
          <w:szCs w:val="18"/>
          <w:lang w:val="en-AU"/>
        </w:rPr>
      </w:pPr>
      <w:r w:rsidRPr="007F6373">
        <w:rPr>
          <w:rStyle w:val="FootnoteReference"/>
          <w:sz w:val="18"/>
          <w:szCs w:val="18"/>
        </w:rPr>
        <w:footnoteRef/>
      </w:r>
      <w:r w:rsidRPr="007F6373">
        <w:rPr>
          <w:sz w:val="18"/>
          <w:szCs w:val="18"/>
        </w:rPr>
        <w:t xml:space="preserve"> Publicly Available Specification (PAS) 223: Managing Food Safety for Packaging</w:t>
      </w:r>
    </w:p>
  </w:footnote>
  <w:footnote w:id="23">
    <w:p w:rsidR="005916E7" w:rsidRPr="007F6373" w:rsidRDefault="005916E7" w:rsidP="00E64C99">
      <w:pPr>
        <w:pStyle w:val="FootnoteText"/>
        <w:rPr>
          <w:sz w:val="18"/>
          <w:szCs w:val="18"/>
          <w:lang w:val="en-AU"/>
        </w:rPr>
      </w:pPr>
      <w:r w:rsidRPr="007F6373">
        <w:rPr>
          <w:rStyle w:val="FootnoteReference"/>
          <w:sz w:val="18"/>
          <w:szCs w:val="18"/>
        </w:rPr>
        <w:footnoteRef/>
      </w:r>
      <w:r w:rsidRPr="007F6373">
        <w:rPr>
          <w:sz w:val="18"/>
          <w:szCs w:val="18"/>
        </w:rPr>
        <w:t xml:space="preserve"> Confederation of European Paper Industries</w:t>
      </w:r>
    </w:p>
  </w:footnote>
  <w:footnote w:id="24">
    <w:p w:rsidR="005916E7" w:rsidRPr="007F6373" w:rsidRDefault="005916E7" w:rsidP="00E64C99">
      <w:pPr>
        <w:pStyle w:val="FootnoteText"/>
        <w:rPr>
          <w:sz w:val="18"/>
          <w:szCs w:val="18"/>
          <w:lang w:val="en-AU"/>
        </w:rPr>
      </w:pPr>
      <w:r w:rsidRPr="007F6373">
        <w:rPr>
          <w:rStyle w:val="FootnoteReference"/>
          <w:sz w:val="18"/>
          <w:szCs w:val="18"/>
        </w:rPr>
        <w:footnoteRef/>
      </w:r>
      <w:r w:rsidRPr="007F6373">
        <w:rPr>
          <w:sz w:val="18"/>
          <w:szCs w:val="18"/>
        </w:rPr>
        <w:t xml:space="preserve"> European Printing Ink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351" w:rsidRDefault="00E16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351" w:rsidRDefault="00E16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E7" w:rsidRDefault="005916E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E029C"/>
    <w:multiLevelType w:val="hybridMultilevel"/>
    <w:tmpl w:val="38100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FD02B6"/>
    <w:multiLevelType w:val="hybridMultilevel"/>
    <w:tmpl w:val="7C2C436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BA3804"/>
    <w:multiLevelType w:val="multilevel"/>
    <w:tmpl w:val="0809001F"/>
    <w:numStyleLink w:val="111111"/>
  </w:abstractNum>
  <w:abstractNum w:abstractNumId="5">
    <w:nsid w:val="26FA0076"/>
    <w:multiLevelType w:val="hybridMultilevel"/>
    <w:tmpl w:val="05889A70"/>
    <w:lvl w:ilvl="0" w:tplc="89F0214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2830CE"/>
    <w:multiLevelType w:val="hybridMultilevel"/>
    <w:tmpl w:val="EFD4509A"/>
    <w:lvl w:ilvl="0" w:tplc="342E33B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5BB0FA7"/>
    <w:multiLevelType w:val="hybridMultilevel"/>
    <w:tmpl w:val="2DA2FFE8"/>
    <w:lvl w:ilvl="0" w:tplc="80C80E7E">
      <w:numFmt w:val="bullet"/>
      <w:lvlText w:val="•"/>
      <w:lvlJc w:val="left"/>
      <w:pPr>
        <w:ind w:left="2421" w:hanging="360"/>
      </w:pPr>
      <w:rPr>
        <w:rFonts w:ascii="Arial" w:eastAsiaTheme="minorHAnsi" w:hAnsi="Arial" w:cs="Arial" w:hint="default"/>
      </w:rPr>
    </w:lvl>
    <w:lvl w:ilvl="1" w:tplc="0C090003">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9">
    <w:nsid w:val="3CFA076D"/>
    <w:multiLevelType w:val="hybridMultilevel"/>
    <w:tmpl w:val="FD38E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286941"/>
    <w:multiLevelType w:val="hybridMultilevel"/>
    <w:tmpl w:val="5FAEF4EE"/>
    <w:lvl w:ilvl="0" w:tplc="804438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0D2A12"/>
    <w:multiLevelType w:val="hybridMultilevel"/>
    <w:tmpl w:val="61103C3C"/>
    <w:lvl w:ilvl="0" w:tplc="804438C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165AEA"/>
    <w:multiLevelType w:val="hybridMultilevel"/>
    <w:tmpl w:val="1A8CA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192389"/>
    <w:multiLevelType w:val="hybridMultilevel"/>
    <w:tmpl w:val="E918F3AE"/>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6B66A0"/>
    <w:multiLevelType w:val="hybridMultilevel"/>
    <w:tmpl w:val="BAACD9CA"/>
    <w:lvl w:ilvl="0" w:tplc="61C065D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3F5977"/>
    <w:multiLevelType w:val="hybridMultilevel"/>
    <w:tmpl w:val="407A0A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5B4A0137"/>
    <w:multiLevelType w:val="hybridMultilevel"/>
    <w:tmpl w:val="8F52B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E52AF5"/>
    <w:multiLevelType w:val="hybridMultilevel"/>
    <w:tmpl w:val="69FA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876136"/>
    <w:multiLevelType w:val="hybridMultilevel"/>
    <w:tmpl w:val="265E4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FB0067"/>
    <w:multiLevelType w:val="hybridMultilevel"/>
    <w:tmpl w:val="4FFCE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2BE64B2"/>
    <w:multiLevelType w:val="hybridMultilevel"/>
    <w:tmpl w:val="688C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nsid w:val="6F3C205A"/>
    <w:multiLevelType w:val="multilevel"/>
    <w:tmpl w:val="89A8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E212FC"/>
    <w:multiLevelType w:val="multilevel"/>
    <w:tmpl w:val="0809001F"/>
    <w:styleLink w:val="111111"/>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5A31F7"/>
    <w:multiLevelType w:val="hybridMultilevel"/>
    <w:tmpl w:val="2A80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6A6401"/>
    <w:multiLevelType w:val="hybridMultilevel"/>
    <w:tmpl w:val="8D707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EC94369"/>
    <w:multiLevelType w:val="multilevel"/>
    <w:tmpl w:val="CF1E6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0"/>
  </w:num>
  <w:num w:numId="4">
    <w:abstractNumId w:val="22"/>
  </w:num>
  <w:num w:numId="5">
    <w:abstractNumId w:val="4"/>
  </w:num>
  <w:num w:numId="6">
    <w:abstractNumId w:val="24"/>
  </w:num>
  <w:num w:numId="7">
    <w:abstractNumId w:val="18"/>
  </w:num>
  <w:num w:numId="8">
    <w:abstractNumId w:val="21"/>
  </w:num>
  <w:num w:numId="9">
    <w:abstractNumId w:val="15"/>
  </w:num>
  <w:num w:numId="10">
    <w:abstractNumId w:val="5"/>
  </w:num>
  <w:num w:numId="11">
    <w:abstractNumId w:val="25"/>
  </w:num>
  <w:num w:numId="12">
    <w:abstractNumId w:val="12"/>
  </w:num>
  <w:num w:numId="13">
    <w:abstractNumId w:val="26"/>
  </w:num>
  <w:num w:numId="14">
    <w:abstractNumId w:val="11"/>
  </w:num>
  <w:num w:numId="15">
    <w:abstractNumId w:val="3"/>
  </w:num>
  <w:num w:numId="16">
    <w:abstractNumId w:val="17"/>
  </w:num>
  <w:num w:numId="17">
    <w:abstractNumId w:val="9"/>
  </w:num>
  <w:num w:numId="18">
    <w:abstractNumId w:val="8"/>
  </w:num>
  <w:num w:numId="19">
    <w:abstractNumId w:val="13"/>
  </w:num>
  <w:num w:numId="20">
    <w:abstractNumId w:val="16"/>
  </w:num>
  <w:num w:numId="21">
    <w:abstractNumId w:val="23"/>
  </w:num>
  <w:num w:numId="22">
    <w:abstractNumId w:val="2"/>
  </w:num>
  <w:num w:numId="23">
    <w:abstractNumId w:val="19"/>
  </w:num>
  <w:num w:numId="24">
    <w:abstractNumId w:val="7"/>
  </w:num>
  <w:num w:numId="25">
    <w:abstractNumId w:val="10"/>
  </w:num>
  <w:num w:numId="26">
    <w:abstractNumId w:val="27"/>
  </w:num>
  <w:num w:numId="27">
    <w:abstractNumId w:val="6"/>
  </w:num>
  <w:num w:numId="2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3E23"/>
    <w:rsid w:val="0000469B"/>
    <w:rsid w:val="00007004"/>
    <w:rsid w:val="00007534"/>
    <w:rsid w:val="00011DD6"/>
    <w:rsid w:val="000123C5"/>
    <w:rsid w:val="00016CB6"/>
    <w:rsid w:val="0001751C"/>
    <w:rsid w:val="00022DBC"/>
    <w:rsid w:val="0002409C"/>
    <w:rsid w:val="00025200"/>
    <w:rsid w:val="00025F6F"/>
    <w:rsid w:val="000270DB"/>
    <w:rsid w:val="000278DC"/>
    <w:rsid w:val="00034F87"/>
    <w:rsid w:val="00035C5E"/>
    <w:rsid w:val="00035FF3"/>
    <w:rsid w:val="00036E8A"/>
    <w:rsid w:val="000427B2"/>
    <w:rsid w:val="00045883"/>
    <w:rsid w:val="00051021"/>
    <w:rsid w:val="00051ED9"/>
    <w:rsid w:val="00057181"/>
    <w:rsid w:val="00057E75"/>
    <w:rsid w:val="00060024"/>
    <w:rsid w:val="00062D52"/>
    <w:rsid w:val="00064803"/>
    <w:rsid w:val="00064B2D"/>
    <w:rsid w:val="00065F1F"/>
    <w:rsid w:val="00071DA8"/>
    <w:rsid w:val="00071EB2"/>
    <w:rsid w:val="000721AC"/>
    <w:rsid w:val="00073117"/>
    <w:rsid w:val="00073A02"/>
    <w:rsid w:val="0007466A"/>
    <w:rsid w:val="000757D4"/>
    <w:rsid w:val="00076D33"/>
    <w:rsid w:val="000778D6"/>
    <w:rsid w:val="0008241A"/>
    <w:rsid w:val="00083E09"/>
    <w:rsid w:val="0009192F"/>
    <w:rsid w:val="00091CC2"/>
    <w:rsid w:val="00092526"/>
    <w:rsid w:val="00096DCE"/>
    <w:rsid w:val="000A27E9"/>
    <w:rsid w:val="000A3D8B"/>
    <w:rsid w:val="000A5DF8"/>
    <w:rsid w:val="000A6D7F"/>
    <w:rsid w:val="000A7AA6"/>
    <w:rsid w:val="000B3CB9"/>
    <w:rsid w:val="000B6AF2"/>
    <w:rsid w:val="000B7D9E"/>
    <w:rsid w:val="000C00EA"/>
    <w:rsid w:val="000C44D6"/>
    <w:rsid w:val="000D095A"/>
    <w:rsid w:val="000D295F"/>
    <w:rsid w:val="000D5560"/>
    <w:rsid w:val="000D6FD4"/>
    <w:rsid w:val="000E0AE4"/>
    <w:rsid w:val="000E3ACC"/>
    <w:rsid w:val="000E3DBC"/>
    <w:rsid w:val="000E4967"/>
    <w:rsid w:val="000E4EA6"/>
    <w:rsid w:val="000E6C0A"/>
    <w:rsid w:val="000F011A"/>
    <w:rsid w:val="000F0F16"/>
    <w:rsid w:val="000F1F6F"/>
    <w:rsid w:val="00100416"/>
    <w:rsid w:val="00105B2B"/>
    <w:rsid w:val="00107DD5"/>
    <w:rsid w:val="00110074"/>
    <w:rsid w:val="001129B5"/>
    <w:rsid w:val="001133FB"/>
    <w:rsid w:val="0011367D"/>
    <w:rsid w:val="00113CE3"/>
    <w:rsid w:val="00117522"/>
    <w:rsid w:val="00117967"/>
    <w:rsid w:val="001200E7"/>
    <w:rsid w:val="00124043"/>
    <w:rsid w:val="001253CB"/>
    <w:rsid w:val="00127734"/>
    <w:rsid w:val="00136964"/>
    <w:rsid w:val="001411E3"/>
    <w:rsid w:val="00141557"/>
    <w:rsid w:val="00143FFC"/>
    <w:rsid w:val="00145D4E"/>
    <w:rsid w:val="001472CA"/>
    <w:rsid w:val="001475DD"/>
    <w:rsid w:val="00147F1E"/>
    <w:rsid w:val="00151CBD"/>
    <w:rsid w:val="00153D35"/>
    <w:rsid w:val="001542D8"/>
    <w:rsid w:val="00154B99"/>
    <w:rsid w:val="001572B7"/>
    <w:rsid w:val="00163513"/>
    <w:rsid w:val="00164593"/>
    <w:rsid w:val="001647CF"/>
    <w:rsid w:val="00166763"/>
    <w:rsid w:val="00166B90"/>
    <w:rsid w:val="00167B26"/>
    <w:rsid w:val="001728F1"/>
    <w:rsid w:val="00173008"/>
    <w:rsid w:val="00173D0F"/>
    <w:rsid w:val="00176F60"/>
    <w:rsid w:val="001807AC"/>
    <w:rsid w:val="00180C41"/>
    <w:rsid w:val="00182C4C"/>
    <w:rsid w:val="00183CF0"/>
    <w:rsid w:val="001841E9"/>
    <w:rsid w:val="001842DC"/>
    <w:rsid w:val="00185FD6"/>
    <w:rsid w:val="0018774D"/>
    <w:rsid w:val="001915FD"/>
    <w:rsid w:val="00191BC3"/>
    <w:rsid w:val="00192359"/>
    <w:rsid w:val="00193F24"/>
    <w:rsid w:val="00197D8D"/>
    <w:rsid w:val="001A1A75"/>
    <w:rsid w:val="001A23B4"/>
    <w:rsid w:val="001A27DF"/>
    <w:rsid w:val="001A7E9A"/>
    <w:rsid w:val="001B3C5E"/>
    <w:rsid w:val="001C080F"/>
    <w:rsid w:val="001C0EC4"/>
    <w:rsid w:val="001C150C"/>
    <w:rsid w:val="001C27A3"/>
    <w:rsid w:val="001C282C"/>
    <w:rsid w:val="001C3D2F"/>
    <w:rsid w:val="001C4A39"/>
    <w:rsid w:val="001C5295"/>
    <w:rsid w:val="001D0418"/>
    <w:rsid w:val="001D2B7A"/>
    <w:rsid w:val="001D3427"/>
    <w:rsid w:val="001D6E05"/>
    <w:rsid w:val="001D6EC5"/>
    <w:rsid w:val="001E09FA"/>
    <w:rsid w:val="001E33D7"/>
    <w:rsid w:val="001E3C5F"/>
    <w:rsid w:val="001E6111"/>
    <w:rsid w:val="001F0403"/>
    <w:rsid w:val="001F37A6"/>
    <w:rsid w:val="001F4A9B"/>
    <w:rsid w:val="001F5974"/>
    <w:rsid w:val="001F5B9C"/>
    <w:rsid w:val="001F65C8"/>
    <w:rsid w:val="001F74B2"/>
    <w:rsid w:val="00202858"/>
    <w:rsid w:val="00203540"/>
    <w:rsid w:val="00205792"/>
    <w:rsid w:val="00205A49"/>
    <w:rsid w:val="002146DF"/>
    <w:rsid w:val="00215CEA"/>
    <w:rsid w:val="00220A09"/>
    <w:rsid w:val="00221D07"/>
    <w:rsid w:val="002226D0"/>
    <w:rsid w:val="00227E4A"/>
    <w:rsid w:val="00233890"/>
    <w:rsid w:val="002362CC"/>
    <w:rsid w:val="00237A0E"/>
    <w:rsid w:val="00237BEB"/>
    <w:rsid w:val="002420C7"/>
    <w:rsid w:val="0024324B"/>
    <w:rsid w:val="002432EE"/>
    <w:rsid w:val="00243AF2"/>
    <w:rsid w:val="0024582E"/>
    <w:rsid w:val="00245A41"/>
    <w:rsid w:val="002515C1"/>
    <w:rsid w:val="00251C52"/>
    <w:rsid w:val="00251DF9"/>
    <w:rsid w:val="002521AE"/>
    <w:rsid w:val="00253075"/>
    <w:rsid w:val="00254544"/>
    <w:rsid w:val="002547EF"/>
    <w:rsid w:val="002554F3"/>
    <w:rsid w:val="00255B1A"/>
    <w:rsid w:val="00256D65"/>
    <w:rsid w:val="0026508B"/>
    <w:rsid w:val="00267BC4"/>
    <w:rsid w:val="00271C95"/>
    <w:rsid w:val="00271F00"/>
    <w:rsid w:val="00273A80"/>
    <w:rsid w:val="0027513D"/>
    <w:rsid w:val="00275E48"/>
    <w:rsid w:val="00276026"/>
    <w:rsid w:val="00277074"/>
    <w:rsid w:val="002779AB"/>
    <w:rsid w:val="00283D4B"/>
    <w:rsid w:val="00283EA9"/>
    <w:rsid w:val="002851C8"/>
    <w:rsid w:val="00285BC9"/>
    <w:rsid w:val="00287081"/>
    <w:rsid w:val="00287531"/>
    <w:rsid w:val="0029204E"/>
    <w:rsid w:val="00292C61"/>
    <w:rsid w:val="00293862"/>
    <w:rsid w:val="00294BAD"/>
    <w:rsid w:val="0029631C"/>
    <w:rsid w:val="002972DE"/>
    <w:rsid w:val="0029795C"/>
    <w:rsid w:val="002A0194"/>
    <w:rsid w:val="002A1478"/>
    <w:rsid w:val="002A2007"/>
    <w:rsid w:val="002A2C26"/>
    <w:rsid w:val="002A4A1D"/>
    <w:rsid w:val="002A5F8B"/>
    <w:rsid w:val="002A67CE"/>
    <w:rsid w:val="002A7777"/>
    <w:rsid w:val="002A7F6C"/>
    <w:rsid w:val="002B06C0"/>
    <w:rsid w:val="002B0D8E"/>
    <w:rsid w:val="002B5CBC"/>
    <w:rsid w:val="002B66C8"/>
    <w:rsid w:val="002C290D"/>
    <w:rsid w:val="002C3FC5"/>
    <w:rsid w:val="002C6987"/>
    <w:rsid w:val="002D14A4"/>
    <w:rsid w:val="002D3CD1"/>
    <w:rsid w:val="002D4E92"/>
    <w:rsid w:val="002D6809"/>
    <w:rsid w:val="002D7A9B"/>
    <w:rsid w:val="002E086A"/>
    <w:rsid w:val="002E15AA"/>
    <w:rsid w:val="002E31CA"/>
    <w:rsid w:val="002E4739"/>
    <w:rsid w:val="002F0CD6"/>
    <w:rsid w:val="002F1F13"/>
    <w:rsid w:val="002F2744"/>
    <w:rsid w:val="002F6488"/>
    <w:rsid w:val="0031095A"/>
    <w:rsid w:val="003109A0"/>
    <w:rsid w:val="00310E84"/>
    <w:rsid w:val="0031180B"/>
    <w:rsid w:val="00315A71"/>
    <w:rsid w:val="00317363"/>
    <w:rsid w:val="0032012D"/>
    <w:rsid w:val="003213F9"/>
    <w:rsid w:val="00323DBF"/>
    <w:rsid w:val="003246A1"/>
    <w:rsid w:val="003309A8"/>
    <w:rsid w:val="003322F1"/>
    <w:rsid w:val="00332B12"/>
    <w:rsid w:val="00332B39"/>
    <w:rsid w:val="003345D4"/>
    <w:rsid w:val="003356BB"/>
    <w:rsid w:val="00336711"/>
    <w:rsid w:val="003368F5"/>
    <w:rsid w:val="00336D7B"/>
    <w:rsid w:val="003412EA"/>
    <w:rsid w:val="0034179D"/>
    <w:rsid w:val="003456A3"/>
    <w:rsid w:val="00345DF7"/>
    <w:rsid w:val="00347935"/>
    <w:rsid w:val="00350DBD"/>
    <w:rsid w:val="00351927"/>
    <w:rsid w:val="00351B07"/>
    <w:rsid w:val="00351F70"/>
    <w:rsid w:val="003521C0"/>
    <w:rsid w:val="00355BAE"/>
    <w:rsid w:val="0036268A"/>
    <w:rsid w:val="00364841"/>
    <w:rsid w:val="00370F07"/>
    <w:rsid w:val="00371B29"/>
    <w:rsid w:val="00372182"/>
    <w:rsid w:val="00373579"/>
    <w:rsid w:val="00373CFE"/>
    <w:rsid w:val="0037520F"/>
    <w:rsid w:val="00375792"/>
    <w:rsid w:val="003760A1"/>
    <w:rsid w:val="00376153"/>
    <w:rsid w:val="00376781"/>
    <w:rsid w:val="00383888"/>
    <w:rsid w:val="0038500C"/>
    <w:rsid w:val="00386242"/>
    <w:rsid w:val="003870EF"/>
    <w:rsid w:val="00387F58"/>
    <w:rsid w:val="00391769"/>
    <w:rsid w:val="00392C67"/>
    <w:rsid w:val="00393855"/>
    <w:rsid w:val="00393BA9"/>
    <w:rsid w:val="00394022"/>
    <w:rsid w:val="003953E1"/>
    <w:rsid w:val="003956B3"/>
    <w:rsid w:val="00396057"/>
    <w:rsid w:val="00396DFD"/>
    <w:rsid w:val="003A166C"/>
    <w:rsid w:val="003A190D"/>
    <w:rsid w:val="003A5D68"/>
    <w:rsid w:val="003A617F"/>
    <w:rsid w:val="003A652D"/>
    <w:rsid w:val="003A68BE"/>
    <w:rsid w:val="003A6C4E"/>
    <w:rsid w:val="003A6CE8"/>
    <w:rsid w:val="003A7416"/>
    <w:rsid w:val="003A7479"/>
    <w:rsid w:val="003A7725"/>
    <w:rsid w:val="003B347E"/>
    <w:rsid w:val="003B3C9D"/>
    <w:rsid w:val="003B78E0"/>
    <w:rsid w:val="003C202A"/>
    <w:rsid w:val="003C26DA"/>
    <w:rsid w:val="003C3ED0"/>
    <w:rsid w:val="003C4841"/>
    <w:rsid w:val="003C4969"/>
    <w:rsid w:val="003C4A2E"/>
    <w:rsid w:val="003C4CEB"/>
    <w:rsid w:val="003C7CCE"/>
    <w:rsid w:val="003D138D"/>
    <w:rsid w:val="003D1A00"/>
    <w:rsid w:val="003D1E00"/>
    <w:rsid w:val="003D36B7"/>
    <w:rsid w:val="003D3E98"/>
    <w:rsid w:val="003E2983"/>
    <w:rsid w:val="003E41D5"/>
    <w:rsid w:val="003E426C"/>
    <w:rsid w:val="003E46BA"/>
    <w:rsid w:val="003E6AD5"/>
    <w:rsid w:val="003E7729"/>
    <w:rsid w:val="003E7D22"/>
    <w:rsid w:val="003F0D5B"/>
    <w:rsid w:val="003F6B68"/>
    <w:rsid w:val="003F710F"/>
    <w:rsid w:val="003F7125"/>
    <w:rsid w:val="003F74C1"/>
    <w:rsid w:val="003F77C1"/>
    <w:rsid w:val="00401876"/>
    <w:rsid w:val="00403D49"/>
    <w:rsid w:val="004056E0"/>
    <w:rsid w:val="00405878"/>
    <w:rsid w:val="00405B1A"/>
    <w:rsid w:val="00407241"/>
    <w:rsid w:val="0040761E"/>
    <w:rsid w:val="00410C76"/>
    <w:rsid w:val="00411907"/>
    <w:rsid w:val="00413CA8"/>
    <w:rsid w:val="004151C4"/>
    <w:rsid w:val="00417EE3"/>
    <w:rsid w:val="004207EB"/>
    <w:rsid w:val="004218C6"/>
    <w:rsid w:val="00422AD8"/>
    <w:rsid w:val="00424F59"/>
    <w:rsid w:val="00425132"/>
    <w:rsid w:val="00433A4F"/>
    <w:rsid w:val="00435FA5"/>
    <w:rsid w:val="00436B8D"/>
    <w:rsid w:val="00437276"/>
    <w:rsid w:val="00444DC0"/>
    <w:rsid w:val="00447E67"/>
    <w:rsid w:val="00451B0B"/>
    <w:rsid w:val="0045556F"/>
    <w:rsid w:val="00456508"/>
    <w:rsid w:val="00456847"/>
    <w:rsid w:val="00456B54"/>
    <w:rsid w:val="00460E72"/>
    <w:rsid w:val="00464643"/>
    <w:rsid w:val="004646F8"/>
    <w:rsid w:val="00465774"/>
    <w:rsid w:val="0046581A"/>
    <w:rsid w:val="00466066"/>
    <w:rsid w:val="00470272"/>
    <w:rsid w:val="0047218B"/>
    <w:rsid w:val="004747E3"/>
    <w:rsid w:val="0047551D"/>
    <w:rsid w:val="00475BD1"/>
    <w:rsid w:val="00476058"/>
    <w:rsid w:val="00476DD7"/>
    <w:rsid w:val="004773EF"/>
    <w:rsid w:val="004801B3"/>
    <w:rsid w:val="00481E0B"/>
    <w:rsid w:val="00482762"/>
    <w:rsid w:val="00486793"/>
    <w:rsid w:val="00487712"/>
    <w:rsid w:val="0048797D"/>
    <w:rsid w:val="00491984"/>
    <w:rsid w:val="004938BF"/>
    <w:rsid w:val="0049636F"/>
    <w:rsid w:val="004965D8"/>
    <w:rsid w:val="00497C00"/>
    <w:rsid w:val="004A1C2A"/>
    <w:rsid w:val="004A2037"/>
    <w:rsid w:val="004A3685"/>
    <w:rsid w:val="004A38FA"/>
    <w:rsid w:val="004A5338"/>
    <w:rsid w:val="004A56BD"/>
    <w:rsid w:val="004A7940"/>
    <w:rsid w:val="004A7B88"/>
    <w:rsid w:val="004B4A06"/>
    <w:rsid w:val="004B4E62"/>
    <w:rsid w:val="004C2CE7"/>
    <w:rsid w:val="004C7655"/>
    <w:rsid w:val="004D208A"/>
    <w:rsid w:val="004D30A6"/>
    <w:rsid w:val="004D5721"/>
    <w:rsid w:val="004D5D7E"/>
    <w:rsid w:val="004D7787"/>
    <w:rsid w:val="004E2395"/>
    <w:rsid w:val="004E2D19"/>
    <w:rsid w:val="004E5E44"/>
    <w:rsid w:val="004F3276"/>
    <w:rsid w:val="004F4F98"/>
    <w:rsid w:val="004F69F6"/>
    <w:rsid w:val="004F6DC8"/>
    <w:rsid w:val="004F79AC"/>
    <w:rsid w:val="0050144C"/>
    <w:rsid w:val="005017CF"/>
    <w:rsid w:val="00505BAC"/>
    <w:rsid w:val="00511179"/>
    <w:rsid w:val="00512290"/>
    <w:rsid w:val="005207D8"/>
    <w:rsid w:val="0052153C"/>
    <w:rsid w:val="00521F70"/>
    <w:rsid w:val="00524DEA"/>
    <w:rsid w:val="005250DA"/>
    <w:rsid w:val="00525CE4"/>
    <w:rsid w:val="00526191"/>
    <w:rsid w:val="0052714C"/>
    <w:rsid w:val="005275D7"/>
    <w:rsid w:val="0053081E"/>
    <w:rsid w:val="00531026"/>
    <w:rsid w:val="00532FE8"/>
    <w:rsid w:val="0053464E"/>
    <w:rsid w:val="00552AF7"/>
    <w:rsid w:val="00553969"/>
    <w:rsid w:val="005543F5"/>
    <w:rsid w:val="0055508F"/>
    <w:rsid w:val="0055594A"/>
    <w:rsid w:val="00556AA3"/>
    <w:rsid w:val="0056040A"/>
    <w:rsid w:val="00562917"/>
    <w:rsid w:val="00563942"/>
    <w:rsid w:val="00563B24"/>
    <w:rsid w:val="0056462D"/>
    <w:rsid w:val="00566434"/>
    <w:rsid w:val="0056712F"/>
    <w:rsid w:val="0057060E"/>
    <w:rsid w:val="00573F98"/>
    <w:rsid w:val="0057592E"/>
    <w:rsid w:val="00580173"/>
    <w:rsid w:val="00586228"/>
    <w:rsid w:val="0059039D"/>
    <w:rsid w:val="005916E7"/>
    <w:rsid w:val="00591B14"/>
    <w:rsid w:val="00591BAF"/>
    <w:rsid w:val="0059498B"/>
    <w:rsid w:val="005A0736"/>
    <w:rsid w:val="005A0A7C"/>
    <w:rsid w:val="005A118C"/>
    <w:rsid w:val="005A1EF5"/>
    <w:rsid w:val="005A2497"/>
    <w:rsid w:val="005A3A03"/>
    <w:rsid w:val="005A60B4"/>
    <w:rsid w:val="005A67EB"/>
    <w:rsid w:val="005A6CFF"/>
    <w:rsid w:val="005A7F28"/>
    <w:rsid w:val="005B01E7"/>
    <w:rsid w:val="005B0BBA"/>
    <w:rsid w:val="005B306C"/>
    <w:rsid w:val="005B3582"/>
    <w:rsid w:val="005B615C"/>
    <w:rsid w:val="005B6AF4"/>
    <w:rsid w:val="005C04CB"/>
    <w:rsid w:val="005C2B16"/>
    <w:rsid w:val="005C54FB"/>
    <w:rsid w:val="005C5859"/>
    <w:rsid w:val="005C71BA"/>
    <w:rsid w:val="005C7F6C"/>
    <w:rsid w:val="005D16AD"/>
    <w:rsid w:val="005D1EFA"/>
    <w:rsid w:val="005D4A74"/>
    <w:rsid w:val="005D72E1"/>
    <w:rsid w:val="005E2158"/>
    <w:rsid w:val="005E26BF"/>
    <w:rsid w:val="005E2FEA"/>
    <w:rsid w:val="005E33B4"/>
    <w:rsid w:val="005E34E4"/>
    <w:rsid w:val="005E5327"/>
    <w:rsid w:val="005E6E16"/>
    <w:rsid w:val="005F229E"/>
    <w:rsid w:val="005F37BF"/>
    <w:rsid w:val="005F400E"/>
    <w:rsid w:val="005F7342"/>
    <w:rsid w:val="0060252D"/>
    <w:rsid w:val="00603A08"/>
    <w:rsid w:val="00605B50"/>
    <w:rsid w:val="00606337"/>
    <w:rsid w:val="00606C88"/>
    <w:rsid w:val="00610A3C"/>
    <w:rsid w:val="0061600B"/>
    <w:rsid w:val="00625366"/>
    <w:rsid w:val="00627F48"/>
    <w:rsid w:val="00631021"/>
    <w:rsid w:val="00633ACA"/>
    <w:rsid w:val="006342E0"/>
    <w:rsid w:val="00634CDB"/>
    <w:rsid w:val="0063698E"/>
    <w:rsid w:val="00641001"/>
    <w:rsid w:val="006427C4"/>
    <w:rsid w:val="00642A47"/>
    <w:rsid w:val="00646FDD"/>
    <w:rsid w:val="00650897"/>
    <w:rsid w:val="006548A4"/>
    <w:rsid w:val="006555E0"/>
    <w:rsid w:val="00655837"/>
    <w:rsid w:val="00660E7E"/>
    <w:rsid w:val="00661852"/>
    <w:rsid w:val="0066200B"/>
    <w:rsid w:val="00663A37"/>
    <w:rsid w:val="00663FCF"/>
    <w:rsid w:val="006652A2"/>
    <w:rsid w:val="00666363"/>
    <w:rsid w:val="00666AF2"/>
    <w:rsid w:val="006702D1"/>
    <w:rsid w:val="00671151"/>
    <w:rsid w:val="00671F24"/>
    <w:rsid w:val="00672B0E"/>
    <w:rsid w:val="00675C2F"/>
    <w:rsid w:val="00677916"/>
    <w:rsid w:val="00681754"/>
    <w:rsid w:val="00681D53"/>
    <w:rsid w:val="0068320C"/>
    <w:rsid w:val="00684912"/>
    <w:rsid w:val="00684BC7"/>
    <w:rsid w:val="00686577"/>
    <w:rsid w:val="006937AB"/>
    <w:rsid w:val="006937FF"/>
    <w:rsid w:val="006965BF"/>
    <w:rsid w:val="00697071"/>
    <w:rsid w:val="006A46DB"/>
    <w:rsid w:val="006A48A7"/>
    <w:rsid w:val="006A51DB"/>
    <w:rsid w:val="006A601F"/>
    <w:rsid w:val="006A71BE"/>
    <w:rsid w:val="006B01DA"/>
    <w:rsid w:val="006B30DF"/>
    <w:rsid w:val="006B4BA1"/>
    <w:rsid w:val="006B6E6B"/>
    <w:rsid w:val="006C28E2"/>
    <w:rsid w:val="006C2FAD"/>
    <w:rsid w:val="006C5781"/>
    <w:rsid w:val="006C5CF5"/>
    <w:rsid w:val="006C707B"/>
    <w:rsid w:val="006D653B"/>
    <w:rsid w:val="006D7808"/>
    <w:rsid w:val="006D7B64"/>
    <w:rsid w:val="006E15DA"/>
    <w:rsid w:val="006E4015"/>
    <w:rsid w:val="006E48F7"/>
    <w:rsid w:val="006E6A9D"/>
    <w:rsid w:val="006F4A82"/>
    <w:rsid w:val="006F6885"/>
    <w:rsid w:val="00700239"/>
    <w:rsid w:val="007012D9"/>
    <w:rsid w:val="0070373B"/>
    <w:rsid w:val="00703EA9"/>
    <w:rsid w:val="00705B40"/>
    <w:rsid w:val="00706CE5"/>
    <w:rsid w:val="00707E72"/>
    <w:rsid w:val="007113EB"/>
    <w:rsid w:val="00714353"/>
    <w:rsid w:val="007147C5"/>
    <w:rsid w:val="007149C5"/>
    <w:rsid w:val="0071708F"/>
    <w:rsid w:val="0071788E"/>
    <w:rsid w:val="00717C15"/>
    <w:rsid w:val="00717FD9"/>
    <w:rsid w:val="0072047F"/>
    <w:rsid w:val="0072150F"/>
    <w:rsid w:val="00722583"/>
    <w:rsid w:val="00724FA4"/>
    <w:rsid w:val="0072508E"/>
    <w:rsid w:val="00726C2F"/>
    <w:rsid w:val="00730800"/>
    <w:rsid w:val="007316BE"/>
    <w:rsid w:val="00733AB5"/>
    <w:rsid w:val="007341D2"/>
    <w:rsid w:val="00737902"/>
    <w:rsid w:val="00741EFE"/>
    <w:rsid w:val="00743C02"/>
    <w:rsid w:val="0074632E"/>
    <w:rsid w:val="00746AC0"/>
    <w:rsid w:val="0075644B"/>
    <w:rsid w:val="00756548"/>
    <w:rsid w:val="00757D58"/>
    <w:rsid w:val="007602AA"/>
    <w:rsid w:val="0076063E"/>
    <w:rsid w:val="00761831"/>
    <w:rsid w:val="00762B47"/>
    <w:rsid w:val="007652EF"/>
    <w:rsid w:val="007722B7"/>
    <w:rsid w:val="00772BDC"/>
    <w:rsid w:val="00777F65"/>
    <w:rsid w:val="00780792"/>
    <w:rsid w:val="007853B0"/>
    <w:rsid w:val="0078541C"/>
    <w:rsid w:val="007866D3"/>
    <w:rsid w:val="00790646"/>
    <w:rsid w:val="00793366"/>
    <w:rsid w:val="00793A0D"/>
    <w:rsid w:val="00794C35"/>
    <w:rsid w:val="00796E35"/>
    <w:rsid w:val="007A0146"/>
    <w:rsid w:val="007A02DA"/>
    <w:rsid w:val="007A15F7"/>
    <w:rsid w:val="007A1955"/>
    <w:rsid w:val="007A44B4"/>
    <w:rsid w:val="007A66B2"/>
    <w:rsid w:val="007A7D3D"/>
    <w:rsid w:val="007A7DF7"/>
    <w:rsid w:val="007A7F06"/>
    <w:rsid w:val="007B1A23"/>
    <w:rsid w:val="007B225D"/>
    <w:rsid w:val="007B69AA"/>
    <w:rsid w:val="007B77D6"/>
    <w:rsid w:val="007C174F"/>
    <w:rsid w:val="007C1C64"/>
    <w:rsid w:val="007C2621"/>
    <w:rsid w:val="007C3886"/>
    <w:rsid w:val="007C3D2B"/>
    <w:rsid w:val="007C40A2"/>
    <w:rsid w:val="007C5C3D"/>
    <w:rsid w:val="007D17F5"/>
    <w:rsid w:val="007D40A1"/>
    <w:rsid w:val="007E48BC"/>
    <w:rsid w:val="007E48E2"/>
    <w:rsid w:val="007E515C"/>
    <w:rsid w:val="007E5AE6"/>
    <w:rsid w:val="007E752A"/>
    <w:rsid w:val="007E79F7"/>
    <w:rsid w:val="007E7B46"/>
    <w:rsid w:val="007F213A"/>
    <w:rsid w:val="007F2853"/>
    <w:rsid w:val="007F3630"/>
    <w:rsid w:val="007F378F"/>
    <w:rsid w:val="007F6373"/>
    <w:rsid w:val="008057AE"/>
    <w:rsid w:val="00807182"/>
    <w:rsid w:val="00807559"/>
    <w:rsid w:val="00821C52"/>
    <w:rsid w:val="00826596"/>
    <w:rsid w:val="008271A2"/>
    <w:rsid w:val="00835665"/>
    <w:rsid w:val="00840BCC"/>
    <w:rsid w:val="008413E9"/>
    <w:rsid w:val="008450BC"/>
    <w:rsid w:val="00847658"/>
    <w:rsid w:val="0084799B"/>
    <w:rsid w:val="00847F25"/>
    <w:rsid w:val="00851194"/>
    <w:rsid w:val="008514C2"/>
    <w:rsid w:val="00851A60"/>
    <w:rsid w:val="0085334B"/>
    <w:rsid w:val="00855B2D"/>
    <w:rsid w:val="00860E7B"/>
    <w:rsid w:val="0086142F"/>
    <w:rsid w:val="00861B20"/>
    <w:rsid w:val="00865A68"/>
    <w:rsid w:val="00865BA0"/>
    <w:rsid w:val="00865C1D"/>
    <w:rsid w:val="00866C51"/>
    <w:rsid w:val="00867B23"/>
    <w:rsid w:val="00870214"/>
    <w:rsid w:val="00872EAA"/>
    <w:rsid w:val="008737A6"/>
    <w:rsid w:val="00876515"/>
    <w:rsid w:val="008806DB"/>
    <w:rsid w:val="00880D77"/>
    <w:rsid w:val="0088161A"/>
    <w:rsid w:val="008828D9"/>
    <w:rsid w:val="00885C51"/>
    <w:rsid w:val="00885EB0"/>
    <w:rsid w:val="0088658B"/>
    <w:rsid w:val="0088685F"/>
    <w:rsid w:val="00886B46"/>
    <w:rsid w:val="00890664"/>
    <w:rsid w:val="0089264A"/>
    <w:rsid w:val="00894413"/>
    <w:rsid w:val="00894E21"/>
    <w:rsid w:val="0089656E"/>
    <w:rsid w:val="00896B85"/>
    <w:rsid w:val="00896EE7"/>
    <w:rsid w:val="00897C9F"/>
    <w:rsid w:val="008A0982"/>
    <w:rsid w:val="008A22BE"/>
    <w:rsid w:val="008A3221"/>
    <w:rsid w:val="008A35FB"/>
    <w:rsid w:val="008A4AC8"/>
    <w:rsid w:val="008A5225"/>
    <w:rsid w:val="008A680B"/>
    <w:rsid w:val="008B0075"/>
    <w:rsid w:val="008B45A0"/>
    <w:rsid w:val="008C0E7A"/>
    <w:rsid w:val="008C1B36"/>
    <w:rsid w:val="008C26CF"/>
    <w:rsid w:val="008C3D24"/>
    <w:rsid w:val="008C40EF"/>
    <w:rsid w:val="008C5D0F"/>
    <w:rsid w:val="008D06C6"/>
    <w:rsid w:val="008E1BBC"/>
    <w:rsid w:val="008E3B41"/>
    <w:rsid w:val="008E6250"/>
    <w:rsid w:val="008E65D4"/>
    <w:rsid w:val="008F11D9"/>
    <w:rsid w:val="008F4105"/>
    <w:rsid w:val="008F5E8B"/>
    <w:rsid w:val="008F7D79"/>
    <w:rsid w:val="00900F24"/>
    <w:rsid w:val="00902AF6"/>
    <w:rsid w:val="00905017"/>
    <w:rsid w:val="00911A60"/>
    <w:rsid w:val="00911D91"/>
    <w:rsid w:val="00913A13"/>
    <w:rsid w:val="00914030"/>
    <w:rsid w:val="00915EF7"/>
    <w:rsid w:val="009179AB"/>
    <w:rsid w:val="00920249"/>
    <w:rsid w:val="00920A1B"/>
    <w:rsid w:val="0092419F"/>
    <w:rsid w:val="00924C80"/>
    <w:rsid w:val="00924CC7"/>
    <w:rsid w:val="00926F1E"/>
    <w:rsid w:val="0092731E"/>
    <w:rsid w:val="00930392"/>
    <w:rsid w:val="009325CA"/>
    <w:rsid w:val="00932F14"/>
    <w:rsid w:val="0093429E"/>
    <w:rsid w:val="009365E0"/>
    <w:rsid w:val="00936697"/>
    <w:rsid w:val="00936F1C"/>
    <w:rsid w:val="0094211D"/>
    <w:rsid w:val="0094247F"/>
    <w:rsid w:val="00942D60"/>
    <w:rsid w:val="00944BA4"/>
    <w:rsid w:val="009470AF"/>
    <w:rsid w:val="00950B4C"/>
    <w:rsid w:val="0095204B"/>
    <w:rsid w:val="00956E80"/>
    <w:rsid w:val="00961DAC"/>
    <w:rsid w:val="00961E3D"/>
    <w:rsid w:val="0096523B"/>
    <w:rsid w:val="0096556B"/>
    <w:rsid w:val="009659E4"/>
    <w:rsid w:val="00966EE3"/>
    <w:rsid w:val="00970083"/>
    <w:rsid w:val="00970A2C"/>
    <w:rsid w:val="009710BB"/>
    <w:rsid w:val="00972302"/>
    <w:rsid w:val="00972D06"/>
    <w:rsid w:val="00973BA8"/>
    <w:rsid w:val="0098099D"/>
    <w:rsid w:val="00982242"/>
    <w:rsid w:val="00991D95"/>
    <w:rsid w:val="00992242"/>
    <w:rsid w:val="00994554"/>
    <w:rsid w:val="00996615"/>
    <w:rsid w:val="009A040B"/>
    <w:rsid w:val="009A0C93"/>
    <w:rsid w:val="009A391C"/>
    <w:rsid w:val="009A4E13"/>
    <w:rsid w:val="009A50F2"/>
    <w:rsid w:val="009B48BC"/>
    <w:rsid w:val="009C391E"/>
    <w:rsid w:val="009C4322"/>
    <w:rsid w:val="009C502F"/>
    <w:rsid w:val="009D0A70"/>
    <w:rsid w:val="009D2CE4"/>
    <w:rsid w:val="009D357C"/>
    <w:rsid w:val="009D61AE"/>
    <w:rsid w:val="009D790B"/>
    <w:rsid w:val="009E0A61"/>
    <w:rsid w:val="009E0AE6"/>
    <w:rsid w:val="009E27BC"/>
    <w:rsid w:val="009E27C1"/>
    <w:rsid w:val="009E2F88"/>
    <w:rsid w:val="009E3010"/>
    <w:rsid w:val="009E3939"/>
    <w:rsid w:val="009E4CAF"/>
    <w:rsid w:val="009E5BF0"/>
    <w:rsid w:val="009F007E"/>
    <w:rsid w:val="009F1575"/>
    <w:rsid w:val="009F1A45"/>
    <w:rsid w:val="009F20AD"/>
    <w:rsid w:val="009F56BA"/>
    <w:rsid w:val="009F5C0B"/>
    <w:rsid w:val="009F638B"/>
    <w:rsid w:val="009F7065"/>
    <w:rsid w:val="009F793B"/>
    <w:rsid w:val="00A0380A"/>
    <w:rsid w:val="00A053B0"/>
    <w:rsid w:val="00A1086E"/>
    <w:rsid w:val="00A11B11"/>
    <w:rsid w:val="00A12B44"/>
    <w:rsid w:val="00A15BC5"/>
    <w:rsid w:val="00A17CAA"/>
    <w:rsid w:val="00A20870"/>
    <w:rsid w:val="00A30218"/>
    <w:rsid w:val="00A30939"/>
    <w:rsid w:val="00A31570"/>
    <w:rsid w:val="00A318C4"/>
    <w:rsid w:val="00A32E17"/>
    <w:rsid w:val="00A33C67"/>
    <w:rsid w:val="00A34359"/>
    <w:rsid w:val="00A35077"/>
    <w:rsid w:val="00A35C0C"/>
    <w:rsid w:val="00A37637"/>
    <w:rsid w:val="00A37D49"/>
    <w:rsid w:val="00A40193"/>
    <w:rsid w:val="00A4175D"/>
    <w:rsid w:val="00A43115"/>
    <w:rsid w:val="00A46854"/>
    <w:rsid w:val="00A519A1"/>
    <w:rsid w:val="00A51C17"/>
    <w:rsid w:val="00A53278"/>
    <w:rsid w:val="00A547F1"/>
    <w:rsid w:val="00A54934"/>
    <w:rsid w:val="00A56DC7"/>
    <w:rsid w:val="00A56E34"/>
    <w:rsid w:val="00A61125"/>
    <w:rsid w:val="00A63FC6"/>
    <w:rsid w:val="00A64349"/>
    <w:rsid w:val="00A72C2D"/>
    <w:rsid w:val="00A72D53"/>
    <w:rsid w:val="00A740E7"/>
    <w:rsid w:val="00A74FD1"/>
    <w:rsid w:val="00A82E76"/>
    <w:rsid w:val="00A843BD"/>
    <w:rsid w:val="00A84A58"/>
    <w:rsid w:val="00A91DF1"/>
    <w:rsid w:val="00A967BA"/>
    <w:rsid w:val="00A96893"/>
    <w:rsid w:val="00A96DF5"/>
    <w:rsid w:val="00AA0F19"/>
    <w:rsid w:val="00AA1093"/>
    <w:rsid w:val="00AA3EFF"/>
    <w:rsid w:val="00AA5EA5"/>
    <w:rsid w:val="00AA5F09"/>
    <w:rsid w:val="00AB069A"/>
    <w:rsid w:val="00AB2667"/>
    <w:rsid w:val="00AB2C67"/>
    <w:rsid w:val="00AC00A3"/>
    <w:rsid w:val="00AC077A"/>
    <w:rsid w:val="00AC1546"/>
    <w:rsid w:val="00AC2D1F"/>
    <w:rsid w:val="00AC4F80"/>
    <w:rsid w:val="00AD053A"/>
    <w:rsid w:val="00AD22F9"/>
    <w:rsid w:val="00AD429C"/>
    <w:rsid w:val="00AD6F64"/>
    <w:rsid w:val="00AD7A3D"/>
    <w:rsid w:val="00AE430D"/>
    <w:rsid w:val="00AE4E6E"/>
    <w:rsid w:val="00AE5654"/>
    <w:rsid w:val="00AE64E3"/>
    <w:rsid w:val="00AE733C"/>
    <w:rsid w:val="00AE766D"/>
    <w:rsid w:val="00AF06FC"/>
    <w:rsid w:val="00AF0F5A"/>
    <w:rsid w:val="00AF3391"/>
    <w:rsid w:val="00AF387F"/>
    <w:rsid w:val="00AF5724"/>
    <w:rsid w:val="00AF602C"/>
    <w:rsid w:val="00B00E7F"/>
    <w:rsid w:val="00B027F6"/>
    <w:rsid w:val="00B04CBA"/>
    <w:rsid w:val="00B0699F"/>
    <w:rsid w:val="00B11A14"/>
    <w:rsid w:val="00B136F6"/>
    <w:rsid w:val="00B173DA"/>
    <w:rsid w:val="00B21DCC"/>
    <w:rsid w:val="00B21F87"/>
    <w:rsid w:val="00B2274B"/>
    <w:rsid w:val="00B25F37"/>
    <w:rsid w:val="00B31AD7"/>
    <w:rsid w:val="00B40523"/>
    <w:rsid w:val="00B44422"/>
    <w:rsid w:val="00B45361"/>
    <w:rsid w:val="00B46625"/>
    <w:rsid w:val="00B46EA0"/>
    <w:rsid w:val="00B4756E"/>
    <w:rsid w:val="00B4799C"/>
    <w:rsid w:val="00B47AF0"/>
    <w:rsid w:val="00B47CF8"/>
    <w:rsid w:val="00B47D6F"/>
    <w:rsid w:val="00B50EA5"/>
    <w:rsid w:val="00B51E03"/>
    <w:rsid w:val="00B54833"/>
    <w:rsid w:val="00B556EC"/>
    <w:rsid w:val="00B6413B"/>
    <w:rsid w:val="00B65676"/>
    <w:rsid w:val="00B71F51"/>
    <w:rsid w:val="00B731D3"/>
    <w:rsid w:val="00B76868"/>
    <w:rsid w:val="00B81F13"/>
    <w:rsid w:val="00B839A3"/>
    <w:rsid w:val="00B853D2"/>
    <w:rsid w:val="00B87E2E"/>
    <w:rsid w:val="00B902BD"/>
    <w:rsid w:val="00B92ADA"/>
    <w:rsid w:val="00B9313A"/>
    <w:rsid w:val="00B94E55"/>
    <w:rsid w:val="00B9694C"/>
    <w:rsid w:val="00B971DD"/>
    <w:rsid w:val="00BA10C8"/>
    <w:rsid w:val="00BA14BF"/>
    <w:rsid w:val="00BA2103"/>
    <w:rsid w:val="00BA24E2"/>
    <w:rsid w:val="00BA376D"/>
    <w:rsid w:val="00BB08A3"/>
    <w:rsid w:val="00BB1C16"/>
    <w:rsid w:val="00BB3CC2"/>
    <w:rsid w:val="00BB5580"/>
    <w:rsid w:val="00BB6102"/>
    <w:rsid w:val="00BC0680"/>
    <w:rsid w:val="00BC3561"/>
    <w:rsid w:val="00BC3892"/>
    <w:rsid w:val="00BC458B"/>
    <w:rsid w:val="00BC5A8D"/>
    <w:rsid w:val="00BC63F6"/>
    <w:rsid w:val="00BD2038"/>
    <w:rsid w:val="00BD2A39"/>
    <w:rsid w:val="00BD2E80"/>
    <w:rsid w:val="00BD3F3F"/>
    <w:rsid w:val="00BD4DBD"/>
    <w:rsid w:val="00BD5E14"/>
    <w:rsid w:val="00BD66C9"/>
    <w:rsid w:val="00BE11B8"/>
    <w:rsid w:val="00BE184C"/>
    <w:rsid w:val="00BE3818"/>
    <w:rsid w:val="00BE4E51"/>
    <w:rsid w:val="00BF1A3D"/>
    <w:rsid w:val="00BF5493"/>
    <w:rsid w:val="00BF7B9F"/>
    <w:rsid w:val="00BF7F95"/>
    <w:rsid w:val="00BF7FF0"/>
    <w:rsid w:val="00C00DAB"/>
    <w:rsid w:val="00C01215"/>
    <w:rsid w:val="00C01CDC"/>
    <w:rsid w:val="00C0271D"/>
    <w:rsid w:val="00C02892"/>
    <w:rsid w:val="00C03FEF"/>
    <w:rsid w:val="00C05804"/>
    <w:rsid w:val="00C064F6"/>
    <w:rsid w:val="00C10BBA"/>
    <w:rsid w:val="00C11FDE"/>
    <w:rsid w:val="00C12502"/>
    <w:rsid w:val="00C1266C"/>
    <w:rsid w:val="00C14FD2"/>
    <w:rsid w:val="00C15A21"/>
    <w:rsid w:val="00C20B11"/>
    <w:rsid w:val="00C20B5A"/>
    <w:rsid w:val="00C23401"/>
    <w:rsid w:val="00C30573"/>
    <w:rsid w:val="00C30EF2"/>
    <w:rsid w:val="00C36578"/>
    <w:rsid w:val="00C37D8B"/>
    <w:rsid w:val="00C40AA5"/>
    <w:rsid w:val="00C438F6"/>
    <w:rsid w:val="00C463B0"/>
    <w:rsid w:val="00C46F70"/>
    <w:rsid w:val="00C476D0"/>
    <w:rsid w:val="00C50678"/>
    <w:rsid w:val="00C53E18"/>
    <w:rsid w:val="00C54DEC"/>
    <w:rsid w:val="00C56F71"/>
    <w:rsid w:val="00C62FFD"/>
    <w:rsid w:val="00C63580"/>
    <w:rsid w:val="00C63BEF"/>
    <w:rsid w:val="00C660AD"/>
    <w:rsid w:val="00C67D83"/>
    <w:rsid w:val="00C67DB7"/>
    <w:rsid w:val="00C7216E"/>
    <w:rsid w:val="00C728AF"/>
    <w:rsid w:val="00C75330"/>
    <w:rsid w:val="00C836E3"/>
    <w:rsid w:val="00C86577"/>
    <w:rsid w:val="00C87212"/>
    <w:rsid w:val="00C921FD"/>
    <w:rsid w:val="00C92E07"/>
    <w:rsid w:val="00C92E71"/>
    <w:rsid w:val="00C94942"/>
    <w:rsid w:val="00C95A55"/>
    <w:rsid w:val="00C96868"/>
    <w:rsid w:val="00C96A50"/>
    <w:rsid w:val="00C97D23"/>
    <w:rsid w:val="00CA0416"/>
    <w:rsid w:val="00CA4BC3"/>
    <w:rsid w:val="00CA5B4C"/>
    <w:rsid w:val="00CA62B7"/>
    <w:rsid w:val="00CA7F35"/>
    <w:rsid w:val="00CB07F3"/>
    <w:rsid w:val="00CB0A13"/>
    <w:rsid w:val="00CB1375"/>
    <w:rsid w:val="00CB189F"/>
    <w:rsid w:val="00CB3150"/>
    <w:rsid w:val="00CB3570"/>
    <w:rsid w:val="00CC0A18"/>
    <w:rsid w:val="00CC10E5"/>
    <w:rsid w:val="00CC36E7"/>
    <w:rsid w:val="00CC560B"/>
    <w:rsid w:val="00CC5781"/>
    <w:rsid w:val="00CC75E2"/>
    <w:rsid w:val="00CD04FC"/>
    <w:rsid w:val="00CD46EB"/>
    <w:rsid w:val="00CD5799"/>
    <w:rsid w:val="00CD6735"/>
    <w:rsid w:val="00CD7EBF"/>
    <w:rsid w:val="00CE2538"/>
    <w:rsid w:val="00CE25C8"/>
    <w:rsid w:val="00CE34F9"/>
    <w:rsid w:val="00CE4B7B"/>
    <w:rsid w:val="00CE5E61"/>
    <w:rsid w:val="00CE5EC6"/>
    <w:rsid w:val="00CE7BA6"/>
    <w:rsid w:val="00CF3F73"/>
    <w:rsid w:val="00CF4DCE"/>
    <w:rsid w:val="00CF7A0F"/>
    <w:rsid w:val="00D0194F"/>
    <w:rsid w:val="00D01E59"/>
    <w:rsid w:val="00D038A8"/>
    <w:rsid w:val="00D056F1"/>
    <w:rsid w:val="00D062E4"/>
    <w:rsid w:val="00D1110B"/>
    <w:rsid w:val="00D11171"/>
    <w:rsid w:val="00D125D1"/>
    <w:rsid w:val="00D14405"/>
    <w:rsid w:val="00D14B0B"/>
    <w:rsid w:val="00D168EA"/>
    <w:rsid w:val="00D1709B"/>
    <w:rsid w:val="00D1773F"/>
    <w:rsid w:val="00D17DC7"/>
    <w:rsid w:val="00D22323"/>
    <w:rsid w:val="00D223F1"/>
    <w:rsid w:val="00D22F3C"/>
    <w:rsid w:val="00D23DB6"/>
    <w:rsid w:val="00D26814"/>
    <w:rsid w:val="00D3171B"/>
    <w:rsid w:val="00D319C4"/>
    <w:rsid w:val="00D33F56"/>
    <w:rsid w:val="00D35226"/>
    <w:rsid w:val="00D4104C"/>
    <w:rsid w:val="00D41215"/>
    <w:rsid w:val="00D43D15"/>
    <w:rsid w:val="00D43FE6"/>
    <w:rsid w:val="00D44538"/>
    <w:rsid w:val="00D463E8"/>
    <w:rsid w:val="00D4745F"/>
    <w:rsid w:val="00D51A95"/>
    <w:rsid w:val="00D531D6"/>
    <w:rsid w:val="00D565CC"/>
    <w:rsid w:val="00D5748A"/>
    <w:rsid w:val="00D57D90"/>
    <w:rsid w:val="00D60568"/>
    <w:rsid w:val="00D62B9D"/>
    <w:rsid w:val="00D65858"/>
    <w:rsid w:val="00D66506"/>
    <w:rsid w:val="00D70C7A"/>
    <w:rsid w:val="00D73931"/>
    <w:rsid w:val="00D74A9C"/>
    <w:rsid w:val="00D755D1"/>
    <w:rsid w:val="00D761AB"/>
    <w:rsid w:val="00D76855"/>
    <w:rsid w:val="00D770A4"/>
    <w:rsid w:val="00D7788D"/>
    <w:rsid w:val="00D77D38"/>
    <w:rsid w:val="00D81D38"/>
    <w:rsid w:val="00D8470F"/>
    <w:rsid w:val="00D8471A"/>
    <w:rsid w:val="00D86D60"/>
    <w:rsid w:val="00D87721"/>
    <w:rsid w:val="00D92108"/>
    <w:rsid w:val="00D932B1"/>
    <w:rsid w:val="00D949FB"/>
    <w:rsid w:val="00D96A0D"/>
    <w:rsid w:val="00DA10A8"/>
    <w:rsid w:val="00DA13AD"/>
    <w:rsid w:val="00DA1EA5"/>
    <w:rsid w:val="00DA22F7"/>
    <w:rsid w:val="00DA475A"/>
    <w:rsid w:val="00DA6F5B"/>
    <w:rsid w:val="00DB1E08"/>
    <w:rsid w:val="00DB2973"/>
    <w:rsid w:val="00DB324A"/>
    <w:rsid w:val="00DB3E10"/>
    <w:rsid w:val="00DB7A08"/>
    <w:rsid w:val="00DC1882"/>
    <w:rsid w:val="00DC1B56"/>
    <w:rsid w:val="00DC2129"/>
    <w:rsid w:val="00DC28D2"/>
    <w:rsid w:val="00DC3C72"/>
    <w:rsid w:val="00DC6570"/>
    <w:rsid w:val="00DD1005"/>
    <w:rsid w:val="00DD16C3"/>
    <w:rsid w:val="00DD1AA1"/>
    <w:rsid w:val="00DD207A"/>
    <w:rsid w:val="00DD3C5E"/>
    <w:rsid w:val="00DE0085"/>
    <w:rsid w:val="00DE1786"/>
    <w:rsid w:val="00DE1EE6"/>
    <w:rsid w:val="00DE3B30"/>
    <w:rsid w:val="00DE47EC"/>
    <w:rsid w:val="00DE4CC3"/>
    <w:rsid w:val="00DE5C8E"/>
    <w:rsid w:val="00DE79D9"/>
    <w:rsid w:val="00DF25C3"/>
    <w:rsid w:val="00DF3341"/>
    <w:rsid w:val="00DF3A8E"/>
    <w:rsid w:val="00DF3EF8"/>
    <w:rsid w:val="00DF4EB7"/>
    <w:rsid w:val="00DF5663"/>
    <w:rsid w:val="00E031AD"/>
    <w:rsid w:val="00E03ABA"/>
    <w:rsid w:val="00E04062"/>
    <w:rsid w:val="00E05314"/>
    <w:rsid w:val="00E063C6"/>
    <w:rsid w:val="00E0744E"/>
    <w:rsid w:val="00E0773E"/>
    <w:rsid w:val="00E108E7"/>
    <w:rsid w:val="00E115BB"/>
    <w:rsid w:val="00E11DDC"/>
    <w:rsid w:val="00E14946"/>
    <w:rsid w:val="00E15379"/>
    <w:rsid w:val="00E15506"/>
    <w:rsid w:val="00E16351"/>
    <w:rsid w:val="00E16938"/>
    <w:rsid w:val="00E17F85"/>
    <w:rsid w:val="00E2003B"/>
    <w:rsid w:val="00E203C2"/>
    <w:rsid w:val="00E216AF"/>
    <w:rsid w:val="00E21A65"/>
    <w:rsid w:val="00E24DE8"/>
    <w:rsid w:val="00E25261"/>
    <w:rsid w:val="00E26E13"/>
    <w:rsid w:val="00E279D8"/>
    <w:rsid w:val="00E27D26"/>
    <w:rsid w:val="00E31147"/>
    <w:rsid w:val="00E319B1"/>
    <w:rsid w:val="00E3400B"/>
    <w:rsid w:val="00E356F7"/>
    <w:rsid w:val="00E40377"/>
    <w:rsid w:val="00E40ED4"/>
    <w:rsid w:val="00E42F06"/>
    <w:rsid w:val="00E42F68"/>
    <w:rsid w:val="00E43A2A"/>
    <w:rsid w:val="00E44E0D"/>
    <w:rsid w:val="00E462EB"/>
    <w:rsid w:val="00E50955"/>
    <w:rsid w:val="00E50A52"/>
    <w:rsid w:val="00E50E4B"/>
    <w:rsid w:val="00E517D6"/>
    <w:rsid w:val="00E520FE"/>
    <w:rsid w:val="00E5346A"/>
    <w:rsid w:val="00E54166"/>
    <w:rsid w:val="00E5492F"/>
    <w:rsid w:val="00E55393"/>
    <w:rsid w:val="00E617C5"/>
    <w:rsid w:val="00E62DEF"/>
    <w:rsid w:val="00E639C6"/>
    <w:rsid w:val="00E63CC2"/>
    <w:rsid w:val="00E63D70"/>
    <w:rsid w:val="00E64462"/>
    <w:rsid w:val="00E64C99"/>
    <w:rsid w:val="00E6537B"/>
    <w:rsid w:val="00E701B1"/>
    <w:rsid w:val="00E70A86"/>
    <w:rsid w:val="00E75054"/>
    <w:rsid w:val="00E75182"/>
    <w:rsid w:val="00E751D6"/>
    <w:rsid w:val="00E75D97"/>
    <w:rsid w:val="00E777EC"/>
    <w:rsid w:val="00E77B74"/>
    <w:rsid w:val="00E80FCD"/>
    <w:rsid w:val="00E81F6E"/>
    <w:rsid w:val="00E83AB2"/>
    <w:rsid w:val="00E9238D"/>
    <w:rsid w:val="00E96BC7"/>
    <w:rsid w:val="00EA229E"/>
    <w:rsid w:val="00EA4D2C"/>
    <w:rsid w:val="00EA5290"/>
    <w:rsid w:val="00EA7F2F"/>
    <w:rsid w:val="00EB039A"/>
    <w:rsid w:val="00EB0E5E"/>
    <w:rsid w:val="00EB1497"/>
    <w:rsid w:val="00EB3E69"/>
    <w:rsid w:val="00EC00DE"/>
    <w:rsid w:val="00EC0263"/>
    <w:rsid w:val="00EC05B7"/>
    <w:rsid w:val="00EC11D1"/>
    <w:rsid w:val="00EC1D4A"/>
    <w:rsid w:val="00EC30E1"/>
    <w:rsid w:val="00EC4A57"/>
    <w:rsid w:val="00EC6696"/>
    <w:rsid w:val="00EC68F4"/>
    <w:rsid w:val="00ED07D8"/>
    <w:rsid w:val="00ED172A"/>
    <w:rsid w:val="00ED1B50"/>
    <w:rsid w:val="00ED41AE"/>
    <w:rsid w:val="00ED77BC"/>
    <w:rsid w:val="00EE0A23"/>
    <w:rsid w:val="00EE157D"/>
    <w:rsid w:val="00EE4A85"/>
    <w:rsid w:val="00EE4CBB"/>
    <w:rsid w:val="00EF00C7"/>
    <w:rsid w:val="00EF093B"/>
    <w:rsid w:val="00EF3E4C"/>
    <w:rsid w:val="00EF4FF2"/>
    <w:rsid w:val="00F05A80"/>
    <w:rsid w:val="00F0750B"/>
    <w:rsid w:val="00F079EE"/>
    <w:rsid w:val="00F1125B"/>
    <w:rsid w:val="00F12467"/>
    <w:rsid w:val="00F147EE"/>
    <w:rsid w:val="00F14BEC"/>
    <w:rsid w:val="00F21724"/>
    <w:rsid w:val="00F224B5"/>
    <w:rsid w:val="00F225C5"/>
    <w:rsid w:val="00F2587A"/>
    <w:rsid w:val="00F2798F"/>
    <w:rsid w:val="00F30D4D"/>
    <w:rsid w:val="00F32CE0"/>
    <w:rsid w:val="00F33BB8"/>
    <w:rsid w:val="00F36F3C"/>
    <w:rsid w:val="00F3715D"/>
    <w:rsid w:val="00F420C8"/>
    <w:rsid w:val="00F42A4C"/>
    <w:rsid w:val="00F42DDC"/>
    <w:rsid w:val="00F4428E"/>
    <w:rsid w:val="00F53B04"/>
    <w:rsid w:val="00F546F5"/>
    <w:rsid w:val="00F60315"/>
    <w:rsid w:val="00F603CA"/>
    <w:rsid w:val="00F604DE"/>
    <w:rsid w:val="00F607B9"/>
    <w:rsid w:val="00F61C33"/>
    <w:rsid w:val="00F63105"/>
    <w:rsid w:val="00F64653"/>
    <w:rsid w:val="00F70669"/>
    <w:rsid w:val="00F71289"/>
    <w:rsid w:val="00F713BD"/>
    <w:rsid w:val="00F76D6B"/>
    <w:rsid w:val="00F76EB0"/>
    <w:rsid w:val="00F83E11"/>
    <w:rsid w:val="00F92967"/>
    <w:rsid w:val="00F93095"/>
    <w:rsid w:val="00F93D2A"/>
    <w:rsid w:val="00F947EC"/>
    <w:rsid w:val="00F94D5C"/>
    <w:rsid w:val="00F973EA"/>
    <w:rsid w:val="00FA0138"/>
    <w:rsid w:val="00FA3E8F"/>
    <w:rsid w:val="00FA4FBE"/>
    <w:rsid w:val="00FB130E"/>
    <w:rsid w:val="00FB13A8"/>
    <w:rsid w:val="00FB1533"/>
    <w:rsid w:val="00FB156E"/>
    <w:rsid w:val="00FB3DDE"/>
    <w:rsid w:val="00FB4C0A"/>
    <w:rsid w:val="00FB67A3"/>
    <w:rsid w:val="00FB6B9C"/>
    <w:rsid w:val="00FB7512"/>
    <w:rsid w:val="00FC2DB8"/>
    <w:rsid w:val="00FC6B08"/>
    <w:rsid w:val="00FD03AD"/>
    <w:rsid w:val="00FD0F0E"/>
    <w:rsid w:val="00FD0F87"/>
    <w:rsid w:val="00FD2FBE"/>
    <w:rsid w:val="00FD58F5"/>
    <w:rsid w:val="00FD6AFE"/>
    <w:rsid w:val="00FD7547"/>
    <w:rsid w:val="00FD75A7"/>
    <w:rsid w:val="00FD7AFD"/>
    <w:rsid w:val="00FD7E90"/>
    <w:rsid w:val="00FE2AE2"/>
    <w:rsid w:val="00FE3589"/>
    <w:rsid w:val="00FE54FB"/>
    <w:rsid w:val="00FE6BD0"/>
    <w:rsid w:val="00FF038D"/>
    <w:rsid w:val="00FF161A"/>
    <w:rsid w:val="00FF5DE1"/>
    <w:rsid w:val="00FF5F5C"/>
    <w:rsid w:val="00FF6693"/>
    <w:rsid w:val="00FF7D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Outline List 2"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AC00A3"/>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847F25"/>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FB3DDE"/>
    <w:pPr>
      <w:ind w:left="220"/>
    </w:pPr>
    <w:rPr>
      <w:rFonts w:asciiTheme="minorHAnsi" w:hAnsi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ListParagraph">
    <w:name w:val="List Paragraph"/>
    <w:basedOn w:val="Normal"/>
    <w:uiPriority w:val="34"/>
    <w:rsid w:val="009179AB"/>
    <w:pPr>
      <w:ind w:left="720"/>
      <w:contextualSpacing/>
    </w:pPr>
  </w:style>
  <w:style w:type="paragraph" w:styleId="NormalWeb">
    <w:name w:val="Normal (Web)"/>
    <w:basedOn w:val="Normal"/>
    <w:rsid w:val="00433A4F"/>
    <w:rPr>
      <w:rFonts w:ascii="Times New Roman" w:hAnsi="Times New Roman"/>
      <w:sz w:val="24"/>
    </w:rPr>
  </w:style>
  <w:style w:type="numbering" w:styleId="111111">
    <w:name w:val="Outline List 2"/>
    <w:basedOn w:val="NoList"/>
    <w:uiPriority w:val="99"/>
    <w:unhideWhenUsed/>
    <w:rsid w:val="00807182"/>
    <w:pPr>
      <w:numPr>
        <w:numId w:val="6"/>
      </w:numPr>
    </w:pPr>
  </w:style>
  <w:style w:type="numbering" w:customStyle="1" w:styleId="1111111">
    <w:name w:val="1 / 1.1 / 1.1.11"/>
    <w:basedOn w:val="NoList"/>
    <w:next w:val="111111"/>
    <w:uiPriority w:val="99"/>
    <w:semiHidden/>
    <w:unhideWhenUsed/>
    <w:rsid w:val="00E115BB"/>
  </w:style>
  <w:style w:type="character" w:customStyle="1" w:styleId="FootnoteTextChar">
    <w:name w:val="Footnote Text Char"/>
    <w:aliases w:val="Footnotes Text Char,FSFootnotes Text Char,FSFootnote Text Char"/>
    <w:basedOn w:val="DefaultParagraphFont"/>
    <w:link w:val="FootnoteText"/>
    <w:uiPriority w:val="5"/>
    <w:rsid w:val="00EB1497"/>
    <w:rPr>
      <w:rFonts w:ascii="Arial" w:hAnsi="Arial"/>
      <w:lang w:eastAsia="en-US" w:bidi="en-US"/>
    </w:rPr>
  </w:style>
  <w:style w:type="paragraph" w:customStyle="1" w:styleId="AARBullet">
    <w:name w:val="AAR Bullet"/>
    <w:basedOn w:val="Normal"/>
    <w:qFormat/>
    <w:rsid w:val="002D14A4"/>
    <w:pPr>
      <w:widowControl/>
      <w:numPr>
        <w:numId w:val="10"/>
      </w:numPr>
      <w:spacing w:before="60" w:after="60"/>
    </w:pPr>
    <w:rPr>
      <w:rFonts w:cs="Arial"/>
      <w:sz w:val="20"/>
      <w:lang w:val="en-AU" w:bidi="ar-SA"/>
    </w:rPr>
  </w:style>
  <w:style w:type="paragraph" w:customStyle="1" w:styleId="Marginnote">
    <w:name w:val="Margin note"/>
    <w:basedOn w:val="Heading1"/>
    <w:uiPriority w:val="99"/>
    <w:rsid w:val="00BC3561"/>
    <w:pPr>
      <w:keepLines/>
      <w:framePr w:w="1430" w:hSpace="227" w:wrap="around" w:vAnchor="text" w:hAnchor="page" w:x="10094" w:y="2"/>
      <w:widowControl/>
      <w:pBdr>
        <w:top w:val="single" w:sz="6" w:space="1" w:color="auto"/>
        <w:left w:val="single" w:sz="6" w:space="1" w:color="auto"/>
        <w:bottom w:val="single" w:sz="6" w:space="1" w:color="auto"/>
        <w:right w:val="single" w:sz="6" w:space="1" w:color="auto"/>
      </w:pBdr>
      <w:spacing w:after="0"/>
      <w:ind w:left="0" w:right="282" w:firstLine="0"/>
    </w:pPr>
    <w:rPr>
      <w:rFonts w:ascii="Calibri" w:hAnsi="Calibri"/>
      <w:sz w:val="20"/>
    </w:rPr>
  </w:style>
  <w:style w:type="table" w:customStyle="1" w:styleId="TableGrid1">
    <w:name w:val="Table Grid1"/>
    <w:basedOn w:val="TableNormal"/>
    <w:next w:val="TableGrid"/>
    <w:uiPriority w:val="59"/>
    <w:rsid w:val="004D778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012D"/>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Outline List 2"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AC00A3"/>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847F25"/>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FB3DDE"/>
    <w:pPr>
      <w:ind w:left="220"/>
    </w:pPr>
    <w:rPr>
      <w:rFonts w:asciiTheme="minorHAnsi" w:hAnsi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ListParagraph">
    <w:name w:val="List Paragraph"/>
    <w:basedOn w:val="Normal"/>
    <w:uiPriority w:val="34"/>
    <w:rsid w:val="009179AB"/>
    <w:pPr>
      <w:ind w:left="720"/>
      <w:contextualSpacing/>
    </w:pPr>
  </w:style>
  <w:style w:type="paragraph" w:styleId="NormalWeb">
    <w:name w:val="Normal (Web)"/>
    <w:basedOn w:val="Normal"/>
    <w:rsid w:val="00433A4F"/>
    <w:rPr>
      <w:rFonts w:ascii="Times New Roman" w:hAnsi="Times New Roman"/>
      <w:sz w:val="24"/>
    </w:rPr>
  </w:style>
  <w:style w:type="numbering" w:styleId="111111">
    <w:name w:val="Outline List 2"/>
    <w:basedOn w:val="NoList"/>
    <w:uiPriority w:val="99"/>
    <w:unhideWhenUsed/>
    <w:rsid w:val="00807182"/>
    <w:pPr>
      <w:numPr>
        <w:numId w:val="6"/>
      </w:numPr>
    </w:pPr>
  </w:style>
  <w:style w:type="numbering" w:customStyle="1" w:styleId="1111111">
    <w:name w:val="1 / 1.1 / 1.1.11"/>
    <w:basedOn w:val="NoList"/>
    <w:next w:val="111111"/>
    <w:uiPriority w:val="99"/>
    <w:semiHidden/>
    <w:unhideWhenUsed/>
    <w:rsid w:val="00E115BB"/>
  </w:style>
  <w:style w:type="character" w:customStyle="1" w:styleId="FootnoteTextChar">
    <w:name w:val="Footnote Text Char"/>
    <w:aliases w:val="Footnotes Text Char,FSFootnotes Text Char,FSFootnote Text Char"/>
    <w:basedOn w:val="DefaultParagraphFont"/>
    <w:link w:val="FootnoteText"/>
    <w:uiPriority w:val="5"/>
    <w:rsid w:val="00EB1497"/>
    <w:rPr>
      <w:rFonts w:ascii="Arial" w:hAnsi="Arial"/>
      <w:lang w:eastAsia="en-US" w:bidi="en-US"/>
    </w:rPr>
  </w:style>
  <w:style w:type="paragraph" w:customStyle="1" w:styleId="AARBullet">
    <w:name w:val="AAR Bullet"/>
    <w:basedOn w:val="Normal"/>
    <w:qFormat/>
    <w:rsid w:val="002D14A4"/>
    <w:pPr>
      <w:widowControl/>
      <w:numPr>
        <w:numId w:val="10"/>
      </w:numPr>
      <w:spacing w:before="60" w:after="60"/>
    </w:pPr>
    <w:rPr>
      <w:rFonts w:cs="Arial"/>
      <w:sz w:val="20"/>
      <w:lang w:val="en-AU" w:bidi="ar-SA"/>
    </w:rPr>
  </w:style>
  <w:style w:type="paragraph" w:customStyle="1" w:styleId="Marginnote">
    <w:name w:val="Margin note"/>
    <w:basedOn w:val="Heading1"/>
    <w:uiPriority w:val="99"/>
    <w:rsid w:val="00BC3561"/>
    <w:pPr>
      <w:keepLines/>
      <w:framePr w:w="1430" w:hSpace="227" w:wrap="around" w:vAnchor="text" w:hAnchor="page" w:x="10094" w:y="2"/>
      <w:widowControl/>
      <w:pBdr>
        <w:top w:val="single" w:sz="6" w:space="1" w:color="auto"/>
        <w:left w:val="single" w:sz="6" w:space="1" w:color="auto"/>
        <w:bottom w:val="single" w:sz="6" w:space="1" w:color="auto"/>
        <w:right w:val="single" w:sz="6" w:space="1" w:color="auto"/>
      </w:pBdr>
      <w:spacing w:after="0"/>
      <w:ind w:left="0" w:right="282" w:firstLine="0"/>
    </w:pPr>
    <w:rPr>
      <w:rFonts w:ascii="Calibri" w:hAnsi="Calibri"/>
      <w:sz w:val="20"/>
    </w:rPr>
  </w:style>
  <w:style w:type="table" w:customStyle="1" w:styleId="TableGrid1">
    <w:name w:val="Table Grid1"/>
    <w:basedOn w:val="TableNormal"/>
    <w:next w:val="TableGrid"/>
    <w:uiPriority w:val="59"/>
    <w:rsid w:val="004D778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012D"/>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4861">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33788507">
      <w:bodyDiv w:val="1"/>
      <w:marLeft w:val="0"/>
      <w:marRight w:val="0"/>
      <w:marTop w:val="0"/>
      <w:marBottom w:val="0"/>
      <w:divBdr>
        <w:top w:val="none" w:sz="0" w:space="0" w:color="auto"/>
        <w:left w:val="none" w:sz="0" w:space="0" w:color="auto"/>
        <w:bottom w:val="none" w:sz="0" w:space="0" w:color="auto"/>
        <w:right w:val="none" w:sz="0" w:space="0" w:color="auto"/>
      </w:divBdr>
      <w:divsChild>
        <w:div w:id="1839078933">
          <w:marLeft w:val="720"/>
          <w:marRight w:val="0"/>
          <w:marTop w:val="144"/>
          <w:marBottom w:val="0"/>
          <w:divBdr>
            <w:top w:val="none" w:sz="0" w:space="0" w:color="auto"/>
            <w:left w:val="none" w:sz="0" w:space="0" w:color="auto"/>
            <w:bottom w:val="none" w:sz="0" w:space="0" w:color="auto"/>
            <w:right w:val="none" w:sz="0" w:space="0" w:color="auto"/>
          </w:divBdr>
        </w:div>
      </w:divsChild>
    </w:div>
    <w:div w:id="622153940">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310793326">
      <w:bodyDiv w:val="1"/>
      <w:marLeft w:val="0"/>
      <w:marRight w:val="0"/>
      <w:marTop w:val="0"/>
      <w:marBottom w:val="0"/>
      <w:divBdr>
        <w:top w:val="none" w:sz="0" w:space="0" w:color="auto"/>
        <w:left w:val="none" w:sz="0" w:space="0" w:color="auto"/>
        <w:bottom w:val="none" w:sz="0" w:space="0" w:color="auto"/>
        <w:right w:val="none" w:sz="0" w:space="0" w:color="auto"/>
      </w:divBdr>
    </w:div>
    <w:div w:id="1727678110">
      <w:bodyDiv w:val="1"/>
      <w:marLeft w:val="0"/>
      <w:marRight w:val="0"/>
      <w:marTop w:val="0"/>
      <w:marBottom w:val="0"/>
      <w:divBdr>
        <w:top w:val="none" w:sz="0" w:space="0" w:color="auto"/>
        <w:left w:val="none" w:sz="0" w:space="0" w:color="auto"/>
        <w:bottom w:val="none" w:sz="0" w:space="0" w:color="auto"/>
        <w:right w:val="none" w:sz="0" w:space="0" w:color="auto"/>
      </w:divBdr>
      <w:divsChild>
        <w:div w:id="774180888">
          <w:marLeft w:val="0"/>
          <w:marRight w:val="0"/>
          <w:marTop w:val="0"/>
          <w:marBottom w:val="0"/>
          <w:divBdr>
            <w:top w:val="none" w:sz="0" w:space="0" w:color="auto"/>
            <w:left w:val="none" w:sz="0" w:space="0" w:color="auto"/>
            <w:bottom w:val="none" w:sz="0" w:space="0" w:color="auto"/>
            <w:right w:val="none" w:sz="0" w:space="0" w:color="auto"/>
          </w:divBdr>
          <w:divsChild>
            <w:div w:id="1313294552">
              <w:marLeft w:val="0"/>
              <w:marRight w:val="0"/>
              <w:marTop w:val="0"/>
              <w:marBottom w:val="0"/>
              <w:divBdr>
                <w:top w:val="none" w:sz="0" w:space="0" w:color="auto"/>
                <w:left w:val="none" w:sz="0" w:space="0" w:color="auto"/>
                <w:bottom w:val="none" w:sz="0" w:space="0" w:color="auto"/>
                <w:right w:val="none" w:sz="0" w:space="0" w:color="auto"/>
              </w:divBdr>
              <w:divsChild>
                <w:div w:id="1642997831">
                  <w:marLeft w:val="0"/>
                  <w:marRight w:val="0"/>
                  <w:marTop w:val="0"/>
                  <w:marBottom w:val="0"/>
                  <w:divBdr>
                    <w:top w:val="none" w:sz="0" w:space="0" w:color="auto"/>
                    <w:left w:val="none" w:sz="0" w:space="0" w:color="auto"/>
                    <w:bottom w:val="none" w:sz="0" w:space="0" w:color="auto"/>
                    <w:right w:val="none" w:sz="0" w:space="0" w:color="auto"/>
                  </w:divBdr>
                  <w:divsChild>
                    <w:div w:id="641037676">
                      <w:marLeft w:val="0"/>
                      <w:marRight w:val="0"/>
                      <w:marTop w:val="0"/>
                      <w:marBottom w:val="0"/>
                      <w:divBdr>
                        <w:top w:val="none" w:sz="0" w:space="0" w:color="auto"/>
                        <w:left w:val="none" w:sz="0" w:space="0" w:color="auto"/>
                        <w:bottom w:val="none" w:sz="0" w:space="0" w:color="auto"/>
                        <w:right w:val="none" w:sz="0" w:space="0" w:color="auto"/>
                      </w:divBdr>
                      <w:divsChild>
                        <w:div w:id="311836761">
                          <w:marLeft w:val="0"/>
                          <w:marRight w:val="0"/>
                          <w:marTop w:val="0"/>
                          <w:marBottom w:val="0"/>
                          <w:divBdr>
                            <w:top w:val="none" w:sz="0" w:space="0" w:color="auto"/>
                            <w:left w:val="none" w:sz="0" w:space="0" w:color="auto"/>
                            <w:bottom w:val="none" w:sz="0" w:space="0" w:color="auto"/>
                            <w:right w:val="none" w:sz="0" w:space="0" w:color="auto"/>
                          </w:divBdr>
                          <w:divsChild>
                            <w:div w:id="1040739406">
                              <w:marLeft w:val="0"/>
                              <w:marRight w:val="0"/>
                              <w:marTop w:val="0"/>
                              <w:marBottom w:val="0"/>
                              <w:divBdr>
                                <w:top w:val="none" w:sz="0" w:space="0" w:color="auto"/>
                                <w:left w:val="none" w:sz="0" w:space="0" w:color="auto"/>
                                <w:bottom w:val="none" w:sz="0" w:space="0" w:color="auto"/>
                                <w:right w:val="none" w:sz="0" w:space="0" w:color="auto"/>
                              </w:divBdr>
                              <w:divsChild>
                                <w:div w:id="1616910119">
                                  <w:marLeft w:val="0"/>
                                  <w:marRight w:val="0"/>
                                  <w:marTop w:val="0"/>
                                  <w:marBottom w:val="0"/>
                                  <w:divBdr>
                                    <w:top w:val="none" w:sz="0" w:space="0" w:color="auto"/>
                                    <w:left w:val="none" w:sz="0" w:space="0" w:color="auto"/>
                                    <w:bottom w:val="none" w:sz="0" w:space="0" w:color="auto"/>
                                    <w:right w:val="none" w:sz="0" w:space="0" w:color="auto"/>
                                  </w:divBdr>
                                  <w:divsChild>
                                    <w:div w:id="63652858">
                                      <w:marLeft w:val="0"/>
                                      <w:marRight w:val="0"/>
                                      <w:marTop w:val="0"/>
                                      <w:marBottom w:val="0"/>
                                      <w:divBdr>
                                        <w:top w:val="none" w:sz="0" w:space="0" w:color="auto"/>
                                        <w:left w:val="none" w:sz="0" w:space="0" w:color="auto"/>
                                        <w:bottom w:val="none" w:sz="0" w:space="0" w:color="auto"/>
                                        <w:right w:val="none" w:sz="0" w:space="0" w:color="auto"/>
                                      </w:divBdr>
                                      <w:divsChild>
                                        <w:div w:id="1470436113">
                                          <w:marLeft w:val="0"/>
                                          <w:marRight w:val="0"/>
                                          <w:marTop w:val="0"/>
                                          <w:marBottom w:val="0"/>
                                          <w:divBdr>
                                            <w:top w:val="none" w:sz="0" w:space="0" w:color="auto"/>
                                            <w:left w:val="none" w:sz="0" w:space="0" w:color="auto"/>
                                            <w:bottom w:val="none" w:sz="0" w:space="0" w:color="auto"/>
                                            <w:right w:val="none" w:sz="0" w:space="0" w:color="auto"/>
                                          </w:divBdr>
                                          <w:divsChild>
                                            <w:div w:id="1930848442">
                                              <w:marLeft w:val="0"/>
                                              <w:marRight w:val="0"/>
                                              <w:marTop w:val="0"/>
                                              <w:marBottom w:val="0"/>
                                              <w:divBdr>
                                                <w:top w:val="none" w:sz="0" w:space="0" w:color="auto"/>
                                                <w:left w:val="none" w:sz="0" w:space="0" w:color="auto"/>
                                                <w:bottom w:val="none" w:sz="0" w:space="0" w:color="auto"/>
                                                <w:right w:val="none" w:sz="0" w:space="0" w:color="auto"/>
                                              </w:divBdr>
                                              <w:divsChild>
                                                <w:div w:id="2057853454">
                                                  <w:marLeft w:val="0"/>
                                                  <w:marRight w:val="0"/>
                                                  <w:marTop w:val="0"/>
                                                  <w:marBottom w:val="0"/>
                                                  <w:divBdr>
                                                    <w:top w:val="none" w:sz="0" w:space="0" w:color="auto"/>
                                                    <w:left w:val="none" w:sz="0" w:space="0" w:color="auto"/>
                                                    <w:bottom w:val="none" w:sz="0" w:space="0" w:color="auto"/>
                                                    <w:right w:val="none" w:sz="0" w:space="0" w:color="auto"/>
                                                  </w:divBdr>
                                                  <w:divsChild>
                                                    <w:div w:id="525755706">
                                                      <w:marLeft w:val="0"/>
                                                      <w:marRight w:val="0"/>
                                                      <w:marTop w:val="0"/>
                                                      <w:marBottom w:val="0"/>
                                                      <w:divBdr>
                                                        <w:top w:val="none" w:sz="0" w:space="0" w:color="auto"/>
                                                        <w:left w:val="none" w:sz="0" w:space="0" w:color="auto"/>
                                                        <w:bottom w:val="none" w:sz="0" w:space="0" w:color="auto"/>
                                                        <w:right w:val="none" w:sz="0" w:space="0" w:color="auto"/>
                                                      </w:divBdr>
                                                      <w:divsChild>
                                                        <w:div w:id="1379814796">
                                                          <w:marLeft w:val="0"/>
                                                          <w:marRight w:val="0"/>
                                                          <w:marTop w:val="0"/>
                                                          <w:marBottom w:val="0"/>
                                                          <w:divBdr>
                                                            <w:top w:val="none" w:sz="0" w:space="0" w:color="auto"/>
                                                            <w:left w:val="none" w:sz="0" w:space="0" w:color="auto"/>
                                                            <w:bottom w:val="none" w:sz="0" w:space="0" w:color="auto"/>
                                                            <w:right w:val="none" w:sz="0" w:space="0" w:color="auto"/>
                                                          </w:divBdr>
                                                          <w:divsChild>
                                                            <w:div w:id="839469020">
                                                              <w:marLeft w:val="0"/>
                                                              <w:marRight w:val="0"/>
                                                              <w:marTop w:val="0"/>
                                                              <w:marBottom w:val="0"/>
                                                              <w:divBdr>
                                                                <w:top w:val="none" w:sz="0" w:space="0" w:color="auto"/>
                                                                <w:left w:val="none" w:sz="0" w:space="0" w:color="auto"/>
                                                                <w:bottom w:val="none" w:sz="0" w:space="0" w:color="auto"/>
                                                                <w:right w:val="none" w:sz="0" w:space="0" w:color="auto"/>
                                                              </w:divBdr>
                                                              <w:divsChild>
                                                                <w:div w:id="801120416">
                                                                  <w:marLeft w:val="0"/>
                                                                  <w:marRight w:val="0"/>
                                                                  <w:marTop w:val="0"/>
                                                                  <w:marBottom w:val="0"/>
                                                                  <w:divBdr>
                                                                    <w:top w:val="none" w:sz="0" w:space="0" w:color="auto"/>
                                                                    <w:left w:val="none" w:sz="0" w:space="0" w:color="auto"/>
                                                                    <w:bottom w:val="none" w:sz="0" w:space="0" w:color="auto"/>
                                                                    <w:right w:val="none" w:sz="0" w:space="0" w:color="auto"/>
                                                                  </w:divBdr>
                                                                  <w:divsChild>
                                                                    <w:div w:id="1852256591">
                                                                      <w:marLeft w:val="0"/>
                                                                      <w:marRight w:val="0"/>
                                                                      <w:marTop w:val="0"/>
                                                                      <w:marBottom w:val="0"/>
                                                                      <w:divBdr>
                                                                        <w:top w:val="none" w:sz="0" w:space="0" w:color="auto"/>
                                                                        <w:left w:val="none" w:sz="0" w:space="0" w:color="auto"/>
                                                                        <w:bottom w:val="none" w:sz="0" w:space="0" w:color="auto"/>
                                                                        <w:right w:val="none" w:sz="0" w:space="0" w:color="auto"/>
                                                                      </w:divBdr>
                                                                      <w:divsChild>
                                                                        <w:div w:id="804159396">
                                                                          <w:marLeft w:val="0"/>
                                                                          <w:marRight w:val="0"/>
                                                                          <w:marTop w:val="0"/>
                                                                          <w:marBottom w:val="0"/>
                                                                          <w:divBdr>
                                                                            <w:top w:val="none" w:sz="0" w:space="0" w:color="auto"/>
                                                                            <w:left w:val="none" w:sz="0" w:space="0" w:color="auto"/>
                                                                            <w:bottom w:val="none" w:sz="0" w:space="0" w:color="auto"/>
                                                                            <w:right w:val="none" w:sz="0" w:space="0" w:color="auto"/>
                                                                          </w:divBdr>
                                                                          <w:divsChild>
                                                                            <w:div w:id="1174687160">
                                                                              <w:marLeft w:val="0"/>
                                                                              <w:marRight w:val="0"/>
                                                                              <w:marTop w:val="0"/>
                                                                              <w:marBottom w:val="0"/>
                                                                              <w:divBdr>
                                                                                <w:top w:val="none" w:sz="0" w:space="0" w:color="auto"/>
                                                                                <w:left w:val="none" w:sz="0" w:space="0" w:color="auto"/>
                                                                                <w:bottom w:val="none" w:sz="0" w:space="0" w:color="auto"/>
                                                                                <w:right w:val="none" w:sz="0" w:space="0" w:color="auto"/>
                                                                              </w:divBdr>
                                                                              <w:divsChild>
                                                                                <w:div w:id="101152935">
                                                                                  <w:marLeft w:val="0"/>
                                                                                  <w:marRight w:val="0"/>
                                                                                  <w:marTop w:val="0"/>
                                                                                  <w:marBottom w:val="0"/>
                                                                                  <w:divBdr>
                                                                                    <w:top w:val="none" w:sz="0" w:space="0" w:color="auto"/>
                                                                                    <w:left w:val="none" w:sz="0" w:space="0" w:color="auto"/>
                                                                                    <w:bottom w:val="none" w:sz="0" w:space="0" w:color="auto"/>
                                                                                    <w:right w:val="none" w:sz="0" w:space="0" w:color="auto"/>
                                                                                  </w:divBdr>
                                                                                  <w:divsChild>
                                                                                    <w:div w:id="404374830">
                                                                                      <w:marLeft w:val="0"/>
                                                                                      <w:marRight w:val="0"/>
                                                                                      <w:marTop w:val="0"/>
                                                                                      <w:marBottom w:val="0"/>
                                                                                      <w:divBdr>
                                                                                        <w:top w:val="none" w:sz="0" w:space="0" w:color="auto"/>
                                                                                        <w:left w:val="none" w:sz="0" w:space="0" w:color="auto"/>
                                                                                        <w:bottom w:val="none" w:sz="0" w:space="0" w:color="auto"/>
                                                                                        <w:right w:val="none" w:sz="0" w:space="0" w:color="auto"/>
                                                                                      </w:divBdr>
                                                                                      <w:divsChild>
                                                                                        <w:div w:id="291710789">
                                                                                          <w:marLeft w:val="300"/>
                                                                                          <w:marRight w:val="0"/>
                                                                                          <w:marTop w:val="0"/>
                                                                                          <w:marBottom w:val="0"/>
                                                                                          <w:divBdr>
                                                                                            <w:top w:val="none" w:sz="0" w:space="0" w:color="auto"/>
                                                                                            <w:left w:val="none" w:sz="0" w:space="0" w:color="auto"/>
                                                                                            <w:bottom w:val="none" w:sz="0" w:space="0" w:color="auto"/>
                                                                                            <w:right w:val="none" w:sz="0" w:space="0" w:color="auto"/>
                                                                                          </w:divBdr>
                                                                                          <w:divsChild>
                                                                                            <w:div w:id="1987471251">
                                                                                              <w:marLeft w:val="-300"/>
                                                                                              <w:marRight w:val="0"/>
                                                                                              <w:marTop w:val="0"/>
                                                                                              <w:marBottom w:val="0"/>
                                                                                              <w:divBdr>
                                                                                                <w:top w:val="none" w:sz="0" w:space="0" w:color="auto"/>
                                                                                                <w:left w:val="none" w:sz="0" w:space="0" w:color="auto"/>
                                                                                                <w:bottom w:val="none" w:sz="0" w:space="0" w:color="auto"/>
                                                                                                <w:right w:val="none" w:sz="0" w:space="0" w:color="auto"/>
                                                                                              </w:divBdr>
                                                                                              <w:divsChild>
                                                                                                <w:div w:id="13353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60925651">
      <w:bodyDiv w:val="1"/>
      <w:marLeft w:val="0"/>
      <w:marRight w:val="0"/>
      <w:marTop w:val="0"/>
      <w:marBottom w:val="0"/>
      <w:divBdr>
        <w:top w:val="none" w:sz="0" w:space="0" w:color="auto"/>
        <w:left w:val="none" w:sz="0" w:space="0" w:color="auto"/>
        <w:bottom w:val="none" w:sz="0" w:space="0" w:color="auto"/>
        <w:right w:val="none" w:sz="0" w:space="0" w:color="auto"/>
      </w:divBdr>
    </w:div>
    <w:div w:id="2016296360">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standards.gov.au/code/changes/submission/Pages/default.aspx" TargetMode="External"/><Relationship Id="rId18" Type="http://schemas.openxmlformats.org/officeDocument/2006/relationships/hyperlink" Target="mailto:standards.management@foodstandards.gov.au" TargetMode="External"/><Relationship Id="rId26" Type="http://schemas.openxmlformats.org/officeDocument/2006/relationships/image" Target="media/image2.png"/><Relationship Id="rId39" Type="http://schemas.openxmlformats.org/officeDocument/2006/relationships/hyperlink" Target="http://www.moh.govt.nz"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www.efsa.europa.eu/en/efsajournal/doc/21r.pdf" TargetMode="External"/><Relationship Id="rId42" Type="http://schemas.openxmlformats.org/officeDocument/2006/relationships/hyperlink" Target="https://webgate.ec.europa.eu/rasff-window/portal/?event=notificationDetail&amp;NOTIF_REFERENCE=2005.631"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foodstandards.gov.au/code/proposals/Pages/P1034ChemicalMigrationfromPackagingintoFood.aspx" TargetMode="External"/><Relationship Id="rId33" Type="http://schemas.openxmlformats.org/officeDocument/2006/relationships/hyperlink" Target="http://www.efsa.europa.eu/en/efsajournal/doc/1064.pdf" TargetMode="External"/><Relationship Id="rId38" Type="http://schemas.openxmlformats.org/officeDocument/2006/relationships/hyperlink" Target="http://www.packaginglaw.co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bmissions@foodstandards.gov.au" TargetMode="External"/><Relationship Id="rId20" Type="http://schemas.openxmlformats.org/officeDocument/2006/relationships/header" Target="header2.xml"/><Relationship Id="rId29" Type="http://schemas.openxmlformats.org/officeDocument/2006/relationships/hyperlink" Target="http://ec.europa.eu/food/food/chemicalsafety/foodcontact/legisl_list_en.htm" TargetMode="External"/><Relationship Id="rId41" Type="http://schemas.openxmlformats.org/officeDocument/2006/relationships/hyperlink" Target="http://www.pca.org.au/site/index.php/page/issues-pap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www.efsa.europa.eu/en/efsajournal/pub/293.htm" TargetMode="External"/><Relationship Id="rId37" Type="http://schemas.openxmlformats.org/officeDocument/2006/relationships/hyperlink" Target="http://www.efsa.europa.eu/en/consultationsclosed/call/140117.htm" TargetMode="External"/><Relationship Id="rId40" Type="http://schemas.openxmlformats.org/officeDocument/2006/relationships/hyperlink" Target="http://www.packaginglaw.com" TargetMode="External"/><Relationship Id="rId45" Type="http://schemas.openxmlformats.org/officeDocument/2006/relationships/hyperlink" Target="http://www.fda.gov/Food/IngredientsPackagingLabeling/PackagingFCS/CEDI/default.htm" TargetMode="External"/><Relationship Id="rId5" Type="http://schemas.openxmlformats.org/officeDocument/2006/relationships/numbering" Target="numbering.xml"/><Relationship Id="rId15" Type="http://schemas.openxmlformats.org/officeDocument/2006/relationships/hyperlink" Target="http://www.foodstandards.gov.au/code/changes/Pages/Documents-for-public-comment.aspx" TargetMode="External"/><Relationship Id="rId23" Type="http://schemas.openxmlformats.org/officeDocument/2006/relationships/header" Target="header3.xml"/><Relationship Id="rId28" Type="http://schemas.openxmlformats.org/officeDocument/2006/relationships/hyperlink" Target="http://dx.doi.org/10.1080/19440049.2012.745198" TargetMode="External"/><Relationship Id="rId36" Type="http://schemas.openxmlformats.org/officeDocument/2006/relationships/hyperlink" Target="http://www.efsa.europa.eu/en/press/news/120702.htm"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www.efsa.europa.eu/en/efsajournal/pub/243.htm" TargetMode="External"/><Relationship Id="rId44" Type="http://schemas.openxmlformats.org/officeDocument/2006/relationships/hyperlink" Target="http://www.fda.gov/Food/IngredientsPackagingLabeling/PackagingFCS/IndirectAdditives/ucm115333.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standards.gov.au/code/changes/submission/Pages/default.aspx" TargetMode="External"/><Relationship Id="rId22" Type="http://schemas.openxmlformats.org/officeDocument/2006/relationships/footer" Target="footer2.xml"/><Relationship Id="rId27" Type="http://schemas.openxmlformats.org/officeDocument/2006/relationships/hyperlink" Target="http://www.pacia.org.au/aboutus/business_of_chemistry" TargetMode="External"/><Relationship Id="rId30" Type="http://schemas.openxmlformats.org/officeDocument/2006/relationships/hyperlink" Target="http://ec.europa.eu/smart-regulation/impact/planned_ia/docs%20/2014_sanco_005_fcm_specific_provisions_for_materials_other_than_plastics_en.pdf" TargetMode="External"/><Relationship Id="rId35" Type="http://schemas.openxmlformats.org/officeDocument/2006/relationships/hyperlink" Target="http://www.efsa.europa.eu/en/efsajournal/pub/1104.htm" TargetMode="External"/><Relationship Id="rId43" Type="http://schemas.openxmlformats.org/officeDocument/2006/relationships/hyperlink" Target="https://webgate.ec.europa.eu/rasff-window/portal/?event=notificationDetail&amp;NOTIF_REFERENCE=2009.011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ao.org/fileadmin/user_upload/agns/pdf/CXS_193e.pdf" TargetMode="External"/><Relationship Id="rId13" Type="http://schemas.openxmlformats.org/officeDocument/2006/relationships/hyperlink" Target="http://www.packagingcovenant.org.au/data/Resources/Recycled_Materials_in_Food_Contact_Applications-FINAL-May-2014.pdf" TargetMode="External"/><Relationship Id="rId3" Type="http://schemas.openxmlformats.org/officeDocument/2006/relationships/hyperlink" Target="http://www.nicnas.gov.au/" TargetMode="External"/><Relationship Id="rId7" Type="http://schemas.openxmlformats.org/officeDocument/2006/relationships/hyperlink" Target="http://www.foodstandards.gov.au/code/proposals/Pages/proposalp1025coderev5755.aspx" TargetMode="External"/><Relationship Id="rId12" Type="http://schemas.openxmlformats.org/officeDocument/2006/relationships/hyperlink" Target="http://www.packagingcovenant.org.au/data/Resources/Recycled_Materials_in_Food_Contact_Applications-FINAL-May-2014.pdf" TargetMode="External"/><Relationship Id="rId2" Type="http://schemas.openxmlformats.org/officeDocument/2006/relationships/hyperlink" Target="https://www.accc.gov.au/" TargetMode="External"/><Relationship Id="rId1" Type="http://schemas.openxmlformats.org/officeDocument/2006/relationships/hyperlink" Target="http://www.foodstandards.gov.au/Pages/default.aspx" TargetMode="External"/><Relationship Id="rId6" Type="http://schemas.openxmlformats.org/officeDocument/2006/relationships/hyperlink" Target="http://www.finance.gov.au/obpr/ris/index.html" TargetMode="External"/><Relationship Id="rId11" Type="http://schemas.openxmlformats.org/officeDocument/2006/relationships/hyperlink" Target="http://www.packagingcovenant.org.au" TargetMode="External"/><Relationship Id="rId5" Type="http://schemas.openxmlformats.org/officeDocument/2006/relationships/hyperlink" Target="http://www.foodstandards.gov.au/publications/riskanalysisfoodregulation/Pages/default.aspx" TargetMode="External"/><Relationship Id="rId10" Type="http://schemas.openxmlformats.org/officeDocument/2006/relationships/hyperlink" Target="http://www.cuttingredtape.gov.au/sites/default/files/documents/australian_government_guide_regulation.pdf" TargetMode="External"/><Relationship Id="rId4" Type="http://schemas.openxmlformats.org/officeDocument/2006/relationships/hyperlink" Target="http://ec.europa.eu/food/safety/rasff/index_en.htm" TargetMode="External"/><Relationship Id="rId9" Type="http://schemas.openxmlformats.org/officeDocument/2006/relationships/hyperlink" Target="http://www.mhlw.go.jp/english/topics/importedfoods/guideline/dl/04.pdf" TargetMode="External"/><Relationship Id="rId14" Type="http://schemas.openxmlformats.org/officeDocument/2006/relationships/hyperlink" Target="http://www.standards.org.au/InternationalEngagemen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6CA032-0B09-4815-ADD1-0B06EA464B2A}"/>
</file>

<file path=customXml/itemProps2.xml><?xml version="1.0" encoding="utf-8"?>
<ds:datastoreItem xmlns:ds="http://schemas.openxmlformats.org/officeDocument/2006/customXml" ds:itemID="{45C74B6A-E666-4C00-BA45-A7987EB045D6}"/>
</file>

<file path=customXml/itemProps3.xml><?xml version="1.0" encoding="utf-8"?>
<ds:datastoreItem xmlns:ds="http://schemas.openxmlformats.org/officeDocument/2006/customXml" ds:itemID="{AFE436AA-6F30-4D1B-818A-464339D05945}"/>
</file>

<file path=customXml/itemProps4.xml><?xml version="1.0" encoding="utf-8"?>
<ds:datastoreItem xmlns:ds="http://schemas.openxmlformats.org/officeDocument/2006/customXml" ds:itemID="{81160881-2F11-44C1-A520-756D1972A393}"/>
</file>

<file path=docProps/app.xml><?xml version="1.0" encoding="utf-8"?>
<Properties xmlns="http://schemas.openxmlformats.org/officeDocument/2006/extended-properties" xmlns:vt="http://schemas.openxmlformats.org/officeDocument/2006/docPropsVTypes">
  <Template>Normal</Template>
  <TotalTime>0</TotalTime>
  <Pages>30</Pages>
  <Words>11187</Words>
  <Characters>63769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P1034-Packaging-Consult-CFS</vt:lpstr>
    </vt:vector>
  </TitlesOfParts>
  <LinksUpToDate>false</LinksUpToDate>
  <CharactersWithSpaces>74807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P1034-Packaging-Consult-CFS</dc:title>
  <dc:creator/>
  <cp:lastModifiedBy/>
  <cp:revision>1</cp:revision>
  <dcterms:created xsi:type="dcterms:W3CDTF">2014-11-24T23:50:00Z</dcterms:created>
  <dcterms:modified xsi:type="dcterms:W3CDTF">2014-11-24T23:51:00Z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